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3.wmf" ContentType="image/x-wmf"/>
  <Override PartName="/word/media/image26.wmf" ContentType="image/x-wmf"/>
  <Override PartName="/word/media/image4.wmf" ContentType="image/x-wmf"/>
  <Override PartName="/word/media/image27.wmf" ContentType="image/x-wmf"/>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32.256 </w:t>
                            </w:r>
                            <w:r>
                              <w:rPr/>
                              <w:t xml:space="preserve">V16.3.0 </w:t>
                            </w:r>
                            <w:r>
                              <w:rPr>
                                <w:sz w:val="32"/>
                              </w:rPr>
                              <w:t>(2022-12)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32.256 </w:t>
                      </w:r>
                      <w:r>
                        <w:rPr/>
                        <w:t xml:space="preserve">V16.3.0 </w:t>
                      </w:r>
                      <w:r>
                        <w:rPr>
                          <w:sz w:val="32"/>
                        </w:rPr>
                        <w:t>(2022-12)</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Charging management;</w:t>
                            </w:r>
                          </w:p>
                          <w:p>
                            <w:pPr>
                              <w:pStyle w:val="ZT"/>
                              <w:rPr/>
                            </w:pPr>
                            <w:r>
                              <w:rPr/>
                              <w:t>5G connection and mobility domain charging;</w:t>
                            </w:r>
                          </w:p>
                          <w:p>
                            <w:pPr>
                              <w:pStyle w:val="ZT"/>
                              <w:rPr/>
                            </w:pPr>
                            <w:r>
                              <w:rPr/>
                              <w:t>stage 2</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Charging management;</w:t>
                      </w:r>
                    </w:p>
                    <w:p>
                      <w:pPr>
                        <w:pStyle w:val="ZT"/>
                        <w:rPr/>
                      </w:pPr>
                      <w:r>
                        <w:rPr/>
                        <w:t>5G connection and mobility domain charging;</w:t>
                      </w:r>
                    </w:p>
                    <w:p>
                      <w:pPr>
                        <w:pStyle w:val="ZT"/>
                        <w:rPr/>
                      </w:pPr>
                      <w:r>
                        <w:rPr/>
                        <w:t>stage 2</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Guidance"/>
        <w:rPr/>
      </w:pPr>
      <w:r>
        <w:rPr/>
      </w:r>
      <w:bookmarkStart w:id="2" w:name="page2"/>
      <w:bookmarkStart w:id="3" w:name="page2"/>
      <w:bookmarkEnd w:id="3"/>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1400" cy="1779905"/>
                <wp:effectExtent l="0" t="0" r="0" b="0"/>
                <wp:wrapTopAndBottom/>
                <wp:docPr id="11"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8004175</wp:posOffset>
                </wp:positionV>
                <wp:extent cx="6121400" cy="1941195"/>
                <wp:effectExtent l="0" t="0" r="0" b="0"/>
                <wp:wrapTopAndBottom/>
                <wp:docPr id="12"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2022,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p>
                            <w:pPr>
                              <w:pStyle w:val="FP"/>
                              <w:rPr>
                                <w:sz w:val="18"/>
                                <w:lang w:val="en-US" w:eastAsia="en-US"/>
                              </w:rPr>
                            </w:pPr>
                            <w:r>
                              <w:rPr>
                                <w:sz w:val="18"/>
                                <w:lang w:val="en-US" w:eastAsia="en-US"/>
                              </w:rPr>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2022,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p>
                      <w:pPr>
                        <w:pStyle w:val="FP"/>
                        <w:rPr>
                          <w:sz w:val="18"/>
                          <w:lang w:val="en-US" w:eastAsia="en-US"/>
                        </w:rPr>
                      </w:pPr>
                      <w:r>
                        <w:rPr>
                          <w:sz w:val="18"/>
                          <w:lang w:val="en-US" w:eastAsia="en-US"/>
                        </w:rPr>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rPr>
          </w:pPr>
          <w:r>
            <w:fldChar w:fldCharType="begin"/>
          </w:r>
          <w:r>
            <w:rPr>
              <w:sz w:val="22"/>
              <w:szCs w:val="20"/>
              <w:rFonts w:eastAsia="Times New Roman" w:cs="Times New Roman"/>
              <w:color w:val="auto"/>
              <w:lang w:val="en-GB" w:bidi="ar-SA"/>
            </w:rPr>
            <w:instrText xml:space="preserve"> TOC \o "1-9" </w:instrText>
          </w:r>
          <w:r>
            <w:rPr>
              <w:sz w:val="22"/>
              <w:szCs w:val="20"/>
              <w:rFonts w:eastAsia="Times New Roman" w:cs="Times New Roman"/>
              <w:color w:val="auto"/>
              <w:lang w:val="en-GB" w:bidi="ar-SA"/>
            </w:rPr>
            <w:fldChar w:fldCharType="separate"/>
          </w:r>
          <w:r>
            <w:rPr>
              <w:rFonts w:eastAsia="Times New Roman" w:cs="Times New Roman"/>
              <w:color w:val="auto"/>
              <w:sz w:val="22"/>
              <w:szCs w:val="20"/>
              <w:lang w:val="en-GB" w:bidi="ar-SA"/>
            </w:rPr>
            <w:t>Foreword</w:t>
            <w:tab/>
          </w:r>
          <w:hyperlink w:anchor="__RefHeading___Toc25753194">
            <w:r>
              <w:rPr>
                <w:rStyle w:val="IndexLink"/>
                <w:rFonts w:eastAsia="Times New Roman" w:cs="Times New Roman"/>
                <w:color w:val="auto"/>
                <w:sz w:val="22"/>
                <w:szCs w:val="20"/>
                <w:lang w:val="en-GB" w:bidi="ar-SA"/>
              </w:rPr>
              <w:t>5</w:t>
            </w:r>
          </w:hyperlink>
        </w:p>
        <w:p>
          <w:pPr>
            <w:pStyle w:val="Contents1"/>
            <w:rPr>
              <w:rFonts w:ascii="Calibri" w:hAnsi="Calibri" w:cs="Calibri"/>
              <w:szCs w:val="22"/>
              <w:lang w:val="en-US"/>
            </w:rPr>
          </w:pPr>
          <w:r>
            <w:rPr/>
            <w:t>1</w:t>
          </w:r>
          <w:r>
            <w:rPr>
              <w:rFonts w:cs="Calibri" w:ascii="Calibri" w:hAnsi="Calibri"/>
              <w:szCs w:val="22"/>
              <w:lang w:val="en-US"/>
            </w:rPr>
            <w:tab/>
          </w:r>
          <w:r>
            <w:rPr/>
            <w:t>Scope</w:t>
            <w:tab/>
          </w:r>
          <w:hyperlink w:anchor="__RefHeading___Toc25753195">
            <w:r>
              <w:rPr>
                <w:rStyle w:val="IndexLink"/>
              </w:rPr>
              <w:t>7</w:t>
            </w:r>
          </w:hyperlink>
        </w:p>
        <w:p>
          <w:pPr>
            <w:pStyle w:val="Contents1"/>
            <w:rPr>
              <w:rFonts w:ascii="Calibri" w:hAnsi="Calibri" w:cs="Calibri"/>
              <w:szCs w:val="22"/>
              <w:lang w:val="en-US"/>
            </w:rPr>
          </w:pPr>
          <w:r>
            <w:rPr/>
            <w:t>2</w:t>
          </w:r>
          <w:r>
            <w:rPr>
              <w:rFonts w:cs="Calibri" w:ascii="Calibri" w:hAnsi="Calibri"/>
              <w:szCs w:val="22"/>
              <w:lang w:val="en-US"/>
            </w:rPr>
            <w:tab/>
          </w:r>
          <w:r>
            <w:rPr/>
            <w:t>References</w:t>
            <w:tab/>
          </w:r>
          <w:hyperlink w:anchor="__RefHeading___Toc25753196">
            <w:r>
              <w:rPr>
                <w:rStyle w:val="IndexLink"/>
              </w:rPr>
              <w:t>7</w:t>
            </w:r>
          </w:hyperlink>
        </w:p>
        <w:p>
          <w:pPr>
            <w:pStyle w:val="Contents1"/>
            <w:rPr>
              <w:rFonts w:ascii="Calibri" w:hAnsi="Calibri" w:cs="Calibri"/>
              <w:szCs w:val="22"/>
              <w:lang w:val="en-US"/>
            </w:rPr>
          </w:pPr>
          <w:r>
            <w:rPr/>
            <w:t>3</w:t>
          </w:r>
          <w:r>
            <w:rPr>
              <w:rFonts w:cs="Calibri" w:ascii="Calibri" w:hAnsi="Calibri"/>
              <w:szCs w:val="22"/>
              <w:lang w:val="en-US"/>
            </w:rPr>
            <w:tab/>
          </w:r>
          <w:r>
            <w:rPr/>
            <w:t>Definitions of terms, symbols and abbreviations</w:t>
            <w:tab/>
          </w:r>
          <w:hyperlink w:anchor="__RefHeading___Toc25753197">
            <w:r>
              <w:rPr>
                <w:rStyle w:val="IndexLink"/>
              </w:rPr>
              <w:t>8</w:t>
            </w:r>
          </w:hyperlink>
        </w:p>
        <w:p>
          <w:pPr>
            <w:pStyle w:val="Contents2"/>
            <w:rPr>
              <w:rFonts w:ascii="Calibri" w:hAnsi="Calibri" w:cs="Calibri"/>
              <w:sz w:val="22"/>
              <w:szCs w:val="22"/>
              <w:lang w:val="en-US"/>
            </w:rPr>
          </w:pPr>
          <w:r>
            <w:rPr/>
            <w:t>3.1</w:t>
          </w:r>
          <w:r>
            <w:rPr>
              <w:rFonts w:cs="Calibri" w:ascii="Calibri" w:hAnsi="Calibri"/>
              <w:sz w:val="22"/>
              <w:szCs w:val="22"/>
              <w:lang w:val="en-US"/>
            </w:rPr>
            <w:tab/>
          </w:r>
          <w:r>
            <w:rPr/>
            <w:t>Terms</w:t>
            <w:tab/>
          </w:r>
          <w:hyperlink w:anchor="__RefHeading___Toc25753198">
            <w:r>
              <w:rPr>
                <w:rStyle w:val="IndexLink"/>
              </w:rPr>
              <w:t>8</w:t>
            </w:r>
          </w:hyperlink>
        </w:p>
        <w:p>
          <w:pPr>
            <w:pStyle w:val="Contents2"/>
            <w:rPr>
              <w:rFonts w:ascii="Calibri" w:hAnsi="Calibri" w:cs="Calibri"/>
              <w:sz w:val="22"/>
              <w:szCs w:val="22"/>
              <w:lang w:val="en-US"/>
            </w:rPr>
          </w:pPr>
          <w:r>
            <w:rPr/>
            <w:t>3.2</w:t>
          </w:r>
          <w:r>
            <w:rPr>
              <w:rFonts w:cs="Calibri" w:ascii="Calibri" w:hAnsi="Calibri"/>
              <w:sz w:val="22"/>
              <w:szCs w:val="22"/>
              <w:lang w:val="en-US"/>
            </w:rPr>
            <w:tab/>
          </w:r>
          <w:r>
            <w:rPr/>
            <w:t>Symbols</w:t>
            <w:tab/>
          </w:r>
          <w:hyperlink w:anchor="__RefHeading___Toc25753199">
            <w:r>
              <w:rPr>
                <w:rStyle w:val="IndexLink"/>
              </w:rPr>
              <w:t>8</w:t>
            </w:r>
          </w:hyperlink>
        </w:p>
        <w:p>
          <w:pPr>
            <w:pStyle w:val="Contents2"/>
            <w:rPr>
              <w:rFonts w:ascii="Calibri" w:hAnsi="Calibri" w:cs="Calibri"/>
              <w:sz w:val="22"/>
              <w:szCs w:val="22"/>
              <w:lang w:val="en-US"/>
            </w:rPr>
          </w:pPr>
          <w:r>
            <w:rPr/>
            <w:t>3.3</w:t>
          </w:r>
          <w:r>
            <w:rPr>
              <w:rFonts w:cs="Calibri" w:ascii="Calibri" w:hAnsi="Calibri"/>
              <w:sz w:val="22"/>
              <w:szCs w:val="22"/>
              <w:lang w:val="en-US"/>
            </w:rPr>
            <w:tab/>
          </w:r>
          <w:r>
            <w:rPr/>
            <w:t>Abbreviations</w:t>
            <w:tab/>
          </w:r>
          <w:hyperlink w:anchor="__RefHeading___Toc25753200">
            <w:r>
              <w:rPr>
                <w:rStyle w:val="IndexLink"/>
              </w:rPr>
              <w:t>9</w:t>
            </w:r>
          </w:hyperlink>
        </w:p>
        <w:p>
          <w:pPr>
            <w:pStyle w:val="Contents1"/>
            <w:rPr>
              <w:rFonts w:ascii="Calibri" w:hAnsi="Calibri" w:cs="Calibri"/>
              <w:szCs w:val="22"/>
              <w:lang w:val="en-US"/>
            </w:rPr>
          </w:pPr>
          <w:r>
            <w:rPr/>
            <w:t>4</w:t>
          </w:r>
          <w:r>
            <w:rPr>
              <w:rFonts w:cs="Calibri" w:ascii="Calibri" w:hAnsi="Calibri"/>
              <w:szCs w:val="22"/>
              <w:lang w:val="en-US"/>
            </w:rPr>
            <w:tab/>
          </w:r>
          <w:r>
            <w:rPr/>
            <w:t>Architecture considerations</w:t>
            <w:tab/>
          </w:r>
          <w:hyperlink w:anchor="__RefHeading___Toc25753201">
            <w:r>
              <w:rPr>
                <w:rStyle w:val="IndexLink"/>
              </w:rPr>
              <w:t>9</w:t>
            </w:r>
          </w:hyperlink>
        </w:p>
        <w:p>
          <w:pPr>
            <w:pStyle w:val="Contents2"/>
            <w:rPr>
              <w:rFonts w:ascii="Calibri" w:hAnsi="Calibri" w:cs="Calibri"/>
              <w:sz w:val="22"/>
              <w:szCs w:val="22"/>
              <w:lang w:val="en-US"/>
            </w:rPr>
          </w:pPr>
          <w:r>
            <w:rPr/>
            <w:t>4.1</w:t>
          </w:r>
          <w:r>
            <w:rPr>
              <w:rFonts w:cs="Calibri" w:ascii="Calibri" w:hAnsi="Calibri"/>
              <w:sz w:val="22"/>
              <w:szCs w:val="22"/>
              <w:lang w:val="en-US"/>
            </w:rPr>
            <w:tab/>
          </w:r>
          <w:r>
            <w:rPr>
              <w:lang w:bidi="ar-IQ"/>
            </w:rPr>
            <w:t>High-level 5G System architecture</w:t>
          </w:r>
          <w:r>
            <w:rPr/>
            <w:tab/>
          </w:r>
          <w:hyperlink w:anchor="__RefHeading___Toc25753202">
            <w:r>
              <w:rPr>
                <w:rStyle w:val="IndexLink"/>
              </w:rPr>
              <w:t>9</w:t>
            </w:r>
          </w:hyperlink>
        </w:p>
        <w:p>
          <w:pPr>
            <w:pStyle w:val="Contents3"/>
            <w:rPr>
              <w:rFonts w:ascii="Calibri" w:hAnsi="Calibri" w:cs="Calibri"/>
              <w:sz w:val="22"/>
              <w:szCs w:val="22"/>
              <w:lang w:val="en-US"/>
            </w:rPr>
          </w:pPr>
          <w:r>
            <w:rPr/>
            <w:t>4.1.1</w:t>
          </w:r>
          <w:r>
            <w:rPr>
              <w:rFonts w:cs="Calibri" w:ascii="Calibri" w:hAnsi="Calibri"/>
              <w:sz w:val="22"/>
              <w:szCs w:val="22"/>
              <w:lang w:val="en-US"/>
            </w:rPr>
            <w:tab/>
          </w:r>
          <w:r>
            <w:rPr/>
            <w:t>Non-roaming reference architecture</w:t>
            <w:tab/>
          </w:r>
          <w:hyperlink w:anchor="__RefHeading___Toc25753203">
            <w:r>
              <w:rPr>
                <w:rStyle w:val="IndexLink"/>
              </w:rPr>
              <w:t>9</w:t>
            </w:r>
          </w:hyperlink>
        </w:p>
        <w:p>
          <w:pPr>
            <w:pStyle w:val="Contents3"/>
            <w:rPr>
              <w:rFonts w:ascii="Calibri" w:hAnsi="Calibri" w:cs="Calibri"/>
              <w:sz w:val="22"/>
              <w:szCs w:val="22"/>
              <w:lang w:val="en-US"/>
            </w:rPr>
          </w:pPr>
          <w:r>
            <w:rPr/>
            <w:t>4.1.2</w:t>
          </w:r>
          <w:r>
            <w:rPr>
              <w:rFonts w:cs="Calibri" w:ascii="Calibri" w:hAnsi="Calibri"/>
              <w:sz w:val="22"/>
              <w:szCs w:val="22"/>
              <w:lang w:val="en-US"/>
            </w:rPr>
            <w:tab/>
          </w:r>
          <w:r>
            <w:rPr/>
            <w:t>Roaming reference architecture</w:t>
            <w:tab/>
          </w:r>
          <w:hyperlink w:anchor="__RefHeading___Toc25753204">
            <w:r>
              <w:rPr>
                <w:rStyle w:val="IndexLink"/>
              </w:rPr>
              <w:t>10</w:t>
            </w:r>
          </w:hyperlink>
        </w:p>
        <w:p>
          <w:pPr>
            <w:pStyle w:val="Contents2"/>
            <w:rPr>
              <w:rFonts w:ascii="Calibri" w:hAnsi="Calibri" w:cs="Calibri"/>
              <w:sz w:val="22"/>
              <w:szCs w:val="22"/>
              <w:lang w:val="en-US"/>
            </w:rPr>
          </w:pPr>
          <w:r>
            <w:rPr/>
            <w:t>4.2</w:t>
          </w:r>
          <w:r>
            <w:rPr>
              <w:rFonts w:cs="Calibri" w:ascii="Calibri" w:hAnsi="Calibri"/>
              <w:sz w:val="22"/>
              <w:szCs w:val="22"/>
              <w:lang w:val="en-US"/>
            </w:rPr>
            <w:tab/>
          </w:r>
          <w:r>
            <w:rPr/>
            <w:t>5G connection and mobility</w:t>
          </w:r>
          <w:r>
            <w:rPr>
              <w:lang w:bidi="ar-IQ"/>
            </w:rPr>
            <w:t xml:space="preserve"> domain converged charging architecture</w:t>
          </w:r>
          <w:r>
            <w:rPr/>
            <w:tab/>
          </w:r>
          <w:hyperlink w:anchor="__RefHeading___Toc25753205">
            <w:r>
              <w:rPr>
                <w:rStyle w:val="IndexLink"/>
              </w:rPr>
              <w:t>11</w:t>
            </w:r>
          </w:hyperlink>
        </w:p>
        <w:p>
          <w:pPr>
            <w:pStyle w:val="Contents3"/>
            <w:rPr>
              <w:rFonts w:ascii="Calibri" w:hAnsi="Calibri" w:cs="Calibri"/>
              <w:sz w:val="22"/>
              <w:szCs w:val="22"/>
              <w:lang w:val="en-US"/>
            </w:rPr>
          </w:pPr>
          <w:r>
            <w:rPr/>
            <w:t>4.2.1</w:t>
          </w:r>
          <w:r>
            <w:rPr>
              <w:rFonts w:cs="Calibri" w:ascii="Calibri" w:hAnsi="Calibri"/>
              <w:sz w:val="22"/>
              <w:szCs w:val="22"/>
              <w:lang w:val="en-US"/>
            </w:rPr>
            <w:tab/>
          </w:r>
          <w:r>
            <w:rPr/>
            <w:t>Non-roaming</w:t>
            <w:tab/>
          </w:r>
          <w:hyperlink w:anchor="__RefHeading___Toc25753206">
            <w:r>
              <w:rPr>
                <w:rStyle w:val="IndexLink"/>
              </w:rPr>
              <w:t>11</w:t>
            </w:r>
          </w:hyperlink>
        </w:p>
        <w:p>
          <w:pPr>
            <w:pStyle w:val="Contents3"/>
            <w:rPr>
              <w:rFonts w:ascii="Calibri" w:hAnsi="Calibri" w:cs="Calibri"/>
              <w:sz w:val="22"/>
              <w:szCs w:val="22"/>
              <w:lang w:val="en-US"/>
            </w:rPr>
          </w:pPr>
          <w:r>
            <w:rPr/>
            <w:t>4.2.2</w:t>
          </w:r>
          <w:r>
            <w:rPr>
              <w:rFonts w:cs="Calibri" w:ascii="Calibri" w:hAnsi="Calibri"/>
              <w:sz w:val="22"/>
              <w:szCs w:val="22"/>
              <w:lang w:val="en-US"/>
            </w:rPr>
            <w:tab/>
          </w:r>
          <w:r>
            <w:rPr/>
            <w:t>Roaming</w:t>
            <w:tab/>
          </w:r>
          <w:hyperlink w:anchor="__RefHeading___Toc25753207">
            <w:r>
              <w:rPr>
                <w:rStyle w:val="IndexLink"/>
              </w:rPr>
              <w:t>11</w:t>
            </w:r>
          </w:hyperlink>
        </w:p>
        <w:p>
          <w:pPr>
            <w:pStyle w:val="Contents1"/>
            <w:rPr>
              <w:rFonts w:ascii="Calibri" w:hAnsi="Calibri" w:cs="Calibri"/>
              <w:szCs w:val="22"/>
              <w:lang w:val="en-US"/>
            </w:rPr>
          </w:pPr>
          <w:r>
            <w:rPr>
              <w:lang w:eastAsia="zh-CN"/>
            </w:rPr>
            <w:t>5</w:t>
          </w:r>
          <w:r>
            <w:rPr>
              <w:rFonts w:cs="Calibri" w:ascii="Calibri" w:hAnsi="Calibri"/>
              <w:szCs w:val="22"/>
              <w:lang w:val="en-US"/>
            </w:rPr>
            <w:tab/>
          </w:r>
          <w:r>
            <w:rPr>
              <w:lang w:bidi="ar-IQ"/>
            </w:rPr>
            <w:t xml:space="preserve">5G </w:t>
          </w:r>
          <w:r>
            <w:rPr/>
            <w:t>connection and mobility charging principles and scenarios</w:t>
            <w:tab/>
          </w:r>
          <w:hyperlink w:anchor="__RefHeading___Toc25753208">
            <w:r>
              <w:rPr>
                <w:rStyle w:val="IndexLink"/>
              </w:rPr>
              <w:t>12</w:t>
            </w:r>
          </w:hyperlink>
        </w:p>
        <w:p>
          <w:pPr>
            <w:pStyle w:val="Contents2"/>
            <w:rPr>
              <w:rFonts w:ascii="Calibri" w:hAnsi="Calibri" w:cs="Calibri"/>
              <w:sz w:val="22"/>
              <w:szCs w:val="22"/>
              <w:lang w:val="en-US"/>
            </w:rPr>
          </w:pPr>
          <w:r>
            <w:rPr>
              <w:lang w:eastAsia="zh-CN"/>
            </w:rPr>
            <w:t>5.1</w:t>
          </w:r>
          <w:r>
            <w:rPr>
              <w:rFonts w:cs="Calibri" w:ascii="Calibri" w:hAnsi="Calibri"/>
              <w:sz w:val="22"/>
              <w:szCs w:val="22"/>
              <w:lang w:val="en-US"/>
            </w:rPr>
            <w:tab/>
          </w:r>
          <w:r>
            <w:rPr>
              <w:lang w:bidi="ar-IQ"/>
            </w:rPr>
            <w:t xml:space="preserve">5G </w:t>
          </w:r>
          <w:r>
            <w:rPr/>
            <w:t>connection and mobility charging principles</w:t>
            <w:tab/>
          </w:r>
          <w:hyperlink w:anchor="__RefHeading___Toc25753209">
            <w:r>
              <w:rPr>
                <w:rStyle w:val="IndexLink"/>
              </w:rPr>
              <w:t>12</w:t>
            </w:r>
          </w:hyperlink>
        </w:p>
        <w:p>
          <w:pPr>
            <w:pStyle w:val="Contents3"/>
            <w:rPr>
              <w:rFonts w:ascii="Calibri" w:hAnsi="Calibri" w:cs="Calibri"/>
              <w:sz w:val="22"/>
              <w:szCs w:val="22"/>
              <w:lang w:val="en-US"/>
            </w:rPr>
          </w:pPr>
          <w:r>
            <w:rPr>
              <w:lang w:bidi="ar-IQ"/>
            </w:rPr>
            <w:t>5.1.1</w:t>
          </w:r>
          <w:r>
            <w:rPr>
              <w:rFonts w:cs="Calibri" w:ascii="Calibri" w:hAnsi="Calibri"/>
              <w:sz w:val="22"/>
              <w:szCs w:val="22"/>
              <w:lang w:val="en-US"/>
            </w:rPr>
            <w:tab/>
          </w:r>
          <w:r>
            <w:rPr>
              <w:lang w:bidi="ar-IQ"/>
            </w:rPr>
            <w:t>General</w:t>
          </w:r>
          <w:r>
            <w:rPr/>
            <w:tab/>
          </w:r>
          <w:hyperlink w:anchor="__RefHeading___Toc25753210">
            <w:r>
              <w:rPr>
                <w:rStyle w:val="IndexLink"/>
              </w:rPr>
              <w:t>12</w:t>
            </w:r>
          </w:hyperlink>
        </w:p>
        <w:p>
          <w:pPr>
            <w:pStyle w:val="Contents3"/>
            <w:rPr>
              <w:rFonts w:ascii="Calibri" w:hAnsi="Calibri" w:cs="Calibri"/>
              <w:sz w:val="22"/>
              <w:szCs w:val="22"/>
              <w:lang w:val="en-US"/>
            </w:rPr>
          </w:pPr>
          <w:r>
            <w:rPr>
              <w:lang w:eastAsia="zh-CN"/>
            </w:rPr>
            <w:t>5.1.2</w:t>
          </w:r>
          <w:r>
            <w:rPr>
              <w:rFonts w:cs="Calibri" w:ascii="Calibri" w:hAnsi="Calibri"/>
              <w:sz w:val="22"/>
              <w:szCs w:val="22"/>
              <w:lang w:val="en-US"/>
            </w:rPr>
            <w:tab/>
          </w:r>
          <w:r>
            <w:rPr>
              <w:lang w:bidi="ar-IQ"/>
            </w:rPr>
            <w:t>Requirements</w:t>
          </w:r>
          <w:r>
            <w:rPr/>
            <w:tab/>
          </w:r>
          <w:hyperlink w:anchor="__RefHeading___Toc25753211">
            <w:r>
              <w:rPr>
                <w:rStyle w:val="IndexLink"/>
              </w:rPr>
              <w:t>12</w:t>
            </w:r>
          </w:hyperlink>
        </w:p>
        <w:p>
          <w:pPr>
            <w:pStyle w:val="Contents3"/>
            <w:rPr>
              <w:rFonts w:ascii="Calibri" w:hAnsi="Calibri" w:cs="Calibri"/>
              <w:sz w:val="22"/>
              <w:szCs w:val="22"/>
              <w:lang w:val="en-US"/>
            </w:rPr>
          </w:pPr>
          <w:r>
            <w:rPr>
              <w:lang w:bidi="ar-IQ"/>
            </w:rPr>
            <w:t>5.1.</w:t>
          </w:r>
          <w:r>
            <w:rPr>
              <w:lang w:val="en-US" w:bidi="ar-IQ"/>
            </w:rPr>
            <w:t>3</w:t>
          </w:r>
          <w:r>
            <w:rPr>
              <w:rFonts w:cs="Calibri" w:ascii="Calibri" w:hAnsi="Calibri"/>
              <w:sz w:val="22"/>
              <w:szCs w:val="22"/>
              <w:lang w:val="en-US"/>
            </w:rPr>
            <w:tab/>
          </w:r>
          <w:r>
            <w:rPr>
              <w:lang w:bidi="ar-IQ"/>
            </w:rPr>
            <w:t>CHF selection</w:t>
          </w:r>
          <w:r>
            <w:rPr/>
            <w:tab/>
          </w:r>
          <w:hyperlink w:anchor="__RefHeading___Toc25753212">
            <w:r>
              <w:rPr>
                <w:rStyle w:val="IndexLink"/>
              </w:rPr>
              <w:t>13</w:t>
            </w:r>
          </w:hyperlink>
        </w:p>
        <w:p>
          <w:pPr>
            <w:pStyle w:val="Contents3"/>
            <w:rPr>
              <w:rFonts w:ascii="Calibri" w:hAnsi="Calibri" w:cs="Calibri"/>
              <w:sz w:val="22"/>
              <w:szCs w:val="22"/>
              <w:lang w:val="en-US"/>
            </w:rPr>
          </w:pPr>
          <w:r>
            <w:rPr/>
            <w:t>5.1.4</w:t>
          </w:r>
          <w:r>
            <w:rPr>
              <w:rFonts w:cs="Calibri" w:ascii="Calibri" w:hAnsi="Calibri"/>
              <w:sz w:val="22"/>
              <w:szCs w:val="22"/>
              <w:lang w:val="en-US"/>
            </w:rPr>
            <w:tab/>
          </w:r>
          <w:r>
            <w:rPr>
              <w:lang w:bidi="ar-IQ"/>
            </w:rPr>
            <w:t>UE Presence in Presence Reporting Area (PRA)</w:t>
          </w:r>
          <w:r>
            <w:rPr/>
            <w:tab/>
          </w:r>
          <w:hyperlink w:anchor="__RefHeading___Toc25753213">
            <w:r>
              <w:rPr>
                <w:rStyle w:val="IndexLink"/>
              </w:rPr>
              <w:t>13</w:t>
            </w:r>
          </w:hyperlink>
        </w:p>
        <w:p>
          <w:pPr>
            <w:pStyle w:val="Contents3"/>
            <w:rPr>
              <w:rFonts w:ascii="Calibri" w:hAnsi="Calibri" w:cs="Calibri"/>
              <w:sz w:val="22"/>
              <w:szCs w:val="22"/>
              <w:lang w:val="en-US"/>
            </w:rPr>
          </w:pPr>
          <w:r>
            <w:rPr/>
            <w:t>5.1.5</w:t>
          </w:r>
          <w:r>
            <w:rPr>
              <w:rFonts w:cs="Calibri" w:ascii="Calibri" w:hAnsi="Calibri"/>
              <w:sz w:val="22"/>
              <w:szCs w:val="22"/>
              <w:lang w:val="en-US"/>
            </w:rPr>
            <w:tab/>
          </w:r>
          <w:r>
            <w:rPr/>
            <w:t>Roaming</w:t>
            <w:tab/>
          </w:r>
          <w:hyperlink w:anchor="__RefHeading___Toc25753214">
            <w:r>
              <w:rPr>
                <w:rStyle w:val="IndexLink"/>
              </w:rPr>
              <w:t>13</w:t>
            </w:r>
          </w:hyperlink>
        </w:p>
        <w:p>
          <w:pPr>
            <w:pStyle w:val="Contents4"/>
            <w:rPr>
              <w:rFonts w:ascii="Calibri" w:hAnsi="Calibri" w:cs="Calibri"/>
              <w:sz w:val="22"/>
              <w:szCs w:val="22"/>
              <w:lang w:val="en-US"/>
            </w:rPr>
          </w:pPr>
          <w:r>
            <w:rPr/>
            <w:t>5.1.5.1</w:t>
          </w:r>
          <w:r>
            <w:rPr>
              <w:rFonts w:cs="Calibri" w:ascii="Calibri" w:hAnsi="Calibri"/>
              <w:sz w:val="22"/>
              <w:szCs w:val="22"/>
              <w:lang w:val="en-US"/>
            </w:rPr>
            <w:tab/>
          </w:r>
          <w:r>
            <w:rPr/>
            <w:t>General</w:t>
            <w:tab/>
          </w:r>
          <w:hyperlink w:anchor="__RefHeading___Toc25753215">
            <w:r>
              <w:rPr>
                <w:rStyle w:val="IndexLink"/>
              </w:rPr>
              <w:t>13</w:t>
            </w:r>
          </w:hyperlink>
        </w:p>
        <w:p>
          <w:pPr>
            <w:pStyle w:val="Contents4"/>
            <w:rPr>
              <w:rFonts w:ascii="Calibri" w:hAnsi="Calibri" w:cs="Calibri"/>
              <w:sz w:val="22"/>
              <w:szCs w:val="22"/>
              <w:lang w:val="en-US"/>
            </w:rPr>
          </w:pPr>
          <w:r>
            <w:rPr>
              <w:lang w:bidi="ar-IQ"/>
            </w:rPr>
            <w:t>5.1.</w:t>
          </w:r>
          <w:r>
            <w:rPr>
              <w:lang w:val="en-US" w:bidi="ar-IQ"/>
            </w:rPr>
            <w:t>5.2</w:t>
          </w:r>
          <w:r>
            <w:rPr>
              <w:rFonts w:cs="Calibri" w:ascii="Calibri" w:hAnsi="Calibri"/>
              <w:sz w:val="22"/>
              <w:szCs w:val="22"/>
              <w:lang w:val="en-US"/>
            </w:rPr>
            <w:tab/>
          </w:r>
          <w:r>
            <w:rPr>
              <w:lang w:bidi="ar-IQ"/>
            </w:rPr>
            <w:t>CHF selection</w:t>
          </w:r>
          <w:r>
            <w:rPr/>
            <w:tab/>
          </w:r>
          <w:hyperlink w:anchor="__RefHeading___Toc25753216">
            <w:r>
              <w:rPr>
                <w:rStyle w:val="IndexLink"/>
              </w:rPr>
              <w:t>13</w:t>
            </w:r>
          </w:hyperlink>
        </w:p>
        <w:p>
          <w:pPr>
            <w:pStyle w:val="Contents2"/>
            <w:rPr>
              <w:rFonts w:ascii="Calibri" w:hAnsi="Calibri" w:cs="Calibri"/>
              <w:sz w:val="22"/>
              <w:szCs w:val="22"/>
              <w:lang w:val="en-US"/>
            </w:rPr>
          </w:pPr>
          <w:r>
            <w:rPr/>
            <w:t>5.2</w:t>
          </w:r>
          <w:r>
            <w:rPr>
              <w:rFonts w:cs="Calibri" w:ascii="Calibri" w:hAnsi="Calibri"/>
              <w:sz w:val="22"/>
              <w:szCs w:val="22"/>
              <w:lang w:val="en-US"/>
            </w:rPr>
            <w:tab/>
          </w:r>
          <w:r>
            <w:rPr>
              <w:lang w:bidi="ar-IQ"/>
            </w:rPr>
            <w:t xml:space="preserve">5G </w:t>
          </w:r>
          <w:r>
            <w:rPr/>
            <w:t xml:space="preserve">connection and mobility </w:t>
          </w:r>
          <w:r>
            <w:rPr>
              <w:lang w:eastAsia="zh-CN" w:bidi="ar-IQ"/>
            </w:rPr>
            <w:t>converged online and offline</w:t>
          </w:r>
          <w:r>
            <w:rPr>
              <w:lang w:bidi="ar-IQ"/>
            </w:rPr>
            <w:t xml:space="preserve"> </w:t>
          </w:r>
          <w:r>
            <w:rPr/>
            <w:t>charging scenarios</w:t>
            <w:tab/>
          </w:r>
          <w:hyperlink w:anchor="__RefHeading___Toc25753217">
            <w:r>
              <w:rPr>
                <w:rStyle w:val="IndexLink"/>
              </w:rPr>
              <w:t>14</w:t>
            </w:r>
          </w:hyperlink>
        </w:p>
        <w:p>
          <w:pPr>
            <w:pStyle w:val="Contents3"/>
            <w:rPr>
              <w:rFonts w:ascii="Calibri" w:hAnsi="Calibri" w:cs="Calibri"/>
              <w:sz w:val="22"/>
              <w:szCs w:val="22"/>
              <w:lang w:val="en-US"/>
            </w:rPr>
          </w:pPr>
          <w:r>
            <w:rPr/>
            <w:t>5.2.1</w:t>
          </w:r>
          <w:r>
            <w:rPr>
              <w:rFonts w:cs="Calibri" w:ascii="Calibri" w:hAnsi="Calibri"/>
              <w:sz w:val="22"/>
              <w:szCs w:val="22"/>
              <w:lang w:val="en-US"/>
            </w:rPr>
            <w:tab/>
          </w:r>
          <w:r>
            <w:rPr/>
            <w:t>Basic principles</w:t>
            <w:tab/>
          </w:r>
          <w:hyperlink w:anchor="__RefHeading___Toc25753218">
            <w:r>
              <w:rPr>
                <w:rStyle w:val="IndexLink"/>
              </w:rPr>
              <w:t>14</w:t>
            </w:r>
          </w:hyperlink>
        </w:p>
        <w:p>
          <w:pPr>
            <w:pStyle w:val="Contents4"/>
            <w:rPr>
              <w:rFonts w:ascii="Calibri" w:hAnsi="Calibri" w:cs="Calibri"/>
              <w:sz w:val="22"/>
              <w:szCs w:val="22"/>
              <w:lang w:val="en-US"/>
            </w:rPr>
          </w:pPr>
          <w:r>
            <w:rPr>
              <w:lang w:bidi="ar-IQ"/>
            </w:rPr>
            <w:t>5.2.1.1</w:t>
          </w:r>
          <w:r>
            <w:rPr>
              <w:rFonts w:cs="Calibri" w:ascii="Calibri" w:hAnsi="Calibri"/>
              <w:sz w:val="22"/>
              <w:szCs w:val="22"/>
              <w:lang w:val="en-US"/>
            </w:rPr>
            <w:tab/>
          </w:r>
          <w:r>
            <w:rPr>
              <w:lang w:bidi="ar-IQ"/>
            </w:rPr>
            <w:t>General</w:t>
          </w:r>
          <w:r>
            <w:rPr/>
            <w:tab/>
          </w:r>
          <w:hyperlink w:anchor="__RefHeading___Toc25753219">
            <w:r>
              <w:rPr>
                <w:rStyle w:val="IndexLink"/>
              </w:rPr>
              <w:t>14</w:t>
            </w:r>
          </w:hyperlink>
        </w:p>
        <w:p>
          <w:pPr>
            <w:pStyle w:val="Contents4"/>
            <w:rPr>
              <w:rFonts w:ascii="Calibri" w:hAnsi="Calibri" w:cs="Calibri"/>
              <w:sz w:val="22"/>
              <w:szCs w:val="22"/>
              <w:lang w:val="en-US"/>
            </w:rPr>
          </w:pPr>
          <w:r>
            <w:rPr/>
            <w:t>5.2.1.2</w:t>
          </w:r>
          <w:r>
            <w:rPr>
              <w:rFonts w:cs="Calibri" w:ascii="Calibri" w:hAnsi="Calibri"/>
              <w:sz w:val="22"/>
              <w:szCs w:val="22"/>
              <w:lang w:val="en-US"/>
            </w:rPr>
            <w:tab/>
          </w:r>
          <w:r>
            <w:rPr/>
            <w:t>Applicable Triggers in the AMF</w:t>
            <w:tab/>
          </w:r>
          <w:hyperlink w:anchor="__RefHeading___Toc25753220">
            <w:r>
              <w:rPr>
                <w:rStyle w:val="IndexLink"/>
              </w:rPr>
              <w:t>14</w:t>
            </w:r>
          </w:hyperlink>
        </w:p>
        <w:p>
          <w:pPr>
            <w:pStyle w:val="Contents5"/>
            <w:rPr>
              <w:rFonts w:ascii="Calibri" w:hAnsi="Calibri" w:cs="Calibri"/>
              <w:sz w:val="22"/>
              <w:szCs w:val="22"/>
              <w:lang w:val="en-US"/>
            </w:rPr>
          </w:pPr>
          <w:r>
            <w:rPr/>
            <w:t>5.2.1.2.1</w:t>
          </w:r>
          <w:r>
            <w:rPr>
              <w:rFonts w:cs="Calibri" w:ascii="Calibri" w:hAnsi="Calibri"/>
              <w:sz w:val="22"/>
              <w:szCs w:val="22"/>
              <w:lang w:val="en-US"/>
            </w:rPr>
            <w:tab/>
          </w:r>
          <w:r>
            <w:rPr/>
            <w:t>General</w:t>
            <w:tab/>
          </w:r>
          <w:hyperlink w:anchor="__RefHeading___Toc25753221">
            <w:r>
              <w:rPr>
                <w:rStyle w:val="IndexLink"/>
              </w:rPr>
              <w:t>14</w:t>
            </w:r>
          </w:hyperlink>
        </w:p>
        <w:p>
          <w:pPr>
            <w:pStyle w:val="Contents5"/>
            <w:rPr>
              <w:rFonts w:ascii="Calibri" w:hAnsi="Calibri" w:cs="Calibri"/>
              <w:sz w:val="22"/>
              <w:szCs w:val="22"/>
              <w:lang w:val="en-US"/>
            </w:rPr>
          </w:pPr>
          <w:r>
            <w:rPr/>
            <w:t>5.2.1.2.2</w:t>
          </w:r>
          <w:r>
            <w:rPr>
              <w:rFonts w:cs="Calibri" w:ascii="Calibri" w:hAnsi="Calibri"/>
              <w:sz w:val="22"/>
              <w:szCs w:val="22"/>
              <w:lang w:val="en-US"/>
            </w:rPr>
            <w:tab/>
          </w:r>
          <w:r>
            <w:rPr>
              <w:lang w:bidi="ar-IQ"/>
            </w:rPr>
            <w:t>AMF Charging profile</w:t>
          </w:r>
          <w:r>
            <w:rPr/>
            <w:tab/>
          </w:r>
          <w:hyperlink w:anchor="__RefHeading___Toc25753222">
            <w:r>
              <w:rPr>
                <w:rStyle w:val="IndexLink"/>
              </w:rPr>
              <w:t>15</w:t>
            </w:r>
          </w:hyperlink>
        </w:p>
        <w:p>
          <w:pPr>
            <w:pStyle w:val="Contents5"/>
            <w:rPr>
              <w:rFonts w:ascii="Calibri" w:hAnsi="Calibri" w:cs="Calibri"/>
              <w:sz w:val="22"/>
              <w:szCs w:val="22"/>
              <w:lang w:val="en-US"/>
            </w:rPr>
          </w:pPr>
          <w:r>
            <w:rPr/>
            <w:t>5.2.1.2.3</w:t>
          </w:r>
          <w:r>
            <w:rPr>
              <w:rFonts w:cs="Calibri" w:ascii="Calibri" w:hAnsi="Calibri"/>
              <w:sz w:val="22"/>
              <w:szCs w:val="22"/>
              <w:lang w:val="en-US"/>
            </w:rPr>
            <w:tab/>
          </w:r>
          <w:r>
            <w:rPr/>
            <w:t>Independent triggers activation</w:t>
            <w:tab/>
          </w:r>
          <w:hyperlink w:anchor="__RefHeading___Toc25753223">
            <w:r>
              <w:rPr>
                <w:rStyle w:val="IndexLink"/>
              </w:rPr>
              <w:t>16</w:t>
            </w:r>
          </w:hyperlink>
        </w:p>
        <w:p>
          <w:pPr>
            <w:pStyle w:val="Contents4"/>
            <w:rPr>
              <w:rFonts w:ascii="Calibri" w:hAnsi="Calibri" w:cs="Calibri"/>
              <w:sz w:val="22"/>
              <w:szCs w:val="22"/>
              <w:lang w:val="en-US"/>
            </w:rPr>
          </w:pPr>
          <w:r>
            <w:rPr/>
            <w:t>5.2.1.3</w:t>
          </w:r>
          <w:r>
            <w:rPr>
              <w:rFonts w:cs="Calibri" w:ascii="Calibri" w:hAnsi="Calibri"/>
              <w:sz w:val="22"/>
              <w:szCs w:val="22"/>
              <w:lang w:val="en-US"/>
            </w:rPr>
            <w:tab/>
          </w:r>
          <w:r>
            <w:rPr>
              <w:lang w:bidi="ar-IQ"/>
            </w:rPr>
            <w:t>UE Presence in Presence Reporting Area (PRA)</w:t>
          </w:r>
          <w:r>
            <w:rPr/>
            <w:tab/>
          </w:r>
          <w:hyperlink w:anchor="__RefHeading___Toc25753224">
            <w:r>
              <w:rPr>
                <w:rStyle w:val="IndexLink"/>
              </w:rPr>
              <w:t>16</w:t>
            </w:r>
          </w:hyperlink>
        </w:p>
        <w:p>
          <w:pPr>
            <w:pStyle w:val="Contents3"/>
            <w:rPr>
              <w:rFonts w:ascii="Calibri" w:hAnsi="Calibri" w:cs="Calibri"/>
              <w:sz w:val="22"/>
              <w:szCs w:val="22"/>
              <w:lang w:val="en-US"/>
            </w:rPr>
          </w:pPr>
          <w:r>
            <w:rPr/>
            <w:t>5.2.2</w:t>
          </w:r>
          <w:r>
            <w:rPr>
              <w:rFonts w:cs="Calibri" w:ascii="Calibri" w:hAnsi="Calibri"/>
              <w:sz w:val="22"/>
              <w:szCs w:val="22"/>
              <w:lang w:val="en-US"/>
            </w:rPr>
            <w:tab/>
          </w:r>
          <w:r>
            <w:rPr/>
            <w:t>Message flows</w:t>
            <w:tab/>
          </w:r>
          <w:hyperlink w:anchor="__RefHeading___Toc25753225">
            <w:r>
              <w:rPr>
                <w:rStyle w:val="IndexLink"/>
              </w:rPr>
              <w:t>17</w:t>
            </w:r>
          </w:hyperlink>
        </w:p>
        <w:p>
          <w:pPr>
            <w:pStyle w:val="Contents4"/>
            <w:rPr>
              <w:rFonts w:ascii="Calibri" w:hAnsi="Calibri" w:cs="Calibri"/>
              <w:sz w:val="22"/>
              <w:szCs w:val="22"/>
              <w:lang w:val="en-US"/>
            </w:rPr>
          </w:pPr>
          <w:r>
            <w:rPr/>
            <w:t>5.2.2.1</w:t>
          </w:r>
          <w:r>
            <w:rPr>
              <w:rFonts w:cs="Calibri" w:ascii="Calibri" w:hAnsi="Calibri"/>
              <w:sz w:val="22"/>
              <w:szCs w:val="22"/>
              <w:lang w:val="en-US"/>
            </w:rPr>
            <w:tab/>
          </w:r>
          <w:r>
            <w:rPr/>
            <w:t>General</w:t>
            <w:tab/>
          </w:r>
          <w:hyperlink w:anchor="__RefHeading___Toc25753226">
            <w:r>
              <w:rPr>
                <w:rStyle w:val="IndexLink"/>
              </w:rPr>
              <w:t>17</w:t>
            </w:r>
          </w:hyperlink>
        </w:p>
        <w:p>
          <w:pPr>
            <w:pStyle w:val="Contents4"/>
            <w:rPr>
              <w:rFonts w:ascii="Calibri" w:hAnsi="Calibri" w:cs="Calibri"/>
              <w:sz w:val="22"/>
              <w:szCs w:val="22"/>
              <w:lang w:val="en-US"/>
            </w:rPr>
          </w:pPr>
          <w:r>
            <w:rPr/>
            <w:t>5.2.2.2</w:t>
          </w:r>
          <w:r>
            <w:rPr>
              <w:rFonts w:cs="Calibri" w:ascii="Calibri" w:hAnsi="Calibri"/>
              <w:sz w:val="22"/>
              <w:szCs w:val="22"/>
              <w:lang w:val="en-US"/>
            </w:rPr>
            <w:tab/>
          </w:r>
          <w:r>
            <w:rPr/>
            <w:t>Registration management charging from AMF</w:t>
            <w:tab/>
          </w:r>
          <w:hyperlink w:anchor="__RefHeading___Toc25753227">
            <w:r>
              <w:rPr>
                <w:rStyle w:val="IndexLink"/>
              </w:rPr>
              <w:t>17</w:t>
            </w:r>
          </w:hyperlink>
        </w:p>
        <w:p>
          <w:pPr>
            <w:pStyle w:val="Contents5"/>
            <w:rPr>
              <w:rFonts w:ascii="Calibri" w:hAnsi="Calibri" w:cs="Calibri"/>
              <w:sz w:val="22"/>
              <w:szCs w:val="22"/>
              <w:lang w:val="en-US"/>
            </w:rPr>
          </w:pPr>
          <w:r>
            <w:rPr/>
            <w:t>5.2.2.2.1</w:t>
          </w:r>
          <w:r>
            <w:rPr>
              <w:rFonts w:cs="Calibri" w:ascii="Calibri" w:hAnsi="Calibri"/>
              <w:sz w:val="22"/>
              <w:szCs w:val="22"/>
              <w:lang w:val="en-US"/>
            </w:rPr>
            <w:tab/>
          </w:r>
          <w:r>
            <w:rPr>
              <w:lang w:eastAsia="zh-CN"/>
            </w:rPr>
            <w:t>General</w:t>
          </w:r>
          <w:r>
            <w:rPr/>
            <w:tab/>
          </w:r>
          <w:hyperlink w:anchor="__RefHeading___Toc25753228">
            <w:r>
              <w:rPr>
                <w:rStyle w:val="IndexLink"/>
              </w:rPr>
              <w:t>17</w:t>
            </w:r>
          </w:hyperlink>
        </w:p>
        <w:p>
          <w:pPr>
            <w:pStyle w:val="Contents5"/>
            <w:rPr>
              <w:rFonts w:ascii="Calibri" w:hAnsi="Calibri" w:cs="Calibri"/>
              <w:sz w:val="22"/>
              <w:szCs w:val="22"/>
              <w:lang w:val="en-US"/>
            </w:rPr>
          </w:pPr>
          <w:r>
            <w:rPr/>
            <w:t>5.2.2.2.2</w:t>
          </w:r>
          <w:r>
            <w:rPr>
              <w:rFonts w:cs="Calibri" w:ascii="Calibri" w:hAnsi="Calibri"/>
              <w:sz w:val="22"/>
              <w:szCs w:val="22"/>
              <w:lang w:val="en-US"/>
            </w:rPr>
            <w:tab/>
          </w:r>
          <w:r>
            <w:rPr/>
            <w:t xml:space="preserve">General </w:t>
          </w:r>
          <w:r>
            <w:rPr>
              <w:lang w:eastAsia="zh-CN"/>
            </w:rPr>
            <w:t>Registration – Event offline charging</w:t>
          </w:r>
          <w:r>
            <w:rPr/>
            <w:tab/>
          </w:r>
          <w:hyperlink w:anchor="__RefHeading___Toc25753229">
            <w:r>
              <w:rPr>
                <w:rStyle w:val="IndexLink"/>
              </w:rPr>
              <w:t>17</w:t>
            </w:r>
          </w:hyperlink>
        </w:p>
        <w:p>
          <w:pPr>
            <w:pStyle w:val="Contents5"/>
            <w:rPr>
              <w:rFonts w:ascii="Calibri" w:hAnsi="Calibri" w:cs="Calibri"/>
              <w:sz w:val="22"/>
              <w:szCs w:val="22"/>
              <w:lang w:val="en-US"/>
            </w:rPr>
          </w:pPr>
          <w:r>
            <w:rPr/>
            <w:t>5.2.2.2.3</w:t>
          </w:r>
          <w:r>
            <w:rPr>
              <w:rFonts w:cs="Calibri" w:ascii="Calibri" w:hAnsi="Calibri"/>
              <w:sz w:val="22"/>
              <w:szCs w:val="22"/>
              <w:lang w:val="en-US"/>
            </w:rPr>
            <w:tab/>
          </w:r>
          <w:r>
            <w:rPr/>
            <w:t xml:space="preserve">General </w:t>
          </w:r>
          <w:r>
            <w:rPr>
              <w:lang w:eastAsia="zh-CN"/>
            </w:rPr>
            <w:t>Registration – IEC</w:t>
          </w:r>
          <w:r>
            <w:rPr/>
            <w:tab/>
          </w:r>
          <w:hyperlink w:anchor="__RefHeading___Toc25753230">
            <w:r>
              <w:rPr>
                <w:rStyle w:val="IndexLink"/>
              </w:rPr>
              <w:t>19</w:t>
            </w:r>
          </w:hyperlink>
        </w:p>
        <w:p>
          <w:pPr>
            <w:pStyle w:val="Contents5"/>
            <w:rPr>
              <w:rFonts w:ascii="Calibri" w:hAnsi="Calibri" w:cs="Calibri"/>
              <w:sz w:val="22"/>
              <w:szCs w:val="22"/>
              <w:lang w:val="en-US"/>
            </w:rPr>
          </w:pPr>
          <w:r>
            <w:rPr/>
            <w:t>5.2.2.2.4</w:t>
          </w:r>
          <w:r>
            <w:rPr>
              <w:rFonts w:cs="Calibri" w:ascii="Calibri" w:hAnsi="Calibri"/>
              <w:sz w:val="22"/>
              <w:szCs w:val="22"/>
              <w:lang w:val="en-US"/>
            </w:rPr>
            <w:tab/>
          </w:r>
          <w:r>
            <w:rPr/>
            <w:t xml:space="preserve">General </w:t>
          </w:r>
          <w:r>
            <w:rPr>
              <w:lang w:eastAsia="zh-CN"/>
            </w:rPr>
            <w:t>Registration – ECUR</w:t>
          </w:r>
          <w:r>
            <w:rPr/>
            <w:tab/>
          </w:r>
          <w:hyperlink w:anchor="__RefHeading___Toc25753231">
            <w:r>
              <w:rPr>
                <w:rStyle w:val="IndexLink"/>
              </w:rPr>
              <w:t>20</w:t>
            </w:r>
          </w:hyperlink>
        </w:p>
        <w:p>
          <w:pPr>
            <w:pStyle w:val="Contents5"/>
            <w:rPr>
              <w:rFonts w:ascii="Calibri" w:hAnsi="Calibri" w:cs="Calibri"/>
              <w:sz w:val="22"/>
              <w:szCs w:val="22"/>
              <w:lang w:val="en-US"/>
            </w:rPr>
          </w:pPr>
          <w:r>
            <w:rPr/>
            <w:t>5.2.2.2.5</w:t>
          </w:r>
          <w:r>
            <w:rPr>
              <w:rFonts w:cs="Calibri" w:ascii="Calibri" w:hAnsi="Calibri"/>
              <w:sz w:val="22"/>
              <w:szCs w:val="22"/>
              <w:lang w:val="en-US"/>
            </w:rPr>
            <w:tab/>
          </w:r>
          <w:r>
            <w:rPr>
              <w:lang w:eastAsia="zh-CN"/>
            </w:rPr>
            <w:t>Registration with AMF re-allocation – Event offline charging</w:t>
          </w:r>
          <w:r>
            <w:rPr/>
            <w:tab/>
          </w:r>
          <w:hyperlink w:anchor="__RefHeading___Toc25753232">
            <w:r>
              <w:rPr>
                <w:rStyle w:val="IndexLink"/>
              </w:rPr>
              <w:t>21</w:t>
            </w:r>
          </w:hyperlink>
        </w:p>
        <w:p>
          <w:pPr>
            <w:pStyle w:val="Contents5"/>
            <w:rPr>
              <w:rFonts w:ascii="Calibri" w:hAnsi="Calibri" w:cs="Calibri"/>
              <w:sz w:val="22"/>
              <w:szCs w:val="22"/>
              <w:lang w:val="en-US"/>
            </w:rPr>
          </w:pPr>
          <w:r>
            <w:rPr/>
            <w:t>5.2.2.2.6</w:t>
          </w:r>
          <w:r>
            <w:rPr>
              <w:rFonts w:cs="Calibri" w:ascii="Calibri" w:hAnsi="Calibri"/>
              <w:sz w:val="22"/>
              <w:szCs w:val="22"/>
              <w:lang w:val="en-US"/>
            </w:rPr>
            <w:tab/>
          </w:r>
          <w:r>
            <w:rPr>
              <w:lang w:eastAsia="zh-CN"/>
            </w:rPr>
            <w:t>Registration with AMF re-allocation – IEC</w:t>
          </w:r>
          <w:r>
            <w:rPr/>
            <w:tab/>
          </w:r>
          <w:hyperlink w:anchor="__RefHeading___Toc25753233">
            <w:r>
              <w:rPr>
                <w:rStyle w:val="IndexLink"/>
              </w:rPr>
              <w:t>21</w:t>
            </w:r>
          </w:hyperlink>
        </w:p>
        <w:p>
          <w:pPr>
            <w:pStyle w:val="Contents5"/>
            <w:rPr>
              <w:rFonts w:ascii="Calibri" w:hAnsi="Calibri" w:cs="Calibri"/>
              <w:sz w:val="22"/>
              <w:szCs w:val="22"/>
              <w:lang w:val="en-US"/>
            </w:rPr>
          </w:pPr>
          <w:r>
            <w:rPr/>
            <w:t>5.2.2.2.7</w:t>
          </w:r>
          <w:r>
            <w:rPr>
              <w:rFonts w:cs="Calibri" w:ascii="Calibri" w:hAnsi="Calibri"/>
              <w:sz w:val="22"/>
              <w:szCs w:val="22"/>
              <w:lang w:val="en-US"/>
            </w:rPr>
            <w:tab/>
          </w:r>
          <w:r>
            <w:rPr>
              <w:lang w:eastAsia="zh-CN"/>
            </w:rPr>
            <w:t>Registration with AMF re-allocation – ECUR</w:t>
          </w:r>
          <w:r>
            <w:rPr/>
            <w:tab/>
          </w:r>
          <w:hyperlink w:anchor="__RefHeading___Toc25753234">
            <w:r>
              <w:rPr>
                <w:rStyle w:val="IndexLink"/>
              </w:rPr>
              <w:t>21</w:t>
            </w:r>
          </w:hyperlink>
        </w:p>
        <w:p>
          <w:pPr>
            <w:pStyle w:val="Contents5"/>
            <w:rPr>
              <w:rFonts w:ascii="Calibri" w:hAnsi="Calibri" w:cs="Calibri"/>
              <w:sz w:val="22"/>
              <w:szCs w:val="22"/>
              <w:lang w:val="en-US"/>
            </w:rPr>
          </w:pPr>
          <w:r>
            <w:rPr/>
            <w:t>5.2.2.2.8</w:t>
          </w:r>
          <w:r>
            <w:rPr>
              <w:rFonts w:cs="Calibri" w:ascii="Calibri" w:hAnsi="Calibri"/>
              <w:sz w:val="22"/>
              <w:szCs w:val="22"/>
              <w:lang w:val="en-US"/>
            </w:rPr>
            <w:tab/>
          </w:r>
          <w:r>
            <w:rPr/>
            <w:t>Der</w:t>
          </w:r>
          <w:r>
            <w:rPr>
              <w:lang w:eastAsia="zh-CN"/>
            </w:rPr>
            <w:t>egistration – Event offline charging</w:t>
          </w:r>
          <w:r>
            <w:rPr/>
            <w:tab/>
          </w:r>
          <w:hyperlink w:anchor="__RefHeading___Toc25753235">
            <w:r>
              <w:rPr>
                <w:rStyle w:val="IndexLink"/>
              </w:rPr>
              <w:t>21</w:t>
            </w:r>
          </w:hyperlink>
        </w:p>
        <w:p>
          <w:pPr>
            <w:pStyle w:val="Contents5"/>
            <w:rPr>
              <w:rFonts w:ascii="Calibri" w:hAnsi="Calibri" w:cs="Calibri"/>
              <w:sz w:val="22"/>
              <w:szCs w:val="22"/>
              <w:lang w:val="en-US"/>
            </w:rPr>
          </w:pPr>
          <w:r>
            <w:rPr/>
            <w:t>5.2.2.2.9</w:t>
          </w:r>
          <w:r>
            <w:rPr>
              <w:rFonts w:cs="Calibri" w:ascii="Calibri" w:hAnsi="Calibri"/>
              <w:sz w:val="22"/>
              <w:szCs w:val="22"/>
              <w:lang w:val="en-US"/>
            </w:rPr>
            <w:tab/>
          </w:r>
          <w:r>
            <w:rPr/>
            <w:t>Registration – Untrusted non-3GPP access - Event offline charging</w:t>
            <w:tab/>
          </w:r>
          <w:hyperlink w:anchor="__RefHeading___Toc25753236">
            <w:r>
              <w:rPr>
                <w:rStyle w:val="IndexLink"/>
              </w:rPr>
              <w:t>23</w:t>
            </w:r>
          </w:hyperlink>
        </w:p>
        <w:p>
          <w:pPr>
            <w:pStyle w:val="Contents5"/>
            <w:rPr>
              <w:rFonts w:ascii="Calibri" w:hAnsi="Calibri" w:cs="Calibri"/>
              <w:sz w:val="22"/>
              <w:szCs w:val="22"/>
              <w:lang w:val="en-US"/>
            </w:rPr>
          </w:pPr>
          <w:r>
            <w:rPr/>
            <w:t>5.2.2.2.10</w:t>
          </w:r>
          <w:r>
            <w:rPr>
              <w:rFonts w:cs="Calibri" w:ascii="Calibri" w:hAnsi="Calibri"/>
              <w:sz w:val="22"/>
              <w:szCs w:val="22"/>
              <w:lang w:val="en-US"/>
            </w:rPr>
            <w:tab/>
          </w:r>
          <w:r>
            <w:rPr/>
            <w:t>Registration – Untrusted non-3GPP access - IEC</w:t>
            <w:tab/>
          </w:r>
          <w:hyperlink w:anchor="__RefHeading___Toc25753237">
            <w:r>
              <w:rPr>
                <w:rStyle w:val="IndexLink"/>
              </w:rPr>
              <w:t>24</w:t>
            </w:r>
          </w:hyperlink>
        </w:p>
        <w:p>
          <w:pPr>
            <w:pStyle w:val="Contents5"/>
            <w:rPr>
              <w:rFonts w:ascii="Calibri" w:hAnsi="Calibri" w:cs="Calibri"/>
              <w:sz w:val="22"/>
              <w:szCs w:val="22"/>
              <w:lang w:val="en-US"/>
            </w:rPr>
          </w:pPr>
          <w:r>
            <w:rPr/>
            <w:t>5.2.2.2.11</w:t>
          </w:r>
          <w:r>
            <w:rPr>
              <w:rFonts w:cs="Calibri" w:ascii="Calibri" w:hAnsi="Calibri"/>
              <w:sz w:val="22"/>
              <w:szCs w:val="22"/>
              <w:lang w:val="en-US"/>
            </w:rPr>
            <w:tab/>
          </w:r>
          <w:r>
            <w:rPr/>
            <w:t>Registration – Untrusted non-3GPP access - ECUR</w:t>
            <w:tab/>
          </w:r>
          <w:hyperlink w:anchor="__RefHeading___Toc25753238">
            <w:r>
              <w:rPr>
                <w:rStyle w:val="IndexLink"/>
              </w:rPr>
              <w:t>25</w:t>
            </w:r>
          </w:hyperlink>
        </w:p>
        <w:p>
          <w:pPr>
            <w:pStyle w:val="Contents5"/>
            <w:rPr>
              <w:rFonts w:ascii="Calibri" w:hAnsi="Calibri" w:cs="Calibri"/>
              <w:sz w:val="22"/>
              <w:szCs w:val="22"/>
              <w:lang w:val="en-US"/>
            </w:rPr>
          </w:pPr>
          <w:r>
            <w:rPr/>
            <w:t>5.2.2.2.12</w:t>
          </w:r>
          <w:r>
            <w:rPr>
              <w:rFonts w:cs="Calibri" w:ascii="Calibri" w:hAnsi="Calibri"/>
              <w:sz w:val="22"/>
              <w:szCs w:val="22"/>
              <w:lang w:val="en-US"/>
            </w:rPr>
            <w:tab/>
          </w:r>
          <w:r>
            <w:rPr>
              <w:lang w:eastAsia="zh-CN"/>
            </w:rPr>
            <w:t>Registration for SMS over NAS – Event offline charging</w:t>
          </w:r>
          <w:r>
            <w:rPr/>
            <w:tab/>
          </w:r>
          <w:hyperlink w:anchor="__RefHeading___Toc25753239">
            <w:r>
              <w:rPr>
                <w:rStyle w:val="IndexLink"/>
              </w:rPr>
              <w:t>26</w:t>
            </w:r>
          </w:hyperlink>
        </w:p>
        <w:p>
          <w:pPr>
            <w:pStyle w:val="Contents5"/>
            <w:rPr>
              <w:rFonts w:ascii="Calibri" w:hAnsi="Calibri" w:cs="Calibri"/>
              <w:sz w:val="22"/>
              <w:szCs w:val="22"/>
              <w:lang w:val="en-US"/>
            </w:rPr>
          </w:pPr>
          <w:r>
            <w:rPr/>
            <w:t>5.2.2.2.13</w:t>
          </w:r>
          <w:r>
            <w:rPr>
              <w:rFonts w:cs="Calibri" w:ascii="Calibri" w:hAnsi="Calibri"/>
              <w:sz w:val="22"/>
              <w:szCs w:val="22"/>
              <w:lang w:val="en-US"/>
            </w:rPr>
            <w:tab/>
          </w:r>
          <w:r>
            <w:rPr>
              <w:lang w:eastAsia="zh-CN"/>
            </w:rPr>
            <w:t>Registration for SMS over NAS – IEC</w:t>
          </w:r>
          <w:r>
            <w:rPr/>
            <w:tab/>
          </w:r>
          <w:hyperlink w:anchor="__RefHeading___Toc25753240">
            <w:r>
              <w:rPr>
                <w:rStyle w:val="IndexLink"/>
              </w:rPr>
              <w:t>27</w:t>
            </w:r>
          </w:hyperlink>
        </w:p>
        <w:p>
          <w:pPr>
            <w:pStyle w:val="Contents5"/>
            <w:rPr>
              <w:rFonts w:ascii="Calibri" w:hAnsi="Calibri" w:cs="Calibri"/>
              <w:sz w:val="22"/>
              <w:szCs w:val="22"/>
              <w:lang w:val="en-US"/>
            </w:rPr>
          </w:pPr>
          <w:r>
            <w:rPr/>
            <w:t>5.2.2.2.14</w:t>
          </w:r>
          <w:r>
            <w:rPr>
              <w:rFonts w:cs="Calibri" w:ascii="Calibri" w:hAnsi="Calibri"/>
              <w:sz w:val="22"/>
              <w:szCs w:val="22"/>
              <w:lang w:val="en-US"/>
            </w:rPr>
            <w:tab/>
          </w:r>
          <w:r>
            <w:rPr>
              <w:lang w:eastAsia="zh-CN"/>
            </w:rPr>
            <w:t>Registration for SMS over NAS – ECUR</w:t>
          </w:r>
          <w:r>
            <w:rPr/>
            <w:tab/>
          </w:r>
          <w:hyperlink w:anchor="__RefHeading___Toc25753241">
            <w:r>
              <w:rPr>
                <w:rStyle w:val="IndexLink"/>
              </w:rPr>
              <w:t>28</w:t>
            </w:r>
          </w:hyperlink>
        </w:p>
        <w:p>
          <w:pPr>
            <w:pStyle w:val="Contents5"/>
            <w:rPr>
              <w:rFonts w:ascii="Calibri" w:hAnsi="Calibri" w:cs="Calibri"/>
              <w:sz w:val="22"/>
              <w:szCs w:val="22"/>
              <w:lang w:val="en-US"/>
            </w:rPr>
          </w:pPr>
          <w:r>
            <w:rPr/>
            <w:t>5.2.2.2.15</w:t>
          </w:r>
          <w:r>
            <w:rPr>
              <w:rFonts w:cs="Calibri" w:ascii="Calibri" w:hAnsi="Calibri"/>
              <w:sz w:val="22"/>
              <w:szCs w:val="22"/>
              <w:lang w:val="en-US"/>
            </w:rPr>
            <w:tab/>
          </w:r>
          <w:r>
            <w:rPr/>
            <w:t>Der</w:t>
          </w:r>
          <w:r>
            <w:rPr>
              <w:lang w:eastAsia="zh-CN"/>
            </w:rPr>
            <w:t>egistration for SMS over NAS – Event offline charging</w:t>
          </w:r>
          <w:r>
            <w:rPr/>
            <w:tab/>
          </w:r>
          <w:hyperlink w:anchor="__RefHeading___Toc25753242">
            <w:r>
              <w:rPr>
                <w:rStyle w:val="IndexLink"/>
              </w:rPr>
              <w:t>29</w:t>
            </w:r>
          </w:hyperlink>
        </w:p>
        <w:p>
          <w:pPr>
            <w:pStyle w:val="Contents4"/>
            <w:rPr>
              <w:rFonts w:ascii="Calibri" w:hAnsi="Calibri" w:cs="Calibri"/>
              <w:sz w:val="22"/>
              <w:szCs w:val="22"/>
              <w:lang w:val="en-US"/>
            </w:rPr>
          </w:pPr>
          <w:r>
            <w:rPr/>
            <w:t>5.2.2.3</w:t>
          </w:r>
          <w:r>
            <w:rPr>
              <w:rFonts w:cs="Calibri" w:ascii="Calibri" w:hAnsi="Calibri"/>
              <w:sz w:val="22"/>
              <w:szCs w:val="22"/>
              <w:lang w:val="en-US"/>
            </w:rPr>
            <w:tab/>
          </w:r>
          <w:r>
            <w:rPr/>
            <w:t>Connection management charging from AMF</w:t>
            <w:tab/>
          </w:r>
          <w:hyperlink w:anchor="__RefHeading___Toc25753243">
            <w:r>
              <w:rPr>
                <w:rStyle w:val="IndexLink"/>
              </w:rPr>
              <w:t>29</w:t>
            </w:r>
          </w:hyperlink>
        </w:p>
        <w:p>
          <w:pPr>
            <w:pStyle w:val="Contents5"/>
            <w:rPr>
              <w:rFonts w:ascii="Calibri" w:hAnsi="Calibri" w:cs="Calibri"/>
              <w:sz w:val="22"/>
              <w:szCs w:val="22"/>
              <w:lang w:val="en-US"/>
            </w:rPr>
          </w:pPr>
          <w:r>
            <w:rPr/>
            <w:t>5.2.2.3.1</w:t>
          </w:r>
          <w:r>
            <w:rPr>
              <w:rFonts w:cs="Calibri" w:ascii="Calibri" w:hAnsi="Calibri"/>
              <w:sz w:val="22"/>
              <w:szCs w:val="22"/>
              <w:lang w:val="en-US"/>
            </w:rPr>
            <w:tab/>
          </w:r>
          <w:r>
            <w:rPr>
              <w:lang w:eastAsia="zh-CN"/>
            </w:rPr>
            <w:t>General</w:t>
          </w:r>
          <w:r>
            <w:rPr/>
            <w:tab/>
          </w:r>
          <w:hyperlink w:anchor="__RefHeading___Toc25753244">
            <w:r>
              <w:rPr>
                <w:rStyle w:val="IndexLink"/>
              </w:rPr>
              <w:t>29</w:t>
            </w:r>
          </w:hyperlink>
        </w:p>
        <w:p>
          <w:pPr>
            <w:pStyle w:val="Contents5"/>
            <w:rPr>
              <w:rFonts w:ascii="Calibri" w:hAnsi="Calibri" w:cs="Calibri"/>
              <w:sz w:val="22"/>
              <w:szCs w:val="22"/>
              <w:lang w:val="en-US"/>
            </w:rPr>
          </w:pPr>
          <w:r>
            <w:rPr/>
            <w:t>5.2.2.3.2</w:t>
          </w:r>
          <w:r>
            <w:rPr>
              <w:rFonts w:cs="Calibri" w:ascii="Calibri" w:hAnsi="Calibri"/>
              <w:sz w:val="22"/>
              <w:szCs w:val="22"/>
              <w:lang w:val="en-US"/>
            </w:rPr>
            <w:tab/>
          </w:r>
          <w:r>
            <w:rPr/>
            <w:t>UE Triggered Service Request</w:t>
            <w:tab/>
          </w:r>
          <w:hyperlink w:anchor="__RefHeading___Toc25753245">
            <w:r>
              <w:rPr>
                <w:rStyle w:val="IndexLink"/>
              </w:rPr>
              <w:t>30</w:t>
            </w:r>
          </w:hyperlink>
        </w:p>
        <w:p>
          <w:pPr>
            <w:pStyle w:val="Contents5"/>
            <w:rPr>
              <w:rFonts w:ascii="Calibri" w:hAnsi="Calibri" w:cs="Calibri"/>
              <w:sz w:val="22"/>
              <w:szCs w:val="22"/>
              <w:lang w:val="en-US"/>
            </w:rPr>
          </w:pPr>
          <w:r>
            <w:rPr/>
            <w:t>5.2.2.3.3</w:t>
          </w:r>
          <w:r>
            <w:rPr>
              <w:rFonts w:cs="Calibri" w:ascii="Calibri" w:hAnsi="Calibri"/>
              <w:sz w:val="22"/>
              <w:szCs w:val="22"/>
              <w:lang w:val="en-US"/>
            </w:rPr>
            <w:tab/>
          </w:r>
          <w:r>
            <w:rPr/>
            <w:t>Network Triggered Service Request</w:t>
            <w:tab/>
          </w:r>
          <w:hyperlink w:anchor="__RefHeading___Toc25753246">
            <w:r>
              <w:rPr>
                <w:rStyle w:val="IndexLink"/>
              </w:rPr>
              <w:t>30</w:t>
            </w:r>
          </w:hyperlink>
        </w:p>
        <w:p>
          <w:pPr>
            <w:pStyle w:val="Contents5"/>
            <w:rPr>
              <w:rFonts w:ascii="Calibri" w:hAnsi="Calibri" w:cs="Calibri"/>
              <w:sz w:val="22"/>
              <w:szCs w:val="22"/>
              <w:lang w:val="en-US"/>
            </w:rPr>
          </w:pPr>
          <w:r>
            <w:rPr/>
            <w:t>5.2.2.3.4</w:t>
          </w:r>
          <w:r>
            <w:rPr>
              <w:rFonts w:cs="Calibri" w:ascii="Calibri" w:hAnsi="Calibri"/>
              <w:sz w:val="22"/>
              <w:szCs w:val="22"/>
              <w:lang w:val="en-US"/>
            </w:rPr>
            <w:tab/>
          </w:r>
          <w:r>
            <w:rPr/>
            <w:t>AN release</w:t>
            <w:tab/>
          </w:r>
          <w:hyperlink w:anchor="__RefHeading___Toc25753247">
            <w:r>
              <w:rPr>
                <w:rStyle w:val="IndexLink"/>
              </w:rPr>
              <w:t>30</w:t>
            </w:r>
          </w:hyperlink>
        </w:p>
        <w:p>
          <w:pPr>
            <w:pStyle w:val="Contents4"/>
            <w:rPr>
              <w:rFonts w:ascii="Calibri" w:hAnsi="Calibri" w:cs="Calibri"/>
              <w:sz w:val="22"/>
              <w:szCs w:val="22"/>
              <w:lang w:val="en-US"/>
            </w:rPr>
          </w:pPr>
          <w:r>
            <w:rPr/>
            <w:t>5.2.2.4</w:t>
          </w:r>
          <w:r>
            <w:rPr>
              <w:rFonts w:cs="Calibri" w:ascii="Calibri" w:hAnsi="Calibri"/>
              <w:sz w:val="22"/>
              <w:szCs w:val="22"/>
              <w:lang w:val="en-US"/>
            </w:rPr>
            <w:tab/>
          </w:r>
          <w:r>
            <w:rPr/>
            <w:t>Location reporting charging</w:t>
            <w:tab/>
          </w:r>
          <w:hyperlink w:anchor="__RefHeading___Toc25753248">
            <w:r>
              <w:rPr>
                <w:rStyle w:val="IndexLink"/>
              </w:rPr>
              <w:t>31</w:t>
            </w:r>
          </w:hyperlink>
        </w:p>
        <w:p>
          <w:pPr>
            <w:pStyle w:val="Contents5"/>
            <w:rPr>
              <w:rFonts w:ascii="Calibri" w:hAnsi="Calibri" w:cs="Calibri"/>
              <w:sz w:val="22"/>
              <w:szCs w:val="22"/>
              <w:lang w:val="en-US"/>
            </w:rPr>
          </w:pPr>
          <w:r>
            <w:rPr/>
            <w:t>5.2.2.4.1</w:t>
          </w:r>
          <w:r>
            <w:rPr>
              <w:rFonts w:cs="Calibri" w:ascii="Calibri" w:hAnsi="Calibri"/>
              <w:sz w:val="22"/>
              <w:szCs w:val="22"/>
              <w:lang w:val="en-US"/>
            </w:rPr>
            <w:tab/>
          </w:r>
          <w:r>
            <w:rPr>
              <w:lang w:eastAsia="zh-CN"/>
            </w:rPr>
            <w:t>General</w:t>
          </w:r>
          <w:r>
            <w:rPr/>
            <w:tab/>
          </w:r>
          <w:hyperlink w:anchor="__RefHeading___Toc25753249">
            <w:r>
              <w:rPr>
                <w:rStyle w:val="IndexLink"/>
              </w:rPr>
              <w:t>31</w:t>
            </w:r>
          </w:hyperlink>
        </w:p>
        <w:p>
          <w:pPr>
            <w:pStyle w:val="Contents5"/>
            <w:rPr>
              <w:rFonts w:ascii="Calibri" w:hAnsi="Calibri" w:cs="Calibri"/>
              <w:sz w:val="22"/>
              <w:szCs w:val="22"/>
              <w:lang w:val="en-US"/>
            </w:rPr>
          </w:pPr>
          <w:r>
            <w:rPr/>
            <w:t>5.2.2.4.2</w:t>
          </w:r>
          <w:r>
            <w:rPr>
              <w:rFonts w:cs="Calibri" w:ascii="Calibri" w:hAnsi="Calibri"/>
              <w:sz w:val="22"/>
              <w:szCs w:val="22"/>
              <w:lang w:val="en-US"/>
            </w:rPr>
            <w:tab/>
          </w:r>
          <w:r>
            <w:rPr/>
            <w:t>Location reporting</w:t>
            <w:tab/>
          </w:r>
          <w:hyperlink w:anchor="__RefHeading___Toc25753250">
            <w:r>
              <w:rPr>
                <w:rStyle w:val="IndexLink"/>
              </w:rPr>
              <w:t>31</w:t>
            </w:r>
          </w:hyperlink>
        </w:p>
        <w:p>
          <w:pPr>
            <w:pStyle w:val="Contents4"/>
            <w:rPr>
              <w:rFonts w:ascii="Calibri" w:hAnsi="Calibri" w:cs="Calibri"/>
              <w:sz w:val="22"/>
              <w:szCs w:val="22"/>
              <w:lang w:val="en-US"/>
            </w:rPr>
          </w:pPr>
          <w:r>
            <w:rPr/>
            <w:t>5.2.2.5</w:t>
          </w:r>
          <w:r>
            <w:rPr>
              <w:rFonts w:cs="Calibri" w:ascii="Calibri" w:hAnsi="Calibri"/>
              <w:sz w:val="22"/>
              <w:szCs w:val="22"/>
              <w:lang w:val="en-US"/>
            </w:rPr>
            <w:tab/>
          </w:r>
          <w:r>
            <w:rPr/>
            <w:t>Roaming - Registration management charging from AMF</w:t>
            <w:tab/>
          </w:r>
          <w:hyperlink w:anchor="__RefHeading___Toc25753251">
            <w:r>
              <w:rPr>
                <w:rStyle w:val="IndexLink"/>
              </w:rPr>
              <w:t>33</w:t>
            </w:r>
          </w:hyperlink>
        </w:p>
        <w:p>
          <w:pPr>
            <w:pStyle w:val="Contents5"/>
            <w:rPr>
              <w:rFonts w:ascii="Calibri" w:hAnsi="Calibri" w:cs="Calibri"/>
              <w:sz w:val="22"/>
              <w:szCs w:val="22"/>
              <w:lang w:val="en-US"/>
            </w:rPr>
          </w:pPr>
          <w:r>
            <w:rPr/>
            <w:t>5.2.2.5.1</w:t>
          </w:r>
          <w:r>
            <w:rPr>
              <w:rFonts w:cs="Calibri" w:ascii="Calibri" w:hAnsi="Calibri"/>
              <w:sz w:val="22"/>
              <w:szCs w:val="22"/>
              <w:lang w:val="en-US"/>
            </w:rPr>
            <w:tab/>
          </w:r>
          <w:r>
            <w:rPr>
              <w:lang w:eastAsia="zh-CN"/>
            </w:rPr>
            <w:t>General</w:t>
          </w:r>
          <w:r>
            <w:rPr/>
            <w:tab/>
          </w:r>
          <w:hyperlink w:anchor="__RefHeading___Toc25753252">
            <w:r>
              <w:rPr>
                <w:rStyle w:val="IndexLink"/>
              </w:rPr>
              <w:t>33</w:t>
            </w:r>
          </w:hyperlink>
        </w:p>
        <w:p>
          <w:pPr>
            <w:pStyle w:val="Contents5"/>
            <w:rPr>
              <w:rFonts w:ascii="Calibri" w:hAnsi="Calibri" w:cs="Calibri"/>
              <w:sz w:val="22"/>
              <w:szCs w:val="22"/>
              <w:lang w:val="en-US"/>
            </w:rPr>
          </w:pPr>
          <w:r>
            <w:rPr/>
            <w:t>5.2.2.5.2</w:t>
          </w:r>
          <w:r>
            <w:rPr>
              <w:rFonts w:cs="Calibri" w:ascii="Calibri" w:hAnsi="Calibri"/>
              <w:sz w:val="22"/>
              <w:szCs w:val="22"/>
              <w:lang w:val="en-US"/>
            </w:rPr>
            <w:tab/>
          </w:r>
          <w:r>
            <w:rPr/>
            <w:t>Registration -</w:t>
          </w:r>
          <w:r>
            <w:rPr>
              <w:lang w:eastAsia="zh-CN"/>
            </w:rPr>
            <w:t xml:space="preserve"> PEC to HPLMN</w:t>
          </w:r>
          <w:r>
            <w:rPr/>
            <w:tab/>
          </w:r>
          <w:hyperlink w:anchor="__RefHeading___Toc25753253">
            <w:r>
              <w:rPr>
                <w:rStyle w:val="IndexLink"/>
              </w:rPr>
              <w:t>33</w:t>
            </w:r>
          </w:hyperlink>
        </w:p>
        <w:p>
          <w:pPr>
            <w:pStyle w:val="Contents5"/>
            <w:rPr>
              <w:rFonts w:ascii="Calibri" w:hAnsi="Calibri" w:cs="Calibri"/>
              <w:sz w:val="22"/>
              <w:szCs w:val="22"/>
              <w:lang w:val="en-US"/>
            </w:rPr>
          </w:pPr>
          <w:r>
            <w:rPr/>
            <w:t>5.2.2.5.3</w:t>
          </w:r>
          <w:r>
            <w:rPr>
              <w:rFonts w:cs="Calibri" w:ascii="Calibri" w:hAnsi="Calibri"/>
              <w:sz w:val="22"/>
              <w:szCs w:val="22"/>
              <w:lang w:val="en-US"/>
            </w:rPr>
            <w:tab/>
          </w:r>
          <w:r>
            <w:rPr>
              <w:lang w:eastAsia="zh-CN"/>
            </w:rPr>
            <w:t>Registration – IEC to HPLMN</w:t>
          </w:r>
          <w:r>
            <w:rPr/>
            <w:tab/>
          </w:r>
          <w:hyperlink w:anchor="__RefHeading___Toc25753254">
            <w:r>
              <w:rPr>
                <w:rStyle w:val="IndexLink"/>
              </w:rPr>
              <w:t>34</w:t>
            </w:r>
          </w:hyperlink>
        </w:p>
        <w:p>
          <w:pPr>
            <w:pStyle w:val="Contents5"/>
            <w:rPr>
              <w:rFonts w:ascii="Calibri" w:hAnsi="Calibri" w:cs="Calibri"/>
              <w:sz w:val="22"/>
              <w:szCs w:val="22"/>
              <w:lang w:val="en-US"/>
            </w:rPr>
          </w:pPr>
          <w:r>
            <w:rPr/>
            <w:t>5.2.2.5.4</w:t>
          </w:r>
          <w:r>
            <w:rPr>
              <w:rFonts w:cs="Calibri" w:ascii="Calibri" w:hAnsi="Calibri"/>
              <w:sz w:val="22"/>
              <w:szCs w:val="22"/>
              <w:lang w:val="en-US"/>
            </w:rPr>
            <w:tab/>
          </w:r>
          <w:r>
            <w:rPr>
              <w:lang w:eastAsia="zh-CN"/>
            </w:rPr>
            <w:t>Registration – ECUR to HPLMN</w:t>
          </w:r>
          <w:r>
            <w:rPr/>
            <w:tab/>
          </w:r>
          <w:hyperlink w:anchor="__RefHeading___Toc25753255">
            <w:r>
              <w:rPr>
                <w:rStyle w:val="IndexLink"/>
              </w:rPr>
              <w:t>36</w:t>
            </w:r>
          </w:hyperlink>
        </w:p>
        <w:p>
          <w:pPr>
            <w:pStyle w:val="Contents5"/>
            <w:rPr>
              <w:rFonts w:ascii="Calibri" w:hAnsi="Calibri" w:cs="Calibri"/>
              <w:sz w:val="22"/>
              <w:szCs w:val="22"/>
              <w:lang w:val="en-US"/>
            </w:rPr>
          </w:pPr>
          <w:r>
            <w:rPr/>
            <w:t>5.2.2.5.5</w:t>
          </w:r>
          <w:r>
            <w:rPr>
              <w:rFonts w:cs="Calibri" w:ascii="Calibri" w:hAnsi="Calibri"/>
              <w:sz w:val="22"/>
              <w:szCs w:val="22"/>
              <w:lang w:val="en-US"/>
            </w:rPr>
            <w:tab/>
          </w:r>
          <w:r>
            <w:rPr/>
            <w:t>Der</w:t>
          </w:r>
          <w:r>
            <w:rPr>
              <w:lang w:eastAsia="zh-CN"/>
            </w:rPr>
            <w:t>egistration – PEC to HPLMN</w:t>
          </w:r>
          <w:r>
            <w:rPr/>
            <w:tab/>
          </w:r>
          <w:hyperlink w:anchor="__RefHeading___Toc25753256">
            <w:r>
              <w:rPr>
                <w:rStyle w:val="IndexLink"/>
              </w:rPr>
              <w:t>38</w:t>
            </w:r>
          </w:hyperlink>
        </w:p>
        <w:p>
          <w:pPr>
            <w:pStyle w:val="Contents3"/>
            <w:rPr>
              <w:rFonts w:ascii="Calibri" w:hAnsi="Calibri" w:cs="Calibri"/>
              <w:sz w:val="22"/>
              <w:szCs w:val="22"/>
              <w:lang w:val="en-US"/>
            </w:rPr>
          </w:pPr>
          <w:r>
            <w:rPr/>
            <w:t>5.2.3</w:t>
          </w:r>
          <w:r>
            <w:rPr>
              <w:rFonts w:cs="Calibri" w:ascii="Calibri" w:hAnsi="Calibri"/>
              <w:sz w:val="22"/>
              <w:szCs w:val="22"/>
              <w:lang w:val="en-US"/>
            </w:rPr>
            <w:tab/>
          </w:r>
          <w:r>
            <w:rPr/>
            <w:t>CDR generation</w:t>
            <w:tab/>
          </w:r>
          <w:hyperlink w:anchor="__RefHeading___Toc25753257">
            <w:r>
              <w:rPr>
                <w:rStyle w:val="IndexLink"/>
              </w:rPr>
              <w:t>39</w:t>
            </w:r>
          </w:hyperlink>
        </w:p>
        <w:p>
          <w:pPr>
            <w:pStyle w:val="Contents4"/>
            <w:rPr>
              <w:rFonts w:ascii="Calibri" w:hAnsi="Calibri" w:cs="Calibri"/>
              <w:sz w:val="22"/>
              <w:szCs w:val="22"/>
              <w:lang w:val="en-US"/>
            </w:rPr>
          </w:pPr>
          <w:r>
            <w:rPr>
              <w:lang w:bidi="ar-IQ"/>
            </w:rPr>
            <w:t>5.2.3.1</w:t>
          </w:r>
          <w:r>
            <w:rPr>
              <w:rFonts w:cs="Calibri" w:ascii="Calibri" w:hAnsi="Calibri"/>
              <w:sz w:val="22"/>
              <w:szCs w:val="22"/>
              <w:lang w:val="en-US"/>
            </w:rPr>
            <w:tab/>
          </w:r>
          <w:r>
            <w:rPr>
              <w:lang w:bidi="ar-IQ"/>
            </w:rPr>
            <w:t>Introduction</w:t>
          </w:r>
          <w:r>
            <w:rPr/>
            <w:tab/>
          </w:r>
          <w:hyperlink w:anchor="__RefHeading___Toc25753258">
            <w:r>
              <w:rPr>
                <w:rStyle w:val="IndexLink"/>
              </w:rPr>
              <w:t>39</w:t>
            </w:r>
          </w:hyperlink>
        </w:p>
        <w:p>
          <w:pPr>
            <w:pStyle w:val="Contents4"/>
            <w:rPr>
              <w:rFonts w:ascii="Calibri" w:hAnsi="Calibri" w:cs="Calibri"/>
              <w:sz w:val="22"/>
              <w:szCs w:val="22"/>
              <w:lang w:val="en-US"/>
            </w:rPr>
          </w:pPr>
          <w:r>
            <w:rPr>
              <w:lang w:bidi="ar-IQ"/>
            </w:rPr>
            <w:t>5.2.3.2</w:t>
          </w:r>
          <w:r>
            <w:rPr>
              <w:rFonts w:cs="Calibri" w:ascii="Calibri" w:hAnsi="Calibri"/>
              <w:sz w:val="22"/>
              <w:szCs w:val="22"/>
              <w:lang w:val="en-US"/>
            </w:rPr>
            <w:tab/>
          </w:r>
          <w:r>
            <w:rPr>
              <w:lang w:bidi="ar-IQ"/>
            </w:rPr>
            <w:t xml:space="preserve">Triggers for </w:t>
          </w:r>
          <w:r>
            <w:rPr>
              <w:lang w:val="en-US" w:bidi="ar-IQ"/>
            </w:rPr>
            <w:t xml:space="preserve">CHF </w:t>
          </w:r>
          <w:r>
            <w:rPr>
              <w:lang w:bidi="ar-IQ"/>
            </w:rPr>
            <w:t>CDR</w:t>
          </w:r>
          <w:r>
            <w:rPr/>
            <w:tab/>
          </w:r>
          <w:hyperlink w:anchor="__RefHeading___Toc25753259">
            <w:r>
              <w:rPr>
                <w:rStyle w:val="IndexLink"/>
              </w:rPr>
              <w:t>39</w:t>
            </w:r>
          </w:hyperlink>
        </w:p>
        <w:p>
          <w:pPr>
            <w:pStyle w:val="Contents5"/>
            <w:rPr>
              <w:rFonts w:ascii="Calibri" w:hAnsi="Calibri" w:cs="Calibri"/>
              <w:sz w:val="22"/>
              <w:szCs w:val="22"/>
              <w:lang w:val="en-US"/>
            </w:rPr>
          </w:pPr>
          <w:r>
            <w:rPr/>
            <w:t>5.2.3.2.1</w:t>
          </w:r>
          <w:r>
            <w:rPr>
              <w:rFonts w:cs="Calibri" w:ascii="Calibri" w:hAnsi="Calibri"/>
              <w:sz w:val="22"/>
              <w:szCs w:val="22"/>
              <w:lang w:val="en-US"/>
            </w:rPr>
            <w:tab/>
          </w:r>
          <w:r>
            <w:rPr/>
            <w:t>General</w:t>
            <w:tab/>
          </w:r>
          <w:hyperlink w:anchor="__RefHeading___Toc25753260">
            <w:r>
              <w:rPr>
                <w:rStyle w:val="IndexLink"/>
              </w:rPr>
              <w:t>39</w:t>
            </w:r>
          </w:hyperlink>
        </w:p>
        <w:p>
          <w:pPr>
            <w:pStyle w:val="Contents5"/>
            <w:rPr>
              <w:rFonts w:ascii="Calibri" w:hAnsi="Calibri" w:cs="Calibri"/>
              <w:sz w:val="22"/>
              <w:szCs w:val="22"/>
              <w:lang w:val="en-US"/>
            </w:rPr>
          </w:pPr>
          <w:r>
            <w:rPr>
              <w:lang w:bidi="ar-IQ"/>
            </w:rPr>
            <w:t>5.2.3.</w:t>
          </w:r>
          <w:r>
            <w:rPr>
              <w:lang w:val="en-US" w:bidi="ar-IQ"/>
            </w:rPr>
            <w:t>2.2</w:t>
          </w:r>
          <w:r>
            <w:rPr>
              <w:rFonts w:cs="Calibri" w:ascii="Calibri" w:hAnsi="Calibri"/>
              <w:sz w:val="22"/>
              <w:szCs w:val="22"/>
              <w:lang w:val="en-US"/>
            </w:rPr>
            <w:tab/>
          </w:r>
          <w:r>
            <w:rPr>
              <w:lang w:bidi="ar-IQ"/>
            </w:rPr>
            <w:t xml:space="preserve">Triggers for </w:t>
          </w:r>
          <w:r>
            <w:rPr>
              <w:lang w:val="en-US" w:bidi="ar-IQ"/>
            </w:rPr>
            <w:t xml:space="preserve">CHF </w:t>
          </w:r>
          <w:r>
            <w:rPr>
              <w:lang w:bidi="ar-IQ"/>
            </w:rPr>
            <w:t>CDR generation</w:t>
          </w:r>
          <w:r>
            <w:rPr/>
            <w:tab/>
          </w:r>
          <w:hyperlink w:anchor="__RefHeading___Toc25753261">
            <w:r>
              <w:rPr>
                <w:rStyle w:val="IndexLink"/>
              </w:rPr>
              <w:t>39</w:t>
            </w:r>
          </w:hyperlink>
        </w:p>
        <w:p>
          <w:pPr>
            <w:pStyle w:val="Contents5"/>
            <w:rPr>
              <w:rFonts w:ascii="Calibri" w:hAnsi="Calibri" w:cs="Calibri"/>
              <w:sz w:val="22"/>
              <w:szCs w:val="22"/>
              <w:lang w:val="en-US"/>
            </w:rPr>
          </w:pPr>
          <w:r>
            <w:rPr>
              <w:lang w:bidi="ar-IQ"/>
            </w:rPr>
            <w:t>5.2.3.</w:t>
          </w:r>
          <w:r>
            <w:rPr>
              <w:lang w:val="en-US" w:bidi="ar-IQ"/>
            </w:rPr>
            <w:t>2.3</w:t>
          </w:r>
          <w:r>
            <w:rPr>
              <w:rFonts w:cs="Calibri" w:ascii="Calibri" w:hAnsi="Calibri"/>
              <w:sz w:val="22"/>
              <w:szCs w:val="22"/>
              <w:lang w:val="en-US"/>
            </w:rPr>
            <w:tab/>
          </w:r>
          <w:r>
            <w:rPr>
              <w:lang w:bidi="ar-IQ"/>
            </w:rPr>
            <w:t xml:space="preserve">Triggers for </w:t>
          </w:r>
          <w:r>
            <w:rPr>
              <w:lang w:val="en-US" w:bidi="ar-IQ"/>
            </w:rPr>
            <w:t xml:space="preserve">CHF </w:t>
          </w:r>
          <w:r>
            <w:rPr>
              <w:lang w:bidi="ar-IQ"/>
            </w:rPr>
            <w:t>CDR opening</w:t>
          </w:r>
          <w:r>
            <w:rPr/>
            <w:tab/>
          </w:r>
          <w:hyperlink w:anchor="__RefHeading___Toc25753262">
            <w:r>
              <w:rPr>
                <w:rStyle w:val="IndexLink"/>
              </w:rPr>
              <w:t>39</w:t>
            </w:r>
          </w:hyperlink>
        </w:p>
        <w:p>
          <w:pPr>
            <w:pStyle w:val="Contents5"/>
            <w:rPr>
              <w:rFonts w:ascii="Calibri" w:hAnsi="Calibri" w:cs="Calibri"/>
              <w:sz w:val="22"/>
              <w:szCs w:val="22"/>
              <w:lang w:val="en-US"/>
            </w:rPr>
          </w:pPr>
          <w:r>
            <w:rPr>
              <w:lang w:bidi="ar-IQ"/>
            </w:rPr>
            <w:t>5.2.3.2.4</w:t>
          </w:r>
          <w:r>
            <w:rPr>
              <w:rFonts w:cs="Calibri" w:ascii="Calibri" w:hAnsi="Calibri"/>
              <w:sz w:val="22"/>
              <w:szCs w:val="22"/>
              <w:lang w:val="en-US"/>
            </w:rPr>
            <w:tab/>
          </w:r>
          <w:r>
            <w:rPr>
              <w:lang w:bidi="ar-IQ"/>
            </w:rPr>
            <w:t>Triggers for CHF CDR closure</w:t>
          </w:r>
          <w:r>
            <w:rPr/>
            <w:tab/>
          </w:r>
          <w:hyperlink w:anchor="__RefHeading___Toc25753263">
            <w:r>
              <w:rPr>
                <w:rStyle w:val="IndexLink"/>
              </w:rPr>
              <w:t>39</w:t>
            </w:r>
          </w:hyperlink>
        </w:p>
        <w:p>
          <w:pPr>
            <w:pStyle w:val="Contents3"/>
            <w:rPr>
              <w:rFonts w:ascii="Calibri" w:hAnsi="Calibri" w:cs="Calibri"/>
              <w:sz w:val="22"/>
              <w:szCs w:val="22"/>
              <w:lang w:val="en-US"/>
            </w:rPr>
          </w:pPr>
          <w:r>
            <w:rPr/>
            <w:t>5.2.4</w:t>
          </w:r>
          <w:r>
            <w:rPr>
              <w:rFonts w:cs="Calibri" w:ascii="Calibri" w:hAnsi="Calibri"/>
              <w:sz w:val="22"/>
              <w:szCs w:val="22"/>
              <w:lang w:val="en-US"/>
            </w:rPr>
            <w:tab/>
          </w:r>
          <w:r>
            <w:rPr/>
            <w:t>Ga record transfer flows</w:t>
            <w:tab/>
          </w:r>
          <w:hyperlink w:anchor="__RefHeading___Toc25753264">
            <w:r>
              <w:rPr>
                <w:rStyle w:val="IndexLink"/>
              </w:rPr>
              <w:t>39</w:t>
            </w:r>
          </w:hyperlink>
        </w:p>
        <w:p>
          <w:pPr>
            <w:pStyle w:val="Contents3"/>
            <w:rPr>
              <w:rFonts w:ascii="Calibri" w:hAnsi="Calibri" w:cs="Calibri"/>
              <w:sz w:val="22"/>
              <w:szCs w:val="22"/>
              <w:lang w:val="en-US"/>
            </w:rPr>
          </w:pPr>
          <w:r>
            <w:rPr/>
            <w:t>5.2.5</w:t>
          </w:r>
          <w:r>
            <w:rPr>
              <w:rFonts w:cs="Calibri" w:ascii="Calibri" w:hAnsi="Calibri"/>
              <w:sz w:val="22"/>
              <w:szCs w:val="22"/>
              <w:lang w:val="en-US"/>
            </w:rPr>
            <w:tab/>
          </w:r>
          <w:r>
            <w:rPr/>
            <w:t>Bam CDR file transfer</w:t>
            <w:tab/>
          </w:r>
          <w:hyperlink w:anchor="__RefHeading___Toc25753265">
            <w:r>
              <w:rPr>
                <w:rStyle w:val="IndexLink"/>
              </w:rPr>
              <w:t>39</w:t>
            </w:r>
          </w:hyperlink>
        </w:p>
        <w:p>
          <w:pPr>
            <w:pStyle w:val="Contents1"/>
            <w:rPr>
              <w:rFonts w:ascii="Calibri" w:hAnsi="Calibri" w:cs="Calibri"/>
              <w:szCs w:val="22"/>
              <w:lang w:val="en-US"/>
            </w:rPr>
          </w:pPr>
          <w:r>
            <w:rPr/>
            <w:t>6.</w:t>
          </w:r>
          <w:r>
            <w:rPr>
              <w:rFonts w:cs="Calibri" w:ascii="Calibri" w:hAnsi="Calibri"/>
              <w:szCs w:val="22"/>
              <w:lang w:val="en-US"/>
            </w:rPr>
            <w:tab/>
          </w:r>
          <w:r>
            <w:rPr/>
            <w:t>Definition of charging information</w:t>
            <w:tab/>
          </w:r>
          <w:hyperlink w:anchor="__RefHeading___Toc25753266">
            <w:r>
              <w:rPr>
                <w:rStyle w:val="IndexLink"/>
              </w:rPr>
              <w:t>40</w:t>
            </w:r>
          </w:hyperlink>
        </w:p>
        <w:p>
          <w:pPr>
            <w:pStyle w:val="Contents2"/>
            <w:rPr>
              <w:rFonts w:ascii="Calibri" w:hAnsi="Calibri" w:cs="Calibri"/>
              <w:sz w:val="22"/>
              <w:szCs w:val="22"/>
              <w:lang w:val="en-US"/>
            </w:rPr>
          </w:pPr>
          <w:r>
            <w:rPr/>
            <w:t>6.1</w:t>
          </w:r>
          <w:r>
            <w:rPr>
              <w:rFonts w:cs="Calibri" w:ascii="Calibri" w:hAnsi="Calibri"/>
              <w:sz w:val="22"/>
              <w:szCs w:val="22"/>
              <w:lang w:val="en-US"/>
            </w:rPr>
            <w:tab/>
          </w:r>
          <w:r>
            <w:rPr/>
            <w:t xml:space="preserve">Data description for </w:t>
          </w:r>
          <w:r>
            <w:rPr>
              <w:lang w:bidi="ar-IQ"/>
            </w:rPr>
            <w:t xml:space="preserve">5G connection and mobility </w:t>
          </w:r>
          <w:r>
            <w:rPr/>
            <w:t>charging</w:t>
            <w:tab/>
          </w:r>
          <w:hyperlink w:anchor="__RefHeading___Toc25753267">
            <w:r>
              <w:rPr>
                <w:rStyle w:val="IndexLink"/>
              </w:rPr>
              <w:t>40</w:t>
            </w:r>
          </w:hyperlink>
        </w:p>
        <w:p>
          <w:pPr>
            <w:pStyle w:val="Contents3"/>
            <w:rPr>
              <w:rFonts w:ascii="Calibri" w:hAnsi="Calibri" w:cs="Calibri"/>
              <w:sz w:val="22"/>
              <w:szCs w:val="22"/>
              <w:lang w:val="en-US"/>
            </w:rPr>
          </w:pPr>
          <w:r>
            <w:rPr/>
            <w:t>6.1.1</w:t>
          </w:r>
          <w:r>
            <w:rPr>
              <w:rFonts w:cs="Calibri" w:ascii="Calibri" w:hAnsi="Calibri"/>
              <w:sz w:val="22"/>
              <w:szCs w:val="22"/>
              <w:lang w:val="en-US"/>
            </w:rPr>
            <w:tab/>
          </w:r>
          <w:r>
            <w:rPr/>
            <w:t>Message contents</w:t>
            <w:tab/>
          </w:r>
          <w:hyperlink w:anchor="__RefHeading___Toc25753268">
            <w:r>
              <w:rPr>
                <w:rStyle w:val="IndexLink"/>
              </w:rPr>
              <w:t>40</w:t>
            </w:r>
          </w:hyperlink>
        </w:p>
        <w:p>
          <w:pPr>
            <w:pStyle w:val="Contents4"/>
            <w:rPr>
              <w:rFonts w:ascii="Calibri" w:hAnsi="Calibri" w:cs="Calibri"/>
              <w:sz w:val="22"/>
              <w:szCs w:val="22"/>
              <w:lang w:val="en-US"/>
            </w:rPr>
          </w:pPr>
          <w:r>
            <w:rPr/>
            <w:t>6.1.1</w:t>
          </w:r>
          <w:r>
            <w:rPr>
              <w:lang w:eastAsia="zh-CN"/>
            </w:rPr>
            <w:t>.1</w:t>
          </w:r>
          <w:r>
            <w:rPr>
              <w:rFonts w:cs="Calibri" w:ascii="Calibri" w:hAnsi="Calibri"/>
              <w:sz w:val="22"/>
              <w:szCs w:val="22"/>
              <w:lang w:val="en-US"/>
            </w:rPr>
            <w:tab/>
          </w:r>
          <w:r>
            <w:rPr>
              <w:lang w:eastAsia="zh-CN"/>
            </w:rPr>
            <w:t>General</w:t>
          </w:r>
          <w:r>
            <w:rPr/>
            <w:tab/>
          </w:r>
          <w:hyperlink w:anchor="__RefHeading___Toc25753269">
            <w:r>
              <w:rPr>
                <w:rStyle w:val="IndexLink"/>
              </w:rPr>
              <w:t>40</w:t>
            </w:r>
          </w:hyperlink>
        </w:p>
        <w:p>
          <w:pPr>
            <w:pStyle w:val="Contents4"/>
            <w:rPr>
              <w:rFonts w:ascii="Calibri" w:hAnsi="Calibri" w:cs="Calibri"/>
              <w:sz w:val="22"/>
              <w:szCs w:val="22"/>
              <w:lang w:val="en-US"/>
            </w:rPr>
          </w:pPr>
          <w:r>
            <w:rPr>
              <w:lang w:bidi="ar-IQ"/>
            </w:rPr>
            <w:t>6.1.</w:t>
          </w:r>
          <w:r>
            <w:rPr>
              <w:lang w:eastAsia="zh-CN" w:bidi="ar-IQ"/>
            </w:rPr>
            <w:t>1</w:t>
          </w:r>
          <w:r>
            <w:rPr>
              <w:lang w:bidi="ar-IQ"/>
            </w:rPr>
            <w:t>.2</w:t>
          </w:r>
          <w:r>
            <w:rPr>
              <w:rFonts w:cs="Calibri" w:ascii="Calibri" w:hAnsi="Calibri"/>
              <w:sz w:val="22"/>
              <w:szCs w:val="22"/>
              <w:lang w:val="en-US"/>
            </w:rPr>
            <w:tab/>
          </w:r>
          <w:r>
            <w:rPr>
              <w:lang w:bidi="ar-IQ"/>
            </w:rPr>
            <w:t>Charging Data Request message</w:t>
          </w:r>
          <w:r>
            <w:rPr/>
            <w:tab/>
          </w:r>
          <w:hyperlink w:anchor="__RefHeading___Toc25753270">
            <w:r>
              <w:rPr>
                <w:rStyle w:val="IndexLink"/>
              </w:rPr>
              <w:t>41</w:t>
            </w:r>
          </w:hyperlink>
        </w:p>
        <w:p>
          <w:pPr>
            <w:pStyle w:val="Contents4"/>
            <w:rPr>
              <w:rFonts w:ascii="Calibri" w:hAnsi="Calibri" w:cs="Calibri"/>
              <w:sz w:val="22"/>
              <w:szCs w:val="22"/>
              <w:lang w:val="en-US"/>
            </w:rPr>
          </w:pPr>
          <w:r>
            <w:rPr>
              <w:lang w:bidi="ar-IQ"/>
            </w:rPr>
            <w:t>6.1.</w:t>
          </w:r>
          <w:r>
            <w:rPr>
              <w:lang w:eastAsia="zh-CN" w:bidi="ar-IQ"/>
            </w:rPr>
            <w:t>1</w:t>
          </w:r>
          <w:r>
            <w:rPr>
              <w:lang w:bidi="ar-IQ"/>
            </w:rPr>
            <w:t>.3</w:t>
          </w:r>
          <w:r>
            <w:rPr>
              <w:rFonts w:cs="Calibri" w:ascii="Calibri" w:hAnsi="Calibri"/>
              <w:sz w:val="22"/>
              <w:szCs w:val="22"/>
              <w:lang w:val="en-US"/>
            </w:rPr>
            <w:tab/>
          </w:r>
          <w:r>
            <w:rPr/>
            <w:t>Charging data response</w:t>
          </w:r>
          <w:r>
            <w:rPr>
              <w:lang w:bidi="ar-IQ"/>
            </w:rPr>
            <w:t xml:space="preserve"> message</w:t>
          </w:r>
          <w:r>
            <w:rPr/>
            <w:tab/>
          </w:r>
          <w:hyperlink w:anchor="__RefHeading___Toc25753271">
            <w:r>
              <w:rPr>
                <w:rStyle w:val="IndexLink"/>
              </w:rPr>
              <w:t>42</w:t>
            </w:r>
          </w:hyperlink>
        </w:p>
        <w:p>
          <w:pPr>
            <w:pStyle w:val="Contents3"/>
            <w:rPr>
              <w:rFonts w:ascii="Calibri" w:hAnsi="Calibri" w:cs="Calibri"/>
              <w:sz w:val="22"/>
              <w:szCs w:val="22"/>
              <w:lang w:val="en-US"/>
            </w:rPr>
          </w:pPr>
          <w:r>
            <w:rPr/>
            <w:t>6.1.2</w:t>
          </w:r>
          <w:r>
            <w:rPr>
              <w:rFonts w:cs="Calibri" w:ascii="Calibri" w:hAnsi="Calibri"/>
              <w:sz w:val="22"/>
              <w:szCs w:val="22"/>
              <w:lang w:val="en-US"/>
            </w:rPr>
            <w:tab/>
          </w:r>
          <w:r>
            <w:rPr/>
            <w:t>Ga message contents</w:t>
            <w:tab/>
          </w:r>
          <w:hyperlink w:anchor="__RefHeading___Toc25753272">
            <w:r>
              <w:rPr>
                <w:rStyle w:val="IndexLink"/>
              </w:rPr>
              <w:t>42</w:t>
            </w:r>
          </w:hyperlink>
        </w:p>
        <w:p>
          <w:pPr>
            <w:pStyle w:val="Contents3"/>
            <w:rPr>
              <w:rFonts w:ascii="Calibri" w:hAnsi="Calibri" w:cs="Calibri"/>
              <w:sz w:val="22"/>
              <w:szCs w:val="22"/>
              <w:lang w:val="en-US"/>
            </w:rPr>
          </w:pPr>
          <w:r>
            <w:rPr/>
            <w:t>6.1.3</w:t>
          </w:r>
          <w:r>
            <w:rPr>
              <w:rFonts w:cs="Calibri" w:ascii="Calibri" w:hAnsi="Calibri"/>
              <w:sz w:val="22"/>
              <w:szCs w:val="22"/>
              <w:lang w:val="en-US"/>
            </w:rPr>
            <w:tab/>
          </w:r>
          <w:r>
            <w:rPr/>
            <w:t>CDR description on the B</w:t>
          </w:r>
          <w:r>
            <w:rPr>
              <w:vertAlign w:val="subscript"/>
              <w:lang w:eastAsia="zh-CN"/>
            </w:rPr>
            <w:t>am</w:t>
          </w:r>
          <w:r>
            <w:rPr/>
            <w:t xml:space="preserve"> interface</w:t>
            <w:tab/>
          </w:r>
          <w:hyperlink w:anchor="__RefHeading___Toc25753273">
            <w:r>
              <w:rPr>
                <w:rStyle w:val="IndexLink"/>
              </w:rPr>
              <w:t>42</w:t>
            </w:r>
          </w:hyperlink>
        </w:p>
        <w:p>
          <w:pPr>
            <w:pStyle w:val="Contents4"/>
            <w:rPr>
              <w:rFonts w:ascii="Calibri" w:hAnsi="Calibri" w:cs="Calibri"/>
              <w:sz w:val="22"/>
              <w:szCs w:val="22"/>
              <w:lang w:val="en-US"/>
            </w:rPr>
          </w:pPr>
          <w:r>
            <w:rPr>
              <w:lang w:bidi="ar-IQ"/>
            </w:rPr>
            <w:t>6.1.3.1</w:t>
          </w:r>
          <w:r>
            <w:rPr>
              <w:rFonts w:cs="Calibri" w:ascii="Calibri" w:hAnsi="Calibri"/>
              <w:sz w:val="22"/>
              <w:szCs w:val="22"/>
              <w:lang w:val="en-US"/>
            </w:rPr>
            <w:tab/>
          </w:r>
          <w:r>
            <w:rPr>
              <w:lang w:bidi="ar-IQ"/>
            </w:rPr>
            <w:t>General</w:t>
          </w:r>
          <w:r>
            <w:rPr/>
            <w:tab/>
          </w:r>
          <w:hyperlink w:anchor="__RefHeading___Toc25753274">
            <w:r>
              <w:rPr>
                <w:rStyle w:val="IndexLink"/>
              </w:rPr>
              <w:t>42</w:t>
            </w:r>
          </w:hyperlink>
        </w:p>
        <w:p>
          <w:pPr>
            <w:pStyle w:val="Contents4"/>
            <w:rPr>
              <w:rFonts w:ascii="Calibri" w:hAnsi="Calibri" w:cs="Calibri"/>
              <w:sz w:val="22"/>
              <w:szCs w:val="22"/>
              <w:lang w:val="en-US"/>
            </w:rPr>
          </w:pPr>
          <w:r>
            <w:rPr>
              <w:lang w:bidi="ar-IQ"/>
            </w:rPr>
            <w:t>6.1.3.2</w:t>
          </w:r>
          <w:r>
            <w:rPr>
              <w:rFonts w:cs="Calibri" w:ascii="Calibri" w:hAnsi="Calibri"/>
              <w:sz w:val="22"/>
              <w:szCs w:val="22"/>
              <w:lang w:val="en-US"/>
            </w:rPr>
            <w:tab/>
          </w:r>
          <w:r>
            <w:rPr>
              <w:lang w:bidi="ar-IQ"/>
            </w:rPr>
            <w:t>Registration charging</w:t>
          </w:r>
          <w:r>
            <w:rPr>
              <w:lang w:val="en-US" w:bidi="ar-IQ"/>
            </w:rPr>
            <w:t xml:space="preserve"> </w:t>
          </w:r>
          <w:r>
            <w:rPr>
              <w:lang w:bidi="ar-IQ"/>
            </w:rPr>
            <w:t>CHF CDR data</w:t>
          </w:r>
          <w:r>
            <w:rPr/>
            <w:tab/>
          </w:r>
          <w:hyperlink w:anchor="__RefHeading___Toc25753275">
            <w:r>
              <w:rPr>
                <w:rStyle w:val="IndexLink"/>
              </w:rPr>
              <w:t>42</w:t>
            </w:r>
          </w:hyperlink>
        </w:p>
        <w:p>
          <w:pPr>
            <w:pStyle w:val="Contents4"/>
            <w:rPr>
              <w:rFonts w:ascii="Calibri" w:hAnsi="Calibri" w:cs="Calibri"/>
              <w:sz w:val="22"/>
              <w:szCs w:val="22"/>
              <w:lang w:val="en-US"/>
            </w:rPr>
          </w:pPr>
          <w:r>
            <w:rPr>
              <w:lang w:bidi="ar-IQ"/>
            </w:rPr>
            <w:t>6.1.3.3</w:t>
          </w:r>
          <w:r>
            <w:rPr>
              <w:rFonts w:cs="Calibri" w:ascii="Calibri" w:hAnsi="Calibri"/>
              <w:sz w:val="22"/>
              <w:szCs w:val="22"/>
              <w:lang w:val="en-US"/>
            </w:rPr>
            <w:tab/>
          </w:r>
          <w:r>
            <w:rPr/>
            <w:t>N2 connection charging Information</w:t>
          </w:r>
          <w:r>
            <w:rPr>
              <w:lang w:bidi="ar-IQ"/>
            </w:rPr>
            <w:t xml:space="preserve"> CHF CDR data</w:t>
          </w:r>
          <w:r>
            <w:rPr/>
            <w:tab/>
          </w:r>
          <w:hyperlink w:anchor="__RefHeading___Toc25753276">
            <w:r>
              <w:rPr>
                <w:rStyle w:val="IndexLink"/>
              </w:rPr>
              <w:t>43</w:t>
            </w:r>
          </w:hyperlink>
        </w:p>
        <w:p>
          <w:pPr>
            <w:pStyle w:val="Contents4"/>
            <w:rPr>
              <w:rFonts w:ascii="Calibri" w:hAnsi="Calibri" w:cs="Calibri"/>
              <w:sz w:val="22"/>
              <w:szCs w:val="22"/>
              <w:lang w:val="en-US"/>
            </w:rPr>
          </w:pPr>
          <w:r>
            <w:rPr>
              <w:lang w:bidi="ar-IQ"/>
            </w:rPr>
            <w:t>6.1.3.4</w:t>
          </w:r>
          <w:r>
            <w:rPr>
              <w:rFonts w:cs="Calibri" w:ascii="Calibri" w:hAnsi="Calibri"/>
              <w:sz w:val="22"/>
              <w:szCs w:val="22"/>
              <w:lang w:val="en-US"/>
            </w:rPr>
            <w:tab/>
          </w:r>
          <w:r>
            <w:rPr>
              <w:lang w:bidi="ar-IQ"/>
            </w:rPr>
            <w:t>Location reporting charging</w:t>
          </w:r>
          <w:r>
            <w:rPr>
              <w:lang w:val="en-US" w:bidi="ar-IQ"/>
            </w:rPr>
            <w:t xml:space="preserve"> </w:t>
          </w:r>
          <w:r>
            <w:rPr>
              <w:lang w:bidi="ar-IQ"/>
            </w:rPr>
            <w:t>CHF CDR data</w:t>
          </w:r>
          <w:r>
            <w:rPr/>
            <w:tab/>
          </w:r>
          <w:hyperlink w:anchor="__RefHeading___Toc25753277">
            <w:r>
              <w:rPr>
                <w:rStyle w:val="IndexLink"/>
              </w:rPr>
              <w:t>43</w:t>
            </w:r>
          </w:hyperlink>
        </w:p>
        <w:p>
          <w:pPr>
            <w:pStyle w:val="Contents2"/>
            <w:rPr>
              <w:rFonts w:ascii="Calibri" w:hAnsi="Calibri" w:cs="Calibri"/>
              <w:sz w:val="22"/>
              <w:szCs w:val="22"/>
              <w:lang w:val="en-US"/>
            </w:rPr>
          </w:pPr>
          <w:r>
            <w:rPr>
              <w:lang w:bidi="ar-IQ"/>
            </w:rPr>
            <w:t>6.2</w:t>
          </w:r>
          <w:r>
            <w:rPr>
              <w:rFonts w:cs="Calibri" w:ascii="Calibri" w:hAnsi="Calibri"/>
              <w:sz w:val="22"/>
              <w:szCs w:val="22"/>
              <w:lang w:val="en-US"/>
            </w:rPr>
            <w:tab/>
          </w:r>
          <w:r>
            <w:rPr>
              <w:lang w:bidi="ar-IQ"/>
            </w:rPr>
            <w:t>5G connection and mobility charging specific parameters</w:t>
          </w:r>
          <w:r>
            <w:rPr/>
            <w:tab/>
          </w:r>
          <w:hyperlink w:anchor="__RefHeading___Toc25753278">
            <w:r>
              <w:rPr>
                <w:rStyle w:val="IndexLink"/>
              </w:rPr>
              <w:t>44</w:t>
            </w:r>
          </w:hyperlink>
        </w:p>
        <w:p>
          <w:pPr>
            <w:pStyle w:val="Contents3"/>
            <w:rPr>
              <w:rFonts w:ascii="Calibri" w:hAnsi="Calibri" w:cs="Calibri"/>
              <w:sz w:val="22"/>
              <w:szCs w:val="22"/>
              <w:lang w:val="en-US"/>
            </w:rPr>
          </w:pPr>
          <w:r>
            <w:rPr/>
            <w:t>6.2.1</w:t>
          </w:r>
          <w:r>
            <w:rPr>
              <w:rFonts w:cs="Calibri" w:ascii="Calibri" w:hAnsi="Calibri"/>
              <w:sz w:val="22"/>
              <w:szCs w:val="22"/>
              <w:lang w:val="en-US"/>
            </w:rPr>
            <w:tab/>
          </w:r>
          <w:r>
            <w:rPr/>
            <w:t xml:space="preserve">Definition of </w:t>
          </w:r>
          <w:r>
            <w:rPr>
              <w:lang w:bidi="ar-IQ"/>
            </w:rPr>
            <w:t xml:space="preserve">5G connection and mobility </w:t>
          </w:r>
          <w:r>
            <w:rPr/>
            <w:t>charging information</w:t>
            <w:tab/>
          </w:r>
          <w:hyperlink w:anchor="__RefHeading___Toc25753279">
            <w:r>
              <w:rPr>
                <w:rStyle w:val="IndexLink"/>
              </w:rPr>
              <w:t>44</w:t>
            </w:r>
          </w:hyperlink>
        </w:p>
        <w:p>
          <w:pPr>
            <w:pStyle w:val="Contents4"/>
            <w:rPr>
              <w:rFonts w:ascii="Calibri" w:hAnsi="Calibri" w:cs="Calibri"/>
              <w:sz w:val="22"/>
              <w:szCs w:val="22"/>
              <w:lang w:val="en-US"/>
            </w:rPr>
          </w:pPr>
          <w:r>
            <w:rPr/>
            <w:t>6.2.1.1</w:t>
          </w:r>
          <w:r>
            <w:rPr>
              <w:rFonts w:cs="Calibri" w:ascii="Calibri" w:hAnsi="Calibri"/>
              <w:sz w:val="22"/>
              <w:szCs w:val="22"/>
              <w:lang w:val="en-US"/>
            </w:rPr>
            <w:tab/>
          </w:r>
          <w:r>
            <w:rPr/>
            <w:t>General</w:t>
            <w:tab/>
          </w:r>
          <w:hyperlink w:anchor="__RefHeading___Toc25753280">
            <w:r>
              <w:rPr>
                <w:rStyle w:val="IndexLink"/>
              </w:rPr>
              <w:t>44</w:t>
            </w:r>
          </w:hyperlink>
        </w:p>
        <w:p>
          <w:pPr>
            <w:pStyle w:val="Contents4"/>
            <w:rPr>
              <w:rFonts w:ascii="Calibri" w:hAnsi="Calibri" w:cs="Calibri"/>
              <w:sz w:val="22"/>
              <w:szCs w:val="22"/>
              <w:lang w:val="en-US"/>
            </w:rPr>
          </w:pPr>
          <w:r>
            <w:rPr>
              <w:lang w:bidi="ar-IQ"/>
            </w:rPr>
            <w:t>6.2.1.2</w:t>
          </w:r>
          <w:r>
            <w:rPr>
              <w:rFonts w:cs="Calibri" w:ascii="Calibri" w:hAnsi="Calibri"/>
              <w:sz w:val="22"/>
              <w:szCs w:val="22"/>
              <w:lang w:val="en-US"/>
            </w:rPr>
            <w:tab/>
          </w:r>
          <w:r>
            <w:rPr>
              <w:lang w:bidi="ar-IQ"/>
            </w:rPr>
            <w:t>Definition of Registration</w:t>
          </w:r>
          <w:r>
            <w:rPr/>
            <w:t xml:space="preserve"> charging</w:t>
          </w:r>
          <w:r>
            <w:rPr>
              <w:lang w:bidi="ar-IQ"/>
            </w:rPr>
            <w:t xml:space="preserve"> information</w:t>
          </w:r>
          <w:r>
            <w:rPr/>
            <w:tab/>
          </w:r>
          <w:hyperlink w:anchor="__RefHeading___Toc25753281">
            <w:r>
              <w:rPr>
                <w:rStyle w:val="IndexLink"/>
              </w:rPr>
              <w:t>45</w:t>
            </w:r>
          </w:hyperlink>
        </w:p>
        <w:p>
          <w:pPr>
            <w:pStyle w:val="Contents4"/>
            <w:rPr>
              <w:rFonts w:ascii="Calibri" w:hAnsi="Calibri" w:cs="Calibri"/>
              <w:sz w:val="22"/>
              <w:szCs w:val="22"/>
              <w:lang w:val="en-US"/>
            </w:rPr>
          </w:pPr>
          <w:r>
            <w:rPr>
              <w:lang w:bidi="ar-IQ"/>
            </w:rPr>
            <w:t>6.2.1.3</w:t>
          </w:r>
          <w:r>
            <w:rPr>
              <w:rFonts w:cs="Calibri" w:ascii="Calibri" w:hAnsi="Calibri"/>
              <w:sz w:val="22"/>
              <w:szCs w:val="22"/>
              <w:lang w:val="en-US"/>
            </w:rPr>
            <w:tab/>
          </w:r>
          <w:r>
            <w:rPr>
              <w:lang w:bidi="ar-IQ"/>
            </w:rPr>
            <w:t>Definition of N2 Connection</w:t>
          </w:r>
          <w:r>
            <w:rPr/>
            <w:t xml:space="preserve"> charging</w:t>
          </w:r>
          <w:r>
            <w:rPr>
              <w:lang w:bidi="ar-IQ"/>
            </w:rPr>
            <w:t xml:space="preserve"> information</w:t>
          </w:r>
          <w:r>
            <w:rPr/>
            <w:tab/>
          </w:r>
          <w:hyperlink w:anchor="__RefHeading___Toc25753282">
            <w:r>
              <w:rPr>
                <w:rStyle w:val="IndexLink"/>
              </w:rPr>
              <w:t>46</w:t>
            </w:r>
          </w:hyperlink>
        </w:p>
        <w:p>
          <w:pPr>
            <w:pStyle w:val="Contents4"/>
            <w:rPr>
              <w:rFonts w:ascii="Calibri" w:hAnsi="Calibri" w:cs="Calibri"/>
              <w:sz w:val="22"/>
              <w:szCs w:val="22"/>
              <w:lang w:val="en-US"/>
            </w:rPr>
          </w:pPr>
          <w:r>
            <w:rPr>
              <w:lang w:bidi="ar-IQ"/>
            </w:rPr>
            <w:t>6.2.1.4</w:t>
          </w:r>
          <w:r>
            <w:rPr>
              <w:rFonts w:cs="Calibri" w:ascii="Calibri" w:hAnsi="Calibri"/>
              <w:sz w:val="22"/>
              <w:szCs w:val="22"/>
              <w:lang w:val="en-US"/>
            </w:rPr>
            <w:tab/>
          </w:r>
          <w:r>
            <w:rPr>
              <w:lang w:bidi="ar-IQ"/>
            </w:rPr>
            <w:t>Definition of Location Reporting</w:t>
          </w:r>
          <w:r>
            <w:rPr/>
            <w:t xml:space="preserve"> charging</w:t>
          </w:r>
          <w:r>
            <w:rPr>
              <w:lang w:bidi="ar-IQ"/>
            </w:rPr>
            <w:t xml:space="preserve"> information</w:t>
          </w:r>
          <w:r>
            <w:rPr/>
            <w:tab/>
          </w:r>
          <w:hyperlink w:anchor="__RefHeading___Toc25753283">
            <w:r>
              <w:rPr>
                <w:rStyle w:val="IndexLink"/>
              </w:rPr>
              <w:t>47</w:t>
            </w:r>
          </w:hyperlink>
        </w:p>
        <w:p>
          <w:pPr>
            <w:pStyle w:val="Contents3"/>
            <w:rPr>
              <w:rFonts w:ascii="Calibri" w:hAnsi="Calibri" w:cs="Calibri"/>
              <w:sz w:val="22"/>
              <w:szCs w:val="22"/>
              <w:lang w:val="en-US"/>
            </w:rPr>
          </w:pPr>
          <w:r>
            <w:rPr/>
            <w:t>6.2.2</w:t>
          </w:r>
          <w:r>
            <w:rPr>
              <w:rFonts w:cs="Calibri" w:ascii="Calibri" w:hAnsi="Calibri"/>
              <w:sz w:val="22"/>
              <w:szCs w:val="22"/>
              <w:lang w:val="en-US"/>
            </w:rPr>
            <w:tab/>
          </w:r>
          <w:r>
            <w:rPr/>
            <w:t>Formal 5G connection and mobility charging parameter description</w:t>
            <w:tab/>
          </w:r>
          <w:hyperlink w:anchor="__RefHeading___Toc25753284">
            <w:r>
              <w:rPr>
                <w:rStyle w:val="IndexLink"/>
              </w:rPr>
              <w:t>47</w:t>
            </w:r>
          </w:hyperlink>
        </w:p>
        <w:p>
          <w:pPr>
            <w:pStyle w:val="Contents4"/>
            <w:rPr>
              <w:rFonts w:ascii="Calibri" w:hAnsi="Calibri" w:cs="Calibri"/>
              <w:sz w:val="22"/>
              <w:szCs w:val="22"/>
              <w:lang w:val="en-US"/>
            </w:rPr>
          </w:pPr>
          <w:r>
            <w:rPr/>
            <w:t>6.2.2.1</w:t>
          </w:r>
          <w:r>
            <w:rPr>
              <w:rFonts w:cs="Calibri" w:ascii="Calibri" w:hAnsi="Calibri"/>
              <w:sz w:val="22"/>
              <w:szCs w:val="22"/>
              <w:lang w:val="en-US"/>
            </w:rPr>
            <w:tab/>
          </w:r>
          <w:r>
            <w:rPr>
              <w:lang w:bidi="ar-IQ"/>
            </w:rPr>
            <w:t xml:space="preserve">5G </w:t>
          </w:r>
          <w:r>
            <w:rPr/>
            <w:t>connection and mobility CHF CDR parameters</w:t>
            <w:tab/>
          </w:r>
          <w:hyperlink w:anchor="__RefHeading___Toc25753285">
            <w:r>
              <w:rPr>
                <w:rStyle w:val="IndexLink"/>
              </w:rPr>
              <w:t>47</w:t>
            </w:r>
          </w:hyperlink>
        </w:p>
        <w:p>
          <w:pPr>
            <w:pStyle w:val="Contents4"/>
            <w:rPr>
              <w:rFonts w:ascii="Calibri" w:hAnsi="Calibri" w:cs="Calibri"/>
              <w:sz w:val="22"/>
              <w:szCs w:val="22"/>
              <w:lang w:val="en-US"/>
            </w:rPr>
          </w:pPr>
          <w:r>
            <w:rPr/>
            <w:t>6.2.2.2</w:t>
          </w:r>
          <w:r>
            <w:rPr>
              <w:rFonts w:cs="Calibri" w:ascii="Calibri" w:hAnsi="Calibri"/>
              <w:sz w:val="22"/>
              <w:szCs w:val="22"/>
              <w:lang w:val="en-US"/>
            </w:rPr>
            <w:tab/>
          </w:r>
          <w:r>
            <w:rPr>
              <w:lang w:bidi="ar-IQ"/>
            </w:rPr>
            <w:t xml:space="preserve">5G </w:t>
          </w:r>
          <w:r>
            <w:rPr/>
            <w:t>connection and mobility resources attributes</w:t>
            <w:tab/>
          </w:r>
          <w:hyperlink w:anchor="__RefHeading___Toc25753286">
            <w:r>
              <w:rPr>
                <w:rStyle w:val="IndexLink"/>
              </w:rPr>
              <w:t>47</w:t>
            </w:r>
          </w:hyperlink>
        </w:p>
        <w:p>
          <w:pPr>
            <w:pStyle w:val="Contents3"/>
            <w:rPr>
              <w:rFonts w:ascii="Calibri" w:hAnsi="Calibri" w:cs="Calibri"/>
              <w:sz w:val="22"/>
              <w:szCs w:val="22"/>
              <w:lang w:val="en-US"/>
            </w:rPr>
          </w:pPr>
          <w:r>
            <w:rPr/>
            <w:t>6.2.3</w:t>
          </w:r>
          <w:r>
            <w:rPr>
              <w:rFonts w:cs="Calibri" w:ascii="Calibri" w:hAnsi="Calibri"/>
              <w:sz w:val="22"/>
              <w:szCs w:val="22"/>
              <w:lang w:val="en-US"/>
            </w:rPr>
            <w:tab/>
          </w:r>
          <w:r>
            <w:rPr/>
            <w:t>Detailed message format for converged charging</w:t>
            <w:tab/>
          </w:r>
          <w:hyperlink w:anchor="__RefHeading___Toc25753287">
            <w:r>
              <w:rPr>
                <w:rStyle w:val="IndexLink"/>
              </w:rPr>
              <w:t>47</w:t>
            </w:r>
          </w:hyperlink>
        </w:p>
        <w:p>
          <w:pPr>
            <w:pStyle w:val="Contents2"/>
            <w:rPr>
              <w:rFonts w:ascii="Calibri" w:hAnsi="Calibri" w:cs="Calibri"/>
              <w:sz w:val="22"/>
              <w:szCs w:val="22"/>
              <w:lang w:val="en-US"/>
            </w:rPr>
          </w:pPr>
          <w:r>
            <w:rPr>
              <w:lang w:bidi="ar-IQ"/>
            </w:rPr>
            <w:t>6.3</w:t>
          </w:r>
          <w:r>
            <w:rPr>
              <w:rFonts w:cs="Calibri" w:ascii="Calibri" w:hAnsi="Calibri"/>
              <w:sz w:val="22"/>
              <w:szCs w:val="22"/>
              <w:lang w:val="en-US"/>
            </w:rPr>
            <w:tab/>
          </w:r>
          <w:r>
            <w:rPr/>
            <w:t xml:space="preserve">Bindings for </w:t>
          </w:r>
          <w:r>
            <w:rPr>
              <w:lang w:bidi="ar-IQ"/>
            </w:rPr>
            <w:t xml:space="preserve">5G connection and mobility </w:t>
          </w:r>
          <w:r>
            <w:rPr/>
            <w:t>converged charging</w:t>
            <w:tab/>
          </w:r>
          <w:hyperlink w:anchor="__RefHeading___Toc25753288">
            <w:r>
              <w:rPr>
                <w:rStyle w:val="IndexLink"/>
              </w:rPr>
              <w:t>49</w:t>
            </w:r>
          </w:hyperlink>
        </w:p>
        <w:p>
          <w:pPr>
            <w:pStyle w:val="Contents8"/>
            <w:rPr>
              <w:rFonts w:ascii="Calibri" w:hAnsi="Calibri" w:cs="Calibri"/>
              <w:b w:val="false"/>
              <w:b w:val="false"/>
              <w:szCs w:val="22"/>
              <w:lang w:val="en-US"/>
            </w:rPr>
          </w:pPr>
          <w:r>
            <w:rPr>
              <w:lang w:bidi="ar-IQ"/>
            </w:rPr>
            <w:t>Annex A (normative): Charging Characteristics</w:t>
          </w:r>
          <w:r>
            <w:rPr/>
            <w:tab/>
          </w:r>
          <w:hyperlink w:anchor="__RefHeading___Toc25753289">
            <w:r>
              <w:rPr>
                <w:rStyle w:val="IndexLink"/>
              </w:rPr>
              <w:t>49</w:t>
            </w:r>
          </w:hyperlink>
        </w:p>
        <w:p>
          <w:pPr>
            <w:pStyle w:val="Contents1"/>
            <w:rPr>
              <w:rFonts w:ascii="Calibri" w:hAnsi="Calibri" w:cs="Calibri"/>
              <w:szCs w:val="22"/>
              <w:lang w:val="en-US"/>
            </w:rPr>
          </w:pPr>
          <w:r>
            <w:rPr>
              <w:lang w:bidi="ar-IQ"/>
            </w:rPr>
            <w:t>A.1</w:t>
          </w:r>
          <w:r>
            <w:rPr>
              <w:rFonts w:cs="Calibri" w:ascii="Calibri" w:hAnsi="Calibri"/>
              <w:szCs w:val="22"/>
              <w:lang w:val="en-US"/>
            </w:rPr>
            <w:tab/>
          </w:r>
          <w:r>
            <w:rPr>
              <w:lang w:bidi="ar-IQ"/>
            </w:rPr>
            <w:t>General</w:t>
          </w:r>
          <w:r>
            <w:rPr/>
            <w:tab/>
          </w:r>
          <w:hyperlink w:anchor="__RefHeading___Toc25753290">
            <w:r>
              <w:rPr>
                <w:rStyle w:val="IndexLink"/>
              </w:rPr>
              <w:t>49</w:t>
            </w:r>
          </w:hyperlink>
        </w:p>
        <w:p>
          <w:pPr>
            <w:pStyle w:val="Contents8"/>
            <w:rPr>
              <w:rFonts w:ascii="Calibri" w:hAnsi="Calibri" w:cs="Calibri"/>
              <w:szCs w:val="22"/>
              <w:lang w:val="en-US"/>
            </w:rPr>
          </w:pPr>
          <w:r>
            <w:rPr>
              <w:b w:val="false"/>
            </w:rPr>
            <w:t>Annex B (informative): Change history</w:t>
            <w:tab/>
          </w:r>
          <w:hyperlink w:anchor="__RefHeading___Toc25753291">
            <w:r>
              <w:rPr>
                <w:rStyle w:val="IndexLink"/>
                <w:b w:val="false"/>
              </w:rPr>
              <w:t>51</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25753194"/>
      <w:bookmarkEnd w:id="8"/>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Normal"/>
        <w:rPr/>
      </w:pPr>
      <w:r>
        <w:rPr/>
        <w:t>In the present document, certain modal verbs have the following meanings:</w:t>
      </w:r>
    </w:p>
    <w:p>
      <w:pPr>
        <w:pStyle w:val="EX"/>
        <w:rPr/>
      </w:pPr>
      <w:r>
        <w:rPr>
          <w:b/>
        </w:rPr>
        <w:t>shall</w:t>
      </w:r>
      <w:r>
        <w:rPr/>
        <w:tab/>
        <w:tab/>
        <w:t>indicates a mandatory requirement to do something</w:t>
      </w:r>
    </w:p>
    <w:p>
      <w:pPr>
        <w:pStyle w:val="EX"/>
        <w:rPr/>
      </w:pPr>
      <w:r>
        <w:rPr>
          <w:b/>
        </w:rPr>
        <w:t>shall not</w:t>
      </w:r>
      <w:r>
        <w:rPr/>
        <w:tab/>
        <w:t>indicates an interdiction (prohibition) to do something</w:t>
      </w:r>
    </w:p>
    <w:p>
      <w:pPr>
        <w:pStyle w:val="B1"/>
        <w:ind w:left="284" w:hanging="0"/>
        <w:rPr/>
      </w:pPr>
      <w:r>
        <w:rPr/>
        <w:t>The constructions "shall" and "shall not" are confined to the context of normative provisions, and do not appear in Technical Reports.</w:t>
      </w:r>
    </w:p>
    <w:p>
      <w:pPr>
        <w:pStyle w:val="NO"/>
        <w:ind w:left="284" w:hanging="0"/>
        <w:rPr/>
      </w:pPr>
      <w:r>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pPr>
        <w:pStyle w:val="EX"/>
        <w:rPr/>
      </w:pPr>
      <w:r>
        <w:rPr>
          <w:b/>
        </w:rPr>
        <w:t>should</w:t>
      </w:r>
      <w:r>
        <w:rPr/>
        <w:tab/>
        <w:tab/>
        <w:t>indicates a recommendation to do something</w:t>
      </w:r>
    </w:p>
    <w:p>
      <w:pPr>
        <w:pStyle w:val="EX"/>
        <w:rPr/>
      </w:pPr>
      <w:r>
        <w:rPr>
          <w:b/>
        </w:rPr>
        <w:t>should not</w:t>
      </w:r>
      <w:r>
        <w:rPr/>
        <w:tab/>
        <w:t>indicates a recommendation not to do something</w:t>
      </w:r>
    </w:p>
    <w:p>
      <w:pPr>
        <w:pStyle w:val="EX"/>
        <w:rPr/>
      </w:pPr>
      <w:r>
        <w:rPr>
          <w:b/>
        </w:rPr>
        <w:t>may</w:t>
      </w:r>
      <w:r>
        <w:rPr/>
        <w:tab/>
        <w:tab/>
        <w:t>indicates permission to do something</w:t>
      </w:r>
    </w:p>
    <w:p>
      <w:pPr>
        <w:pStyle w:val="EX"/>
        <w:rPr/>
      </w:pPr>
      <w:r>
        <w:rPr>
          <w:b/>
        </w:rPr>
        <w:t>need not</w:t>
      </w:r>
      <w:r>
        <w:rPr/>
        <w:tab/>
        <w:t>indicates permission not to do something</w:t>
      </w:r>
    </w:p>
    <w:p>
      <w:pPr>
        <w:pStyle w:val="NO"/>
        <w:ind w:left="284" w:hanging="0"/>
        <w:rPr/>
      </w:pPr>
      <w:r>
        <w:rPr/>
        <w:t>The construction "may not" is ambiguous and is not used in normative elements. The unambiguous constructions "might not" or "shall not" are used instead, depending upon the meaning intended.</w:t>
      </w:r>
    </w:p>
    <w:p>
      <w:pPr>
        <w:pStyle w:val="EX"/>
        <w:rPr/>
      </w:pPr>
      <w:r>
        <w:rPr>
          <w:b/>
        </w:rPr>
        <w:t>can</w:t>
      </w:r>
      <w:r>
        <w:rPr/>
        <w:tab/>
        <w:tab/>
        <w:t>indicates that something is possible</w:t>
      </w:r>
    </w:p>
    <w:p>
      <w:pPr>
        <w:pStyle w:val="EX"/>
        <w:rPr/>
      </w:pPr>
      <w:r>
        <w:rPr>
          <w:b/>
        </w:rPr>
        <w:t>cannot</w:t>
      </w:r>
      <w:r>
        <w:rPr/>
        <w:tab/>
        <w:tab/>
        <w:t>indicates that something is impossible</w:t>
      </w:r>
    </w:p>
    <w:p>
      <w:pPr>
        <w:pStyle w:val="EX"/>
        <w:rPr/>
      </w:pPr>
      <w:r>
        <w:rPr/>
        <w:t>The constructions "can" and "cannot" shall not to be used as substitutes for "may" and "need not".</w:t>
      </w:r>
    </w:p>
    <w:p>
      <w:pPr>
        <w:pStyle w:val="EX"/>
        <w:rPr/>
      </w:pPr>
      <w:r>
        <w:rPr>
          <w:b/>
        </w:rPr>
        <w:t>will</w:t>
      </w:r>
      <w:r>
        <w:rPr/>
        <w:tab/>
        <w:tab/>
        <w:t>indicates that something is certain or expected to happen as a result of action taken by an agency the behaviour of which is outside the scope of the present document</w:t>
      </w:r>
    </w:p>
    <w:p>
      <w:pPr>
        <w:pStyle w:val="EX"/>
        <w:rPr/>
      </w:pPr>
      <w:r>
        <w:rPr>
          <w:b/>
        </w:rPr>
        <w:t>will not</w:t>
      </w:r>
      <w:r>
        <w:rPr/>
        <w:tab/>
        <w:tab/>
        <w:t>indicates that something is certain or expected not to happen as a result of action taken by an agency the behaviour of which is outside the scope of the present document</w:t>
      </w:r>
    </w:p>
    <w:p>
      <w:pPr>
        <w:pStyle w:val="EX"/>
        <w:rPr/>
      </w:pPr>
      <w:r>
        <w:rPr>
          <w:b/>
        </w:rPr>
        <w:t>might</w:t>
      </w:r>
      <w:r>
        <w:rPr/>
        <w:tab/>
        <w:t>indicates a likelihood that something will happen as a result of action taken by some agency the behaviour of which is outside the scope of the present document</w:t>
      </w:r>
    </w:p>
    <w:p>
      <w:pPr>
        <w:pStyle w:val="EX"/>
        <w:rPr/>
      </w:pPr>
      <w:r>
        <w:rPr>
          <w:b/>
        </w:rPr>
        <w:t>might not</w:t>
      </w:r>
      <w:r>
        <w:rPr/>
        <w:tab/>
        <w:t>indicates a likelihood that something will not happen as a result of action taken by some agency the behaviour of which is outside the scope of the present document</w:t>
      </w:r>
    </w:p>
    <w:p>
      <w:pPr>
        <w:pStyle w:val="Normal"/>
        <w:rPr/>
      </w:pPr>
      <w:r>
        <w:rPr/>
        <w:t>In addition:</w:t>
      </w:r>
    </w:p>
    <w:p>
      <w:pPr>
        <w:pStyle w:val="EX"/>
        <w:rPr/>
      </w:pPr>
      <w:r>
        <w:rPr>
          <w:b/>
        </w:rPr>
        <w:t>is</w:t>
      </w:r>
      <w:r>
        <w:rPr/>
        <w:tab/>
        <w:t>(or any other verb in the indicative mood) indicates a statement of fact</w:t>
      </w:r>
    </w:p>
    <w:p>
      <w:pPr>
        <w:pStyle w:val="EX"/>
        <w:rPr/>
      </w:pPr>
      <w:r>
        <w:rPr>
          <w:b/>
        </w:rPr>
        <w:t>is not</w:t>
      </w:r>
      <w:r>
        <w:rPr/>
        <w:tab/>
        <w:t>(or any other negative verb in the indicative mood) indicates a statement of fact</w:t>
      </w:r>
    </w:p>
    <w:p>
      <w:pPr>
        <w:pStyle w:val="EX"/>
        <w:rPr/>
      </w:pPr>
      <w:r>
        <w:rPr/>
        <w:t>The constructions "is" and "is not" do not indicate requirements.</w:t>
      </w:r>
    </w:p>
    <w:p>
      <w:pPr>
        <w:pStyle w:val="B2"/>
        <w:rPr/>
      </w:pPr>
      <w:r>
        <w:rPr/>
      </w:r>
      <w:r>
        <w:br w:type="page"/>
      </w:r>
    </w:p>
    <w:p>
      <w:pPr>
        <w:pStyle w:val="Heading1"/>
        <w:ind w:left="1134" w:hanging="1134"/>
        <w:rPr/>
      </w:pPr>
      <w:bookmarkStart w:id="9" w:name="__RefHeading___Toc25753195"/>
      <w:bookmarkEnd w:id="9"/>
      <w:r>
        <w:rPr/>
        <w:t>1</w:t>
        <w:tab/>
        <w:t>Scope</w:t>
      </w:r>
    </w:p>
    <w:p>
      <w:pPr>
        <w:pStyle w:val="Normal"/>
        <w:rPr/>
      </w:pPr>
      <w:r>
        <w:rPr/>
        <w:t>The present document is part of a series of documents that specify charging functionality and charging management in 3GPP networks. The 3GPP core network charging architecture and principles are specified in TS 32.240 [1], which provides an umbrella for other charging management TSs that specify:</w:t>
      </w:r>
    </w:p>
    <w:p>
      <w:pPr>
        <w:pStyle w:val="B1"/>
        <w:rPr/>
      </w:pPr>
      <w:r>
        <w:rPr/>
        <w:t>-</w:t>
        <w:tab/>
        <w:t>the content of the CDRs per domain / subsystem / service (offline and converged charging);</w:t>
      </w:r>
    </w:p>
    <w:p>
      <w:pPr>
        <w:pStyle w:val="B1"/>
        <w:rPr/>
      </w:pPr>
      <w:r>
        <w:rPr/>
        <w:t>-</w:t>
        <w:tab/>
        <w:t>the content of real-time charging messages per domain / subsystem / service (online and converged charging);</w:t>
      </w:r>
    </w:p>
    <w:p>
      <w:pPr>
        <w:pStyle w:val="B1"/>
        <w:rPr/>
      </w:pPr>
      <w:r>
        <w:rPr/>
        <w:t>-</w:t>
        <w:tab/>
        <w:t>the functionality of online, offline and converged charging for those domains / subsystems / services;</w:t>
      </w:r>
    </w:p>
    <w:p>
      <w:pPr>
        <w:pStyle w:val="B1"/>
        <w:rPr/>
      </w:pPr>
      <w:r>
        <w:rPr/>
        <w:t>-</w:t>
        <w:tab/>
        <w:t>the interfaces that are used in the charging framework to transfer the charging information (i.e. CDRs or charging events).</w:t>
      </w:r>
    </w:p>
    <w:p>
      <w:pPr>
        <w:pStyle w:val="Normal"/>
        <w:rPr/>
      </w:pPr>
      <w:r>
        <w:rPr/>
        <w:t>The complete document structure for these TSs is defined in TS 32.240 [1].</w:t>
      </w:r>
    </w:p>
    <w:p>
      <w:pPr>
        <w:pStyle w:val="Normal"/>
        <w:rPr/>
      </w:pPr>
      <w:r>
        <w:rPr>
          <w:lang w:bidi="ar-IQ"/>
        </w:rPr>
        <w:t xml:space="preserve">The present document specifies the converged offline and online charging description for the </w:t>
      </w:r>
      <w:r>
        <w:rPr/>
        <w:t xml:space="preserve">5G connection and mobility domain </w:t>
      </w:r>
      <w:r>
        <w:rPr>
          <w:lang w:bidi="ar-IQ"/>
        </w:rPr>
        <w:t>based on the functional stage 2 description in TS 23.501 [200], TS 23.502 [201] and TS 23.503 [202].</w:t>
      </w:r>
    </w:p>
    <w:p>
      <w:pPr>
        <w:pStyle w:val="Normal"/>
        <w:rPr>
          <w:lang w:bidi="ar-IQ"/>
        </w:rPr>
      </w:pPr>
      <w:r>
        <w:rPr>
          <w:lang w:bidi="ar-IQ"/>
        </w:rPr>
        <w:t xml:space="preserve">This charging description includes the converged offline and online charging architecture and scenarios specific to the </w:t>
      </w:r>
      <w:r>
        <w:rPr/>
        <w:t xml:space="preserve">5G connection and mobility </w:t>
      </w:r>
      <w:r>
        <w:rPr>
          <w:lang w:bidi="ar-IQ"/>
        </w:rPr>
        <w:t xml:space="preserve">domain, </w:t>
      </w:r>
      <w:r>
        <w:rPr>
          <w:color w:val="000000"/>
          <w:lang w:bidi="ar-IQ"/>
        </w:rPr>
        <w:t xml:space="preserve">as well as the mapping of the common 3GPP charging architecture specified in </w:t>
      </w:r>
      <w:r>
        <w:rPr>
          <w:lang w:bidi="ar-IQ"/>
        </w:rPr>
        <w:t>TS</w:t>
      </w:r>
      <w:r>
        <w:rPr>
          <w:color w:val="000000"/>
          <w:lang w:bidi="ar-IQ"/>
        </w:rPr>
        <w:t xml:space="preserve"> 32.240 [1] onto the </w:t>
      </w:r>
      <w:r>
        <w:rPr/>
        <w:t>5G connection and mobility domain</w:t>
      </w:r>
      <w:r>
        <w:rPr>
          <w:lang w:bidi="ar-IQ"/>
        </w:rPr>
        <w:t xml:space="preserve">. </w:t>
      </w:r>
    </w:p>
    <w:p>
      <w:pPr>
        <w:pStyle w:val="Normal"/>
        <w:rPr/>
      </w:pPr>
      <w:r>
        <w:rPr>
          <w:lang w:bidi="ar-IQ"/>
        </w:rPr>
        <w:t xml:space="preserve">It further specifies the structure and content of the CDRs for offline charging, and the charging events for converged online and offline charging. </w:t>
      </w:r>
      <w:r>
        <w:rPr>
          <w:color w:val="000000"/>
          <w:lang w:bidi="ar-IQ"/>
        </w:rPr>
        <w:t xml:space="preserve">The present document is related to other 3GPP charging TSs as follows: </w:t>
      </w:r>
    </w:p>
    <w:p>
      <w:pPr>
        <w:pStyle w:val="B1"/>
        <w:rPr/>
      </w:pPr>
      <w:r>
        <w:rPr/>
        <w:t>-</w:t>
        <w:tab/>
        <w:t>The common 3GPP charging architecture is specified in TS 32.240 [1].</w:t>
      </w:r>
    </w:p>
    <w:p>
      <w:pPr>
        <w:pStyle w:val="B1"/>
        <w:rPr/>
      </w:pPr>
      <w:r>
        <w:rPr/>
        <w:t>-</w:t>
        <w:tab/>
        <w:t>The parameters, abstract syntax and encoding rules for the CDRs are specified in TS 32.298 [51].</w:t>
      </w:r>
    </w:p>
    <w:p>
      <w:pPr>
        <w:pStyle w:val="B1"/>
        <w:rPr/>
      </w:pPr>
      <w:r>
        <w:rPr/>
        <w:t>-</w:t>
        <w:tab/>
        <w:t>A transaction based mechanism for the transfer of CDRs within the network is specified in TS 32.295 [54].</w:t>
      </w:r>
    </w:p>
    <w:p>
      <w:pPr>
        <w:pStyle w:val="B1"/>
        <w:rPr/>
      </w:pPr>
      <w:r>
        <w:rPr/>
        <w:t>-</w:t>
        <w:tab/>
        <w:t>The file based mechanism used to transfer the CDRs from the network to the operator's billing domain (e.g. the billing system or a mediation device) is specified in TS 32.297 [52].</w:t>
      </w:r>
    </w:p>
    <w:p>
      <w:pPr>
        <w:pStyle w:val="B1"/>
        <w:rPr/>
      </w:pPr>
      <w:r>
        <w:rPr/>
        <w:t>-</w:t>
        <w:tab/>
        <w:t>The services, operations and procedures of charging, using Service Based Interface are specified in TS 32.290 [57].</w:t>
      </w:r>
    </w:p>
    <w:p>
      <w:pPr>
        <w:pStyle w:val="B1"/>
        <w:rPr/>
      </w:pPr>
      <w:r>
        <w:rPr/>
        <w:t>-</w:t>
        <w:tab/>
        <w:t xml:space="preserve">The charging service of 5G system is specified in TS 32.291 [58]. </w:t>
      </w:r>
    </w:p>
    <w:p>
      <w:pPr>
        <w:pStyle w:val="Normal"/>
        <w:rPr/>
      </w:pPr>
      <w:r>
        <w:rPr/>
        <w:t>All references, abbreviations, terms, descriptions, principles and requirements, used in the present document, that are common across 3GPP TSs, are defined in TR 21.905 [100]. Those that are common across charging management in 3GPP networks/domains, services or subsystems are provided in the umbrella TS 32.240 [1] and are copied into clause 3 of the present document for ease of reading. Finally, those items that are specific to the present document are defined exclusively in the present document.</w:t>
      </w:r>
    </w:p>
    <w:p>
      <w:pPr>
        <w:pStyle w:val="Heading1"/>
        <w:ind w:left="1134" w:hanging="1134"/>
        <w:rPr/>
      </w:pPr>
      <w:bookmarkStart w:id="10" w:name="__RefHeading___Toc25753196"/>
      <w:bookmarkEnd w:id="10"/>
      <w:r>
        <w:rPr/>
        <w:t>2</w:t>
        <w:tab/>
        <w:t>References</w:t>
      </w:r>
    </w:p>
    <w:p>
      <w:pPr>
        <w:pStyle w:val="Normal"/>
        <w:rPr/>
      </w:pPr>
      <w:r>
        <w:rPr/>
        <w:t>The following documents contain provisions which, through reference in this text, constitute provisions of the present document.</w:t>
      </w:r>
    </w:p>
    <w:p>
      <w:pPr>
        <w:pStyle w:val="B1"/>
        <w:rPr/>
      </w:pPr>
      <w:bookmarkStart w:id="11" w:name="OLE_LINK4"/>
      <w:bookmarkStart w:id="12" w:name="OLE_LINK3"/>
      <w:bookmarkStart w:id="13" w:name="OLE_LINK2"/>
      <w:bookmarkStart w:id="14" w:name="OLE_LINK1"/>
      <w:bookmarkEnd w:id="11"/>
      <w:bookmarkEnd w:id="12"/>
      <w:bookmarkEnd w:id="13"/>
      <w:bookmarkEnd w:id="14"/>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5" w:name="OLE_LINK4"/>
      <w:bookmarkStart w:id="16" w:name="OLE_LINK3"/>
      <w:bookmarkStart w:id="17" w:name="OLE_LINK2"/>
      <w:bookmarkStart w:id="18" w:name="OLE_LINK1"/>
      <w:bookmarkEnd w:id="15"/>
      <w:bookmarkEnd w:id="16"/>
      <w:bookmarkEnd w:id="17"/>
      <w:bookmarkEnd w:id="18"/>
      <w:r>
        <w:rPr/>
        <w:t>[1]</w:t>
        <w:tab/>
        <w:t>3GPP TS 32.240: "Telecommunication management; Charging management; Charging architecture and principles".</w:t>
      </w:r>
    </w:p>
    <w:p>
      <w:pPr>
        <w:pStyle w:val="EX"/>
        <w:rPr/>
      </w:pPr>
      <w:r>
        <w:rPr/>
        <w:t>[2] - [</w:t>
      </w:r>
      <w:r>
        <w:rPr>
          <w:lang w:val="en-US"/>
        </w:rPr>
        <w:t>50</w:t>
      </w:r>
      <w:r>
        <w:rPr/>
        <w:t>]</w:t>
        <w:tab/>
        <w:t>Void.</w:t>
      </w:r>
    </w:p>
    <w:p>
      <w:pPr>
        <w:pStyle w:val="EX"/>
        <w:rPr/>
      </w:pPr>
      <w:r>
        <w:rPr/>
        <w:t>[51]</w:t>
        <w:tab/>
        <w:t>3GPP TS 32.298: "Telecommunication management; Charging management; Charging Data Record (CDR) parameter description".</w:t>
      </w:r>
    </w:p>
    <w:p>
      <w:pPr>
        <w:pStyle w:val="EX"/>
        <w:rPr/>
      </w:pPr>
      <w:r>
        <w:rPr/>
        <w:t>[52]</w:t>
        <w:tab/>
        <w:t>3GPP TS 32.297: "Telecommunication management; Charging management; Charging Data Record (CDR) file format and transfer".</w:t>
      </w:r>
    </w:p>
    <w:p>
      <w:pPr>
        <w:pStyle w:val="EX"/>
        <w:rPr/>
      </w:pPr>
      <w:r>
        <w:rPr/>
        <w:t xml:space="preserve">[53] </w:t>
        <w:tab/>
        <w:t>Void.</w:t>
      </w:r>
    </w:p>
    <w:p>
      <w:pPr>
        <w:pStyle w:val="EX"/>
        <w:rPr/>
      </w:pPr>
      <w:r>
        <w:rPr/>
        <w:t>[54]</w:t>
        <w:tab/>
        <w:t>3GPP TS 32.295: "Telecommunication management; Charging management; Charging Data Record (CDR) transfer".</w:t>
      </w:r>
    </w:p>
    <w:p>
      <w:pPr>
        <w:pStyle w:val="EX"/>
        <w:rPr/>
      </w:pPr>
      <w:r>
        <w:rPr/>
        <w:t xml:space="preserve">[55-56] </w:t>
        <w:tab/>
        <w:t>Void.</w:t>
      </w:r>
    </w:p>
    <w:p>
      <w:pPr>
        <w:pStyle w:val="EX"/>
        <w:rPr/>
      </w:pPr>
      <w:r>
        <w:rPr/>
        <w:t>[57]</w:t>
        <w:tab/>
        <w:t>3GPP TS 32.290: "Telecommunication management; Charging management; 5G system; Services, operations and procedures of charging using Service Based Interface (SBI)".</w:t>
      </w:r>
    </w:p>
    <w:p>
      <w:pPr>
        <w:pStyle w:val="EX"/>
        <w:rPr/>
      </w:pPr>
      <w:r>
        <w:rPr/>
        <w:t>[58]</w:t>
        <w:tab/>
        <w:t>3GPP TS 32.291: "Telecommunication management; Charging management; 5G system; Charging service, stage 3".</w:t>
      </w:r>
    </w:p>
    <w:p>
      <w:pPr>
        <w:pStyle w:val="EX"/>
        <w:rPr/>
      </w:pPr>
      <w:r>
        <w:rPr/>
        <w:t>[59] - [99]</w:t>
        <w:tab/>
        <w:t>Void.</w:t>
      </w:r>
    </w:p>
    <w:p>
      <w:pPr>
        <w:pStyle w:val="EX"/>
        <w:rPr/>
      </w:pPr>
      <w:r>
        <w:rPr/>
        <w:t>[100]</w:t>
        <w:tab/>
        <w:t>3GPP TR 21.905: "Vocabulary for 3GPP Specifications".</w:t>
      </w:r>
    </w:p>
    <w:p>
      <w:pPr>
        <w:pStyle w:val="EX"/>
        <w:rPr/>
      </w:pPr>
      <w:r>
        <w:rPr/>
        <w:t>[101] - [199]</w:t>
        <w:tab/>
        <w:t>Void</w:t>
      </w:r>
    </w:p>
    <w:p>
      <w:pPr>
        <w:pStyle w:val="EX"/>
        <w:rPr/>
      </w:pPr>
      <w:r>
        <w:rPr/>
        <w:t>[200]</w:t>
        <w:tab/>
        <w:t>3GPP TS 23.501: "System Architecture for the 5G System (5GS)".</w:t>
      </w:r>
    </w:p>
    <w:p>
      <w:pPr>
        <w:pStyle w:val="EX"/>
        <w:rPr/>
      </w:pPr>
      <w:r>
        <w:rPr/>
        <w:t>[201]</w:t>
        <w:tab/>
        <w:t>3GPP TS 23.502: "Procedures for the 5G System (5GS)".</w:t>
      </w:r>
    </w:p>
    <w:p>
      <w:pPr>
        <w:pStyle w:val="EX"/>
        <w:rPr/>
      </w:pPr>
      <w:r>
        <w:rPr/>
        <w:t>[202]</w:t>
        <w:tab/>
        <w:t>3GPP TS 23.503: "Policy and Charging Control Framework for the 5G System; Stage 2".</w:t>
      </w:r>
    </w:p>
    <w:p>
      <w:pPr>
        <w:pStyle w:val="EX"/>
        <w:rPr/>
      </w:pPr>
      <w:r>
        <w:rPr/>
        <w:t>[203]</w:t>
        <w:tab/>
        <w:t>3GPP TS 38.413: "NG-RAN; NG Application Protocol (NGAP)".</w:t>
      </w:r>
    </w:p>
    <w:p>
      <w:pPr>
        <w:pStyle w:val="EX"/>
        <w:rPr/>
      </w:pPr>
      <w:r>
        <w:rPr/>
        <w:t>[204]</w:t>
        <w:tab/>
        <w:t>3GPP TS 29.413: "Application of the NG Application Protocol (NGAP) to non-3GPP access".</w:t>
      </w:r>
    </w:p>
    <w:p>
      <w:pPr>
        <w:pStyle w:val="EX"/>
        <w:rPr/>
      </w:pPr>
      <w:r>
        <w:rPr/>
        <w:t>[205] - [299]</w:t>
        <w:tab/>
        <w:t>Void</w:t>
      </w:r>
    </w:p>
    <w:p>
      <w:pPr>
        <w:pStyle w:val="EX"/>
        <w:rPr/>
      </w:pPr>
      <w:r>
        <w:rPr>
          <w:color w:val="000000"/>
        </w:rPr>
        <w:t xml:space="preserve">[300] - </w:t>
      </w:r>
      <w:r>
        <w:rPr/>
        <w:t>[399]</w:t>
        <w:tab/>
        <w:t>Void.</w:t>
      </w:r>
    </w:p>
    <w:p>
      <w:pPr>
        <w:pStyle w:val="EX"/>
        <w:rPr/>
      </w:pPr>
      <w:r>
        <w:rPr>
          <w:color w:val="000000"/>
        </w:rPr>
        <w:t>[400</w:t>
      </w:r>
      <w:r>
        <w:rPr/>
        <w:t>] - [</w:t>
      </w:r>
      <w:r>
        <w:rPr>
          <w:color w:val="000000"/>
        </w:rPr>
        <w:t>499]</w:t>
        <w:tab/>
        <w:t>Void.</w:t>
      </w:r>
    </w:p>
    <w:p>
      <w:pPr>
        <w:pStyle w:val="EX"/>
        <w:rPr/>
      </w:pPr>
      <w:r>
        <w:rPr/>
        <w:t>[500] - [599]</w:t>
        <w:tab/>
        <w:t>Void.</w:t>
      </w:r>
    </w:p>
    <w:p>
      <w:pPr>
        <w:pStyle w:val="Guidance"/>
        <w:rPr/>
      </w:pPr>
      <w:r>
        <w:rPr/>
      </w:r>
    </w:p>
    <w:p>
      <w:pPr>
        <w:pStyle w:val="Heading1"/>
        <w:ind w:left="1134" w:hanging="1134"/>
        <w:rPr/>
      </w:pPr>
      <w:bookmarkStart w:id="19" w:name="__RefHeading___Toc25753197"/>
      <w:bookmarkEnd w:id="19"/>
      <w:r>
        <w:rPr/>
        <w:t>3</w:t>
        <w:tab/>
        <w:t>Definitions of terms, symbols and abbreviations</w:t>
      </w:r>
    </w:p>
    <w:p>
      <w:pPr>
        <w:pStyle w:val="Heading2"/>
        <w:rPr/>
      </w:pPr>
      <w:bookmarkStart w:id="20" w:name="__RefHeading___Toc25753198"/>
      <w:bookmarkEnd w:id="20"/>
      <w:r>
        <w:rPr/>
        <w:t>3.1</w:t>
        <w:tab/>
        <w:t>Terms</w:t>
      </w:r>
    </w:p>
    <w:p>
      <w:pPr>
        <w:pStyle w:val="Normal"/>
        <w:rPr/>
      </w:pPr>
      <w:r>
        <w:rPr/>
        <w:t xml:space="preserve">For the purposes of the present document, the terms given in </w:t>
      </w:r>
      <w:bookmarkStart w:id="21" w:name="OLE_LINK8"/>
      <w:bookmarkStart w:id="22" w:name="OLE_LINK7"/>
      <w:bookmarkStart w:id="23" w:name="OLE_LINK6"/>
      <w:r>
        <w:rPr/>
        <w:t xml:space="preserve">3GPP </w:t>
      </w:r>
      <w:bookmarkEnd w:id="21"/>
      <w:bookmarkEnd w:id="22"/>
      <w:bookmarkEnd w:id="23"/>
      <w:r>
        <w:rPr/>
        <w:t>TR 21.905 [100] and the following apply. A term defined in the present document takes precedence over the definition of the same term, if any, in 3GPP TR 21.905 [100].</w:t>
      </w:r>
    </w:p>
    <w:p>
      <w:pPr>
        <w:pStyle w:val="Heading2"/>
        <w:rPr/>
      </w:pPr>
      <w:bookmarkStart w:id="24" w:name="__RefHeading___Toc25753199"/>
      <w:bookmarkEnd w:id="24"/>
      <w:r>
        <w:rPr/>
        <w:t>3.2</w:t>
        <w:tab/>
        <w:t>Symbols</w:t>
      </w:r>
    </w:p>
    <w:p>
      <w:pPr>
        <w:pStyle w:val="Normal"/>
        <w:keepNext w:val="true"/>
        <w:rPr/>
      </w:pPr>
      <w:r>
        <w:rPr/>
        <w:t>For the purposes of the present document, the following symbols apply:</w:t>
      </w:r>
    </w:p>
    <w:p>
      <w:pPr>
        <w:pStyle w:val="EW"/>
        <w:rPr/>
      </w:pPr>
      <w:r>
        <w:rPr/>
        <w:t>Bam</w:t>
        <w:tab/>
        <w:t>Reference point for the CDR file transfer from the 5G connection and mobility CGF to the BD.</w:t>
      </w:r>
    </w:p>
    <w:p>
      <w:pPr>
        <w:pStyle w:val="EW"/>
        <w:rPr/>
      </w:pPr>
      <w:r>
        <w:rPr/>
        <w:t>Ga</w:t>
        <w:tab/>
        <w:t>Reference point for CDR transfer between a CDF and the CGF.</w:t>
      </w:r>
    </w:p>
    <w:p>
      <w:pPr>
        <w:pStyle w:val="EW"/>
        <w:rPr/>
      </w:pPr>
      <w:r>
        <w:rPr/>
        <w:t>Nchf</w:t>
        <w:tab/>
        <w:t>Service based interface exhibited by CHF.</w:t>
      </w:r>
    </w:p>
    <w:p>
      <w:pPr>
        <w:pStyle w:val="EW"/>
        <w:rPr/>
      </w:pPr>
      <w:r>
        <w:rPr/>
        <w:t>N41</w:t>
        <w:tab/>
        <w:t>Reference point between AMF and the H-CHF.</w:t>
      </w:r>
    </w:p>
    <w:p>
      <w:pPr>
        <w:pStyle w:val="EW"/>
        <w:rPr/>
      </w:pPr>
      <w:r>
        <w:rPr/>
        <w:t>N42</w:t>
        <w:tab/>
        <w:t>Reference point between AMF and the V-CHF.</w:t>
      </w:r>
    </w:p>
    <w:p>
      <w:pPr>
        <w:pStyle w:val="EW"/>
        <w:rPr/>
      </w:pPr>
      <w:r>
        <w:rPr/>
      </w:r>
    </w:p>
    <w:p>
      <w:pPr>
        <w:pStyle w:val="Heading2"/>
        <w:rPr/>
      </w:pPr>
      <w:bookmarkStart w:id="25" w:name="__RefHeading___Toc25753200"/>
      <w:bookmarkEnd w:id="25"/>
      <w:r>
        <w:rPr/>
        <w:t>3.3</w:t>
        <w:tab/>
        <w:t>Abbreviations</w:t>
      </w:r>
    </w:p>
    <w:p>
      <w:pPr>
        <w:pStyle w:val="Normal"/>
        <w:keepNext w:val="true"/>
        <w:rPr/>
      </w:pPr>
      <w:bookmarkStart w:id="26" w:name="EDM_beginabb_"/>
      <w:bookmarkEnd w:id="26"/>
      <w:r>
        <w:rPr/>
        <w:t>For the purposes of the present document, the abbreviations given in 3GPP TR 21.905 [100] and the following apply. An abbreviation defined in the present document takes precedence over the definition of the same abbreviation, if any, in 3GPP TR 21.905 [100].</w:t>
      </w:r>
    </w:p>
    <w:p>
      <w:pPr>
        <w:pStyle w:val="EW"/>
        <w:rPr/>
      </w:pPr>
      <w:r>
        <w:rPr/>
        <w:t>5GC</w:t>
        <w:tab/>
        <w:t>5G Core Network</w:t>
      </w:r>
    </w:p>
    <w:p>
      <w:pPr>
        <w:pStyle w:val="EW"/>
        <w:rPr/>
      </w:pPr>
      <w:r>
        <w:rPr/>
        <w:t>5GS</w:t>
        <w:tab/>
        <w:t>5G System</w:t>
      </w:r>
    </w:p>
    <w:p>
      <w:pPr>
        <w:pStyle w:val="EW"/>
        <w:rPr/>
      </w:pPr>
      <w:r>
        <w:rPr/>
        <w:t>5G-AN</w:t>
        <w:tab/>
        <w:t>5G Access Network</w:t>
      </w:r>
    </w:p>
    <w:p>
      <w:pPr>
        <w:pStyle w:val="EW"/>
        <w:keepNext w:val="true"/>
        <w:rPr/>
      </w:pPr>
      <w:r>
        <w:rPr/>
        <w:t>AMF</w:t>
        <w:tab/>
        <w:t>Access and Mobility Management Function</w:t>
      </w:r>
    </w:p>
    <w:p>
      <w:pPr>
        <w:pStyle w:val="EW"/>
        <w:rPr/>
      </w:pPr>
      <w:r>
        <w:rPr/>
        <w:t>BD</w:t>
        <w:tab/>
        <w:t>Billing Domain</w:t>
      </w:r>
    </w:p>
    <w:p>
      <w:pPr>
        <w:pStyle w:val="EW"/>
        <w:rPr/>
      </w:pPr>
      <w:r>
        <w:rPr/>
        <w:t>CCS</w:t>
        <w:tab/>
        <w:t>Converged Charging System</w:t>
      </w:r>
    </w:p>
    <w:p>
      <w:pPr>
        <w:pStyle w:val="EW"/>
        <w:rPr/>
      </w:pPr>
      <w:r>
        <w:rPr/>
        <w:t>CDF</w:t>
        <w:tab/>
        <w:t>Charging Data Function</w:t>
      </w:r>
    </w:p>
    <w:p>
      <w:pPr>
        <w:pStyle w:val="EW"/>
        <w:rPr/>
      </w:pPr>
      <w:r>
        <w:rPr/>
        <w:t>CGF</w:t>
        <w:tab/>
        <w:t>Charging Gateway Function</w:t>
      </w:r>
    </w:p>
    <w:p>
      <w:pPr>
        <w:pStyle w:val="EW"/>
        <w:rPr/>
      </w:pPr>
      <w:r>
        <w:rPr/>
        <w:t>CHF</w:t>
        <w:tab/>
        <w:t>Charging Function</w:t>
      </w:r>
    </w:p>
    <w:p>
      <w:pPr>
        <w:pStyle w:val="EW"/>
        <w:rPr/>
      </w:pPr>
      <w:r>
        <w:rPr/>
        <w:t>CTF</w:t>
        <w:tab/>
        <w:t>Charging Trigger Function</w:t>
      </w:r>
    </w:p>
    <w:p>
      <w:pPr>
        <w:pStyle w:val="EW"/>
        <w:rPr/>
      </w:pPr>
      <w:r>
        <w:rPr/>
        <w:t>DNN</w:t>
        <w:tab/>
        <w:t>Data Network Name</w:t>
      </w:r>
    </w:p>
    <w:p>
      <w:pPr>
        <w:pStyle w:val="EW"/>
        <w:rPr>
          <w:lang w:val="en-US" w:eastAsia="en-US"/>
        </w:rPr>
      </w:pPr>
      <w:r>
        <w:rPr>
          <w:lang w:val="en-US" w:eastAsia="en-US"/>
        </w:rPr>
        <w:t>ECUR</w:t>
        <w:tab/>
        <w:t>Event Charging with Unit Reservation</w:t>
      </w:r>
    </w:p>
    <w:p>
      <w:pPr>
        <w:pStyle w:val="EW"/>
        <w:rPr/>
      </w:pPr>
      <w:r>
        <w:rPr/>
        <w:t>GPSI</w:t>
        <w:tab/>
        <w:t>Generic Public Subscription Identifier</w:t>
      </w:r>
    </w:p>
    <w:p>
      <w:pPr>
        <w:pStyle w:val="EW"/>
        <w:rPr/>
      </w:pPr>
      <w:r>
        <w:rPr/>
        <w:t>H-CHF</w:t>
        <w:tab/>
        <w:t>A CHF in HPLMN</w:t>
      </w:r>
    </w:p>
    <w:p>
      <w:pPr>
        <w:pStyle w:val="EW"/>
        <w:rPr>
          <w:lang w:val="en-US" w:eastAsia="en-US"/>
        </w:rPr>
      </w:pPr>
      <w:r>
        <w:rPr>
          <w:lang w:val="en-US" w:eastAsia="en-US"/>
        </w:rPr>
        <w:t>IEC</w:t>
        <w:tab/>
        <w:t>Immediate Event Charging</w:t>
      </w:r>
    </w:p>
    <w:p>
      <w:pPr>
        <w:pStyle w:val="EW"/>
        <w:rPr/>
      </w:pPr>
      <w:r>
        <w:rPr/>
        <w:t>GUAMI</w:t>
        <w:tab/>
        <w:t>Globally Unique AMF Identifier</w:t>
      </w:r>
    </w:p>
    <w:p>
      <w:pPr>
        <w:pStyle w:val="EW"/>
        <w:rPr/>
      </w:pPr>
      <w:r>
        <w:rPr/>
        <w:t>MICO</w:t>
        <w:tab/>
        <w:t>Mobile Initiated Connection Only</w:t>
      </w:r>
    </w:p>
    <w:p>
      <w:pPr>
        <w:pStyle w:val="EW"/>
        <w:rPr/>
      </w:pPr>
      <w:r>
        <w:rPr/>
        <w:t>N3IWF</w:t>
        <w:tab/>
        <w:t>Non-3GPP InterWorking Function</w:t>
      </w:r>
    </w:p>
    <w:p>
      <w:pPr>
        <w:pStyle w:val="EW"/>
        <w:rPr/>
      </w:pPr>
      <w:r>
        <w:rPr/>
        <w:t>NF</w:t>
        <w:tab/>
        <w:t>Network Function</w:t>
      </w:r>
    </w:p>
    <w:p>
      <w:pPr>
        <w:pStyle w:val="EW"/>
        <w:rPr/>
      </w:pPr>
      <w:r>
        <w:rPr/>
        <w:t>NRF</w:t>
        <w:tab/>
        <w:t>Network Repository Function</w:t>
      </w:r>
    </w:p>
    <w:p>
      <w:pPr>
        <w:pStyle w:val="EW"/>
        <w:rPr/>
      </w:pPr>
      <w:r>
        <w:rPr/>
        <w:t>PEC</w:t>
        <w:tab/>
        <w:t>Post Event Charging</w:t>
      </w:r>
    </w:p>
    <w:p>
      <w:pPr>
        <w:pStyle w:val="EW"/>
        <w:rPr/>
      </w:pPr>
      <w:r>
        <w:rPr>
          <w:lang w:val="en-US" w:eastAsia="zh-CN"/>
        </w:rPr>
        <w:t>PEI</w:t>
        <w:tab/>
        <w:t>Permanent Equipment Identifier</w:t>
      </w:r>
    </w:p>
    <w:p>
      <w:pPr>
        <w:pStyle w:val="EW"/>
        <w:rPr/>
      </w:pPr>
      <w:r>
        <w:rPr>
          <w:lang w:val="en-US"/>
        </w:rPr>
        <w:t>SUPI</w:t>
        <w:tab/>
        <w:t>Subscription Permanent Identifier</w:t>
      </w:r>
    </w:p>
    <w:p>
      <w:pPr>
        <w:pStyle w:val="EW"/>
        <w:rPr/>
      </w:pPr>
      <w:r>
        <w:rPr/>
        <w:t>UDM</w:t>
        <w:tab/>
        <w:t>Unified Data Management</w:t>
      </w:r>
    </w:p>
    <w:p>
      <w:pPr>
        <w:pStyle w:val="EW"/>
        <w:rPr/>
      </w:pPr>
      <w:r>
        <w:rPr/>
        <w:t>UDR</w:t>
        <w:tab/>
        <w:t>Unified Data Repository</w:t>
      </w:r>
    </w:p>
    <w:p>
      <w:pPr>
        <w:pStyle w:val="EW"/>
        <w:rPr/>
      </w:pPr>
      <w:r>
        <w:rPr/>
        <w:t>V-CHF</w:t>
        <w:tab/>
        <w:t>A CHF in VPLMN</w:t>
      </w:r>
    </w:p>
    <w:p>
      <w:pPr>
        <w:pStyle w:val="EW"/>
        <w:rPr/>
      </w:pPr>
      <w:r>
        <w:rPr/>
      </w:r>
    </w:p>
    <w:p>
      <w:pPr>
        <w:pStyle w:val="Heading1"/>
        <w:ind w:left="1134" w:hanging="1134"/>
        <w:rPr/>
      </w:pPr>
      <w:bookmarkStart w:id="27" w:name="__RefHeading___Toc25753201"/>
      <w:bookmarkEnd w:id="27"/>
      <w:r>
        <w:rPr/>
        <w:t>4</w:t>
        <w:tab/>
        <w:t>Architecture considerations</w:t>
      </w:r>
    </w:p>
    <w:p>
      <w:pPr>
        <w:pStyle w:val="Heading2"/>
        <w:rPr>
          <w:lang w:bidi="ar-IQ"/>
        </w:rPr>
      </w:pPr>
      <w:bookmarkStart w:id="28" w:name="__RefHeading___Toc25753202"/>
      <w:bookmarkEnd w:id="28"/>
      <w:r>
        <w:rPr/>
        <w:t>4.1</w:t>
        <w:tab/>
      </w:r>
      <w:r>
        <w:rPr>
          <w:lang w:bidi="ar-IQ"/>
        </w:rPr>
        <w:t>High-level 5G System architecture</w:t>
      </w:r>
    </w:p>
    <w:p>
      <w:pPr>
        <w:pStyle w:val="Heading3"/>
        <w:rPr/>
      </w:pPr>
      <w:bookmarkStart w:id="29" w:name="__RefHeading___Toc25753203"/>
      <w:bookmarkEnd w:id="29"/>
      <w:r>
        <w:rPr/>
        <w:t>4.1.1</w:t>
        <w:tab/>
        <w:t>Non-roaming reference architecture</w:t>
      </w:r>
    </w:p>
    <w:p>
      <w:pPr>
        <w:pStyle w:val="Normal"/>
        <w:rPr/>
      </w:pPr>
      <w:r>
        <w:rPr/>
        <w:t xml:space="preserve">Figure 4.1.1.1 shows the 5G System high level architecture in the </w:t>
      </w:r>
      <w:r>
        <w:rPr>
          <w:lang w:eastAsia="zh-CN"/>
        </w:rPr>
        <w:t xml:space="preserve">service-based representation, </w:t>
      </w:r>
      <w:r>
        <w:rPr/>
        <w:t xml:space="preserve">as defined in TS 23.501 [200], with AMF encompassing 5G registration, connection and mobility management functionalities: </w:t>
      </w:r>
    </w:p>
    <w:p>
      <w:pPr>
        <w:pStyle w:val="TH"/>
        <w:rPr/>
      </w:pPr>
      <w:r>
        <w:rPr/>
        <w:drawing>
          <wp:inline distT="0" distB="0" distL="0" distR="0">
            <wp:extent cx="3895725" cy="174498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6"/>
                    <a:srcRect l="-9" t="-20" r="-9" b="-20"/>
                    <a:stretch>
                      <a:fillRect/>
                    </a:stretch>
                  </pic:blipFill>
                  <pic:spPr bwMode="auto">
                    <a:xfrm>
                      <a:off x="0" y="0"/>
                      <a:ext cx="3895725" cy="1744980"/>
                    </a:xfrm>
                    <a:prstGeom prst="rect">
                      <a:avLst/>
                    </a:prstGeom>
                  </pic:spPr>
                </pic:pic>
              </a:graphicData>
            </a:graphic>
          </wp:inline>
        </w:drawing>
      </w:r>
    </w:p>
    <w:p>
      <w:pPr>
        <w:pStyle w:val="Normal"/>
        <w:keepLines/>
        <w:spacing w:before="0" w:after="240"/>
        <w:jc w:val="center"/>
        <w:rPr/>
      </w:pPr>
      <w:r>
        <w:rPr>
          <w:rFonts w:cs="Arial" w:ascii="Arial" w:hAnsi="Arial"/>
          <w:b/>
        </w:rPr>
        <w:t>Figure 4.1.1.1: 5G System architecture</w:t>
      </w:r>
    </w:p>
    <w:p>
      <w:pPr>
        <w:pStyle w:val="Heading3"/>
        <w:rPr/>
      </w:pPr>
      <w:bookmarkStart w:id="30" w:name="__RefHeading___Toc25753204"/>
      <w:bookmarkEnd w:id="30"/>
      <w:r>
        <w:rPr/>
        <w:t>4.1.2</w:t>
        <w:tab/>
        <w:t>Roaming reference architecture</w:t>
      </w:r>
    </w:p>
    <w:p>
      <w:pPr>
        <w:pStyle w:val="Normal"/>
        <w:rPr/>
      </w:pPr>
      <w:r>
        <w:rPr/>
        <w:t xml:space="preserve">Figure 4.1.2.1 shows the 5G System roaming architecture with local breakout in the service-based </w:t>
      </w:r>
      <w:r>
        <w:rPr>
          <w:lang w:eastAsia="zh-CN"/>
        </w:rPr>
        <w:t xml:space="preserve">representation, </w:t>
      </w:r>
      <w:r>
        <w:rPr/>
        <w:t xml:space="preserve">as defined in TS 23.501 [200], with AMF encompassing 5G registration, connection and mobility management functionalities: </w:t>
      </w:r>
    </w:p>
    <w:p>
      <w:pPr>
        <w:pStyle w:val="TH"/>
        <w:rPr/>
      </w:pPr>
      <w:r>
        <w:rPr/>
        <w:object w:dxaOrig="9450" w:dyaOrig="3855">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72.95pt;height:192.55pt" filled="f" o:ole="">
            <v:imagedata r:id="rId8" o:title=""/>
          </v:shape>
          <o:OLEObject Type="Embed" ProgID="" ShapeID="ole_rId7" DrawAspect="Content" ObjectID="_368660159" r:id="rId7"/>
        </w:object>
      </w:r>
    </w:p>
    <w:p>
      <w:pPr>
        <w:pStyle w:val="TF"/>
        <w:rPr/>
      </w:pPr>
      <w:r>
        <w:rPr/>
        <w:t>Figure 4.1.2.1: Roaming 5G System architecture- local breakout scenario in service-based interface representation</w:t>
      </w:r>
    </w:p>
    <w:p>
      <w:pPr>
        <w:pStyle w:val="Normal"/>
        <w:rPr/>
      </w:pPr>
      <w:r>
        <w:rPr/>
        <w:t xml:space="preserve">Figure 4.1.2.2 shows the 5G System roaming architecture in the case of home routed scenario the service-based </w:t>
      </w:r>
      <w:r>
        <w:rPr>
          <w:lang w:eastAsia="zh-CN"/>
        </w:rPr>
        <w:t xml:space="preserve">representation, </w:t>
      </w:r>
      <w:r>
        <w:rPr/>
        <w:t>as defined in TS 23.501 [200], with AMF encompassing 5G registration, connection and mobility management functionalities:</w:t>
      </w:r>
    </w:p>
    <w:p>
      <w:pPr>
        <w:pStyle w:val="TH"/>
        <w:rPr/>
      </w:pPr>
      <w:r>
        <w:rPr/>
        <w:object w:dxaOrig="9510" w:dyaOrig="3735">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75.95pt;height:186.55pt" filled="f" o:ole="">
            <v:imagedata r:id="rId10" o:title=""/>
          </v:shape>
          <o:OLEObject Type="Embed" ProgID="" ShapeID="ole_rId9" DrawAspect="Content" ObjectID="_984187477" r:id="rId9"/>
        </w:object>
      </w:r>
    </w:p>
    <w:p>
      <w:pPr>
        <w:pStyle w:val="TF"/>
        <w:tabs>
          <w:tab w:val="clear" w:pos="284"/>
          <w:tab w:val="left" w:pos="1276" w:leader="none"/>
        </w:tabs>
        <w:rPr/>
      </w:pPr>
      <w:r>
        <w:rPr/>
        <w:t>Figure 4.1.2.2: Roaming 5G System architecture - home routed scenario in service-based interface representation</w:t>
      </w:r>
    </w:p>
    <w:p>
      <w:pPr>
        <w:pStyle w:val="Normal"/>
        <w:rPr/>
      </w:pPr>
      <w:r>
        <w:rPr/>
      </w:r>
    </w:p>
    <w:p>
      <w:pPr>
        <w:pStyle w:val="Heading2"/>
        <w:rPr>
          <w:lang w:bidi="ar-IQ"/>
        </w:rPr>
      </w:pPr>
      <w:bookmarkStart w:id="31" w:name="__RefHeading___Toc25753205"/>
      <w:bookmarkEnd w:id="31"/>
      <w:r>
        <w:rPr/>
        <w:t>4.2</w:t>
        <w:tab/>
        <w:t>5G connection and mobility</w:t>
      </w:r>
      <w:r>
        <w:rPr>
          <w:lang w:bidi="ar-IQ"/>
        </w:rPr>
        <w:t xml:space="preserve"> domain converged charging architecture</w:t>
      </w:r>
    </w:p>
    <w:p>
      <w:pPr>
        <w:pStyle w:val="Heading3"/>
        <w:rPr/>
      </w:pPr>
      <w:bookmarkStart w:id="32" w:name="__RefHeading___Toc25753206"/>
      <w:r>
        <w:rPr/>
        <w:t>4.2.1</w:t>
        <w:tab/>
        <w:t>Non-roaming</w:t>
      </w:r>
      <w:bookmarkEnd w:id="32"/>
      <w:r>
        <w:rPr/>
        <w:t xml:space="preserve"> </w:t>
      </w:r>
    </w:p>
    <w:p>
      <w:pPr>
        <w:pStyle w:val="Normal"/>
        <w:keepNext w:val="true"/>
        <w:rPr/>
      </w:pPr>
      <w:r>
        <w:rPr>
          <w:lang w:bidi="ar-IQ"/>
        </w:rPr>
        <w:t xml:space="preserve">Architectural options for </w:t>
      </w:r>
      <w:r>
        <w:rPr/>
        <w:t>5G connection and mobility</w:t>
      </w:r>
      <w:r>
        <w:rPr>
          <w:lang w:bidi="ar-IQ"/>
        </w:rPr>
        <w:t xml:space="preserve"> </w:t>
      </w:r>
      <w:r>
        <w:rPr/>
        <w:t xml:space="preserve">converged charging achieved by </w:t>
      </w:r>
      <w:r>
        <w:rPr>
          <w:lang w:bidi="ar-IQ"/>
        </w:rPr>
        <w:t xml:space="preserve">AMF embedding the CTF, </w:t>
      </w:r>
      <w:r>
        <w:rPr/>
        <w:t>are depicted in figure 4.2.1.1.</w:t>
      </w:r>
    </w:p>
    <w:p>
      <w:pPr>
        <w:pStyle w:val="TH"/>
        <w:rPr>
          <w:lang w:bidi="ar-IQ"/>
        </w:rPr>
      </w:pPr>
      <w:r>
        <w:rPr>
          <w:lang w:bidi="ar-IQ"/>
        </w:rPr>
        <w:object w:dxaOrig="8354" w:dyaOrig="5099">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17.7pt;height:255pt" filled="f" o:ole="">
            <v:imagedata r:id="rId12" o:title=""/>
          </v:shape>
          <o:OLEObject Type="Embed" ProgID="" ShapeID="ole_rId11" DrawAspect="Content" ObjectID="_1319498996" r:id="rId11"/>
        </w:object>
      </w:r>
    </w:p>
    <w:p>
      <w:pPr>
        <w:pStyle w:val="TF"/>
        <w:rPr/>
      </w:pPr>
      <w:r>
        <w:rPr/>
        <w:t>Figure 4.2.1.1: 5G connection and mobility converged charging architecture</w:t>
      </w:r>
    </w:p>
    <w:p>
      <w:pPr>
        <w:pStyle w:val="Normal"/>
        <w:rPr/>
      </w:pPr>
      <w:r>
        <w:rPr/>
        <w:t xml:space="preserve">Details on the interfaces and functions can be found in TS 32.240 [1] for the general architecture components. Ga is described in clause 5.2.4 and Bam in clause 5.2.5 of the present document, and Nchf is described in TS 32.290 [57]. </w:t>
      </w:r>
    </w:p>
    <w:p>
      <w:pPr>
        <w:pStyle w:val="Heading3"/>
        <w:rPr/>
      </w:pPr>
      <w:bookmarkStart w:id="33" w:name="__RefHeading___Toc25753207"/>
      <w:r>
        <w:rPr/>
        <w:t>4.2.2</w:t>
        <w:tab/>
        <w:t>Roaming</w:t>
      </w:r>
      <w:bookmarkEnd w:id="33"/>
      <w:r>
        <w:rPr/>
        <w:t xml:space="preserve"> </w:t>
      </w:r>
    </w:p>
    <w:p>
      <w:pPr>
        <w:pStyle w:val="Normal"/>
        <w:rPr/>
      </w:pPr>
      <w:r>
        <w:rPr/>
        <w:t xml:space="preserve">Figure 4.2.2.1 shows the 5G connection and mobility converged charging architecture in roaming service based representation: </w:t>
      </w:r>
    </w:p>
    <w:p>
      <w:pPr>
        <w:pStyle w:val="TH"/>
        <w:rPr/>
      </w:pPr>
      <w:r>
        <w:rPr/>
        <w:object w:dxaOrig="6848" w:dyaOrig="2738">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21.85pt;height:183.55pt" filled="f" o:ole="">
            <v:imagedata r:id="rId14" o:title=""/>
          </v:shape>
          <o:OLEObject Type="Embed" ProgID="" ShapeID="ole_rId13" DrawAspect="Content" ObjectID="_273050078" r:id="rId13"/>
        </w:object>
      </w:r>
    </w:p>
    <w:p>
      <w:pPr>
        <w:pStyle w:val="TF"/>
        <w:rPr/>
      </w:pPr>
      <w:r>
        <w:rPr/>
        <w:t>Figure 4.2.2.1: 5G connection and mobility converged charging architecture in roaming</w:t>
      </w:r>
    </w:p>
    <w:p>
      <w:pPr>
        <w:pStyle w:val="Normal"/>
        <w:keepNext w:val="true"/>
        <w:rPr/>
      </w:pPr>
      <w:r>
        <w:rPr>
          <w:lang w:bidi="ar-IQ"/>
        </w:rPr>
        <w:t xml:space="preserve">The architectural options of </w:t>
      </w:r>
      <w:r>
        <w:rPr/>
        <w:t>figure 4.2.1.1 apply with AMF located in VPLMN, V-CHF and corresponding Billing domain/CGF located in VPLMN.</w:t>
      </w:r>
    </w:p>
    <w:p>
      <w:pPr>
        <w:pStyle w:val="Normal"/>
        <w:keepNext w:val="true"/>
        <w:rPr/>
      </w:pPr>
      <w:r>
        <w:rPr>
          <w:lang w:bidi="ar-IQ"/>
        </w:rPr>
        <w:t xml:space="preserve">The architectural options of </w:t>
      </w:r>
      <w:r>
        <w:rPr/>
        <w:t>figure 4.2.1.1 apply with AMF located in VPLMN, H-CHF and corresponding Billing domain/CGF located HPLMN. The Security Edge Protection Proxy (SEPP) specified in TS 23.501 [200] is used for inter-PLMN Nchf.</w:t>
      </w:r>
    </w:p>
    <w:p>
      <w:pPr>
        <w:pStyle w:val="Normal"/>
        <w:rPr/>
      </w:pPr>
      <w:r>
        <w:rPr/>
        <w:t xml:space="preserve">Figure 4.2.2.2 shows the 5G connection and mobility converged charging architecture in roaming, reference point representation: </w:t>
      </w:r>
    </w:p>
    <w:p>
      <w:pPr>
        <w:pStyle w:val="TH"/>
        <w:rPr/>
      </w:pPr>
      <w:r>
        <w:rPr/>
        <w:object w:dxaOrig="10998" w:dyaOrig="600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30.1pt;height:180pt" filled="f" o:ole="">
            <v:imagedata r:id="rId16" o:title=""/>
          </v:shape>
          <o:OLEObject Type="Embed" ProgID="" ShapeID="ole_rId15" DrawAspect="Content" ObjectID="_827856923" r:id="rId15"/>
        </w:object>
      </w:r>
    </w:p>
    <w:p>
      <w:pPr>
        <w:pStyle w:val="TF"/>
        <w:rPr/>
      </w:pPr>
      <w:r>
        <w:rPr/>
        <w:t>Figure 4.2.2.2: 5G connection and mobility converged charging architecture in roaming - reference point representation</w:t>
      </w:r>
    </w:p>
    <w:p>
      <w:pPr>
        <w:pStyle w:val="Normal"/>
        <w:keepNext w:val="true"/>
        <w:rPr/>
      </w:pPr>
      <w:r>
        <w:rPr/>
      </w:r>
    </w:p>
    <w:p>
      <w:pPr>
        <w:pStyle w:val="Normal"/>
        <w:rPr>
          <w:rFonts w:eastAsia="DengXian;DengXian"/>
        </w:rPr>
      </w:pPr>
      <w:r>
        <w:rPr>
          <w:rFonts w:eastAsia="DengXian;DengXian"/>
        </w:rPr>
        <w:t>The N41 reference point is defined for the interactions between AMF and H-CHF in the reference point representation.</w:t>
      </w:r>
    </w:p>
    <w:p>
      <w:pPr>
        <w:pStyle w:val="Normal"/>
        <w:rPr/>
      </w:pPr>
      <w:r>
        <w:rPr>
          <w:rFonts w:eastAsia="DengXian;DengXian"/>
        </w:rPr>
        <w:t>The N42 reference point is defined for the interactions between AMF and V-CHF in the reference point representation.</w:t>
      </w:r>
    </w:p>
    <w:p>
      <w:pPr>
        <w:pStyle w:val="Normal"/>
        <w:rPr>
          <w:rFonts w:eastAsia="DengXian;DengXian"/>
        </w:rPr>
      </w:pPr>
      <w:r>
        <w:rPr>
          <w:rFonts w:eastAsia="DengXian;DengXian"/>
        </w:rPr>
      </w:r>
    </w:p>
    <w:p>
      <w:pPr>
        <w:pStyle w:val="Heading1"/>
        <w:ind w:left="1134" w:hanging="1134"/>
        <w:rPr/>
      </w:pPr>
      <w:bookmarkStart w:id="34" w:name="__RefHeading___Toc25753208"/>
      <w:bookmarkEnd w:id="34"/>
      <w:r>
        <w:rPr>
          <w:lang w:eastAsia="zh-CN"/>
        </w:rPr>
        <w:t>5</w:t>
        <w:tab/>
      </w:r>
      <w:r>
        <w:rPr>
          <w:lang w:bidi="ar-IQ"/>
        </w:rPr>
        <w:t xml:space="preserve">5G </w:t>
      </w:r>
      <w:r>
        <w:rPr/>
        <w:t>connection and mobility charging principles and scenarios</w:t>
      </w:r>
    </w:p>
    <w:p>
      <w:pPr>
        <w:pStyle w:val="Heading2"/>
        <w:rPr/>
      </w:pPr>
      <w:bookmarkStart w:id="35" w:name="__RefHeading___Toc25753209"/>
      <w:bookmarkEnd w:id="35"/>
      <w:r>
        <w:rPr>
          <w:lang w:eastAsia="zh-CN"/>
        </w:rPr>
        <w:t>5.1</w:t>
        <w:tab/>
      </w:r>
      <w:r>
        <w:rPr>
          <w:lang w:bidi="ar-IQ"/>
        </w:rPr>
        <w:t xml:space="preserve">5G </w:t>
      </w:r>
      <w:r>
        <w:rPr/>
        <w:t>connection and mobility charging principles</w:t>
      </w:r>
    </w:p>
    <w:p>
      <w:pPr>
        <w:pStyle w:val="Heading3"/>
        <w:rPr/>
      </w:pPr>
      <w:bookmarkStart w:id="36" w:name="__RefHeading___Toc25753210"/>
      <w:bookmarkEnd w:id="36"/>
      <w:r>
        <w:rPr>
          <w:lang w:bidi="ar-IQ"/>
        </w:rPr>
        <w:t>5.1.1</w:t>
        <w:tab/>
        <w:t>General</w:t>
      </w:r>
    </w:p>
    <w:p>
      <w:pPr>
        <w:pStyle w:val="Normal"/>
        <w:rPr>
          <w:lang w:bidi="ar-IQ"/>
        </w:rPr>
      </w:pPr>
      <w:r>
        <w:rPr>
          <w:lang w:bidi="ar-IQ"/>
        </w:rPr>
        <w:t>The charging functions specified for the 5G connection and mobility charging, are based on functionalities supported by AMF specified in TS 23.501 [200]:</w:t>
      </w:r>
    </w:p>
    <w:p>
      <w:pPr>
        <w:pStyle w:val="B1"/>
        <w:rPr/>
      </w:pPr>
      <w:r>
        <w:rPr>
          <w:lang w:bidi="ar-IQ"/>
        </w:rPr>
        <w:t>-</w:t>
        <w:tab/>
        <w:t>Registration Management;</w:t>
      </w:r>
    </w:p>
    <w:p>
      <w:pPr>
        <w:pStyle w:val="B1"/>
        <w:rPr>
          <w:lang w:bidi="ar-IQ"/>
        </w:rPr>
      </w:pPr>
      <w:r>
        <w:rPr>
          <w:lang w:bidi="ar-IQ"/>
        </w:rPr>
        <w:t>-</w:t>
        <w:tab/>
      </w:r>
      <w:r>
        <w:rPr/>
        <w:t>Connection Management</w:t>
      </w:r>
      <w:r>
        <w:rPr>
          <w:lang w:bidi="ar-IQ"/>
        </w:rPr>
        <w:t>;</w:t>
      </w:r>
    </w:p>
    <w:p>
      <w:pPr>
        <w:pStyle w:val="B1"/>
        <w:rPr>
          <w:lang w:bidi="ar-IQ"/>
        </w:rPr>
      </w:pPr>
      <w:r>
        <w:rPr>
          <w:lang w:bidi="ar-IQ"/>
        </w:rPr>
        <w:t>-</w:t>
        <w:tab/>
      </w:r>
      <w:r>
        <w:rPr/>
        <w:t>Location Reporting</w:t>
      </w:r>
      <w:r>
        <w:rPr>
          <w:lang w:bidi="ar-IQ"/>
        </w:rPr>
        <w:t>.</w:t>
      </w:r>
    </w:p>
    <w:p>
      <w:pPr>
        <w:pStyle w:val="Normal"/>
        <w:rPr>
          <w:lang w:bidi="ar-IQ"/>
        </w:rPr>
      </w:pPr>
      <w:r>
        <w:rPr>
          <w:lang w:bidi="ar-IQ"/>
        </w:rPr>
        <w:t>Location Reporting is applicable to NG-RAN only.</w:t>
      </w:r>
    </w:p>
    <w:p>
      <w:pPr>
        <w:pStyle w:val="Heading3"/>
        <w:rPr/>
      </w:pPr>
      <w:bookmarkStart w:id="37" w:name="__RefHeading___Toc25753211"/>
      <w:r>
        <w:rPr>
          <w:lang w:eastAsia="zh-CN"/>
        </w:rPr>
        <w:t>5.1.2</w:t>
        <w:tab/>
      </w:r>
      <w:r>
        <w:rPr>
          <w:lang w:bidi="ar-IQ"/>
        </w:rPr>
        <w:t>Requirements</w:t>
      </w:r>
      <w:bookmarkEnd w:id="37"/>
      <w:r>
        <w:rPr>
          <w:lang w:bidi="ar-IQ"/>
        </w:rPr>
        <w:t xml:space="preserve"> </w:t>
      </w:r>
    </w:p>
    <w:p>
      <w:pPr>
        <w:pStyle w:val="Normal"/>
        <w:rPr>
          <w:lang w:bidi="ar-IQ"/>
        </w:rPr>
      </w:pPr>
      <w:r>
        <w:rPr>
          <w:lang w:bidi="ar-IQ"/>
        </w:rPr>
        <w:t>The following are high-level charging requirements specific to the 5G connection and mobility charging:</w:t>
      </w:r>
    </w:p>
    <w:p>
      <w:pPr>
        <w:pStyle w:val="B1"/>
        <w:rPr/>
      </w:pPr>
      <w:r>
        <w:rPr>
          <w:lang w:bidi="ar-IQ"/>
        </w:rPr>
        <w:t>-</w:t>
        <w:tab/>
        <w:t>The AMF shall support converged online and offline charging using service based interface.</w:t>
      </w:r>
    </w:p>
    <w:p>
      <w:pPr>
        <w:pStyle w:val="B1"/>
        <w:rPr>
          <w:lang w:bidi="ar-IQ"/>
        </w:rPr>
      </w:pPr>
      <w:r>
        <w:rPr>
          <w:lang w:bidi="ar-IQ"/>
        </w:rPr>
        <w:t>-</w:t>
        <w:tab/>
        <w:t xml:space="preserve">The AMF shall </w:t>
      </w:r>
      <w:r>
        <w:rPr/>
        <w:t>collect charging information</w:t>
      </w:r>
      <w:r>
        <w:rPr>
          <w:lang w:bidi="ar-IQ"/>
        </w:rPr>
        <w:t xml:space="preserve"> per UE registration </w:t>
      </w:r>
      <w:r>
        <w:rPr/>
        <w:t>to the 5GS</w:t>
      </w:r>
      <w:r>
        <w:rPr>
          <w:lang w:bidi="ar-IQ"/>
        </w:rPr>
        <w:t xml:space="preserve">.  </w:t>
      </w:r>
    </w:p>
    <w:p>
      <w:pPr>
        <w:pStyle w:val="B1"/>
        <w:rPr>
          <w:lang w:bidi="ar-IQ"/>
        </w:rPr>
      </w:pPr>
      <w:r>
        <w:rPr>
          <w:lang w:bidi="ar-IQ"/>
        </w:rPr>
        <w:t>-</w:t>
        <w:tab/>
        <w:t xml:space="preserve">The AMF shall </w:t>
      </w:r>
      <w:r>
        <w:rPr/>
        <w:t>collect charging information</w:t>
      </w:r>
      <w:r>
        <w:rPr>
          <w:lang w:bidi="ar-IQ"/>
        </w:rPr>
        <w:t xml:space="preserve"> per UE </w:t>
      </w:r>
      <w:r>
        <w:rPr>
          <w:lang w:eastAsia="zh-CN"/>
        </w:rPr>
        <w:t>N2 connection between the 5G-AN and the AMF</w:t>
      </w:r>
      <w:r>
        <w:rPr>
          <w:lang w:bidi="ar-IQ"/>
        </w:rPr>
        <w:t>.</w:t>
      </w:r>
    </w:p>
    <w:p>
      <w:pPr>
        <w:pStyle w:val="B1"/>
        <w:rPr>
          <w:lang w:bidi="ar-IQ"/>
        </w:rPr>
      </w:pPr>
      <w:r>
        <w:rPr>
          <w:lang w:bidi="ar-IQ"/>
        </w:rPr>
        <w:t>-</w:t>
        <w:tab/>
        <w:t xml:space="preserve">The AMF shall collect </w:t>
      </w:r>
      <w:r>
        <w:rPr/>
        <w:t>charging information</w:t>
      </w:r>
      <w:r>
        <w:rPr>
          <w:lang w:bidi="ar-IQ"/>
        </w:rPr>
        <w:t xml:space="preserve"> per UE location reporting.</w:t>
      </w:r>
    </w:p>
    <w:p>
      <w:pPr>
        <w:pStyle w:val="B1"/>
        <w:rPr>
          <w:lang w:bidi="ar-IQ"/>
        </w:rPr>
      </w:pPr>
      <w:r>
        <w:rPr>
          <w:lang w:bidi="ar-IQ"/>
        </w:rPr>
        <w:t>-</w:t>
        <w:tab/>
        <w:t xml:space="preserve">In roaming scenario, the AMF shall collect </w:t>
      </w:r>
      <w:r>
        <w:rPr/>
        <w:t>charging information</w:t>
      </w:r>
      <w:r>
        <w:rPr>
          <w:lang w:bidi="ar-IQ"/>
        </w:rPr>
        <w:t xml:space="preserve"> per in-bound roamer UE registration </w:t>
      </w:r>
      <w:r>
        <w:rPr/>
        <w:t>in 5GS</w:t>
      </w:r>
      <w:r>
        <w:rPr>
          <w:lang w:bidi="ar-IQ"/>
        </w:rPr>
        <w:t>, for both V-PLMN and Home PLMN.</w:t>
      </w:r>
    </w:p>
    <w:p>
      <w:pPr>
        <w:pStyle w:val="Heading3"/>
        <w:rPr/>
      </w:pPr>
      <w:bookmarkStart w:id="38" w:name="__RefHeading___Toc25753212"/>
      <w:bookmarkEnd w:id="38"/>
      <w:r>
        <w:rPr>
          <w:lang w:bidi="ar-IQ"/>
        </w:rPr>
        <w:t>5.1.</w:t>
      </w:r>
      <w:r>
        <w:rPr>
          <w:lang w:val="en-US" w:bidi="ar-IQ"/>
        </w:rPr>
        <w:t>3</w:t>
      </w:r>
      <w:r>
        <w:rPr>
          <w:lang w:bidi="ar-IQ"/>
        </w:rPr>
        <w:tab/>
        <w:t>CHF selection</w:t>
      </w:r>
    </w:p>
    <w:p>
      <w:pPr>
        <w:pStyle w:val="Normal"/>
        <w:rPr/>
      </w:pPr>
      <w:r>
        <w:rPr>
          <w:lang w:bidi="ar-IQ"/>
        </w:rPr>
        <w:t xml:space="preserve">The CHF </w:t>
      </w:r>
      <w:r>
        <w:rPr/>
        <w:t xml:space="preserve">Address(es) </w:t>
      </w:r>
      <w:r>
        <w:rPr>
          <w:lang w:bidi="ar-IQ"/>
        </w:rPr>
        <w:t>selection by the AMF is done during the Registration process based on the following options:</w:t>
      </w:r>
    </w:p>
    <w:p>
      <w:pPr>
        <w:pStyle w:val="B1"/>
        <w:rPr>
          <w:lang w:val="en-US" w:bidi="ar-IQ"/>
        </w:rPr>
      </w:pPr>
      <w:r>
        <w:rPr>
          <w:lang w:val="en-US" w:bidi="ar-IQ"/>
        </w:rPr>
        <w:t>-</w:t>
        <w:tab/>
      </w:r>
      <w:r>
        <w:rPr>
          <w:lang w:bidi="ar-IQ"/>
        </w:rPr>
        <w:t xml:space="preserve">CHF </w:t>
      </w:r>
      <w:r>
        <w:rPr/>
        <w:t>Address(es</w:t>
      </w:r>
      <w:r>
        <w:rPr>
          <w:lang w:val="en-US" w:bidi="ar-IQ"/>
        </w:rPr>
        <w:t>) used for UE context transferred from old AMF.</w:t>
      </w:r>
    </w:p>
    <w:p>
      <w:pPr>
        <w:pStyle w:val="B1"/>
        <w:rPr>
          <w:lang w:bidi="ar-IQ"/>
        </w:rPr>
      </w:pPr>
      <w:r>
        <w:rPr>
          <w:lang w:val="en-US" w:bidi="ar-IQ"/>
        </w:rPr>
        <w:t>-</w:t>
        <w:tab/>
      </w:r>
      <w:r>
        <w:rPr>
          <w:lang w:bidi="ar-IQ"/>
        </w:rPr>
        <w:t>CHF address(es) provided by the PCF as part of Access and mobility policy control information.</w:t>
      </w:r>
    </w:p>
    <w:p>
      <w:pPr>
        <w:pStyle w:val="B1"/>
        <w:rPr/>
      </w:pPr>
      <w:r>
        <w:rPr>
          <w:lang w:bidi="ar-IQ"/>
        </w:rPr>
        <w:t>-</w:t>
        <w:tab/>
        <w:t>UDM provided charging characteristics.</w:t>
      </w:r>
    </w:p>
    <w:p>
      <w:pPr>
        <w:pStyle w:val="B1"/>
        <w:rPr/>
      </w:pPr>
      <w:r>
        <w:rPr>
          <w:lang w:bidi="ar-IQ"/>
        </w:rPr>
        <w:t>-</w:t>
        <w:tab/>
        <w:t>NRF based discovery.</w:t>
      </w:r>
    </w:p>
    <w:p>
      <w:pPr>
        <w:pStyle w:val="B1"/>
        <w:rPr>
          <w:lang w:bidi="ar-IQ"/>
        </w:rPr>
      </w:pPr>
      <w:r>
        <w:rPr>
          <w:lang w:bidi="ar-IQ"/>
        </w:rPr>
        <w:t>-</w:t>
        <w:tab/>
        <w:t>AMF locally provisioned charging characteristics.</w:t>
      </w:r>
    </w:p>
    <w:p>
      <w:pPr>
        <w:pStyle w:val="B1"/>
        <w:ind w:left="0" w:hanging="0"/>
        <w:rPr>
          <w:lang w:bidi="ar-IQ"/>
        </w:rPr>
      </w:pPr>
      <w:r>
        <w:rPr>
          <w:lang w:bidi="ar-IQ"/>
        </w:rPr>
        <w:t xml:space="preserve">The priority order between these options </w:t>
      </w:r>
      <w:r>
        <w:rPr/>
        <w:t xml:space="preserve">depends on Operator's policies. </w:t>
      </w:r>
    </w:p>
    <w:p>
      <w:pPr>
        <w:pStyle w:val="B1"/>
        <w:ind w:left="0" w:hanging="0"/>
        <w:rPr>
          <w:lang w:bidi="ar-IQ"/>
        </w:rPr>
      </w:pPr>
      <w:r>
        <w:rPr>
          <w:lang w:bidi="ar-IQ"/>
        </w:rPr>
        <w:t>Once selected, these CHF Address(es) shall be used as long as the UE is registered in the AMF.</w:t>
      </w:r>
    </w:p>
    <w:p>
      <w:pPr>
        <w:pStyle w:val="Heading3"/>
        <w:rPr/>
      </w:pPr>
      <w:bookmarkStart w:id="39" w:name="__RefHeading___Toc25753213"/>
      <w:r>
        <w:rPr/>
        <w:t>5.1.4</w:t>
        <w:tab/>
      </w:r>
      <w:r>
        <w:rPr>
          <w:lang w:bidi="ar-IQ"/>
        </w:rPr>
        <w:t>UE Presence in Presence Reporting Area (PRA)</w:t>
      </w:r>
      <w:bookmarkEnd w:id="39"/>
      <w:r>
        <w:rPr/>
        <w:t xml:space="preserve"> </w:t>
      </w:r>
    </w:p>
    <w:p>
      <w:pPr>
        <w:pStyle w:val="Normal"/>
        <w:rPr/>
      </w:pPr>
      <w:r>
        <w:rPr>
          <w:lang w:bidi="ar-IQ"/>
        </w:rPr>
        <w:t xml:space="preserve">At UE initial registration, the CHF may subscribe to a list of </w:t>
      </w:r>
      <w:bookmarkStart w:id="40" w:name="_Hlk15552914"/>
      <w:r>
        <w:rPr/>
        <w:t>Presence Reporting Area(s)</w:t>
      </w:r>
      <w:bookmarkEnd w:id="40"/>
      <w:r>
        <w:rPr>
          <w:lang w:bidi="ar-IQ"/>
        </w:rPr>
        <w:t xml:space="preserve">, to be </w:t>
      </w:r>
      <w:r>
        <w:rPr/>
        <w:t xml:space="preserve">reported with "Change of UE presence in Presence Reporting Area(s)" from AMF. </w:t>
      </w:r>
    </w:p>
    <w:p>
      <w:pPr>
        <w:pStyle w:val="Normal"/>
        <w:rPr/>
      </w:pPr>
      <w:r>
        <w:rPr/>
        <w:t xml:space="preserve">A Presence Reporting Area, as specified in </w:t>
      </w:r>
      <w:r>
        <w:rPr>
          <w:lang w:bidi="ar-IQ"/>
        </w:rPr>
        <w:t>TS 23.501 [200] clause 5.6.11,</w:t>
      </w:r>
      <w:r>
        <w:rPr/>
        <w:t xml:space="preserve"> may represent:</w:t>
      </w:r>
    </w:p>
    <w:p>
      <w:pPr>
        <w:pStyle w:val="B1"/>
        <w:rPr/>
      </w:pPr>
      <w:r>
        <w:rPr/>
        <w:t>-</w:t>
        <w:tab/>
        <w:t xml:space="preserve">A Core Network pre-configured Presence Reporting Area identified by a PRA Identifier;  </w:t>
      </w:r>
    </w:p>
    <w:p>
      <w:pPr>
        <w:pStyle w:val="B1"/>
        <w:rPr/>
      </w:pPr>
      <w:r>
        <w:rPr/>
        <w:t>-</w:t>
        <w:tab/>
        <w:t>A UE-dedicated Presence Reporting Area defined by CHF and identified by a PRA Identifier with its elements (i.e. list of TAs and/or NG-RAN nodes and/or cells identifiers).</w:t>
      </w:r>
    </w:p>
    <w:p>
      <w:pPr>
        <w:pStyle w:val="Normal"/>
        <w:rPr/>
      </w:pPr>
      <w:r>
        <w:rPr>
          <w:lang w:bidi="ar-IQ"/>
        </w:rPr>
        <w:t xml:space="preserve">The </w:t>
      </w:r>
      <w:r>
        <w:rPr/>
        <w:t xml:space="preserve">CHF </w:t>
      </w:r>
      <w:r>
        <w:rPr>
          <w:lang w:bidi="ar-IQ"/>
        </w:rPr>
        <w:t xml:space="preserve">remains subscribed to the list of </w:t>
      </w:r>
      <w:r>
        <w:rPr/>
        <w:t>Presence Reporting Area(s)</w:t>
      </w:r>
      <w:r>
        <w:rPr>
          <w:lang w:bidi="ar-IQ"/>
        </w:rPr>
        <w:t xml:space="preserve"> as long as the UE is registered in the AMF until</w:t>
      </w:r>
      <w:r>
        <w:rPr>
          <w:lang w:eastAsia="zh-CN" w:bidi="ar-IQ"/>
        </w:rPr>
        <w:t xml:space="preserve"> the list is updated or unsubscribed-to by subsequent exchanges between the AMF and the CHF.</w:t>
      </w:r>
    </w:p>
    <w:p>
      <w:pPr>
        <w:pStyle w:val="Normal"/>
        <w:rPr/>
      </w:pPr>
      <w:r>
        <w:rPr/>
        <w:t xml:space="preserve">This functionality is detailed in clause 5.2.1.3. </w:t>
      </w:r>
    </w:p>
    <w:p>
      <w:pPr>
        <w:pStyle w:val="Heading3"/>
        <w:rPr/>
      </w:pPr>
      <w:bookmarkStart w:id="41" w:name="__RefHeading___Toc25753214"/>
      <w:r>
        <w:rPr/>
        <w:t>5.1.5</w:t>
        <w:tab/>
        <w:t>Roaming</w:t>
      </w:r>
      <w:bookmarkEnd w:id="41"/>
      <w:r>
        <w:rPr/>
        <w:t xml:space="preserve"> </w:t>
      </w:r>
    </w:p>
    <w:p>
      <w:pPr>
        <w:pStyle w:val="Heading4"/>
        <w:ind w:left="1418" w:hanging="1418"/>
        <w:rPr/>
      </w:pPr>
      <w:bookmarkStart w:id="42" w:name="__RefHeading___Toc25753215"/>
      <w:r>
        <w:rPr/>
        <w:t>5.1.5.1</w:t>
        <w:tab/>
        <w:t>General</w:t>
      </w:r>
      <w:bookmarkEnd w:id="42"/>
      <w:r>
        <w:rPr/>
        <w:t xml:space="preserve"> </w:t>
      </w:r>
    </w:p>
    <w:p>
      <w:pPr>
        <w:pStyle w:val="Normal"/>
        <w:rPr>
          <w:lang w:bidi="ar-IQ"/>
        </w:rPr>
      </w:pPr>
      <w:r>
        <w:rPr>
          <w:lang w:bidi="ar-IQ"/>
        </w:rPr>
        <w:t xml:space="preserve">Based on roaming agreements between the VPLMN and the HPLMN, for each UE determined as in-bound roamer, the AMF in VPLMN shall be able to collect charging </w:t>
      </w:r>
      <w:r>
        <w:rPr/>
        <w:t>information</w:t>
      </w:r>
      <w:r>
        <w:rPr>
          <w:lang w:bidi="ar-IQ"/>
        </w:rPr>
        <w:t xml:space="preserve"> per UE registration, and interact with a V-CHF for CDR generation in VPLMN.</w:t>
      </w:r>
    </w:p>
    <w:p>
      <w:pPr>
        <w:pStyle w:val="Normal"/>
        <w:rPr>
          <w:lang w:bidi="ar-IQ"/>
        </w:rPr>
      </w:pPr>
      <w:r>
        <w:rPr>
          <w:lang w:bidi="ar-IQ"/>
        </w:rPr>
        <w:t>In addition, for this registration, the AMF in VPLMN may be able to interact with a H-CHF for CDR generation in HPLMN.</w:t>
      </w:r>
    </w:p>
    <w:p>
      <w:pPr>
        <w:pStyle w:val="Heading4"/>
        <w:ind w:left="1418" w:hanging="1418"/>
        <w:rPr>
          <w:lang w:bidi="ar-IQ"/>
        </w:rPr>
      </w:pPr>
      <w:bookmarkStart w:id="43" w:name="__RefHeading___Toc25753216"/>
      <w:bookmarkEnd w:id="43"/>
      <w:r>
        <w:rPr>
          <w:lang w:bidi="ar-IQ"/>
        </w:rPr>
        <w:t>5.1.</w:t>
      </w:r>
      <w:r>
        <w:rPr>
          <w:lang w:val="en-US" w:bidi="ar-IQ"/>
        </w:rPr>
        <w:t>5.2</w:t>
      </w:r>
      <w:r>
        <w:rPr>
          <w:lang w:bidi="ar-IQ"/>
        </w:rPr>
        <w:tab/>
        <w:t>CHF selection</w:t>
      </w:r>
    </w:p>
    <w:p>
      <w:pPr>
        <w:pStyle w:val="Normal"/>
        <w:rPr/>
      </w:pPr>
      <w:r>
        <w:rPr>
          <w:lang w:bidi="ar-IQ"/>
        </w:rPr>
        <w:t>During the Registration process, for UE determined as in-bound roamer, the AMF in VPLMN can select:</w:t>
      </w:r>
    </w:p>
    <w:p>
      <w:pPr>
        <w:pStyle w:val="B1"/>
        <w:rPr>
          <w:lang w:bidi="ar-IQ"/>
        </w:rPr>
      </w:pPr>
      <w:r>
        <w:rPr>
          <w:lang w:bidi="ar-IQ"/>
        </w:rPr>
        <w:t>-</w:t>
        <w:tab/>
        <w:t>t</w:t>
      </w:r>
      <w:r>
        <w:rPr/>
        <w:t xml:space="preserve">he </w:t>
      </w:r>
      <w:r>
        <w:rPr>
          <w:lang w:bidi="ar-IQ"/>
        </w:rPr>
        <w:t xml:space="preserve">CHF </w:t>
      </w:r>
      <w:r>
        <w:rPr/>
        <w:t xml:space="preserve">Address(es) in HPLMN </w:t>
      </w:r>
      <w:r>
        <w:rPr>
          <w:lang w:bidi="ar-IQ"/>
        </w:rPr>
        <w:t>based on the following options:</w:t>
      </w:r>
    </w:p>
    <w:p>
      <w:pPr>
        <w:pStyle w:val="B2"/>
        <w:rPr>
          <w:lang w:bidi="ar-IQ"/>
        </w:rPr>
      </w:pPr>
      <w:r>
        <w:rPr>
          <w:lang w:bidi="ar-IQ"/>
        </w:rPr>
        <w:t>-</w:t>
        <w:tab/>
        <w:t xml:space="preserve">UDM provided charging characteristics. </w:t>
      </w:r>
    </w:p>
    <w:p>
      <w:pPr>
        <w:pStyle w:val="B2"/>
        <w:rPr/>
      </w:pPr>
      <w:r>
        <w:rPr/>
        <w:t>-</w:t>
        <w:tab/>
        <w:t xml:space="preserve">NRF based discovery using </w:t>
      </w:r>
      <w:r>
        <w:rPr>
          <w:lang w:bidi="ar-IQ"/>
        </w:rPr>
        <w:t>UE identifier</w:t>
      </w:r>
      <w:r>
        <w:rPr/>
        <w:t>.</w:t>
      </w:r>
    </w:p>
    <w:p>
      <w:pPr>
        <w:pStyle w:val="B2"/>
        <w:rPr/>
      </w:pPr>
      <w:r>
        <w:rPr/>
        <w:t>-</w:t>
        <w:tab/>
        <w:t>AMF locally provisioned in charging characteristics.</w:t>
      </w:r>
    </w:p>
    <w:p>
      <w:pPr>
        <w:pStyle w:val="B1"/>
        <w:rPr>
          <w:lang w:bidi="ar-IQ"/>
        </w:rPr>
      </w:pPr>
      <w:r>
        <w:rPr>
          <w:lang w:bidi="ar-IQ"/>
        </w:rPr>
        <w:t>-</w:t>
        <w:tab/>
        <w:t>t</w:t>
      </w:r>
      <w:r>
        <w:rPr/>
        <w:t xml:space="preserve">he </w:t>
      </w:r>
      <w:r>
        <w:rPr>
          <w:lang w:bidi="ar-IQ"/>
        </w:rPr>
        <w:t xml:space="preserve">CHF </w:t>
      </w:r>
      <w:r>
        <w:rPr/>
        <w:t xml:space="preserve">Address(es) in VPLMN </w:t>
      </w:r>
      <w:r>
        <w:rPr>
          <w:lang w:bidi="ar-IQ"/>
        </w:rPr>
        <w:t>based on the following options:</w:t>
      </w:r>
    </w:p>
    <w:p>
      <w:pPr>
        <w:pStyle w:val="B2"/>
        <w:rPr/>
      </w:pPr>
      <w:r>
        <w:rPr/>
        <w:t>-</w:t>
        <w:tab/>
        <w:t xml:space="preserve">NRF based discovery using </w:t>
      </w:r>
      <w:r>
        <w:rPr>
          <w:lang w:bidi="ar-IQ"/>
        </w:rPr>
        <w:t>the PLMN Id of the UE H-PLMN</w:t>
      </w:r>
      <w:r>
        <w:rPr/>
        <w:t>.</w:t>
      </w:r>
    </w:p>
    <w:p>
      <w:pPr>
        <w:pStyle w:val="B2"/>
        <w:rPr/>
      </w:pPr>
      <w:r>
        <w:rPr/>
        <w:t>-</w:t>
        <w:tab/>
        <w:t>AMF locally provisioned in charging characteristics.</w:t>
      </w:r>
    </w:p>
    <w:p>
      <w:pPr>
        <w:pStyle w:val="B1"/>
        <w:ind w:left="0" w:hanging="0"/>
        <w:rPr>
          <w:lang w:bidi="ar-IQ"/>
        </w:rPr>
      </w:pPr>
      <w:r>
        <w:rPr>
          <w:lang w:bidi="ar-IQ"/>
        </w:rPr>
        <w:t xml:space="preserve">The priority order between these options </w:t>
      </w:r>
      <w:r>
        <w:rPr/>
        <w:t xml:space="preserve">depends on Operator's policies. </w:t>
      </w:r>
    </w:p>
    <w:p>
      <w:pPr>
        <w:pStyle w:val="Heading2"/>
        <w:rPr/>
      </w:pPr>
      <w:bookmarkStart w:id="44" w:name="__RefHeading___Toc25753217"/>
      <w:bookmarkEnd w:id="44"/>
      <w:r>
        <w:rPr/>
        <w:t>5.2</w:t>
        <w:tab/>
      </w:r>
      <w:r>
        <w:rPr>
          <w:lang w:bidi="ar-IQ"/>
        </w:rPr>
        <w:t xml:space="preserve">5G </w:t>
      </w:r>
      <w:r>
        <w:rPr/>
        <w:t xml:space="preserve">connection and mobility </w:t>
      </w:r>
      <w:r>
        <w:rPr>
          <w:lang w:eastAsia="zh-CN" w:bidi="ar-IQ"/>
        </w:rPr>
        <w:t>converged online and offline</w:t>
      </w:r>
      <w:r>
        <w:rPr>
          <w:lang w:bidi="ar-IQ"/>
        </w:rPr>
        <w:t xml:space="preserve"> </w:t>
      </w:r>
      <w:r>
        <w:rPr/>
        <w:t>charging scenarios</w:t>
      </w:r>
    </w:p>
    <w:p>
      <w:pPr>
        <w:pStyle w:val="Heading3"/>
        <w:rPr/>
      </w:pPr>
      <w:bookmarkStart w:id="45" w:name="__RefHeading___Toc25753218"/>
      <w:bookmarkEnd w:id="45"/>
      <w:r>
        <w:rPr/>
        <w:t>5.2.1</w:t>
        <w:tab/>
        <w:t>Basic principles</w:t>
      </w:r>
    </w:p>
    <w:p>
      <w:pPr>
        <w:pStyle w:val="Heading4"/>
        <w:ind w:left="1418" w:hanging="1418"/>
        <w:rPr/>
      </w:pPr>
      <w:bookmarkStart w:id="46" w:name="__RefHeading___Toc25753219"/>
      <w:bookmarkEnd w:id="46"/>
      <w:r>
        <w:rPr>
          <w:lang w:bidi="ar-IQ"/>
        </w:rPr>
        <w:t>5.2.1.1</w:t>
        <w:tab/>
        <w:t>General</w:t>
      </w:r>
    </w:p>
    <w:p>
      <w:pPr>
        <w:pStyle w:val="Normal"/>
        <w:rPr>
          <w:lang w:bidi="ar-IQ"/>
        </w:rPr>
      </w:pPr>
      <w:r>
        <w:rPr/>
        <w:t xml:space="preserve">5G connection and mobility </w:t>
      </w:r>
      <w:r>
        <w:rPr>
          <w:lang w:bidi="ar-IQ"/>
        </w:rPr>
        <w:t xml:space="preserve">converged charging, when activated, may be performed by the AMF </w:t>
      </w:r>
      <w:r>
        <w:rPr/>
        <w:t>interacting with CHF</w:t>
      </w:r>
      <w:r>
        <w:rPr>
          <w:lang w:bidi="ar-IQ"/>
        </w:rPr>
        <w:t xml:space="preserve"> using Nchf specified in TS 32.290 [57] and TS 32.291 [58]. In order to provide the data required for the management activities outlined in TS 32.240 [1] (Credit-Control, accounting, billing, statistics, etc.), the AMF shall be able to perform converged charging for each of the following:</w:t>
      </w:r>
    </w:p>
    <w:p>
      <w:pPr>
        <w:pStyle w:val="B1"/>
        <w:rPr>
          <w:lang w:bidi="ar-IQ"/>
        </w:rPr>
      </w:pPr>
      <w:r>
        <w:rPr>
          <w:lang w:bidi="ar-IQ"/>
        </w:rPr>
        <w:t>-</w:t>
        <w:tab/>
        <w:t>Charging data related to registration.</w:t>
      </w:r>
    </w:p>
    <w:p>
      <w:pPr>
        <w:pStyle w:val="B1"/>
        <w:rPr>
          <w:lang w:bidi="ar-IQ"/>
        </w:rPr>
      </w:pPr>
      <w:r>
        <w:rPr>
          <w:lang w:bidi="ar-IQ"/>
        </w:rPr>
        <w:t>-</w:t>
        <w:tab/>
        <w:t xml:space="preserve">Charging </w:t>
      </w:r>
      <w:r>
        <w:rPr>
          <w:color w:val="000000"/>
          <w:lang w:bidi="ar-IQ"/>
        </w:rPr>
        <w:t xml:space="preserve">data related to </w:t>
      </w:r>
      <w:r>
        <w:rPr>
          <w:lang w:eastAsia="zh-CN"/>
        </w:rPr>
        <w:t>N2 connection between the AN and the AMF</w:t>
      </w:r>
      <w:r>
        <w:rPr>
          <w:lang w:bidi="ar-IQ"/>
        </w:rPr>
        <w:t>.</w:t>
      </w:r>
    </w:p>
    <w:p>
      <w:pPr>
        <w:pStyle w:val="B1"/>
        <w:rPr>
          <w:lang w:bidi="ar-IQ"/>
        </w:rPr>
      </w:pPr>
      <w:r>
        <w:rPr>
          <w:lang w:bidi="ar-IQ"/>
        </w:rPr>
        <w:t>-</w:t>
        <w:tab/>
        <w:t>Charging data related to user location.</w:t>
      </w:r>
    </w:p>
    <w:p>
      <w:pPr>
        <w:pStyle w:val="Normal"/>
        <w:rPr/>
      </w:pPr>
      <w:r>
        <w:rPr>
          <w:lang w:bidi="ar-IQ"/>
        </w:rPr>
        <w:t xml:space="preserve">The AMF shall use the AMF charging profile defined in clause </w:t>
      </w:r>
      <w:r>
        <w:rPr/>
        <w:t>5.2.1.2</w:t>
      </w:r>
      <w:r>
        <w:rPr>
          <w:lang w:bidi="ar-IQ"/>
        </w:rPr>
        <w:t xml:space="preserve"> to determine whether charging (converged) is activated or not. The default AMF charging profile is provided by Charging Characteristics applicable to AMF are described in Annex A.</w:t>
      </w:r>
    </w:p>
    <w:p>
      <w:pPr>
        <w:pStyle w:val="Normal"/>
        <w:rPr/>
      </w:pPr>
      <w:r>
        <w:rPr/>
        <w:t xml:space="preserve">The AMF shall be able </w:t>
      </w:r>
      <w:r>
        <w:rPr>
          <w:lang w:bidi="ar-IQ"/>
        </w:rPr>
        <w:t xml:space="preserve">to perform converged charging </w:t>
      </w:r>
      <w:r>
        <w:rPr/>
        <w:t xml:space="preserve">by interacting with CHF, for charging data related to registration, connection and location management. </w:t>
      </w:r>
      <w:r>
        <w:rPr>
          <w:lang w:eastAsia="zh-CN"/>
        </w:rPr>
        <w:t>The</w:t>
      </w:r>
      <w:r>
        <w:rPr/>
        <w:t xml:space="preserve"> Charging Data Request and Charging Data Response are exchanged between the AMF and the CHF, based on IEC, or PEC scenarios as specified in TS 32.290 [57]. The Charging Data Request is issued by the AMF towards the CHF when certain conditions (chargeable events) are met.</w:t>
      </w:r>
    </w:p>
    <w:p>
      <w:pPr>
        <w:pStyle w:val="Normal"/>
        <w:rPr/>
      </w:pPr>
      <w:bookmarkStart w:id="47" w:name="_Hlk12881339"/>
      <w:bookmarkEnd w:id="47"/>
      <w:r>
        <w:rPr/>
        <w:t xml:space="preserve">The contents and purpose of each charging event </w:t>
      </w:r>
      <w:r>
        <w:rPr>
          <w:lang w:bidi="ar-IQ"/>
        </w:rPr>
        <w:t>that triggers interaction with CHF,</w:t>
      </w:r>
      <w:r>
        <w:rPr/>
        <w:t xml:space="preserve"> as well as the chargeable events that trigger them, are described in the following clauses.</w:t>
      </w:r>
    </w:p>
    <w:p>
      <w:pPr>
        <w:pStyle w:val="Normal"/>
        <w:rPr/>
      </w:pPr>
      <w:bookmarkStart w:id="48" w:name="_Hlk12881339"/>
      <w:bookmarkEnd w:id="48"/>
      <w:r>
        <w:rPr/>
        <w:t>A detailed formal description of the converged charging parameters defined in the present document is to be found in TS 32.291 [58].</w:t>
      </w:r>
    </w:p>
    <w:p>
      <w:pPr>
        <w:pStyle w:val="Normal"/>
        <w:rPr/>
      </w:pPr>
      <w:r>
        <w:rPr>
          <w:lang w:bidi="ar-IQ"/>
        </w:rPr>
        <w:t>A detailed formal description of the CDR parameters defined in the present document is to be found in TS 32.298 [51].</w:t>
      </w:r>
    </w:p>
    <w:p>
      <w:pPr>
        <w:pStyle w:val="Heading4"/>
        <w:ind w:left="1418" w:hanging="1418"/>
        <w:rPr/>
      </w:pPr>
      <w:bookmarkStart w:id="49" w:name="__RefHeading___Toc25753220"/>
      <w:r>
        <w:rPr/>
        <w:t>5.2.1.2</w:t>
        <w:tab/>
        <w:t>Applicable Triggers in the AMF</w:t>
      </w:r>
      <w:bookmarkEnd w:id="49"/>
      <w:r>
        <w:rPr/>
        <w:t xml:space="preserve"> </w:t>
      </w:r>
    </w:p>
    <w:p>
      <w:pPr>
        <w:pStyle w:val="Heading5"/>
        <w:ind w:left="1701" w:hanging="1701"/>
        <w:rPr/>
      </w:pPr>
      <w:bookmarkStart w:id="50" w:name="__RefHeading___Toc25753221"/>
      <w:bookmarkEnd w:id="50"/>
      <w:r>
        <w:rPr/>
        <w:t>5.2.1.2.1</w:t>
        <w:tab/>
        <w:t>General</w:t>
      </w:r>
    </w:p>
    <w:p>
      <w:pPr>
        <w:pStyle w:val="Normal"/>
        <w:rPr/>
      </w:pPr>
      <w:r>
        <w:rPr>
          <w:lang w:bidi="ar-IQ"/>
        </w:rPr>
        <w:t>When a charging event is issued towards the CHF, it includes details such as Subscriber identifier (e.g. SUPI).</w:t>
      </w:r>
    </w:p>
    <w:p>
      <w:pPr>
        <w:pStyle w:val="Normal"/>
        <w:rPr/>
      </w:pPr>
      <w:r>
        <w:rPr>
          <w:lang w:bidi="ar-IQ"/>
        </w:rPr>
        <w:t xml:space="preserve">Each trigger condition (i.e. chargeable event) defined for </w:t>
      </w:r>
      <w:r>
        <w:rPr/>
        <w:t xml:space="preserve">the 5G connection and mobility converged charging functionality, is specified with the associated behaviour when they are met. </w:t>
      </w:r>
    </w:p>
    <w:p>
      <w:pPr>
        <w:pStyle w:val="Normal"/>
        <w:rPr/>
      </w:pPr>
      <w:r>
        <w:rPr>
          <w:lang w:bidi="ar-IQ"/>
        </w:rPr>
        <w:t xml:space="preserve">Table 5.2.1.2.1.1 summarizes the set of default trigger conditions and their category which shall be supported by the AMF when charging is active for the corresponding AMF functionality. For "immediate report" category, the table also provides the corresponding </w:t>
      </w:r>
      <w:r>
        <w:rPr>
          <w:lang w:eastAsia="zh-CN" w:bidi="ar-IQ"/>
        </w:rPr>
        <w:t>Charging Data</w:t>
      </w:r>
      <w:r>
        <w:rPr>
          <w:lang w:bidi="ar-IQ"/>
        </w:rPr>
        <w:t xml:space="preserve"> </w:t>
      </w:r>
      <w:r>
        <w:rPr>
          <w:lang w:eastAsia="zh-CN" w:bidi="ar-IQ"/>
        </w:rPr>
        <w:t>R</w:t>
      </w:r>
      <w:r>
        <w:rPr>
          <w:lang w:bidi="ar-IQ"/>
        </w:rPr>
        <w:t>equest message sent from AMF towards the CHF.</w:t>
      </w:r>
    </w:p>
    <w:p>
      <w:pPr>
        <w:pStyle w:val="TH"/>
        <w:rPr/>
      </w:pPr>
      <w:r>
        <w:rPr/>
        <w:t xml:space="preserve">Table 5.2.1.2.1.1: Default </w:t>
      </w:r>
      <w:r>
        <w:rPr>
          <w:lang w:bidi="ar-IQ"/>
        </w:rPr>
        <w:t xml:space="preserve">Trigger conditions </w:t>
      </w:r>
      <w:r>
        <w:rPr/>
        <w:t>in AMF</w:t>
      </w:r>
    </w:p>
    <w:tbl>
      <w:tblPr>
        <w:tblW w:w="9857" w:type="dxa"/>
        <w:jc w:val="left"/>
        <w:tblInd w:w="-113" w:type="dxa"/>
        <w:tblLayout w:type="fixed"/>
        <w:tblCellMar>
          <w:top w:w="0" w:type="dxa"/>
          <w:left w:w="108" w:type="dxa"/>
          <w:bottom w:w="0" w:type="dxa"/>
          <w:right w:w="108" w:type="dxa"/>
        </w:tblCellMar>
      </w:tblPr>
      <w:tblGrid>
        <w:gridCol w:w="2143"/>
        <w:gridCol w:w="1130"/>
        <w:gridCol w:w="1718"/>
        <w:gridCol w:w="1047"/>
        <w:gridCol w:w="1357"/>
        <w:gridCol w:w="2462"/>
      </w:tblGrid>
      <w:tr>
        <w:trPr>
          <w:tblHeader w:val="true"/>
        </w:trPr>
        <w:tc>
          <w:tcPr>
            <w:tcW w:w="2143" w:type="dxa"/>
            <w:tcBorders>
              <w:top w:val="single" w:sz="4" w:space="0" w:color="000000"/>
              <w:left w:val="single" w:sz="4" w:space="0" w:color="000000"/>
              <w:bottom w:val="single" w:sz="4" w:space="0" w:color="000000"/>
              <w:right w:val="single" w:sz="4" w:space="0" w:color="000000"/>
            </w:tcBorders>
            <w:shd w:fill="D0CECE" w:val="clear"/>
          </w:tcPr>
          <w:p>
            <w:pPr>
              <w:pStyle w:val="TAH"/>
              <w:rPr/>
            </w:pPr>
            <w:r>
              <w:rPr>
                <w:rFonts w:eastAsia="DengXian;DengXian"/>
                <w:lang w:bidi="ar-IQ"/>
              </w:rPr>
              <w:t>Trigger Conditions</w:t>
            </w:r>
          </w:p>
        </w:tc>
        <w:tc>
          <w:tcPr>
            <w:tcW w:w="1130" w:type="dxa"/>
            <w:tcBorders>
              <w:top w:val="single" w:sz="4" w:space="0" w:color="000000"/>
              <w:left w:val="single" w:sz="4" w:space="0" w:color="000000"/>
              <w:bottom w:val="single" w:sz="4" w:space="0" w:color="000000"/>
              <w:right w:val="single" w:sz="4" w:space="0" w:color="000000"/>
            </w:tcBorders>
            <w:shd w:fill="D0CECE" w:val="clear"/>
          </w:tcPr>
          <w:p>
            <w:pPr>
              <w:pStyle w:val="TAH"/>
              <w:rPr/>
            </w:pPr>
            <w:r>
              <w:rPr>
                <w:rFonts w:eastAsia="DengXian;DengXian"/>
                <w:lang w:bidi="ar-IQ"/>
              </w:rPr>
              <w:t>Trigger level</w:t>
            </w:r>
          </w:p>
        </w:tc>
        <w:tc>
          <w:tcPr>
            <w:tcW w:w="1718" w:type="dxa"/>
            <w:tcBorders>
              <w:top w:val="single" w:sz="4" w:space="0" w:color="000000"/>
              <w:left w:val="single" w:sz="4" w:space="0" w:color="000000"/>
              <w:bottom w:val="single" w:sz="4" w:space="0" w:color="000000"/>
              <w:right w:val="single" w:sz="4" w:space="0" w:color="000000"/>
            </w:tcBorders>
            <w:shd w:fill="D0CECE" w:val="clear"/>
          </w:tcPr>
          <w:p>
            <w:pPr>
              <w:pStyle w:val="TAH"/>
              <w:rPr/>
            </w:pPr>
            <w:r>
              <w:rPr>
                <w:rFonts w:eastAsia="DengXian;DengXian"/>
                <w:lang w:bidi="ar-IQ"/>
              </w:rPr>
              <w:t>Default category</w:t>
            </w:r>
          </w:p>
          <w:p>
            <w:pPr>
              <w:pStyle w:val="TAH"/>
              <w:rPr>
                <w:rFonts w:eastAsia="DengXian;DengXian"/>
                <w:lang w:bidi="ar-IQ"/>
              </w:rPr>
            </w:pPr>
            <w:r>
              <w:rPr>
                <w:rFonts w:eastAsia="DengXian;DengXian"/>
                <w:lang w:bidi="ar-IQ"/>
              </w:rPr>
            </w:r>
          </w:p>
        </w:tc>
        <w:tc>
          <w:tcPr>
            <w:tcW w:w="1047" w:type="dxa"/>
            <w:tcBorders>
              <w:top w:val="single" w:sz="4" w:space="0" w:color="000000"/>
              <w:left w:val="single" w:sz="4" w:space="0" w:color="000000"/>
              <w:bottom w:val="single" w:sz="4" w:space="0" w:color="000000"/>
              <w:right w:val="single" w:sz="4" w:space="0" w:color="000000"/>
            </w:tcBorders>
            <w:shd w:fill="D0CECE" w:val="clear"/>
          </w:tcPr>
          <w:p>
            <w:pPr>
              <w:pStyle w:val="TAH"/>
              <w:rPr>
                <w:rFonts w:eastAsia="DengXian;DengXian"/>
                <w:lang w:bidi="ar-IQ"/>
              </w:rPr>
            </w:pPr>
            <w:r>
              <w:rPr>
                <w:rFonts w:eastAsia="DengXian;DengXian"/>
                <w:lang w:bidi="ar-IQ"/>
              </w:rPr>
              <w:t>CHF allowed to change category</w:t>
            </w:r>
          </w:p>
        </w:tc>
        <w:tc>
          <w:tcPr>
            <w:tcW w:w="1357" w:type="dxa"/>
            <w:tcBorders>
              <w:top w:val="single" w:sz="4" w:space="0" w:color="000000"/>
              <w:left w:val="single" w:sz="4" w:space="0" w:color="000000"/>
              <w:bottom w:val="single" w:sz="4" w:space="0" w:color="000000"/>
              <w:right w:val="single" w:sz="4" w:space="0" w:color="000000"/>
            </w:tcBorders>
            <w:shd w:fill="D0CECE" w:val="clear"/>
          </w:tcPr>
          <w:p>
            <w:pPr>
              <w:pStyle w:val="TAH"/>
              <w:rPr/>
            </w:pPr>
            <w:r>
              <w:rPr>
                <w:rFonts w:eastAsia="DengXian;DengXian"/>
                <w:lang w:bidi="ar-IQ"/>
              </w:rPr>
              <w:t>CHF allowed to enable and disable</w:t>
            </w:r>
          </w:p>
        </w:tc>
        <w:tc>
          <w:tcPr>
            <w:tcW w:w="2462" w:type="dxa"/>
            <w:tcBorders>
              <w:top w:val="single" w:sz="4" w:space="0" w:color="000000"/>
              <w:left w:val="single" w:sz="4" w:space="0" w:color="000000"/>
              <w:bottom w:val="single" w:sz="4" w:space="0" w:color="000000"/>
              <w:right w:val="single" w:sz="4" w:space="0" w:color="000000"/>
            </w:tcBorders>
            <w:shd w:fill="D0CECE" w:val="clear"/>
          </w:tcPr>
          <w:p>
            <w:pPr>
              <w:pStyle w:val="TAH"/>
              <w:rPr>
                <w:rFonts w:eastAsia="DengXian;DengXian"/>
                <w:lang w:bidi="ar-IQ"/>
              </w:rPr>
            </w:pPr>
            <w:r>
              <w:rPr>
                <w:rFonts w:eastAsia="DengXian;DengXian"/>
                <w:lang w:bidi="ar-IQ"/>
              </w:rPr>
              <w:t>Message when "immediate reporting" category</w:t>
            </w:r>
          </w:p>
        </w:tc>
      </w:tr>
      <w:tr>
        <w:trPr/>
        <w:tc>
          <w:tcPr>
            <w:tcW w:w="9857" w:type="dxa"/>
            <w:gridSpan w:val="6"/>
            <w:tcBorders>
              <w:top w:val="single" w:sz="4" w:space="0" w:color="000000"/>
              <w:left w:val="single" w:sz="4" w:space="0" w:color="000000"/>
              <w:bottom w:val="single" w:sz="4" w:space="0" w:color="000000"/>
              <w:right w:val="single" w:sz="4" w:space="0" w:color="000000"/>
            </w:tcBorders>
            <w:shd w:fill="D9D9D9" w:val="clear"/>
          </w:tcPr>
          <w:p>
            <w:pPr>
              <w:pStyle w:val="TAL"/>
              <w:jc w:val="center"/>
              <w:rPr>
                <w:rFonts w:eastAsia="DengXian;DengXian"/>
                <w:b/>
                <w:b/>
                <w:lang w:bidi="ar-IQ"/>
              </w:rPr>
            </w:pPr>
            <w:r>
              <w:rPr>
                <w:rFonts w:eastAsia="DengXian;DengXian"/>
                <w:b/>
                <w:lang w:bidi="ar-IQ"/>
              </w:rPr>
              <w:t>Registration</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TAL"/>
              <w:rPr>
                <w:rFonts w:eastAsia="DengXian;DengXian"/>
                <w:lang w:bidi="ar-IQ"/>
              </w:rPr>
            </w:pPr>
            <w:r>
              <w:rPr>
                <w:rFonts w:eastAsia="DengXian;DengXian"/>
                <w:lang w:bidi="ar-IQ"/>
              </w:rPr>
              <w:t>Registration checked</w:t>
            </w:r>
          </w:p>
          <w:p>
            <w:pPr>
              <w:pStyle w:val="TAL"/>
              <w:rPr>
                <w:rFonts w:eastAsia="DengXian;DengXian"/>
                <w:lang w:bidi="ar-IQ"/>
              </w:rPr>
            </w:pPr>
            <w:r>
              <w:rPr>
                <w:rFonts w:eastAsia="DengXian;DengXian"/>
                <w:lang w:bidi="ar-IQ"/>
              </w:rPr>
            </w:r>
          </w:p>
        </w:tc>
        <w:tc>
          <w:tcPr>
            <w:tcW w:w="1130"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rFonts w:eastAsia="DengXian;DengXian"/>
                <w:lang w:bidi="ar-IQ"/>
              </w:rPr>
              <w:t>-</w:t>
            </w:r>
          </w:p>
        </w:tc>
        <w:tc>
          <w:tcPr>
            <w:tcW w:w="1718"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rFonts w:eastAsia="DengXian;DengXian"/>
                <w:lang w:bidi="ar-IQ"/>
              </w:rPr>
              <w:t>Immediate</w:t>
            </w:r>
          </w:p>
        </w:tc>
        <w:tc>
          <w:tcPr>
            <w:tcW w:w="1047"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lang w:bidi="ar-IQ"/>
              </w:rPr>
              <w:t>Not Applicable</w:t>
            </w:r>
          </w:p>
        </w:tc>
        <w:tc>
          <w:tcPr>
            <w:tcW w:w="1357"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rFonts w:eastAsia="DengXian;DengXian"/>
                <w:lang w:bidi="ar-IQ"/>
              </w:rPr>
              <w:t>Not Applicable</w:t>
            </w:r>
          </w:p>
        </w:tc>
        <w:tc>
          <w:tcPr>
            <w:tcW w:w="2462" w:type="dxa"/>
            <w:tcBorders>
              <w:top w:val="single" w:sz="4" w:space="0" w:color="000000"/>
              <w:left w:val="single" w:sz="4" w:space="0" w:color="000000"/>
              <w:bottom w:val="single" w:sz="4" w:space="0" w:color="000000"/>
              <w:right w:val="single" w:sz="4" w:space="0" w:color="000000"/>
            </w:tcBorders>
          </w:tcPr>
          <w:p>
            <w:pPr>
              <w:pStyle w:val="TAL"/>
              <w:rPr>
                <w:rFonts w:eastAsia="DengXian;DengXian"/>
                <w:lang w:bidi="ar-IQ"/>
              </w:rPr>
            </w:pPr>
            <w:r>
              <w:rPr>
                <w:rFonts w:eastAsia="DengXian;DengXian"/>
                <w:lang w:bidi="ar-IQ"/>
              </w:rPr>
              <w:t>IEC: Charging Data Request [Event]</w:t>
            </w:r>
          </w:p>
          <w:p>
            <w:pPr>
              <w:pStyle w:val="TAL"/>
              <w:rPr>
                <w:rFonts w:eastAsia="DengXian;DengXian"/>
                <w:lang w:bidi="ar-IQ"/>
              </w:rPr>
            </w:pPr>
            <w:r>
              <w:rPr>
                <w:rFonts w:eastAsia="DengXian;DengXian"/>
                <w:lang w:bidi="ar-IQ"/>
              </w:rPr>
              <w:t>ECUR: Charging Data Request [Initial]</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TAL"/>
              <w:rPr>
                <w:rFonts w:eastAsia="DengXian;DengXian"/>
                <w:lang w:bidi="ar-IQ"/>
              </w:rPr>
            </w:pPr>
            <w:r>
              <w:rPr>
                <w:rFonts w:eastAsia="DengXian;DengXian"/>
                <w:lang w:bidi="ar-IQ"/>
              </w:rPr>
              <w:t xml:space="preserve">Registration completed </w:t>
            </w:r>
          </w:p>
        </w:tc>
        <w:tc>
          <w:tcPr>
            <w:tcW w:w="1130"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rFonts w:eastAsia="DengXian;DengXian"/>
                <w:lang w:bidi="ar-IQ"/>
              </w:rPr>
              <w:t>-</w:t>
            </w:r>
          </w:p>
        </w:tc>
        <w:tc>
          <w:tcPr>
            <w:tcW w:w="1718"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DengXian;DengXian"/>
                <w:lang w:bidi="ar-IQ"/>
              </w:rPr>
              <w:t>Immediate</w:t>
            </w:r>
          </w:p>
        </w:tc>
        <w:tc>
          <w:tcPr>
            <w:tcW w:w="1047"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lang w:bidi="ar-IQ"/>
              </w:rPr>
              <w:t>Not Applicable</w:t>
            </w:r>
          </w:p>
        </w:tc>
        <w:tc>
          <w:tcPr>
            <w:tcW w:w="1357"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rFonts w:eastAsia="DengXian;DengXian"/>
                <w:lang w:bidi="ar-IQ"/>
              </w:rPr>
              <w:t>Not Applicable</w:t>
            </w:r>
          </w:p>
        </w:tc>
        <w:tc>
          <w:tcPr>
            <w:tcW w:w="2462" w:type="dxa"/>
            <w:tcBorders>
              <w:top w:val="single" w:sz="4" w:space="0" w:color="000000"/>
              <w:left w:val="single" w:sz="4" w:space="0" w:color="000000"/>
              <w:bottom w:val="single" w:sz="4" w:space="0" w:color="000000"/>
              <w:right w:val="single" w:sz="4" w:space="0" w:color="000000"/>
            </w:tcBorders>
          </w:tcPr>
          <w:p>
            <w:pPr>
              <w:pStyle w:val="TAL"/>
              <w:rPr>
                <w:rFonts w:eastAsia="DengXian;DengXian"/>
                <w:lang w:bidi="ar-IQ"/>
              </w:rPr>
            </w:pPr>
            <w:r>
              <w:rPr>
                <w:rFonts w:eastAsia="DengXian;DengXian"/>
                <w:lang w:bidi="ar-IQ"/>
              </w:rPr>
              <w:t>PEC: Charging Data Request [Event]</w:t>
            </w:r>
          </w:p>
          <w:p>
            <w:pPr>
              <w:pStyle w:val="TAL"/>
              <w:rPr>
                <w:rFonts w:eastAsia="DengXian;DengXian"/>
                <w:lang w:bidi="ar-IQ"/>
              </w:rPr>
            </w:pPr>
            <w:r>
              <w:rPr>
                <w:rFonts w:eastAsia="DengXian;DengXian"/>
                <w:lang w:bidi="ar-IQ"/>
              </w:rPr>
              <w:t>ECUR: Charging Data Request [Termination]</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TAL"/>
              <w:rPr>
                <w:iCs/>
              </w:rPr>
            </w:pPr>
            <w:r>
              <w:rPr>
                <w:iCs/>
              </w:rPr>
              <w:t xml:space="preserve">Deregistration </w:t>
            </w:r>
          </w:p>
        </w:tc>
        <w:tc>
          <w:tcPr>
            <w:tcW w:w="1130"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rFonts w:eastAsia="DengXian;DengXian"/>
                <w:lang w:bidi="ar-IQ"/>
              </w:rPr>
              <w:t>-</w:t>
            </w:r>
          </w:p>
        </w:tc>
        <w:tc>
          <w:tcPr>
            <w:tcW w:w="1718" w:type="dxa"/>
            <w:tcBorders>
              <w:top w:val="single" w:sz="4" w:space="0" w:color="000000"/>
              <w:left w:val="single" w:sz="4" w:space="0" w:color="000000"/>
              <w:bottom w:val="single" w:sz="4" w:space="0" w:color="000000"/>
              <w:right w:val="single" w:sz="4" w:space="0" w:color="000000"/>
            </w:tcBorders>
          </w:tcPr>
          <w:p>
            <w:pPr>
              <w:pStyle w:val="TAL"/>
              <w:jc w:val="center"/>
              <w:rPr/>
            </w:pPr>
            <w:r>
              <w:rPr/>
              <w:t>Immediate</w:t>
            </w:r>
          </w:p>
        </w:tc>
        <w:tc>
          <w:tcPr>
            <w:tcW w:w="1047" w:type="dxa"/>
            <w:tcBorders>
              <w:top w:val="single" w:sz="4" w:space="0" w:color="000000"/>
              <w:left w:val="single" w:sz="4" w:space="0" w:color="000000"/>
              <w:bottom w:val="single" w:sz="4" w:space="0" w:color="000000"/>
              <w:right w:val="single" w:sz="4" w:space="0" w:color="000000"/>
            </w:tcBorders>
          </w:tcPr>
          <w:p>
            <w:pPr>
              <w:pStyle w:val="TAL"/>
              <w:jc w:val="center"/>
              <w:rPr>
                <w:lang w:eastAsia="zh-CN" w:bidi="ar-IQ"/>
              </w:rPr>
            </w:pPr>
            <w:r>
              <w:rPr>
                <w:lang w:bidi="ar-IQ"/>
              </w:rPr>
              <w:t>Not Applicable</w:t>
            </w:r>
          </w:p>
        </w:tc>
        <w:tc>
          <w:tcPr>
            <w:tcW w:w="1357" w:type="dxa"/>
            <w:tcBorders>
              <w:top w:val="single" w:sz="4" w:space="0" w:color="000000"/>
              <w:left w:val="single" w:sz="4" w:space="0" w:color="000000"/>
              <w:bottom w:val="single" w:sz="4" w:space="0" w:color="000000"/>
              <w:right w:val="single" w:sz="4" w:space="0" w:color="000000"/>
            </w:tcBorders>
          </w:tcPr>
          <w:p>
            <w:pPr>
              <w:pStyle w:val="TAL"/>
              <w:jc w:val="center"/>
              <w:rPr/>
            </w:pPr>
            <w:r>
              <w:rPr>
                <w:lang w:bidi="ar-IQ"/>
              </w:rPr>
              <w:t>Not Applicable</w:t>
            </w:r>
          </w:p>
        </w:tc>
        <w:tc>
          <w:tcPr>
            <w:tcW w:w="2462"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DengXian;DengXian"/>
                <w:lang w:bidi="ar-IQ"/>
              </w:rPr>
              <w:t>PEC: Charging Data Request [Event]</w:t>
            </w:r>
          </w:p>
        </w:tc>
      </w:tr>
      <w:tr>
        <w:trPr/>
        <w:tc>
          <w:tcPr>
            <w:tcW w:w="9857" w:type="dxa"/>
            <w:gridSpan w:val="6"/>
            <w:tcBorders>
              <w:top w:val="single" w:sz="4" w:space="0" w:color="000000"/>
              <w:left w:val="single" w:sz="4" w:space="0" w:color="000000"/>
              <w:bottom w:val="single" w:sz="4" w:space="0" w:color="000000"/>
              <w:right w:val="single" w:sz="4" w:space="0" w:color="000000"/>
            </w:tcBorders>
            <w:shd w:fill="D9D9D9" w:val="clear"/>
          </w:tcPr>
          <w:p>
            <w:pPr>
              <w:pStyle w:val="TAL"/>
              <w:jc w:val="center"/>
              <w:rPr>
                <w:rFonts w:eastAsia="DengXian;DengXian"/>
                <w:b/>
                <w:b/>
                <w:lang w:bidi="ar-IQ"/>
              </w:rPr>
            </w:pPr>
            <w:r>
              <w:rPr>
                <w:rFonts w:eastAsia="DengXian;DengXian"/>
                <w:b/>
                <w:lang w:bidi="ar-IQ"/>
              </w:rPr>
              <w:t>N2 connection</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TAL"/>
              <w:rPr>
                <w:iCs/>
              </w:rPr>
            </w:pPr>
            <w:r>
              <w:rPr>
                <w:iCs/>
              </w:rPr>
              <w:t>Start of N2 connection</w:t>
            </w:r>
          </w:p>
        </w:tc>
        <w:tc>
          <w:tcPr>
            <w:tcW w:w="1130"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rFonts w:eastAsia="DengXian;DengXian"/>
                <w:lang w:bidi="ar-IQ"/>
              </w:rPr>
              <w:t>-</w:t>
            </w:r>
          </w:p>
        </w:tc>
        <w:tc>
          <w:tcPr>
            <w:tcW w:w="1718" w:type="dxa"/>
            <w:tcBorders>
              <w:top w:val="single" w:sz="4" w:space="0" w:color="000000"/>
              <w:left w:val="single" w:sz="4" w:space="0" w:color="000000"/>
              <w:bottom w:val="single" w:sz="4" w:space="0" w:color="000000"/>
              <w:right w:val="single" w:sz="4" w:space="0" w:color="000000"/>
            </w:tcBorders>
          </w:tcPr>
          <w:p>
            <w:pPr>
              <w:pStyle w:val="TAL"/>
              <w:jc w:val="center"/>
              <w:rPr/>
            </w:pPr>
            <w:r>
              <w:rPr/>
              <w:t>Immediate</w:t>
            </w:r>
          </w:p>
        </w:tc>
        <w:tc>
          <w:tcPr>
            <w:tcW w:w="1047"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lang w:bidi="ar-IQ"/>
              </w:rPr>
              <w:t>Not Applicable</w:t>
            </w:r>
          </w:p>
        </w:tc>
        <w:tc>
          <w:tcPr>
            <w:tcW w:w="1357"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rFonts w:eastAsia="DengXian;DengXian"/>
                <w:lang w:bidi="ar-IQ"/>
              </w:rPr>
              <w:t>Not Applicable</w:t>
            </w:r>
          </w:p>
        </w:tc>
        <w:tc>
          <w:tcPr>
            <w:tcW w:w="2462"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DengXian;DengXian"/>
                <w:lang w:bidi="ar-IQ"/>
              </w:rPr>
              <w:t>PEC: Charging Data Request [Event]</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TAL"/>
              <w:rPr>
                <w:iCs/>
              </w:rPr>
            </w:pPr>
            <w:r>
              <w:rPr>
                <w:iCs/>
              </w:rPr>
              <w:t>End of N2 connection</w:t>
            </w:r>
          </w:p>
        </w:tc>
        <w:tc>
          <w:tcPr>
            <w:tcW w:w="1130"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rFonts w:eastAsia="DengXian;DengXian"/>
                <w:lang w:bidi="ar-IQ"/>
              </w:rPr>
              <w:t>-</w:t>
            </w:r>
          </w:p>
        </w:tc>
        <w:tc>
          <w:tcPr>
            <w:tcW w:w="1718" w:type="dxa"/>
            <w:tcBorders>
              <w:top w:val="single" w:sz="4" w:space="0" w:color="000000"/>
              <w:left w:val="single" w:sz="4" w:space="0" w:color="000000"/>
              <w:bottom w:val="single" w:sz="4" w:space="0" w:color="000000"/>
              <w:right w:val="single" w:sz="4" w:space="0" w:color="000000"/>
            </w:tcBorders>
          </w:tcPr>
          <w:p>
            <w:pPr>
              <w:pStyle w:val="TAL"/>
              <w:jc w:val="center"/>
              <w:rPr/>
            </w:pPr>
            <w:r>
              <w:rPr/>
              <w:t>Immediate</w:t>
            </w:r>
          </w:p>
        </w:tc>
        <w:tc>
          <w:tcPr>
            <w:tcW w:w="1047"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lang w:bidi="ar-IQ"/>
              </w:rPr>
              <w:t>Not Applicable</w:t>
            </w:r>
          </w:p>
        </w:tc>
        <w:tc>
          <w:tcPr>
            <w:tcW w:w="1357"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rFonts w:eastAsia="DengXian;DengXian"/>
                <w:lang w:bidi="ar-IQ"/>
              </w:rPr>
              <w:t>Not Applicable</w:t>
            </w:r>
          </w:p>
        </w:tc>
        <w:tc>
          <w:tcPr>
            <w:tcW w:w="2462"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DengXian;DengXian"/>
                <w:lang w:bidi="ar-IQ"/>
              </w:rPr>
              <w:t>PEC: Charging Data Request [Event]</w:t>
            </w:r>
          </w:p>
        </w:tc>
      </w:tr>
      <w:tr>
        <w:trPr/>
        <w:tc>
          <w:tcPr>
            <w:tcW w:w="9857" w:type="dxa"/>
            <w:gridSpan w:val="6"/>
            <w:tcBorders>
              <w:top w:val="single" w:sz="4" w:space="0" w:color="000000"/>
              <w:left w:val="single" w:sz="4" w:space="0" w:color="000000"/>
              <w:bottom w:val="single" w:sz="4" w:space="0" w:color="000000"/>
              <w:right w:val="single" w:sz="4" w:space="0" w:color="000000"/>
            </w:tcBorders>
            <w:shd w:fill="D9D9D9" w:val="clear"/>
          </w:tcPr>
          <w:p>
            <w:pPr>
              <w:pStyle w:val="TAL"/>
              <w:jc w:val="center"/>
              <w:rPr>
                <w:rFonts w:eastAsia="DengXian;DengXian"/>
                <w:b/>
                <w:b/>
                <w:lang w:bidi="ar-IQ"/>
              </w:rPr>
            </w:pPr>
            <w:r>
              <w:rPr>
                <w:rFonts w:eastAsia="DengXian;DengXian"/>
                <w:b/>
                <w:lang w:bidi="ar-IQ"/>
              </w:rPr>
              <w:t>Location reporting</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TAL"/>
              <w:rPr>
                <w:iCs/>
              </w:rPr>
            </w:pPr>
            <w:r>
              <w:rPr>
                <w:iCs/>
              </w:rPr>
              <w:t>User Location change</w:t>
            </w:r>
          </w:p>
        </w:tc>
        <w:tc>
          <w:tcPr>
            <w:tcW w:w="1130"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rFonts w:eastAsia="DengXian;DengXian"/>
                <w:lang w:bidi="ar-IQ"/>
              </w:rPr>
              <w:t>-</w:t>
            </w:r>
          </w:p>
        </w:tc>
        <w:tc>
          <w:tcPr>
            <w:tcW w:w="1718" w:type="dxa"/>
            <w:tcBorders>
              <w:top w:val="single" w:sz="4" w:space="0" w:color="000000"/>
              <w:left w:val="single" w:sz="4" w:space="0" w:color="000000"/>
              <w:bottom w:val="single" w:sz="4" w:space="0" w:color="000000"/>
              <w:right w:val="single" w:sz="4" w:space="0" w:color="000000"/>
            </w:tcBorders>
          </w:tcPr>
          <w:p>
            <w:pPr>
              <w:pStyle w:val="TAL"/>
              <w:jc w:val="center"/>
              <w:rPr/>
            </w:pPr>
            <w:r>
              <w:rPr/>
              <w:t>Immediate</w:t>
            </w:r>
          </w:p>
        </w:tc>
        <w:tc>
          <w:tcPr>
            <w:tcW w:w="1047"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lang w:bidi="ar-IQ"/>
              </w:rPr>
              <w:t>Not Applicable</w:t>
            </w:r>
          </w:p>
        </w:tc>
        <w:tc>
          <w:tcPr>
            <w:tcW w:w="1357"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rFonts w:eastAsia="DengXian;DengXian"/>
                <w:lang w:bidi="ar-IQ"/>
              </w:rPr>
              <w:t>Not Applicable</w:t>
            </w:r>
          </w:p>
        </w:tc>
        <w:tc>
          <w:tcPr>
            <w:tcW w:w="2462" w:type="dxa"/>
            <w:tcBorders>
              <w:top w:val="single" w:sz="4" w:space="0" w:color="000000"/>
              <w:left w:val="single" w:sz="4" w:space="0" w:color="000000"/>
              <w:bottom w:val="single" w:sz="4" w:space="0" w:color="000000"/>
              <w:right w:val="single" w:sz="4" w:space="0" w:color="000000"/>
            </w:tcBorders>
            <w:vAlign w:val="center"/>
          </w:tcPr>
          <w:p>
            <w:pPr>
              <w:pStyle w:val="TAL"/>
              <w:rPr>
                <w:rFonts w:eastAsia="DengXian;DengXian"/>
                <w:lang w:bidi="ar-IQ"/>
              </w:rPr>
            </w:pPr>
            <w:r>
              <w:rPr>
                <w:rFonts w:eastAsia="DengXian;DengXian"/>
                <w:lang w:bidi="ar-IQ"/>
              </w:rPr>
              <w:t>PEC: Charging Data Request [Event]</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TAL"/>
              <w:rPr>
                <w:iCs/>
              </w:rPr>
            </w:pPr>
            <w:r>
              <w:rPr/>
              <w:t>Change of UE presence in Presence Reporting Area(s)</w:t>
            </w:r>
          </w:p>
        </w:tc>
        <w:tc>
          <w:tcPr>
            <w:tcW w:w="1130"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rFonts w:eastAsia="DengXian;DengXian"/>
                <w:lang w:bidi="ar-IQ"/>
              </w:rPr>
              <w:t>-</w:t>
            </w:r>
          </w:p>
        </w:tc>
        <w:tc>
          <w:tcPr>
            <w:tcW w:w="1718" w:type="dxa"/>
            <w:tcBorders>
              <w:top w:val="single" w:sz="4" w:space="0" w:color="000000"/>
              <w:left w:val="single" w:sz="4" w:space="0" w:color="000000"/>
              <w:bottom w:val="single" w:sz="4" w:space="0" w:color="000000"/>
              <w:right w:val="single" w:sz="4" w:space="0" w:color="000000"/>
            </w:tcBorders>
          </w:tcPr>
          <w:p>
            <w:pPr>
              <w:pStyle w:val="TAL"/>
              <w:jc w:val="center"/>
              <w:rPr/>
            </w:pPr>
            <w:r>
              <w:rPr/>
              <w:t>Immediate</w:t>
            </w:r>
          </w:p>
        </w:tc>
        <w:tc>
          <w:tcPr>
            <w:tcW w:w="1047"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lang w:bidi="ar-IQ"/>
              </w:rPr>
              <w:t>Not Applicable</w:t>
            </w:r>
          </w:p>
        </w:tc>
        <w:tc>
          <w:tcPr>
            <w:tcW w:w="1357"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DengXian"/>
                <w:lang w:bidi="ar-IQ"/>
              </w:rPr>
            </w:pPr>
            <w:r>
              <w:rPr>
                <w:rFonts w:eastAsia="DengXian;DengXian"/>
                <w:lang w:bidi="ar-IQ"/>
              </w:rPr>
              <w:t>Not Applicable</w:t>
            </w:r>
          </w:p>
        </w:tc>
        <w:tc>
          <w:tcPr>
            <w:tcW w:w="2462" w:type="dxa"/>
            <w:tcBorders>
              <w:top w:val="single" w:sz="4" w:space="0" w:color="000000"/>
              <w:left w:val="single" w:sz="4" w:space="0" w:color="000000"/>
              <w:bottom w:val="single" w:sz="4" w:space="0" w:color="000000"/>
              <w:right w:val="single" w:sz="4" w:space="0" w:color="000000"/>
            </w:tcBorders>
            <w:vAlign w:val="center"/>
          </w:tcPr>
          <w:p>
            <w:pPr>
              <w:pStyle w:val="TAL"/>
              <w:rPr>
                <w:rFonts w:eastAsia="DengXian;DengXian"/>
                <w:lang w:bidi="ar-IQ"/>
              </w:rPr>
            </w:pPr>
            <w:r>
              <w:rPr>
                <w:rFonts w:eastAsia="DengXian;DengXian"/>
                <w:lang w:bidi="ar-IQ"/>
              </w:rPr>
              <w:t>PEC: Charging Data Request [Event]</w:t>
            </w:r>
          </w:p>
        </w:tc>
      </w:tr>
    </w:tbl>
    <w:p>
      <w:pPr>
        <w:pStyle w:val="Normal"/>
        <w:rPr>
          <w:lang w:bidi="ar-IQ"/>
        </w:rPr>
      </w:pPr>
      <w:r>
        <w:rPr>
          <w:lang w:bidi="ar-IQ"/>
        </w:rPr>
      </w:r>
    </w:p>
    <w:p>
      <w:pPr>
        <w:pStyle w:val="Normal"/>
        <w:rPr/>
      </w:pPr>
      <w:r>
        <w:rPr>
          <w:lang w:bidi="ar-IQ"/>
        </w:rPr>
        <w:t xml:space="preserve">AMF functionality </w:t>
      </w:r>
      <w:r>
        <w:rPr/>
        <w:t>charging activation/deactivation is performed by</w:t>
      </w:r>
      <w:r>
        <w:rPr>
          <w:lang w:bidi="ar-IQ"/>
        </w:rPr>
        <w:t xml:space="preserve"> CHF via AMF charging profile update as defined in clause </w:t>
      </w:r>
      <w:r>
        <w:rPr/>
        <w:t xml:space="preserve">5.2.1.2.3. </w:t>
      </w:r>
    </w:p>
    <w:p>
      <w:pPr>
        <w:pStyle w:val="Normal"/>
        <w:rPr>
          <w:lang w:bidi="ar-IQ"/>
        </w:rPr>
      </w:pPr>
      <w:r>
        <w:rPr>
          <w:lang w:bidi="ar-IQ"/>
        </w:rPr>
        <w:t xml:space="preserve">The AMF charging profile is defined in clause </w:t>
      </w:r>
      <w:r>
        <w:rPr/>
        <w:t xml:space="preserve">5.2.1.2.2 and shall be used by the AMF </w:t>
      </w:r>
      <w:r>
        <w:rPr>
          <w:lang w:bidi="ar-IQ"/>
        </w:rPr>
        <w:t>to determine whether converged charging is active or not, and which scenario is applicable when active.</w:t>
      </w:r>
    </w:p>
    <w:p>
      <w:pPr>
        <w:pStyle w:val="Normal"/>
        <w:rPr/>
      </w:pPr>
      <w:r>
        <w:rPr>
          <w:lang w:bidi="ar-IQ"/>
        </w:rPr>
        <w:t>During UE initial registration in the AMF, if registration charging is active in the Charging Characteristics, a Charging Data Request [Event, Registration] or Charging Data Request [Initial, Registration] shall be sent to CHF in the corresponding charging scenario (i.e. IEC, PEC or ECUR) when applicable triggers are met. At N2 connection, if N2 connection charging is active in the AMF charging profile, a Charging Data Request [Event, N2 connection] shall be sent to CHF in PEC scenario when applicable triggers are met.</w:t>
      </w:r>
    </w:p>
    <w:p>
      <w:pPr>
        <w:pStyle w:val="Normal"/>
        <w:rPr>
          <w:lang w:bidi="ar-IQ"/>
        </w:rPr>
      </w:pPr>
      <w:r>
        <w:rPr>
          <w:lang w:bidi="ar-IQ"/>
        </w:rPr>
        <w:t>At N2 connection, if location reporting charging is active in the AMF charging profile, the AMF shall start the location reporting control procedure towards NG-RAN specified in clause 4.10 of TS 23.502 [202] for a continuous reporting</w:t>
      </w:r>
      <w:r>
        <w:rPr/>
        <w:t xml:space="preserve"> whenever the UE location changes</w:t>
      </w:r>
      <w:r>
        <w:rPr>
          <w:lang w:bidi="ar-IQ"/>
        </w:rPr>
        <w:t>. A Charging Data Request [Event, location reporting] shall be sent by AMF upon receiving the location report from NG-RAN with current UE location.</w:t>
      </w:r>
    </w:p>
    <w:p>
      <w:pPr>
        <w:pStyle w:val="Normal"/>
        <w:rPr>
          <w:lang w:bidi="ar-IQ"/>
        </w:rPr>
      </w:pPr>
      <w:r>
        <w:rPr>
          <w:lang w:bidi="ar-IQ"/>
        </w:rPr>
        <w:t xml:space="preserve">If the AMF receives in a Charging Data Response [Event/Initial] from CHF, an updated AMF charging profile deactivating location reporting charging, and the AMF has a N2 connection, the AMF shall cancel the location reporting control procedure towards NG-RAN. </w:t>
      </w:r>
    </w:p>
    <w:p>
      <w:pPr>
        <w:pStyle w:val="Heading5"/>
        <w:ind w:left="1701" w:hanging="1701"/>
        <w:rPr/>
      </w:pPr>
      <w:bookmarkStart w:id="51" w:name="__RefHeading___Toc25753222"/>
      <w:bookmarkEnd w:id="51"/>
      <w:r>
        <w:rPr/>
        <w:t>5.2.1.2.2</w:t>
        <w:tab/>
      </w:r>
      <w:r>
        <w:rPr>
          <w:lang w:bidi="ar-IQ"/>
        </w:rPr>
        <w:t>AMF Charging profile</w:t>
      </w:r>
    </w:p>
    <w:p>
      <w:pPr>
        <w:pStyle w:val="Normal"/>
        <w:rPr>
          <w:lang w:bidi="ar-IQ"/>
        </w:rPr>
      </w:pPr>
      <w:r>
        <w:rPr>
          <w:lang w:bidi="ar-IQ"/>
        </w:rPr>
        <w:t>An AMF charging profile is defined to allow AMF determination of applicable trigger conditions for each functionality (i.e Registration, N2 connection, Location Reporting), and includes:</w:t>
      </w:r>
    </w:p>
    <w:p>
      <w:pPr>
        <w:pStyle w:val="B1"/>
        <w:rPr>
          <w:lang w:bidi="ar-IQ"/>
        </w:rPr>
      </w:pPr>
      <w:r>
        <w:rPr>
          <w:lang w:bidi="ar-IQ"/>
        </w:rPr>
        <w:t>-</w:t>
        <w:tab/>
        <w:t>charging active or inactive;</w:t>
      </w:r>
    </w:p>
    <w:p>
      <w:pPr>
        <w:pStyle w:val="B1"/>
        <w:rPr>
          <w:lang w:bidi="ar-IQ"/>
        </w:rPr>
      </w:pPr>
      <w:r>
        <w:rPr>
          <w:lang w:bidi="ar-IQ"/>
        </w:rPr>
        <w:t>-</w:t>
        <w:tab/>
        <w:t>IEC, ECUR or PEC scenario.</w:t>
      </w:r>
    </w:p>
    <w:p>
      <w:pPr>
        <w:pStyle w:val="Normal"/>
        <w:rPr/>
      </w:pPr>
      <w:r>
        <w:rPr>
          <w:lang w:bidi="ar-IQ"/>
        </w:rPr>
        <w:t>For location reporting charging it includes in addition, the level for location change to be reported (i.e. TAI change and/or Cell Change), or UE presence in Presence Reporting Area(s) to be reported</w:t>
      </w:r>
      <w:r>
        <w:rPr/>
        <w:t>. The UE Presence in Presence Reporting Area (PRA) functionality is detailed in clause 5.2.1.3.</w:t>
      </w:r>
    </w:p>
    <w:p>
      <w:pPr>
        <w:pStyle w:val="Normal"/>
        <w:rPr>
          <w:lang w:bidi="ar-IQ"/>
        </w:rPr>
      </w:pPr>
      <w:r>
        <w:rPr>
          <w:lang w:bidi="ar-IQ"/>
        </w:rPr>
        <w:t>IEC and ECUR scenarios are applicable for registration only.</w:t>
      </w:r>
    </w:p>
    <w:p>
      <w:pPr>
        <w:pStyle w:val="Normal"/>
        <w:rPr>
          <w:lang w:bidi="ar-IQ"/>
        </w:rPr>
      </w:pPr>
      <w:r>
        <w:rPr>
          <w:lang w:bidi="ar-IQ"/>
        </w:rPr>
        <w:t>The AMF charging profile is per UE and per AMF.</w:t>
      </w:r>
    </w:p>
    <w:p>
      <w:pPr>
        <w:pStyle w:val="Normal"/>
        <w:rPr>
          <w:lang w:bidi="ar-IQ"/>
        </w:rPr>
      </w:pPr>
      <w:r>
        <w:rPr>
          <w:lang w:bidi="ar-IQ"/>
        </w:rPr>
        <w:t>The default AMF charging profile is provided by the Charging Characteristics which is described in Annex A.</w:t>
      </w:r>
    </w:p>
    <w:p>
      <w:pPr>
        <w:pStyle w:val="Heading5"/>
        <w:ind w:left="1701" w:hanging="1701"/>
        <w:rPr/>
      </w:pPr>
      <w:bookmarkStart w:id="52" w:name="__RefHeading___Toc25753223"/>
      <w:r>
        <w:rPr/>
        <w:t>5.2.1.2.3</w:t>
        <w:tab/>
        <w:t>Independent triggers activation</w:t>
      </w:r>
      <w:bookmarkEnd w:id="52"/>
      <w:r>
        <w:rPr/>
        <w:t xml:space="preserve"> </w:t>
      </w:r>
    </w:p>
    <w:p>
      <w:pPr>
        <w:pStyle w:val="Normal"/>
        <w:rPr>
          <w:lang w:bidi="ar-IQ"/>
        </w:rPr>
      </w:pPr>
      <w:r>
        <w:rPr>
          <w:lang w:bidi="ar-IQ"/>
        </w:rPr>
        <w:t xml:space="preserve">During the UE registration lifetime in the AMF, the CHF may activate/deactivate charging for any AMF functionality (i.e. Registration, N2 connection, Location Reporting) each time the CHF is invoked for a given AMF functionality. The set of triggers enabled/disabled via charging activation/deactivation by CHF are independent from the invoked AMF functionality. The triggers activation/deactivation take effect at the next AMF functionality invoking the CHF.  </w:t>
      </w:r>
    </w:p>
    <w:p>
      <w:pPr>
        <w:pStyle w:val="Normal"/>
        <w:rPr/>
      </w:pPr>
      <w:r>
        <w:rPr/>
        <w:t xml:space="preserve">Table 5.2.1.2.3.1 describes the applicable messages for CHF to </w:t>
      </w:r>
      <w:r>
        <w:rPr>
          <w:lang w:bidi="ar-IQ"/>
        </w:rPr>
        <w:t>activate/deactivate triggers</w:t>
      </w:r>
      <w:r>
        <w:rPr/>
        <w:t xml:space="preserve"> via update of AMF Charging profile:</w:t>
      </w:r>
    </w:p>
    <w:p>
      <w:pPr>
        <w:pStyle w:val="TH"/>
        <w:rPr/>
      </w:pPr>
      <w:r>
        <w:rPr>
          <w:rFonts w:eastAsia="Arial"/>
          <w:lang w:bidi="ar-IQ"/>
        </w:rPr>
        <w:t xml:space="preserve">  </w:t>
      </w:r>
      <w:r>
        <w:rPr/>
        <w:t xml:space="preserve">Table 5.2.1.2.3.1: </w:t>
      </w:r>
      <w:r>
        <w:rPr>
          <w:lang w:bidi="ar-IQ"/>
        </w:rPr>
        <w:t>AMF charging profile update by CHF</w:t>
      </w:r>
    </w:p>
    <w:tbl>
      <w:tblPr>
        <w:tblW w:w="9889" w:type="dxa"/>
        <w:jc w:val="left"/>
        <w:tblInd w:w="-113" w:type="dxa"/>
        <w:tblLayout w:type="fixed"/>
        <w:tblCellMar>
          <w:top w:w="0" w:type="dxa"/>
          <w:left w:w="108" w:type="dxa"/>
          <w:bottom w:w="0" w:type="dxa"/>
          <w:right w:w="108" w:type="dxa"/>
        </w:tblCellMar>
      </w:tblPr>
      <w:tblGrid>
        <w:gridCol w:w="2368"/>
        <w:gridCol w:w="3836"/>
        <w:gridCol w:w="3685"/>
      </w:tblGrid>
      <w:tr>
        <w:trPr>
          <w:tblHeader w:val="true"/>
        </w:trPr>
        <w:tc>
          <w:tcPr>
            <w:tcW w:w="2368" w:type="dxa"/>
            <w:tcBorders>
              <w:top w:val="single" w:sz="4" w:space="0" w:color="000000"/>
              <w:left w:val="single" w:sz="4" w:space="0" w:color="000000"/>
              <w:bottom w:val="single" w:sz="4" w:space="0" w:color="000000"/>
              <w:right w:val="single" w:sz="4" w:space="0" w:color="000000"/>
            </w:tcBorders>
            <w:shd w:fill="D0CECE" w:val="clear"/>
          </w:tcPr>
          <w:p>
            <w:pPr>
              <w:pStyle w:val="TAH"/>
              <w:rPr>
                <w:lang w:bidi="ar-IQ"/>
              </w:rPr>
            </w:pPr>
            <w:r>
              <w:rPr>
                <w:lang w:bidi="ar-IQ"/>
              </w:rPr>
              <w:t>Functionality</w:t>
            </w:r>
          </w:p>
        </w:tc>
        <w:tc>
          <w:tcPr>
            <w:tcW w:w="3836" w:type="dxa"/>
            <w:tcBorders>
              <w:top w:val="single" w:sz="4" w:space="0" w:color="000000"/>
              <w:left w:val="single" w:sz="4" w:space="0" w:color="000000"/>
              <w:bottom w:val="single" w:sz="4" w:space="0" w:color="000000"/>
              <w:right w:val="single" w:sz="4" w:space="0" w:color="000000"/>
            </w:tcBorders>
            <w:shd w:fill="D0CECE" w:val="clear"/>
          </w:tcPr>
          <w:p>
            <w:pPr>
              <w:pStyle w:val="TAH"/>
              <w:rPr>
                <w:lang w:bidi="ar-IQ"/>
              </w:rPr>
            </w:pPr>
            <w:r>
              <w:rPr>
                <w:lang w:bidi="ar-IQ"/>
              </w:rPr>
              <w:t>AMF Charging Profile field which can be updated</w:t>
            </w:r>
          </w:p>
        </w:tc>
        <w:tc>
          <w:tcPr>
            <w:tcW w:w="3685" w:type="dxa"/>
            <w:tcBorders>
              <w:top w:val="single" w:sz="4" w:space="0" w:color="000000"/>
              <w:left w:val="single" w:sz="4" w:space="0" w:color="000000"/>
              <w:bottom w:val="single" w:sz="4" w:space="0" w:color="000000"/>
              <w:right w:val="single" w:sz="4" w:space="0" w:color="000000"/>
            </w:tcBorders>
            <w:shd w:fill="D0CECE" w:val="clear"/>
          </w:tcPr>
          <w:p>
            <w:pPr>
              <w:pStyle w:val="TAH"/>
              <w:rPr>
                <w:lang w:bidi="ar-IQ"/>
              </w:rPr>
            </w:pPr>
            <w:r>
              <w:rPr>
                <w:lang w:bidi="ar-IQ"/>
              </w:rPr>
              <w:t>Message from CHF to AMF</w:t>
            </w:r>
          </w:p>
        </w:tc>
      </w:tr>
      <w:tr>
        <w:trPr/>
        <w:tc>
          <w:tcPr>
            <w:tcW w:w="2368" w:type="dxa"/>
            <w:tcBorders>
              <w:top w:val="single" w:sz="4" w:space="0" w:color="000000"/>
              <w:left w:val="single" w:sz="4" w:space="0" w:color="000000"/>
              <w:bottom w:val="single" w:sz="4" w:space="0" w:color="000000"/>
              <w:right w:val="single" w:sz="4" w:space="0" w:color="000000"/>
            </w:tcBorders>
          </w:tcPr>
          <w:p>
            <w:pPr>
              <w:pStyle w:val="TAL"/>
              <w:rPr>
                <w:highlight w:val="yellow"/>
                <w:lang w:bidi="ar-IQ"/>
              </w:rPr>
            </w:pPr>
            <w:r>
              <w:rPr>
                <w:rFonts w:eastAsia="DengXian;DengXian"/>
                <w:lang w:bidi="ar-IQ"/>
              </w:rPr>
              <w:t>Registration</w:t>
            </w:r>
          </w:p>
        </w:tc>
        <w:tc>
          <w:tcPr>
            <w:tcW w:w="3836" w:type="dxa"/>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w:t>
              <w:tab/>
              <w:t>charging "active or inactive"</w:t>
            </w:r>
          </w:p>
          <w:p>
            <w:pPr>
              <w:pStyle w:val="TAL"/>
              <w:rPr>
                <w:lang w:bidi="ar-IQ"/>
              </w:rPr>
            </w:pPr>
            <w:r>
              <w:rPr>
                <w:lang w:bidi="ar-IQ"/>
              </w:rPr>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Charging Data Response [Event/Initial]</w:t>
              <w:br/>
            </w:r>
          </w:p>
        </w:tc>
      </w:tr>
      <w:tr>
        <w:trPr/>
        <w:tc>
          <w:tcPr>
            <w:tcW w:w="2368" w:type="dxa"/>
            <w:tcBorders>
              <w:top w:val="single" w:sz="4" w:space="0" w:color="000000"/>
              <w:left w:val="single" w:sz="4" w:space="0" w:color="000000"/>
              <w:bottom w:val="single" w:sz="4" w:space="0" w:color="000000"/>
              <w:right w:val="single" w:sz="4" w:space="0" w:color="000000"/>
            </w:tcBorders>
          </w:tcPr>
          <w:p>
            <w:pPr>
              <w:pStyle w:val="TAL"/>
              <w:rPr>
                <w:highlight w:val="yellow"/>
              </w:rPr>
            </w:pPr>
            <w:r>
              <w:rPr>
                <w:lang w:bidi="ar-IQ"/>
              </w:rPr>
              <w:t>N2 connection</w:t>
            </w:r>
          </w:p>
        </w:tc>
        <w:tc>
          <w:tcPr>
            <w:tcW w:w="3836" w:type="dxa"/>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w:t>
              <w:tab/>
              <w:t>charging "active or inactive"</w:t>
            </w:r>
          </w:p>
          <w:p>
            <w:pPr>
              <w:pStyle w:val="TAL"/>
              <w:rPr>
                <w:lang w:bidi="ar-IQ"/>
              </w:rPr>
            </w:pPr>
            <w:r>
              <w:rPr>
                <w:lang w:bidi="ar-IQ"/>
              </w:rPr>
            </w:r>
          </w:p>
        </w:tc>
        <w:tc>
          <w:tcPr>
            <w:tcW w:w="3685" w:type="dxa"/>
            <w:tcBorders>
              <w:top w:val="single" w:sz="4" w:space="0" w:color="000000"/>
              <w:left w:val="single" w:sz="4" w:space="0" w:color="000000"/>
              <w:bottom w:val="single" w:sz="4" w:space="0" w:color="000000"/>
              <w:right w:val="single" w:sz="4" w:space="0" w:color="000000"/>
            </w:tcBorders>
          </w:tcPr>
          <w:p>
            <w:pPr>
              <w:pStyle w:val="TAL"/>
              <w:rPr/>
            </w:pPr>
            <w:r>
              <w:rPr>
                <w:lang w:bidi="ar-IQ"/>
              </w:rPr>
              <w:t>Charging Data Response [Event/Initial]</w:t>
              <w:br/>
            </w:r>
          </w:p>
        </w:tc>
      </w:tr>
      <w:tr>
        <w:trPr/>
        <w:tc>
          <w:tcPr>
            <w:tcW w:w="2368" w:type="dxa"/>
            <w:tcBorders>
              <w:top w:val="single" w:sz="4" w:space="0" w:color="000000"/>
              <w:left w:val="single" w:sz="4" w:space="0" w:color="000000"/>
              <w:bottom w:val="single" w:sz="4" w:space="0" w:color="000000"/>
              <w:right w:val="single" w:sz="4" w:space="0" w:color="000000"/>
            </w:tcBorders>
          </w:tcPr>
          <w:p>
            <w:pPr>
              <w:pStyle w:val="TAL"/>
              <w:rPr>
                <w:highlight w:val="yellow"/>
              </w:rPr>
            </w:pPr>
            <w:r>
              <w:rPr>
                <w:iCs/>
              </w:rPr>
              <w:t>Location Reporting</w:t>
            </w:r>
          </w:p>
        </w:tc>
        <w:tc>
          <w:tcPr>
            <w:tcW w:w="3836" w:type="dxa"/>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w:t>
              <w:tab/>
              <w:t>charging "active or inactive"</w:t>
            </w:r>
          </w:p>
          <w:p>
            <w:pPr>
              <w:pStyle w:val="TAL"/>
              <w:rPr>
                <w:lang w:bidi="ar-IQ"/>
              </w:rPr>
            </w:pPr>
            <w:r>
              <w:rPr>
                <w:lang w:bidi="ar-IQ"/>
              </w:rPr>
              <w:t>-</w:t>
              <w:tab/>
              <w:t>level for location</w:t>
            </w:r>
          </w:p>
          <w:p>
            <w:pPr>
              <w:pStyle w:val="TAL"/>
              <w:rPr>
                <w:lang w:bidi="ar-IQ"/>
              </w:rPr>
            </w:pPr>
            <w:r>
              <w:rPr>
                <w:lang w:bidi="ar-IQ"/>
              </w:rPr>
              <w:t>-</w:t>
              <w:tab/>
              <w:t xml:space="preserve">list of </w:t>
            </w:r>
            <w:r>
              <w:rPr/>
              <w:t>Presence Reporting Area(s)</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Charging Data Response [Event/Initial]</w:t>
              <w:br/>
            </w:r>
          </w:p>
        </w:tc>
      </w:tr>
    </w:tbl>
    <w:p>
      <w:pPr>
        <w:pStyle w:val="Normal"/>
        <w:rPr>
          <w:lang w:bidi="ar-IQ"/>
        </w:rPr>
      </w:pPr>
      <w:r>
        <w:rPr>
          <w:lang w:bidi="ar-IQ"/>
        </w:rPr>
      </w:r>
    </w:p>
    <w:p>
      <w:pPr>
        <w:pStyle w:val="Normal"/>
        <w:rPr>
          <w:lang w:bidi="ar-IQ"/>
        </w:rPr>
      </w:pPr>
      <w:r>
        <w:rPr>
          <w:lang w:bidi="ar-IQ"/>
        </w:rPr>
        <w:t>In ECUR scenario, any update of AMF Charging Profile received in Charging Data Response [Initial] will take effect after the corresponding Charging Data Response [Termination].</w:t>
      </w:r>
    </w:p>
    <w:p>
      <w:pPr>
        <w:pStyle w:val="Heading4"/>
        <w:ind w:left="1418" w:hanging="1418"/>
        <w:rPr/>
      </w:pPr>
      <w:bookmarkStart w:id="53" w:name="__RefHeading___Toc25753224"/>
      <w:bookmarkStart w:id="54" w:name="_Hlk15553102"/>
      <w:bookmarkEnd w:id="54"/>
      <w:r>
        <w:rPr/>
        <w:t>5.2.1.3</w:t>
        <w:tab/>
      </w:r>
      <w:r>
        <w:rPr>
          <w:lang w:bidi="ar-IQ"/>
        </w:rPr>
        <w:t>UE Presence in Presence Reporting Area (PRA)</w:t>
      </w:r>
      <w:bookmarkEnd w:id="53"/>
      <w:r>
        <w:rPr/>
        <w:t xml:space="preserve"> </w:t>
      </w:r>
    </w:p>
    <w:p>
      <w:pPr>
        <w:pStyle w:val="Normal"/>
        <w:rPr>
          <w:lang w:eastAsia="zh-CN"/>
        </w:rPr>
      </w:pPr>
      <w:bookmarkStart w:id="55" w:name="_Hlk15553102"/>
      <w:bookmarkEnd w:id="55"/>
      <w:r>
        <w:rPr>
          <w:lang w:bidi="ar-IQ"/>
        </w:rPr>
        <w:t xml:space="preserve">At UE initial registration in the AMF, the CHF may subscribe </w:t>
      </w:r>
      <w:r>
        <w:rPr/>
        <w:t xml:space="preserve">to changes of UE presence status(es) in PRA(s) </w:t>
      </w:r>
      <w:r>
        <w:rPr>
          <w:lang w:bidi="ar-IQ"/>
        </w:rPr>
        <w:t>in the Charging Data Response [Event, Registration] or Charging Data Response [Initial, Registration] respective IEC or ECUR scenarios. This subscription is performed</w:t>
      </w:r>
      <w:r>
        <w:rPr>
          <w:lang w:eastAsia="zh-CN"/>
        </w:rPr>
        <w:t>, by activation of location reporting charging in the AMF charging profile with</w:t>
      </w:r>
      <w:r>
        <w:rPr>
          <w:lang w:bidi="ar-IQ"/>
        </w:rPr>
        <w:t xml:space="preserve"> a list of </w:t>
      </w:r>
      <w:r>
        <w:rPr/>
        <w:t xml:space="preserve">PRAs </w:t>
      </w:r>
      <w:r>
        <w:rPr>
          <w:lang w:bidi="ar-IQ"/>
        </w:rPr>
        <w:t>supplied</w:t>
      </w:r>
      <w:r>
        <w:rPr/>
        <w:t xml:space="preserve"> in addition.</w:t>
      </w:r>
    </w:p>
    <w:p>
      <w:pPr>
        <w:pStyle w:val="Normal"/>
        <w:rPr/>
      </w:pPr>
      <w:r>
        <w:rPr>
          <w:lang w:eastAsia="zh-CN"/>
        </w:rPr>
        <w:t>The PRAs list may be composed of:</w:t>
      </w:r>
    </w:p>
    <w:p>
      <w:pPr>
        <w:pStyle w:val="B1"/>
        <w:rPr/>
      </w:pPr>
      <w:r>
        <w:rPr>
          <w:lang w:eastAsia="zh-CN"/>
        </w:rPr>
        <w:t>-</w:t>
        <w:tab/>
      </w:r>
      <w:r>
        <w:rPr/>
        <w:t xml:space="preserve">Core Network pre-configured Presence Reporting Area(s) identified by </w:t>
      </w:r>
      <w:r>
        <w:rPr>
          <w:lang w:eastAsia="zh-CN"/>
        </w:rPr>
        <w:t>PRA Identifier(s)</w:t>
      </w:r>
      <w:r>
        <w:rPr/>
        <w:t>;</w:t>
      </w:r>
    </w:p>
    <w:p>
      <w:pPr>
        <w:pStyle w:val="B1"/>
        <w:rPr>
          <w:lang w:eastAsia="zh-CN"/>
        </w:rPr>
      </w:pPr>
      <w:r>
        <w:rPr/>
        <w:t>-</w:t>
        <w:tab/>
      </w:r>
      <w:r>
        <w:rPr>
          <w:lang w:eastAsia="zh-CN"/>
        </w:rPr>
        <w:t xml:space="preserve">UE-dedicated </w:t>
      </w:r>
      <w:r>
        <w:rPr/>
        <w:t>Presence Reporting Area</w:t>
      </w:r>
      <w:r>
        <w:rPr>
          <w:lang w:eastAsia="zh-CN"/>
        </w:rPr>
        <w:t>(</w:t>
      </w:r>
      <w:r>
        <w:rPr/>
        <w:t>s</w:t>
      </w:r>
      <w:r>
        <w:rPr>
          <w:lang w:eastAsia="zh-CN"/>
        </w:rPr>
        <w:t>) defined by a PRA Identifier(s) each provided with its elements.</w:t>
      </w:r>
    </w:p>
    <w:p>
      <w:pPr>
        <w:pStyle w:val="Normal"/>
        <w:rPr>
          <w:lang w:eastAsia="zh-CN"/>
        </w:rPr>
      </w:pPr>
      <w:r>
        <w:rPr>
          <w:lang w:val="en-US"/>
        </w:rPr>
        <w:t xml:space="preserve">Once </w:t>
      </w:r>
      <w:r>
        <w:rPr>
          <w:lang w:eastAsia="zh-CN"/>
        </w:rPr>
        <w:t xml:space="preserve">location reporting charging is activated, </w:t>
      </w:r>
      <w:r>
        <w:rPr>
          <w:lang w:val="en-US"/>
        </w:rPr>
        <w:t xml:space="preserve">the registration is completed, the AMF starts the location reporting procedure towards to NG-RAN </w:t>
      </w:r>
      <w:bookmarkStart w:id="56" w:name="_Hlk15547305"/>
      <w:r>
        <w:rPr>
          <w:lang w:val="en-US"/>
        </w:rPr>
        <w:t xml:space="preserve">specified in </w:t>
      </w:r>
      <w:r>
        <w:rPr>
          <w:lang w:eastAsia="zh-CN"/>
        </w:rPr>
        <w:t xml:space="preserve">clause </w:t>
      </w:r>
      <w:r>
        <w:rPr/>
        <w:t>4.10 of TS 23.502 [202] with parameters associated to the PRA(s), as described in clause 5.2.2.4.2.</w:t>
      </w:r>
    </w:p>
    <w:p>
      <w:pPr>
        <w:pStyle w:val="Normal"/>
        <w:rPr/>
      </w:pPr>
      <w:bookmarkEnd w:id="56"/>
      <w:r>
        <w:rPr/>
        <w:t xml:space="preserve">When a Change of UE presence in Presence Reporting Area(s) is detected for PRA(s) subscribed-to by the CHF, the AMF sends </w:t>
      </w:r>
      <w:r>
        <w:rPr>
          <w:lang w:bidi="ar-IQ"/>
        </w:rPr>
        <w:t xml:space="preserve">Charging Data Request [Event, location reporting] to CHF with </w:t>
      </w:r>
      <w:r>
        <w:rPr/>
        <w:t>the PRA Identifier(s) and indication(s) whether the UE is inside or outside the Presence Reporting Area(s).</w:t>
      </w:r>
    </w:p>
    <w:p>
      <w:pPr>
        <w:pStyle w:val="Normal"/>
        <w:rPr>
          <w:lang w:bidi="ar-IQ"/>
        </w:rPr>
      </w:pPr>
      <w:r>
        <w:rPr>
          <w:lang w:bidi="ar-IQ"/>
        </w:rPr>
        <w:t xml:space="preserve">The CHF may update the list of </w:t>
      </w:r>
      <w:r>
        <w:rPr/>
        <w:t>Presence Reporting Area(s) subscription</w:t>
      </w:r>
      <w:r>
        <w:rPr>
          <w:lang w:bidi="ar-IQ"/>
        </w:rPr>
        <w:t xml:space="preserve"> or remove the list of </w:t>
      </w:r>
      <w:r>
        <w:rPr/>
        <w:t>Presence Reporting Area(s)</w:t>
      </w:r>
      <w:r>
        <w:rPr>
          <w:lang w:bidi="ar-IQ"/>
        </w:rPr>
        <w:t>, in any Charging Data Response [Event/Initial] as per table 5.2.1.2.3.1.</w:t>
      </w:r>
    </w:p>
    <w:p>
      <w:pPr>
        <w:pStyle w:val="Heading3"/>
        <w:rPr/>
      </w:pPr>
      <w:bookmarkStart w:id="57" w:name="__RefHeading___Toc25753225"/>
      <w:bookmarkEnd w:id="57"/>
      <w:r>
        <w:rPr/>
        <w:t>5.2.2</w:t>
        <w:tab/>
        <w:t>Message flows</w:t>
      </w:r>
    </w:p>
    <w:p>
      <w:pPr>
        <w:pStyle w:val="Heading4"/>
        <w:ind w:left="1418" w:hanging="1418"/>
        <w:rPr/>
      </w:pPr>
      <w:bookmarkStart w:id="58" w:name="__RefHeading___Toc25753226"/>
      <w:bookmarkEnd w:id="58"/>
      <w:r>
        <w:rPr/>
        <w:t>5.2.2.1</w:t>
        <w:tab/>
        <w:t>General</w:t>
      </w:r>
    </w:p>
    <w:p>
      <w:pPr>
        <w:pStyle w:val="Normal"/>
        <w:keepNext w:val="true"/>
        <w:rPr/>
      </w:pPr>
      <w:r>
        <w:rPr/>
        <w:t xml:space="preserve">The flows in the present document specify the interaction between the AMF and the CHF for 5G connection and mobility converged charging functionality, in different scenarios, based on </w:t>
      </w:r>
      <w:r>
        <w:rPr>
          <w:lang w:bidi="ar-IQ"/>
        </w:rPr>
        <w:t xml:space="preserve">TS 23.501 [200] and TS 23.502 [201] </w:t>
      </w:r>
      <w:r>
        <w:rPr/>
        <w:t xml:space="preserve">procedures and flows.  </w:t>
      </w:r>
    </w:p>
    <w:p>
      <w:pPr>
        <w:pStyle w:val="Normal"/>
        <w:rPr/>
      </w:pPr>
      <w:r>
        <w:rPr/>
        <w:t xml:space="preserve">This interaction is based on Charging Data Request /Response specified </w:t>
      </w:r>
      <w:r>
        <w:rPr>
          <w:lang w:bidi="ar-IQ"/>
        </w:rPr>
        <w:t>in TS 32.290 [57]</w:t>
      </w:r>
      <w:r>
        <w:rPr/>
        <w:t xml:space="preserve">, exchanged between the AMF embedding the CTF and the CHF. </w:t>
      </w:r>
    </w:p>
    <w:p>
      <w:pPr>
        <w:pStyle w:val="Normal"/>
        <w:rPr/>
      </w:pPr>
      <w:r>
        <w:rPr/>
        <w:t xml:space="preserve">As a general principle, the steps in the figures for the message flows below correspond to the steps of figures in TS 23.502 [202], which is the reference. The present document specifies the charging specific extension part. </w:t>
      </w:r>
    </w:p>
    <w:p>
      <w:pPr>
        <w:pStyle w:val="Heading4"/>
        <w:ind w:left="1418" w:hanging="1418"/>
        <w:rPr/>
      </w:pPr>
      <w:bookmarkStart w:id="59" w:name="__RefHeading___Toc25753227"/>
      <w:bookmarkEnd w:id="59"/>
      <w:r>
        <w:rPr/>
        <w:t>5.2.2.2</w:t>
        <w:tab/>
        <w:t>Registration management charging from AMF</w:t>
      </w:r>
    </w:p>
    <w:p>
      <w:pPr>
        <w:pStyle w:val="Heading5"/>
        <w:ind w:left="1701" w:hanging="1701"/>
        <w:rPr>
          <w:lang w:eastAsia="zh-CN"/>
        </w:rPr>
      </w:pPr>
      <w:bookmarkStart w:id="60" w:name="__RefHeading___Toc25753228"/>
      <w:bookmarkEnd w:id="60"/>
      <w:r>
        <w:rPr/>
        <w:t>5.2.2.2.1</w:t>
        <w:tab/>
      </w:r>
      <w:r>
        <w:rPr>
          <w:lang w:eastAsia="zh-CN"/>
        </w:rPr>
        <w:t>General</w:t>
      </w:r>
    </w:p>
    <w:p>
      <w:pPr>
        <w:pStyle w:val="Normal"/>
        <w:rPr/>
      </w:pPr>
      <w:r>
        <w:rPr/>
        <w:t xml:space="preserve">The subclause below describes registration management charging. </w:t>
      </w:r>
    </w:p>
    <w:p>
      <w:pPr>
        <w:pStyle w:val="Normal"/>
        <w:rPr/>
      </w:pPr>
      <w:r>
        <w:rPr/>
        <w:t>For registration procedures, the following scenarios specified in TS 32.290 [57] are supported:</w:t>
      </w:r>
    </w:p>
    <w:p>
      <w:pPr>
        <w:pStyle w:val="B1"/>
        <w:rPr/>
      </w:pPr>
      <w:r>
        <w:rPr/>
        <w:t xml:space="preserve">- </w:t>
        <w:tab/>
        <w:t>PEC;</w:t>
      </w:r>
    </w:p>
    <w:p>
      <w:pPr>
        <w:pStyle w:val="B1"/>
        <w:rPr/>
      </w:pPr>
      <w:r>
        <w:rPr/>
        <w:t>-</w:t>
        <w:tab/>
        <w:t>IEC;</w:t>
      </w:r>
    </w:p>
    <w:p>
      <w:pPr>
        <w:pStyle w:val="B1"/>
        <w:rPr/>
      </w:pPr>
      <w:r>
        <w:rPr/>
        <w:t>-</w:t>
        <w:tab/>
        <w:t>ECUR.</w:t>
      </w:r>
    </w:p>
    <w:p>
      <w:pPr>
        <w:pStyle w:val="Normal"/>
        <w:rPr/>
      </w:pPr>
      <w:r>
        <w:rPr/>
        <w:t>For deregistration procedures, only PEC scenario is supported.</w:t>
      </w:r>
    </w:p>
    <w:p>
      <w:pPr>
        <w:pStyle w:val="Heading5"/>
        <w:ind w:left="1701" w:hanging="1701"/>
        <w:rPr>
          <w:lang w:eastAsia="zh-CN"/>
        </w:rPr>
      </w:pPr>
      <w:bookmarkStart w:id="61" w:name="__RefHeading___Toc25753229"/>
      <w:bookmarkEnd w:id="61"/>
      <w:r>
        <w:rPr/>
        <w:t>5.2.2.2.2</w:t>
        <w:tab/>
        <w:t xml:space="preserve">General </w:t>
      </w:r>
      <w:r>
        <w:rPr>
          <w:lang w:eastAsia="zh-CN"/>
        </w:rPr>
        <w:t>Registration – PEC charging</w:t>
      </w:r>
    </w:p>
    <w:p>
      <w:pPr>
        <w:pStyle w:val="Normal"/>
        <w:rPr/>
      </w:pPr>
      <w:r>
        <w:rPr/>
        <w:t>The following figure 5.2.2.2.2.1 describes a</w:t>
      </w:r>
      <w:r>
        <w:rPr>
          <w:lang w:eastAsia="zh-CN"/>
        </w:rPr>
        <w:t xml:space="preserve"> </w:t>
      </w:r>
      <w:r>
        <w:rPr/>
        <w:t>Registration charging message flow in PEC charging</w:t>
      </w:r>
      <w:r>
        <w:rPr>
          <w:lang w:eastAsia="zh-CN"/>
        </w:rPr>
        <w:t xml:space="preserve">, based on figure </w:t>
      </w:r>
      <w:r>
        <w:rPr/>
        <w:t xml:space="preserve">4.2.2.2.2-1 of TS 23.502 [202] description and, applicable to:  </w:t>
      </w:r>
    </w:p>
    <w:p>
      <w:pPr>
        <w:pStyle w:val="B1"/>
        <w:rPr/>
      </w:pPr>
      <w:r>
        <w:rPr/>
        <w:t>-</w:t>
        <w:tab/>
        <w:t>Initial Registration in 5GS;</w:t>
      </w:r>
    </w:p>
    <w:p>
      <w:pPr>
        <w:pStyle w:val="B1"/>
        <w:rPr/>
      </w:pPr>
      <w:r>
        <w:rPr/>
        <w:t>-</w:t>
        <w:tab/>
        <w:t>Mobility Registration Update; or</w:t>
      </w:r>
    </w:p>
    <w:p>
      <w:pPr>
        <w:pStyle w:val="B1"/>
        <w:rPr/>
      </w:pPr>
      <w:r>
        <w:rPr/>
        <w:t>-</w:t>
        <w:tab/>
        <w:t>Periodic Registration Update; or</w:t>
      </w:r>
    </w:p>
    <w:p>
      <w:pPr>
        <w:pStyle w:val="B1"/>
        <w:rPr>
          <w:lang w:val="en-US"/>
        </w:rPr>
      </w:pPr>
      <w:r>
        <w:rPr/>
        <w:t>-</w:t>
        <w:tab/>
        <w:t>Emergency Registration.</w:t>
      </w:r>
    </w:p>
    <w:p>
      <w:pPr>
        <w:pStyle w:val="TH"/>
        <w:rPr/>
      </w:pPr>
      <w:bookmarkStart w:id="62" w:name="_Hlk938767"/>
      <w:bookmarkEnd w:id="62"/>
      <w:r>
        <w:rPr/>
        <w:object w:dxaOrig="10284" w:dyaOrig="11682">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67.9pt;height:532.1pt" filled="f" o:ole="">
            <v:imagedata r:id="rId18" o:title=""/>
          </v:shape>
          <o:OLEObject Type="Embed" ProgID="" ShapeID="ole_rId17" DrawAspect="Content" ObjectID="_2078861619" r:id="rId17"/>
        </w:object>
      </w:r>
    </w:p>
    <w:p>
      <w:pPr>
        <w:pStyle w:val="TF"/>
        <w:rPr/>
      </w:pPr>
      <w:r>
        <w:rPr/>
        <w:t xml:space="preserve">Figure 5.2.2.2.2.1: Registration – PEC charging </w:t>
      </w:r>
    </w:p>
    <w:p>
      <w:pPr>
        <w:pStyle w:val="Normal"/>
        <w:rPr/>
      </w:pPr>
      <w:r>
        <w:rPr/>
      </w:r>
      <w:bookmarkStart w:id="63" w:name="_Hlk938767"/>
      <w:bookmarkStart w:id="64" w:name="_Hlk938767"/>
      <w:bookmarkEnd w:id="64"/>
    </w:p>
    <w:p>
      <w:pPr>
        <w:pStyle w:val="B1"/>
        <w:rPr/>
      </w:pPr>
      <w:r>
        <w:rPr>
          <w:lang w:val="en-US"/>
        </w:rPr>
        <w:t>1-14c.</w:t>
        <w:tab/>
      </w:r>
      <w:r>
        <w:rPr/>
        <w:t>Registration procedure initiated by UE.</w:t>
      </w:r>
    </w:p>
    <w:p>
      <w:pPr>
        <w:pStyle w:val="B1"/>
        <w:rPr/>
      </w:pPr>
      <w:r>
        <w:rPr>
          <w:lang w:val="en-US"/>
        </w:rPr>
        <w:t>10: The new AMF notifies the old AMF that the registration of the UE in the new AMF is completed.</w:t>
      </w:r>
    </w:p>
    <w:p>
      <w:pPr>
        <w:pStyle w:val="B1"/>
        <w:rPr/>
      </w:pPr>
      <w:r>
        <w:rPr>
          <w:lang w:val="en-US"/>
        </w:rPr>
        <w:t xml:space="preserve">14d: If necessary, the old AMF is requested by UDM to delete Registration Management contexts and PDU Sessions.  </w:t>
      </w:r>
    </w:p>
    <w:p>
      <w:pPr>
        <w:pStyle w:val="B1"/>
        <w:rPr/>
      </w:pPr>
      <w:r>
        <w:rPr>
          <w:lang w:val="en-US"/>
        </w:rPr>
        <w:t xml:space="preserve">14dCh: The old AMF interacts with the CHF as per deregistration procedure described in figure 5.2.2.2.8.1.  </w:t>
      </w:r>
    </w:p>
    <w:p>
      <w:pPr>
        <w:pStyle w:val="B1"/>
        <w:rPr/>
      </w:pPr>
      <w:r>
        <w:rPr>
          <w:lang w:val="en-US"/>
        </w:rPr>
        <w:t>21.</w:t>
        <w:tab/>
        <w:t>Upon successful procedure,</w:t>
      </w:r>
      <w:r>
        <w:rPr/>
        <w:t xml:space="preserve"> Registration Accept sent to the UE.</w:t>
      </w:r>
    </w:p>
    <w:p>
      <w:pPr>
        <w:pStyle w:val="B1"/>
        <w:rPr>
          <w:lang w:val="en-US"/>
        </w:rPr>
      </w:pPr>
      <w:r>
        <w:rPr/>
        <w:t xml:space="preserve">21ch-a. The AMF sends Charging Data Request </w:t>
      </w:r>
      <w:r>
        <w:rPr>
          <w:lang w:eastAsia="zh-CN"/>
        </w:rPr>
        <w:t>[Event] to CHF</w:t>
      </w:r>
      <w:r>
        <w:rPr/>
        <w:t xml:space="preserve"> for the UE successful registration.</w:t>
      </w:r>
    </w:p>
    <w:p>
      <w:pPr>
        <w:pStyle w:val="B1"/>
        <w:rPr/>
      </w:pPr>
      <w:r>
        <w:rPr/>
        <w:t>21ch-b. The CHF creates the CDR for this registration.</w:t>
      </w:r>
    </w:p>
    <w:p>
      <w:pPr>
        <w:pStyle w:val="B1"/>
        <w:rPr/>
      </w:pPr>
      <w:r>
        <w:rPr/>
        <w:t xml:space="preserve">21ch-c. The CHF acknowledges by sending Charging Data Response </w:t>
      </w:r>
      <w:r>
        <w:rPr>
          <w:lang w:eastAsia="zh-CN"/>
        </w:rPr>
        <w:t>[Event] to the AMF.</w:t>
      </w:r>
    </w:p>
    <w:p>
      <w:pPr>
        <w:pStyle w:val="Heading5"/>
        <w:ind w:left="1701" w:hanging="1701"/>
        <w:rPr/>
      </w:pPr>
      <w:bookmarkStart w:id="65" w:name="__RefHeading___Toc25753230"/>
      <w:bookmarkStart w:id="66" w:name="_Hlk12544713"/>
      <w:bookmarkEnd w:id="65"/>
      <w:r>
        <w:rPr/>
        <w:t>5.2.2.2.</w:t>
      </w:r>
      <w:bookmarkEnd w:id="66"/>
      <w:r>
        <w:rPr/>
        <w:t>3</w:t>
        <w:tab/>
        <w:t xml:space="preserve">General </w:t>
      </w:r>
      <w:r>
        <w:rPr>
          <w:lang w:eastAsia="zh-CN"/>
        </w:rPr>
        <w:t>Registration – IEC</w:t>
      </w:r>
    </w:p>
    <w:p>
      <w:pPr>
        <w:pStyle w:val="Normal"/>
        <w:rPr/>
      </w:pPr>
      <w:r>
        <w:rPr/>
        <w:t>The following figure 5.2.2.2.3.1 describes a</w:t>
      </w:r>
      <w:r>
        <w:rPr>
          <w:lang w:eastAsia="zh-CN"/>
        </w:rPr>
        <w:t xml:space="preserve"> </w:t>
      </w:r>
      <w:r>
        <w:rPr/>
        <w:t>Registration charging message flows in IEC</w:t>
      </w:r>
      <w:r>
        <w:rPr>
          <w:lang w:eastAsia="zh-CN"/>
        </w:rPr>
        <w:t>, based on the clause 5.2.2.2.2 Registration description</w:t>
      </w:r>
      <w:r>
        <w:rPr/>
        <w:t xml:space="preserve">:  </w:t>
      </w:r>
    </w:p>
    <w:p>
      <w:pPr>
        <w:pStyle w:val="TH"/>
        <w:rPr>
          <w:rFonts w:ascii="Times New Roman" w:hAnsi="Times New Roman" w:cs="Times New Roman"/>
        </w:rPr>
      </w:pPr>
      <w:r>
        <w:rPr>
          <w:rFonts w:cs="Times New Roman" w:ascii="Times New Roman" w:hAnsi="Times New Roman"/>
        </w:rPr>
        <w:object w:dxaOrig="9717" w:dyaOrig="8591">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96.5pt;height:441pt" filled="f" o:ole="">
            <v:imagedata r:id="rId20" o:title=""/>
          </v:shape>
          <o:OLEObject Type="Embed" ProgID="" ShapeID="ole_rId19" DrawAspect="Content" ObjectID="_780945956" r:id="rId19"/>
        </w:object>
      </w:r>
    </w:p>
    <w:p>
      <w:pPr>
        <w:pStyle w:val="TF"/>
        <w:rPr/>
      </w:pPr>
      <w:r>
        <w:rPr/>
        <w:t xml:space="preserve">Figure 5.2.2.2.3.1: Registration – IEC </w:t>
      </w:r>
    </w:p>
    <w:p>
      <w:pPr>
        <w:pStyle w:val="B1"/>
        <w:rPr/>
      </w:pPr>
      <w:r>
        <w:rPr>
          <w:lang w:val="en-US"/>
        </w:rPr>
        <w:t>1-14c.</w:t>
        <w:tab/>
      </w:r>
      <w:r>
        <w:rPr/>
        <w:t>Registration procedure initiated by UE.</w:t>
      </w:r>
    </w:p>
    <w:p>
      <w:pPr>
        <w:pStyle w:val="B1"/>
        <w:rPr/>
      </w:pPr>
      <w:r>
        <w:rPr>
          <w:lang w:val="en-US"/>
        </w:rPr>
        <w:t>15-16: AM policy association procedure.</w:t>
      </w:r>
    </w:p>
    <w:p>
      <w:pPr>
        <w:pStyle w:val="B1"/>
        <w:rPr>
          <w:lang w:val="en-US"/>
        </w:rPr>
      </w:pPr>
      <w:r>
        <w:rPr/>
        <w:t xml:space="preserve">16ch-a. The AMF sends Charging Data Request </w:t>
      </w:r>
      <w:r>
        <w:rPr>
          <w:lang w:eastAsia="zh-CN"/>
        </w:rPr>
        <w:t>[Event] to CHF</w:t>
      </w:r>
      <w:r>
        <w:rPr/>
        <w:t xml:space="preserve"> for the UE registration to be granted authorization, rated and accounted. </w:t>
      </w:r>
    </w:p>
    <w:p>
      <w:pPr>
        <w:pStyle w:val="B1"/>
        <w:rPr/>
      </w:pPr>
      <w:r>
        <w:rPr/>
        <w:t>16ch-b. Account and Rating control by the CHF for the registration and CDR creation.</w:t>
      </w:r>
    </w:p>
    <w:p>
      <w:pPr>
        <w:pStyle w:val="B1"/>
        <w:rPr/>
      </w:pPr>
      <w:r>
        <w:rPr/>
        <w:t xml:space="preserve">16ch-c. The CHF acknowledges by sending Charging Data Response </w:t>
      </w:r>
      <w:r>
        <w:rPr>
          <w:lang w:eastAsia="zh-CN"/>
        </w:rPr>
        <w:t>[Event] and the AMF, granting authorization to the registration.</w:t>
      </w:r>
    </w:p>
    <w:p>
      <w:pPr>
        <w:pStyle w:val="B1"/>
        <w:rPr/>
      </w:pPr>
      <w:r>
        <w:rPr>
          <w:lang w:val="en-US"/>
        </w:rPr>
        <w:t xml:space="preserve">17 to 24. Same steps as in Figure 5.2.2.2.2.1.  </w:t>
      </w:r>
    </w:p>
    <w:p>
      <w:pPr>
        <w:pStyle w:val="Heading5"/>
        <w:ind w:left="1701" w:hanging="1701"/>
        <w:rPr>
          <w:lang w:eastAsia="zh-CN"/>
        </w:rPr>
      </w:pPr>
      <w:bookmarkStart w:id="67" w:name="__RefHeading___Toc25753231"/>
      <w:bookmarkEnd w:id="67"/>
      <w:r>
        <w:rPr/>
        <w:t>5.2.2.2.4</w:t>
        <w:tab/>
        <w:t xml:space="preserve">General </w:t>
      </w:r>
      <w:r>
        <w:rPr>
          <w:lang w:eastAsia="zh-CN"/>
        </w:rPr>
        <w:t>Registration – ECUR</w:t>
      </w:r>
    </w:p>
    <w:p>
      <w:pPr>
        <w:pStyle w:val="Normal"/>
        <w:rPr/>
      </w:pPr>
      <w:r>
        <w:rPr/>
        <w:t>The following figure 5.2.2.2.4.1 describes a</w:t>
      </w:r>
      <w:r>
        <w:rPr>
          <w:lang w:eastAsia="zh-CN"/>
        </w:rPr>
        <w:t xml:space="preserve"> </w:t>
      </w:r>
      <w:r>
        <w:rPr/>
        <w:t>Registration charging message flows in ECUR</w:t>
      </w:r>
      <w:r>
        <w:rPr>
          <w:lang w:eastAsia="zh-CN"/>
        </w:rPr>
        <w:t>, based on the clause 5.2.2.2.2 Registration description</w:t>
      </w:r>
      <w:r>
        <w:rPr/>
        <w:t xml:space="preserve">:  </w:t>
      </w:r>
    </w:p>
    <w:p>
      <w:pPr>
        <w:pStyle w:val="TH"/>
        <w:rPr/>
      </w:pPr>
      <w:r>
        <w:rPr/>
        <w:object w:dxaOrig="10665" w:dyaOrig="9837">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97pt;height:458.85pt" filled="f" o:ole="">
            <v:imagedata r:id="rId22" o:title=""/>
          </v:shape>
          <o:OLEObject Type="Embed" ProgID="" ShapeID="ole_rId21" DrawAspect="Content" ObjectID="_2026133737" r:id="rId21"/>
        </w:object>
      </w:r>
      <w:r>
        <w:rPr/>
        <w:t xml:space="preserve">Figure 5.2.2.2.4.1: Registration – ECUR </w:t>
      </w:r>
    </w:p>
    <w:p>
      <w:pPr>
        <w:pStyle w:val="B1"/>
        <w:rPr/>
      </w:pPr>
      <w:r>
        <w:rPr>
          <w:lang w:val="en-US"/>
        </w:rPr>
        <w:t>1-14c.</w:t>
        <w:tab/>
      </w:r>
      <w:r>
        <w:rPr/>
        <w:t>Registration procedure initiated by UE.</w:t>
      </w:r>
    </w:p>
    <w:p>
      <w:pPr>
        <w:pStyle w:val="B1"/>
        <w:rPr/>
      </w:pPr>
      <w:r>
        <w:rPr>
          <w:lang w:val="en-US"/>
        </w:rPr>
        <w:t>15-16: AM policy association procedure.</w:t>
      </w:r>
    </w:p>
    <w:p>
      <w:pPr>
        <w:pStyle w:val="B1"/>
        <w:rPr>
          <w:lang w:val="en-US"/>
        </w:rPr>
      </w:pPr>
      <w:r>
        <w:rPr/>
        <w:t xml:space="preserve">16ch-a. The AMF sends Charging Data Request </w:t>
      </w:r>
      <w:r>
        <w:rPr>
          <w:lang w:eastAsia="zh-CN"/>
        </w:rPr>
        <w:t>[Initial] to CHF</w:t>
      </w:r>
      <w:r>
        <w:rPr/>
        <w:t xml:space="preserve"> for the UE registration to be granted authorization. </w:t>
      </w:r>
    </w:p>
    <w:p>
      <w:pPr>
        <w:pStyle w:val="B1"/>
        <w:rPr/>
      </w:pPr>
      <w:r>
        <w:rPr/>
        <w:t>16ch-b. Account and Rating control by the CHF for the registration and open a CDR.</w:t>
      </w:r>
    </w:p>
    <w:p>
      <w:pPr>
        <w:pStyle w:val="B1"/>
        <w:rPr/>
      </w:pPr>
      <w:r>
        <w:rPr/>
        <w:t xml:space="preserve">16ch-c. The CHF acknowledges by sending Charging Data Response </w:t>
      </w:r>
      <w:r>
        <w:rPr>
          <w:lang w:eastAsia="zh-CN"/>
        </w:rPr>
        <w:t>[Initial] and the AMF, granting authorization to the registration.</w:t>
      </w:r>
    </w:p>
    <w:p>
      <w:pPr>
        <w:pStyle w:val="B1"/>
        <w:rPr>
          <w:lang w:val="en-US"/>
        </w:rPr>
      </w:pPr>
      <w:r>
        <w:rPr>
          <w:lang w:val="en-US"/>
        </w:rPr>
        <w:t xml:space="preserve">17 to 21. Same steps as in Figure 5.2.2.2.2.1.  </w:t>
      </w:r>
    </w:p>
    <w:p>
      <w:pPr>
        <w:pStyle w:val="B1"/>
        <w:rPr>
          <w:lang w:val="en-US"/>
        </w:rPr>
      </w:pPr>
      <w:r>
        <w:rPr/>
        <w:t xml:space="preserve">21ch-a. The AMF sends Charging Data Request </w:t>
      </w:r>
      <w:r>
        <w:rPr>
          <w:lang w:eastAsia="zh-CN"/>
        </w:rPr>
        <w:t>[Termination] to CHF</w:t>
      </w:r>
      <w:r>
        <w:rPr/>
        <w:t xml:space="preserve"> for the UE successful registration.</w:t>
      </w:r>
    </w:p>
    <w:p>
      <w:pPr>
        <w:pStyle w:val="B1"/>
        <w:rPr/>
      </w:pPr>
      <w:r>
        <w:rPr/>
        <w:t>21ch-b. The CHF closes the CDR for this registration.</w:t>
      </w:r>
    </w:p>
    <w:p>
      <w:pPr>
        <w:pStyle w:val="B1"/>
        <w:rPr>
          <w:lang w:val="en-US"/>
        </w:rPr>
      </w:pPr>
      <w:r>
        <w:rPr/>
        <w:t xml:space="preserve">21ch-c. The CHF acknowledges by sending Charging Data Response </w:t>
      </w:r>
      <w:r>
        <w:rPr>
          <w:lang w:eastAsia="zh-CN"/>
        </w:rPr>
        <w:t>[Termination] to the AMF.</w:t>
      </w:r>
    </w:p>
    <w:p>
      <w:pPr>
        <w:pStyle w:val="Heading5"/>
        <w:ind w:left="1701" w:hanging="1701"/>
        <w:rPr/>
      </w:pPr>
      <w:bookmarkStart w:id="68" w:name="__RefHeading___Toc25753232"/>
      <w:bookmarkEnd w:id="68"/>
      <w:r>
        <w:rPr/>
        <w:t>5.2.2.2.5</w:t>
        <w:tab/>
      </w:r>
      <w:r>
        <w:rPr>
          <w:lang w:eastAsia="zh-CN"/>
        </w:rPr>
        <w:t xml:space="preserve">Registration with AMF re-allocation – </w:t>
      </w:r>
      <w:bookmarkStart w:id="69" w:name="_Hlk12542990"/>
      <w:r>
        <w:rPr>
          <w:lang w:eastAsia="zh-CN"/>
        </w:rPr>
        <w:t>PEC charging</w:t>
      </w:r>
      <w:bookmarkEnd w:id="69"/>
    </w:p>
    <w:p>
      <w:pPr>
        <w:pStyle w:val="Normal"/>
        <w:rPr/>
      </w:pPr>
      <w:r>
        <w:rPr/>
        <w:t>The following figure 5.2.2.2.5.1 describes a</w:t>
      </w:r>
      <w:r>
        <w:rPr>
          <w:lang w:eastAsia="zh-CN"/>
        </w:rPr>
        <w:t xml:space="preserve"> </w:t>
      </w:r>
      <w:r>
        <w:rPr/>
        <w:t xml:space="preserve">registration with AMF re-allocation PEC charging, </w:t>
      </w:r>
      <w:r>
        <w:rPr>
          <w:lang w:eastAsia="zh-CN"/>
        </w:rPr>
        <w:t xml:space="preserve">based on figure </w:t>
      </w:r>
      <w:r>
        <w:rPr/>
        <w:t>4.2.2.2.3-1 TS 23.502 [202] description:</w:t>
      </w:r>
    </w:p>
    <w:p>
      <w:pPr>
        <w:pStyle w:val="TH"/>
        <w:rPr>
          <w:rFonts w:ascii="Times New Roman" w:hAnsi="Times New Roman" w:cs="Times New Roman"/>
        </w:rPr>
      </w:pPr>
      <w:r>
        <w:rPr>
          <w:rFonts w:cs="Times New Roman" w:ascii="Times New Roman" w:hAnsi="Times New Roman"/>
        </w:rPr>
        <w:object w:dxaOrig="9279" w:dyaOrig="5122">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57.5pt;height:254.25pt" filled="f" o:ole="">
            <v:imagedata r:id="rId24" o:title=""/>
          </v:shape>
          <o:OLEObject Type="Embed" ProgID="" ShapeID="ole_rId23" DrawAspect="Content" ObjectID="_406328614" r:id="rId23"/>
        </w:object>
      </w:r>
    </w:p>
    <w:p>
      <w:pPr>
        <w:pStyle w:val="TF"/>
        <w:rPr/>
      </w:pPr>
      <w:r>
        <w:rPr/>
        <w:t xml:space="preserve">Figure 5.2.2.2.5.1: Registration with AMF re-allocation– PEC charging </w:t>
      </w:r>
    </w:p>
    <w:p>
      <w:pPr>
        <w:pStyle w:val="B1"/>
        <w:rPr/>
      </w:pPr>
      <w:r>
        <w:rPr>
          <w:lang w:val="en-US"/>
        </w:rPr>
        <w:t>1-7b.</w:t>
        <w:tab/>
      </w:r>
      <w:r>
        <w:rPr/>
        <w:t>Registration with AMF re-allocation procedure.</w:t>
      </w:r>
    </w:p>
    <w:p>
      <w:pPr>
        <w:pStyle w:val="B1"/>
        <w:rPr/>
      </w:pPr>
      <w:r>
        <w:rPr>
          <w:lang w:val="en-US"/>
        </w:rPr>
        <w:t xml:space="preserve">21ch-a to 21ch-c: same steps as per Figure 5.2.2.2.2.1. </w:t>
      </w:r>
    </w:p>
    <w:p>
      <w:pPr>
        <w:pStyle w:val="B1"/>
        <w:rPr/>
      </w:pPr>
      <w:r>
        <w:rPr>
          <w:lang w:val="en-US"/>
        </w:rPr>
        <w:t xml:space="preserve">4-24b. Registration procedure in PEC charging in clause 5.2.2.2.2. </w:t>
      </w:r>
    </w:p>
    <w:p>
      <w:pPr>
        <w:pStyle w:val="Heading5"/>
        <w:ind w:left="1701" w:hanging="1701"/>
        <w:rPr/>
      </w:pPr>
      <w:bookmarkStart w:id="70" w:name="__RefHeading___Toc25753233"/>
      <w:bookmarkEnd w:id="70"/>
      <w:r>
        <w:rPr/>
        <w:t>5.2.2.2.6</w:t>
        <w:tab/>
      </w:r>
      <w:r>
        <w:rPr>
          <w:lang w:eastAsia="zh-CN"/>
        </w:rPr>
        <w:t>Registration with AMF re-allocation – IEC</w:t>
      </w:r>
    </w:p>
    <w:p>
      <w:pPr>
        <w:pStyle w:val="Normal"/>
        <w:rPr/>
      </w:pPr>
      <w:bookmarkStart w:id="71" w:name="_Hlk12544403"/>
      <w:r>
        <w:rPr/>
        <w:t>AMF re-allocation IEC charging is described by the figure 5.2.2.2.5.1 with the Registration procedure in steps 4-24b. referring to IEC charging in clause 5.2.2.2.3.</w:t>
      </w:r>
      <w:bookmarkEnd w:id="71"/>
    </w:p>
    <w:p>
      <w:pPr>
        <w:pStyle w:val="Heading5"/>
        <w:ind w:left="1701" w:hanging="1701"/>
        <w:rPr>
          <w:lang w:eastAsia="zh-CN"/>
        </w:rPr>
      </w:pPr>
      <w:bookmarkStart w:id="72" w:name="__RefHeading___Toc25753234"/>
      <w:bookmarkEnd w:id="72"/>
      <w:r>
        <w:rPr/>
        <w:t>5.2.2.2.7</w:t>
        <w:tab/>
      </w:r>
      <w:r>
        <w:rPr>
          <w:lang w:eastAsia="zh-CN"/>
        </w:rPr>
        <w:t>Registration with AMF re-allocation – ECUR</w:t>
      </w:r>
    </w:p>
    <w:p>
      <w:pPr>
        <w:pStyle w:val="Normal"/>
        <w:rPr/>
      </w:pPr>
      <w:r>
        <w:rPr/>
        <w:t>AMF re-allocation IEC charging is described by the figure 5.2.2.2.5.1 with the Registration procedure in steps 4-24b. referring to ECUR charging in clause 5.2.2.2.4.</w:t>
      </w:r>
    </w:p>
    <w:p>
      <w:pPr>
        <w:pStyle w:val="Heading5"/>
        <w:ind w:left="1701" w:hanging="1701"/>
        <w:rPr>
          <w:lang w:eastAsia="zh-CN"/>
        </w:rPr>
      </w:pPr>
      <w:bookmarkStart w:id="73" w:name="__RefHeading___Toc25753235"/>
      <w:bookmarkEnd w:id="73"/>
      <w:r>
        <w:rPr/>
        <w:t>5.2.2.2.8</w:t>
        <w:tab/>
        <w:t>Der</w:t>
      </w:r>
      <w:r>
        <w:rPr>
          <w:lang w:eastAsia="zh-CN"/>
        </w:rPr>
        <w:t>egistration – PEC charging</w:t>
      </w:r>
    </w:p>
    <w:p>
      <w:pPr>
        <w:pStyle w:val="Normal"/>
        <w:rPr/>
      </w:pPr>
      <w:r>
        <w:rPr/>
        <w:t xml:space="preserve">The Deregistration message flows are applicable to: </w:t>
      </w:r>
    </w:p>
    <w:p>
      <w:pPr>
        <w:pStyle w:val="B1"/>
        <w:rPr/>
      </w:pPr>
      <w:r>
        <w:rPr/>
        <w:t>-</w:t>
        <w:tab/>
        <w:t>UE-initiated deregistration</w:t>
      </w:r>
    </w:p>
    <w:p>
      <w:pPr>
        <w:pStyle w:val="B1"/>
        <w:rPr/>
      </w:pPr>
      <w:r>
        <w:rPr/>
        <w:t>-</w:t>
        <w:tab/>
        <w:t xml:space="preserve">Network-initiated Deregistration.    </w:t>
      </w:r>
    </w:p>
    <w:p>
      <w:pPr>
        <w:pStyle w:val="Normal"/>
        <w:rPr/>
      </w:pPr>
      <w:r>
        <w:rPr/>
        <w:t>The following figure 5.2.2.2.8.1 describes a</w:t>
      </w:r>
      <w:r>
        <w:rPr>
          <w:lang w:eastAsia="zh-CN"/>
        </w:rPr>
        <w:t xml:space="preserve"> </w:t>
      </w:r>
      <w:r>
        <w:rPr/>
        <w:t xml:space="preserve">UE-initiated deregistration in PEC charging, </w:t>
      </w:r>
      <w:r>
        <w:rPr>
          <w:lang w:eastAsia="zh-CN"/>
        </w:rPr>
        <w:t xml:space="preserve">based on figure </w:t>
      </w:r>
      <w:r>
        <w:rPr/>
        <w:t>4.2.2.3.2-1 of TS 23.502 [202] description:</w:t>
      </w:r>
    </w:p>
    <w:p>
      <w:pPr>
        <w:pStyle w:val="TH"/>
        <w:rPr/>
      </w:pPr>
      <w:r>
        <w:rPr/>
        <w:object w:dxaOrig="11025" w:dyaOrig="689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84pt;height:303.05pt" filled="f" o:ole="">
            <v:imagedata r:id="rId26" o:title=""/>
          </v:shape>
          <o:OLEObject Type="Embed" ProgID="" ShapeID="ole_rId25" DrawAspect="Content" ObjectID="_616478719" r:id="rId25"/>
        </w:object>
      </w:r>
    </w:p>
    <w:p>
      <w:pPr>
        <w:pStyle w:val="TF"/>
        <w:rPr>
          <w:lang w:eastAsia="zh-CN"/>
        </w:rPr>
      </w:pPr>
      <w:r>
        <w:rPr/>
        <w:t>Figure 5.2.2.2.8.1: UE-initiated Deregistration – PEC charging</w:t>
      </w:r>
    </w:p>
    <w:p>
      <w:pPr>
        <w:pStyle w:val="B1"/>
        <w:rPr/>
      </w:pPr>
      <w:r>
        <w:rPr>
          <w:lang w:val="en-US"/>
        </w:rPr>
        <w:t>1.</w:t>
        <w:tab/>
        <w:t>Der</w:t>
      </w:r>
      <w:r>
        <w:rPr/>
        <w:t>egistration procedure initiated by UE.</w:t>
      </w:r>
    </w:p>
    <w:p>
      <w:pPr>
        <w:pStyle w:val="B1"/>
        <w:rPr>
          <w:lang w:val="en-US"/>
        </w:rPr>
      </w:pPr>
      <w:r>
        <w:rPr/>
        <w:t xml:space="preserve">1ch-a. The AMF sends Charging Data Request </w:t>
      </w:r>
      <w:r>
        <w:rPr>
          <w:lang w:eastAsia="zh-CN"/>
        </w:rPr>
        <w:t>[Event] to CHF</w:t>
      </w:r>
      <w:r>
        <w:rPr/>
        <w:t xml:space="preserve"> for the UE deregistration.</w:t>
      </w:r>
    </w:p>
    <w:p>
      <w:pPr>
        <w:pStyle w:val="B1"/>
        <w:rPr/>
      </w:pPr>
      <w:r>
        <w:rPr/>
        <w:t>1ch-b. The CHF creates the CDR for this deregistration.</w:t>
      </w:r>
    </w:p>
    <w:p>
      <w:pPr>
        <w:pStyle w:val="B1"/>
        <w:rPr/>
      </w:pPr>
      <w:r>
        <w:rPr/>
        <w:t xml:space="preserve">1ch-c. The CHF acknowledges by sending Charging Data Response </w:t>
      </w:r>
      <w:r>
        <w:rPr>
          <w:lang w:eastAsia="zh-CN"/>
        </w:rPr>
        <w:t>[Event] to the AMF.</w:t>
      </w:r>
    </w:p>
    <w:p>
      <w:pPr>
        <w:pStyle w:val="B1"/>
        <w:rPr/>
      </w:pPr>
      <w:r>
        <w:rPr/>
        <w:t>7: The AMF sends NAS message Deregistration Accept to UE. In case of Deregistration type is switch-off, the Deregistration Accept message is not sent.</w:t>
      </w:r>
    </w:p>
    <w:p>
      <w:pPr>
        <w:pStyle w:val="Normal"/>
        <w:rPr/>
      </w:pPr>
      <w:r>
        <w:rPr/>
        <w:t>The following figure 5.2.2.2.8.2 describes a</w:t>
      </w:r>
      <w:r>
        <w:rPr>
          <w:lang w:eastAsia="zh-CN"/>
        </w:rPr>
        <w:t xml:space="preserve"> </w:t>
      </w:r>
      <w:r>
        <w:rPr/>
        <w:t xml:space="preserve">Network-initiated Deregistration in PEC charging, </w:t>
      </w:r>
      <w:r>
        <w:rPr>
          <w:lang w:eastAsia="zh-CN"/>
        </w:rPr>
        <w:t xml:space="preserve">based on figure </w:t>
      </w:r>
      <w:r>
        <w:rPr/>
        <w:t>4.2.2.3.3-1 of TS 23.502 [202] description:</w:t>
      </w:r>
    </w:p>
    <w:p>
      <w:pPr>
        <w:pStyle w:val="TH"/>
        <w:rPr/>
      </w:pPr>
      <w:r>
        <w:rPr/>
        <w:object w:dxaOrig="10419" w:dyaOrig="7111">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64.2pt;height:317.15pt" filled="f" o:ole="">
            <v:imagedata r:id="rId28" o:title=""/>
          </v:shape>
          <o:OLEObject Type="Embed" ProgID="" ShapeID="ole_rId27" DrawAspect="Content" ObjectID="_157076174" r:id="rId27"/>
        </w:object>
      </w:r>
    </w:p>
    <w:p>
      <w:pPr>
        <w:pStyle w:val="TF"/>
        <w:rPr>
          <w:lang w:eastAsia="zh-CN"/>
        </w:rPr>
      </w:pPr>
      <w:r>
        <w:rPr>
          <w:lang w:val="en-US"/>
        </w:rPr>
        <w:t xml:space="preserve">Figure 5.2.2.2.8.2: </w:t>
      </w:r>
      <w:r>
        <w:rPr/>
        <w:t xml:space="preserve">Network-initiated </w:t>
      </w:r>
      <w:r>
        <w:rPr>
          <w:lang w:val="en-US"/>
        </w:rPr>
        <w:t>Deregistration – PEC charging</w:t>
      </w:r>
    </w:p>
    <w:p>
      <w:pPr>
        <w:pStyle w:val="B1"/>
        <w:rPr/>
      </w:pPr>
      <w:r>
        <w:rPr>
          <w:lang w:val="en-US"/>
        </w:rPr>
        <w:t>1.</w:t>
        <w:tab/>
        <w:t>AMF receives Nudm_UECM_DeregistrationNotification from UDM.</w:t>
      </w:r>
    </w:p>
    <w:p>
      <w:pPr>
        <w:pStyle w:val="B1"/>
        <w:rPr/>
      </w:pPr>
      <w:r>
        <w:rPr>
          <w:lang w:val="en-US"/>
        </w:rPr>
        <w:t>2.</w:t>
        <w:tab/>
        <w:t>Der</w:t>
      </w:r>
      <w:r>
        <w:rPr/>
        <w:t>egistration Request sent towards the UE. In case of Implicit Deregistration, the Deregistration Request message is not sent.</w:t>
      </w:r>
    </w:p>
    <w:p>
      <w:pPr>
        <w:pStyle w:val="B1"/>
        <w:rPr>
          <w:lang w:val="en-US"/>
        </w:rPr>
      </w:pPr>
      <w:r>
        <w:rPr/>
        <w:t xml:space="preserve">2ch-a. The AMF sends Charging Data Request </w:t>
      </w:r>
      <w:r>
        <w:rPr>
          <w:lang w:eastAsia="zh-CN"/>
        </w:rPr>
        <w:t>[Event] to CHF</w:t>
      </w:r>
      <w:r>
        <w:rPr/>
        <w:t xml:space="preserve"> for the UE successful deregistration.</w:t>
      </w:r>
    </w:p>
    <w:p>
      <w:pPr>
        <w:pStyle w:val="B1"/>
        <w:rPr/>
      </w:pPr>
      <w:r>
        <w:rPr/>
        <w:t>2ch-b. The CHF creates the CDR for this deregistration.</w:t>
      </w:r>
    </w:p>
    <w:p>
      <w:pPr>
        <w:pStyle w:val="B1"/>
        <w:rPr/>
      </w:pPr>
      <w:r>
        <w:rPr/>
        <w:t xml:space="preserve">2ch-c. The CHF acknowledges by sending Charging Data Response </w:t>
      </w:r>
      <w:r>
        <w:rPr>
          <w:lang w:eastAsia="zh-CN"/>
        </w:rPr>
        <w:t>[Event] to the AMF.</w:t>
      </w:r>
    </w:p>
    <w:p>
      <w:pPr>
        <w:pStyle w:val="B1"/>
        <w:rPr/>
      </w:pPr>
      <w:r>
        <w:rPr>
          <w:lang w:eastAsia="zh-CN"/>
        </w:rPr>
        <w:t>[3-8]</w:t>
      </w:r>
      <w:r>
        <w:rPr/>
        <w:t>. Deregistration procedure steps.</w:t>
      </w:r>
    </w:p>
    <w:p>
      <w:pPr>
        <w:pStyle w:val="Heading5"/>
        <w:ind w:left="1701" w:hanging="1701"/>
        <w:rPr/>
      </w:pPr>
      <w:bookmarkStart w:id="74" w:name="__RefHeading___Toc25753236"/>
      <w:bookmarkEnd w:id="74"/>
      <w:r>
        <w:rPr/>
        <w:t>5.2.2.2.9</w:t>
        <w:tab/>
        <w:t>Registration – Untrusted non-3GPP access - PEC charging</w:t>
      </w:r>
    </w:p>
    <w:p>
      <w:pPr>
        <w:pStyle w:val="Normal"/>
        <w:rPr/>
      </w:pPr>
      <w:r>
        <w:rPr/>
        <w:t>The following figure 5.2.2.2.9.1 describes UE Registration via Untrusted non-3GPP Access, in PEC charging</w:t>
      </w:r>
      <w:r>
        <w:rPr>
          <w:lang w:eastAsia="zh-CN"/>
        </w:rPr>
        <w:t xml:space="preserve">, based on figure </w:t>
      </w:r>
      <w:r>
        <w:rPr/>
        <w:t xml:space="preserve">4.12.2.2-1 of TS 23.502 [202] description.  </w:t>
      </w:r>
    </w:p>
    <w:p>
      <w:pPr>
        <w:pStyle w:val="TH"/>
        <w:rPr>
          <w:lang w:eastAsia="zh-CN"/>
        </w:rPr>
      </w:pPr>
      <w:r>
        <w:rPr>
          <w:lang w:eastAsia="zh-CN"/>
        </w:rPr>
        <w:object w:dxaOrig="11950" w:dyaOrig="6557">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502.5pt;height:276.05pt" filled="f" o:ole="">
            <v:imagedata r:id="rId30" o:title=""/>
          </v:shape>
          <o:OLEObject Type="Embed" ProgID="" ShapeID="ole_rId29" DrawAspect="Content" ObjectID="_566405750" r:id="rId29"/>
        </w:object>
      </w:r>
    </w:p>
    <w:p>
      <w:pPr>
        <w:pStyle w:val="TF"/>
        <w:rPr/>
      </w:pPr>
      <w:r>
        <w:rPr/>
        <w:t>Figure 5.2.2.2.9.1: Registration via Untrusted non-3GPP Access – PEC</w:t>
      </w:r>
    </w:p>
    <w:p>
      <w:pPr>
        <w:pStyle w:val="B1"/>
        <w:rPr/>
      </w:pPr>
      <w:r>
        <w:rPr>
          <w:lang w:val="en-US"/>
        </w:rPr>
        <w:t>1-11b. UE registration procedure via N3IWF</w:t>
      </w:r>
      <w:r>
        <w:rPr/>
        <w:t>.</w:t>
      </w:r>
    </w:p>
    <w:p>
      <w:pPr>
        <w:pStyle w:val="B1"/>
        <w:rPr/>
      </w:pPr>
      <w:r>
        <w:rPr>
          <w:lang w:val="en-US"/>
        </w:rPr>
        <w:t>12.</w:t>
        <w:tab/>
        <w:t>Upon successful procedure,</w:t>
      </w:r>
      <w:r>
        <w:rPr/>
        <w:t xml:space="preserve"> NAS Registration Accept sent to N3IWF by AMF. </w:t>
      </w:r>
    </w:p>
    <w:p>
      <w:pPr>
        <w:pStyle w:val="B1"/>
        <w:rPr>
          <w:lang w:val="en-US"/>
        </w:rPr>
      </w:pPr>
      <w:r>
        <w:rPr/>
        <w:t xml:space="preserve">12ch-a. The AMF sends Charging Data Request </w:t>
      </w:r>
      <w:r>
        <w:rPr>
          <w:lang w:eastAsia="zh-CN"/>
        </w:rPr>
        <w:t>[Event] to CHF</w:t>
      </w:r>
      <w:r>
        <w:rPr/>
        <w:t xml:space="preserve"> for the UE successful registration.</w:t>
      </w:r>
    </w:p>
    <w:p>
      <w:pPr>
        <w:pStyle w:val="B1"/>
        <w:rPr/>
      </w:pPr>
      <w:r>
        <w:rPr/>
        <w:t>12ch-b. The CHF creates the CDR for this registration.</w:t>
      </w:r>
    </w:p>
    <w:p>
      <w:pPr>
        <w:pStyle w:val="B1"/>
        <w:rPr/>
      </w:pPr>
      <w:r>
        <w:rPr/>
        <w:t xml:space="preserve">12ch-c. The CHF acknowledges by sending Charging Data Response </w:t>
      </w:r>
      <w:r>
        <w:rPr>
          <w:lang w:eastAsia="zh-CN"/>
        </w:rPr>
        <w:t>[Event] to the AMF.</w:t>
      </w:r>
    </w:p>
    <w:p>
      <w:pPr>
        <w:pStyle w:val="Heading5"/>
        <w:ind w:left="1701" w:hanging="1701"/>
        <w:rPr/>
      </w:pPr>
      <w:bookmarkStart w:id="75" w:name="__RefHeading___Toc25753237"/>
      <w:bookmarkEnd w:id="75"/>
      <w:r>
        <w:rPr/>
        <w:t>5.2.2.2.10</w:t>
        <w:tab/>
        <w:t>Registration – Untrusted non-3GPP access - IEC</w:t>
      </w:r>
    </w:p>
    <w:p>
      <w:pPr>
        <w:pStyle w:val="Normal"/>
        <w:rPr/>
      </w:pPr>
      <w:r>
        <w:rPr/>
        <w:t>The following figure 5.2.2.2.10.1 describes UE Registration via Untrusted non-3GPP Access in IEC</w:t>
      </w:r>
      <w:r>
        <w:rPr>
          <w:lang w:eastAsia="zh-CN"/>
        </w:rPr>
        <w:t xml:space="preserve">, based on figure </w:t>
      </w:r>
      <w:r>
        <w:rPr/>
        <w:t xml:space="preserve">4.12.2.2-1 of TS 23.502 [202] description.  </w:t>
      </w:r>
    </w:p>
    <w:p>
      <w:pPr>
        <w:pStyle w:val="TH"/>
        <w:rPr>
          <w:lang w:eastAsia="zh-CN"/>
        </w:rPr>
      </w:pPr>
      <w:r>
        <w:rPr>
          <w:lang w:eastAsia="zh-CN"/>
        </w:rPr>
        <w:object w:dxaOrig="11950" w:dyaOrig="6557">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502.5pt;height:276.05pt" filled="f" o:ole="">
            <v:imagedata r:id="rId32" o:title=""/>
          </v:shape>
          <o:OLEObject Type="Embed" ProgID="" ShapeID="ole_rId31" DrawAspect="Content" ObjectID="_673922229" r:id="rId31"/>
        </w:object>
      </w:r>
    </w:p>
    <w:p>
      <w:pPr>
        <w:pStyle w:val="TF"/>
        <w:rPr/>
      </w:pPr>
      <w:r>
        <w:rPr/>
        <w:t>Figure 5.2.2.2.10.1: Registration via Untrusted non-3GPP Access – IEC</w:t>
      </w:r>
    </w:p>
    <w:p>
      <w:pPr>
        <w:pStyle w:val="B1"/>
        <w:rPr/>
      </w:pPr>
      <w:r>
        <w:rPr>
          <w:lang w:val="en-US"/>
        </w:rPr>
        <w:t>1-11b. UE registration procedure via N3IWF</w:t>
      </w:r>
      <w:r>
        <w:rPr/>
        <w:t>.</w:t>
      </w:r>
    </w:p>
    <w:p>
      <w:pPr>
        <w:pStyle w:val="B1"/>
        <w:rPr/>
      </w:pPr>
      <w:r>
        <w:rPr/>
        <w:t>11c. Registration procedure in IEC with AMF interactions with PCF, UDM, as specified in clause 5.2.2.2.3.</w:t>
      </w:r>
    </w:p>
    <w:p>
      <w:pPr>
        <w:pStyle w:val="B1"/>
        <w:rPr/>
      </w:pPr>
      <w:r>
        <w:rPr/>
        <w:t>11cch-a. to 11cch-c. Same steps as 16ch-a to 16ch-c of Figure 5.2.2.2.3.1.</w:t>
      </w:r>
    </w:p>
    <w:p>
      <w:pPr>
        <w:pStyle w:val="Heading5"/>
        <w:ind w:left="1701" w:hanging="1701"/>
        <w:rPr/>
      </w:pPr>
      <w:bookmarkStart w:id="76" w:name="__RefHeading___Toc25753238"/>
      <w:bookmarkEnd w:id="76"/>
      <w:r>
        <w:rPr/>
        <w:t>5.2.2.2.11</w:t>
        <w:tab/>
        <w:t>Registration – Untrusted non-3GPP access - ECUR</w:t>
      </w:r>
    </w:p>
    <w:p>
      <w:pPr>
        <w:pStyle w:val="Normal"/>
        <w:rPr/>
      </w:pPr>
      <w:r>
        <w:rPr/>
        <w:t>The following figure 5.2.2.2.11.1 describes UE Registration via Untrusted non-3GPP Access in ECUR</w:t>
      </w:r>
      <w:r>
        <w:rPr>
          <w:lang w:eastAsia="zh-CN"/>
        </w:rPr>
        <w:t>, based on figure </w:t>
      </w:r>
      <w:r>
        <w:rPr/>
        <w:t xml:space="preserve">4.12.2.2-1 of TS 23.502 [202] description. </w:t>
      </w:r>
    </w:p>
    <w:p>
      <w:pPr>
        <w:pStyle w:val="TH"/>
        <w:rPr>
          <w:lang w:eastAsia="zh-CN"/>
        </w:rPr>
      </w:pPr>
      <w:r>
        <w:rPr>
          <w:lang w:eastAsia="zh-CN"/>
        </w:rPr>
        <w:object w:dxaOrig="11950" w:dyaOrig="8202">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502.5pt;height:345.3pt" filled="f" o:ole="">
            <v:imagedata r:id="rId34" o:title=""/>
          </v:shape>
          <o:OLEObject Type="Embed" ProgID="" ShapeID="ole_rId33" DrawAspect="Content" ObjectID="_569098854" r:id="rId33"/>
        </w:object>
      </w:r>
    </w:p>
    <w:p>
      <w:pPr>
        <w:pStyle w:val="TF"/>
        <w:rPr/>
      </w:pPr>
      <w:r>
        <w:rPr/>
        <w:t>Figure 5.2.2.2.11.1: Registration via Untrusted non-3GPP Access – ECUR</w:t>
      </w:r>
    </w:p>
    <w:p>
      <w:pPr>
        <w:pStyle w:val="B1"/>
        <w:rPr/>
      </w:pPr>
      <w:r>
        <w:rPr>
          <w:lang w:val="en-US"/>
        </w:rPr>
        <w:t>1-11b. UE registration procedure via N3IWF</w:t>
      </w:r>
      <w:r>
        <w:rPr/>
        <w:t>.</w:t>
      </w:r>
    </w:p>
    <w:p>
      <w:pPr>
        <w:pStyle w:val="B1"/>
        <w:rPr/>
      </w:pPr>
      <w:r>
        <w:rPr/>
        <w:t>11c. Registration procedure with AMF interactions with PCF, UDM, as specified in clause 5.2.2.2.3.</w:t>
      </w:r>
    </w:p>
    <w:p>
      <w:pPr>
        <w:pStyle w:val="B1"/>
        <w:rPr/>
      </w:pPr>
      <w:r>
        <w:rPr/>
        <w:t>11cch-a. to 11cch-c. Same steps as 16ch-a to 16ch-c of Figure 5.2.2.2.4.1.</w:t>
      </w:r>
    </w:p>
    <w:p>
      <w:pPr>
        <w:pStyle w:val="B1"/>
        <w:rPr/>
      </w:pPr>
      <w:r>
        <w:rPr/>
        <w:t>12ch-a. to 12ch-c. Same steps as 21ch-a to 21ch-c of Figure 5.2.2.2.4.1.</w:t>
      </w:r>
    </w:p>
    <w:p>
      <w:pPr>
        <w:pStyle w:val="Heading5"/>
        <w:ind w:left="1701" w:hanging="1701"/>
        <w:rPr/>
      </w:pPr>
      <w:bookmarkStart w:id="77" w:name="__RefHeading___Toc25753239"/>
      <w:bookmarkEnd w:id="77"/>
      <w:r>
        <w:rPr/>
        <w:t>5.2.2.2.12</w:t>
        <w:tab/>
      </w:r>
      <w:r>
        <w:rPr>
          <w:lang w:eastAsia="zh-CN"/>
        </w:rPr>
        <w:t>Registration for SMS over NAS – PEC charging</w:t>
      </w:r>
    </w:p>
    <w:p>
      <w:pPr>
        <w:pStyle w:val="Normal"/>
        <w:rPr/>
      </w:pPr>
      <w:r>
        <w:rPr/>
        <w:t>The following figure 5.2.2.2.12.1 describes a</w:t>
      </w:r>
      <w:r>
        <w:rPr>
          <w:lang w:eastAsia="zh-CN"/>
        </w:rPr>
        <w:t xml:space="preserve"> r</w:t>
      </w:r>
      <w:r>
        <w:rPr/>
        <w:t xml:space="preserve">egistration in 5GS for SMS over NAS in PEC </w:t>
      </w:r>
      <w:r>
        <w:rPr>
          <w:lang w:eastAsia="zh-CN"/>
        </w:rPr>
        <w:t>charging</w:t>
      </w:r>
      <w:r>
        <w:rPr/>
        <w:t xml:space="preserve">, </w:t>
      </w:r>
      <w:r>
        <w:rPr>
          <w:lang w:eastAsia="zh-CN"/>
        </w:rPr>
        <w:t xml:space="preserve">based on figure 4.13.3.1-1 </w:t>
      </w:r>
      <w:r>
        <w:rPr/>
        <w:t xml:space="preserve">TS 23.502 [202], where the </w:t>
      </w:r>
      <w:r>
        <w:rPr>
          <w:lang w:eastAsia="zh-CN"/>
        </w:rPr>
        <w:t xml:space="preserve">"SMS supported" indication is included in Registration Request from the UE. </w:t>
      </w:r>
    </w:p>
    <w:p>
      <w:pPr>
        <w:pStyle w:val="TH"/>
        <w:rPr/>
      </w:pPr>
      <w:r>
        <w:rPr/>
        <w:object w:dxaOrig="10485" w:dyaOrig="5909">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86.5pt;height:273.85pt" filled="f" o:ole="">
            <v:imagedata r:id="rId36" o:title=""/>
          </v:shape>
          <o:OLEObject Type="Embed" ProgID="" ShapeID="ole_rId35" DrawAspect="Content" ObjectID="_892553776" r:id="rId35"/>
        </w:object>
      </w:r>
    </w:p>
    <w:p>
      <w:pPr>
        <w:pStyle w:val="TF"/>
        <w:rPr/>
      </w:pPr>
      <w:r>
        <w:rPr/>
        <w:t xml:space="preserve">Figure 5.2.2.2.12.1: </w:t>
      </w:r>
      <w:r>
        <w:rPr>
          <w:lang w:eastAsia="zh-CN"/>
        </w:rPr>
        <w:t>R</w:t>
      </w:r>
      <w:r>
        <w:rPr/>
        <w:t xml:space="preserve">egistration for SMS over NAS – PEC charging </w:t>
      </w:r>
    </w:p>
    <w:p>
      <w:pPr>
        <w:pStyle w:val="B1"/>
        <w:rPr/>
      </w:pPr>
      <w:r>
        <w:rPr/>
        <w:t>Steps 1-7: SMS service activation in the SMSF</w:t>
      </w:r>
    </w:p>
    <w:p>
      <w:pPr>
        <w:pStyle w:val="B1"/>
        <w:rPr/>
      </w:pPr>
      <w:r>
        <w:rPr/>
        <w:t>Step 8: SMSF answers to the AMF with Nsmsf_SMService_Activate service</w:t>
      </w:r>
    </w:p>
    <w:p>
      <w:pPr>
        <w:pStyle w:val="B1"/>
        <w:rPr/>
      </w:pPr>
      <w:r>
        <w:rPr/>
        <w:t>9ch-a to 9ch-c: Same steps as 21ch-a to 21ch-c of Figure 5.2.2.2.2.1. The "SMS allowed" indication is included in addition.</w:t>
      </w:r>
    </w:p>
    <w:p>
      <w:pPr>
        <w:pStyle w:val="Heading5"/>
        <w:ind w:left="1701" w:hanging="1701"/>
        <w:rPr>
          <w:lang w:eastAsia="zh-CN"/>
        </w:rPr>
      </w:pPr>
      <w:bookmarkStart w:id="78" w:name="__RefHeading___Toc25753240"/>
      <w:bookmarkEnd w:id="78"/>
      <w:r>
        <w:rPr/>
        <w:t>5.2.2.2.13</w:t>
        <w:tab/>
      </w:r>
      <w:r>
        <w:rPr>
          <w:lang w:eastAsia="zh-CN"/>
        </w:rPr>
        <w:t>Registration for SMS over NAS – IEC</w:t>
      </w:r>
    </w:p>
    <w:p>
      <w:pPr>
        <w:pStyle w:val="Normal"/>
        <w:rPr/>
      </w:pPr>
      <w:r>
        <w:rPr/>
        <w:t>The following figure 5.2.2.2.13.1 describes a</w:t>
      </w:r>
      <w:r>
        <w:rPr>
          <w:lang w:eastAsia="zh-CN"/>
        </w:rPr>
        <w:t xml:space="preserve"> r</w:t>
      </w:r>
      <w:r>
        <w:rPr/>
        <w:t xml:space="preserve">egistration in 5GS for SMS over NAS in IEC, </w:t>
      </w:r>
      <w:r>
        <w:rPr>
          <w:lang w:eastAsia="zh-CN"/>
        </w:rPr>
        <w:t xml:space="preserve">based on clause 5.2.2.2.12. </w:t>
      </w:r>
    </w:p>
    <w:p>
      <w:pPr>
        <w:pStyle w:val="TH"/>
        <w:rPr/>
      </w:pPr>
      <w:r>
        <w:rPr/>
        <w:object w:dxaOrig="10485" w:dyaOrig="6089">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86.5pt;height:282.2pt" filled="f" o:ole="">
            <v:imagedata r:id="rId38" o:title=""/>
          </v:shape>
          <o:OLEObject Type="Embed" ProgID="" ShapeID="ole_rId37" DrawAspect="Content" ObjectID="_670427264" r:id="rId37"/>
        </w:object>
      </w:r>
    </w:p>
    <w:p>
      <w:pPr>
        <w:pStyle w:val="TF"/>
        <w:rPr/>
      </w:pPr>
      <w:r>
        <w:rPr/>
        <w:t xml:space="preserve">Figure 5.2.2.2.13.1: </w:t>
      </w:r>
      <w:r>
        <w:rPr>
          <w:lang w:eastAsia="zh-CN"/>
        </w:rPr>
        <w:t>R</w:t>
      </w:r>
      <w:r>
        <w:rPr/>
        <w:t xml:space="preserve">egistration for SMS over NAS – IEC </w:t>
      </w:r>
    </w:p>
    <w:p>
      <w:pPr>
        <w:pStyle w:val="B1"/>
        <w:rPr/>
      </w:pPr>
      <w:r>
        <w:rPr/>
        <w:t>Steps 1-4: UE Registration for SMS.</w:t>
      </w:r>
    </w:p>
    <w:p>
      <w:pPr>
        <w:pStyle w:val="B1"/>
        <w:rPr/>
      </w:pPr>
      <w:r>
        <w:rPr/>
        <w:t>4ch-a to 4ch-c: Same steps as 16ch-a to 16ch-c of Figure 5.2.2.2.2.1. The "SMS allowed" indication is included.</w:t>
      </w:r>
    </w:p>
    <w:p>
      <w:pPr>
        <w:pStyle w:val="B1"/>
        <w:rPr/>
      </w:pPr>
      <w:r>
        <w:rPr/>
        <w:t xml:space="preserve">Step 5-9: Registration for SMS procedure  </w:t>
      </w:r>
    </w:p>
    <w:p>
      <w:pPr>
        <w:pStyle w:val="Heading5"/>
        <w:ind w:left="1701" w:hanging="1701"/>
        <w:rPr>
          <w:lang w:eastAsia="zh-CN"/>
        </w:rPr>
      </w:pPr>
      <w:bookmarkStart w:id="79" w:name="__RefHeading___Toc25753241"/>
      <w:bookmarkEnd w:id="79"/>
      <w:r>
        <w:rPr/>
        <w:t>5.2.2.2.14</w:t>
        <w:tab/>
      </w:r>
      <w:r>
        <w:rPr>
          <w:lang w:eastAsia="zh-CN"/>
        </w:rPr>
        <w:t>Registration for SMS over NAS – ECUR</w:t>
      </w:r>
    </w:p>
    <w:p>
      <w:pPr>
        <w:pStyle w:val="Normal"/>
        <w:rPr/>
      </w:pPr>
      <w:r>
        <w:rPr/>
        <w:t>The following figure 5.2.2.2.14.1 describes a</w:t>
      </w:r>
      <w:r>
        <w:rPr>
          <w:lang w:eastAsia="zh-CN"/>
        </w:rPr>
        <w:t xml:space="preserve"> r</w:t>
      </w:r>
      <w:r>
        <w:rPr/>
        <w:t xml:space="preserve">egistration in 5GS for SMS over NAS in ECUR, </w:t>
      </w:r>
      <w:r>
        <w:rPr>
          <w:lang w:eastAsia="zh-CN"/>
        </w:rPr>
        <w:t xml:space="preserve">based on clause 5.2.2.2.12. </w:t>
      </w:r>
    </w:p>
    <w:p>
      <w:pPr>
        <w:pStyle w:val="TH"/>
        <w:rPr/>
      </w:pPr>
      <w:r>
        <w:rPr/>
        <w:object w:dxaOrig="10485" w:dyaOrig="7259">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86.5pt;height:336.5pt" filled="f" o:ole="">
            <v:imagedata r:id="rId40" o:title=""/>
          </v:shape>
          <o:OLEObject Type="Embed" ProgID="" ShapeID="ole_rId39" DrawAspect="Content" ObjectID="_1820734952" r:id="rId39"/>
        </w:object>
      </w:r>
    </w:p>
    <w:p>
      <w:pPr>
        <w:pStyle w:val="TF"/>
        <w:rPr/>
      </w:pPr>
      <w:r>
        <w:rPr/>
        <w:t xml:space="preserve">Figure 5.2.2.2.14.1: </w:t>
      </w:r>
      <w:r>
        <w:rPr>
          <w:lang w:eastAsia="zh-CN"/>
        </w:rPr>
        <w:t>R</w:t>
      </w:r>
      <w:r>
        <w:rPr/>
        <w:t xml:space="preserve">egistration for SMS over NAS – ECUR </w:t>
      </w:r>
    </w:p>
    <w:p>
      <w:pPr>
        <w:pStyle w:val="B1"/>
        <w:rPr/>
      </w:pPr>
      <w:r>
        <w:rPr/>
        <w:t>Steps 1-4: UE Registration for SMS.</w:t>
      </w:r>
    </w:p>
    <w:p>
      <w:pPr>
        <w:pStyle w:val="B1"/>
        <w:rPr/>
      </w:pPr>
      <w:r>
        <w:rPr/>
        <w:t>4ch-a to 4ch-c: Same steps as 16ch-a to 16ch-c of Figure 5.2.2.2.4.1. The "SMS allowed" indication is included.</w:t>
      </w:r>
    </w:p>
    <w:p>
      <w:pPr>
        <w:pStyle w:val="B1"/>
        <w:rPr/>
      </w:pPr>
      <w:r>
        <w:rPr/>
        <w:t xml:space="preserve">Step 5-9: Registration for SMS procedure </w:t>
      </w:r>
    </w:p>
    <w:p>
      <w:pPr>
        <w:pStyle w:val="B1"/>
        <w:rPr/>
      </w:pPr>
      <w:r>
        <w:rPr/>
        <w:t xml:space="preserve">9ch-a to 9ch-c: Same steps as 21ch-a to 21ch-c of Figure 5.2.2.2.4.1. </w:t>
      </w:r>
    </w:p>
    <w:p>
      <w:pPr>
        <w:pStyle w:val="Heading5"/>
        <w:ind w:left="1701" w:hanging="1701"/>
        <w:rPr/>
      </w:pPr>
      <w:bookmarkStart w:id="80" w:name="__RefHeading___Toc25753242"/>
      <w:bookmarkEnd w:id="80"/>
      <w:r>
        <w:rPr/>
        <w:t>5.2.2.2.15</w:t>
        <w:tab/>
        <w:t>Der</w:t>
      </w:r>
      <w:r>
        <w:rPr>
          <w:lang w:eastAsia="zh-CN"/>
        </w:rPr>
        <w:t>egistration for SMS over NAS – PEC charging</w:t>
      </w:r>
    </w:p>
    <w:p>
      <w:pPr>
        <w:pStyle w:val="Normal"/>
        <w:rPr/>
      </w:pPr>
      <w:r>
        <w:rPr/>
        <w:t xml:space="preserve">Deregistration procedures for SMS over NAS are specified in TS 23.502 [202] clause 4.13.3.2: </w:t>
      </w:r>
    </w:p>
    <w:p>
      <w:pPr>
        <w:pStyle w:val="B1"/>
        <w:rPr/>
      </w:pPr>
      <w:r>
        <w:rPr/>
        <w:t>-</w:t>
        <w:tab/>
        <w:t xml:space="preserve">When based on </w:t>
      </w:r>
      <w:r>
        <w:rPr>
          <w:lang w:eastAsia="zh-CN"/>
        </w:rPr>
        <w:t>subsequent Registration Request messag</w:t>
      </w:r>
      <w:r>
        <w:rPr/>
        <w:t>e from the UE, the registration charging scenario in clause 5.2.2.2.2 or 5.2.2.2.3 applies.</w:t>
      </w:r>
    </w:p>
    <w:p>
      <w:pPr>
        <w:pStyle w:val="B1"/>
        <w:rPr/>
      </w:pPr>
      <w:r>
        <w:rPr/>
        <w:t>-</w:t>
        <w:tab/>
        <w:t xml:space="preserve">When based on procedures in which UE is determined as deregistered by the AMF, the Network-initiated deregistration charging scenario in clause 5.2.2.2.8 applies. </w:t>
      </w:r>
    </w:p>
    <w:p>
      <w:pPr>
        <w:pStyle w:val="Heading4"/>
        <w:ind w:left="1418" w:hanging="1418"/>
        <w:rPr/>
      </w:pPr>
      <w:bookmarkStart w:id="81" w:name="__RefHeading___Toc25753243"/>
      <w:bookmarkEnd w:id="81"/>
      <w:r>
        <w:rPr/>
        <w:t>5.2.2.3</w:t>
        <w:tab/>
        <w:t>Connection management charging from AMF</w:t>
      </w:r>
    </w:p>
    <w:p>
      <w:pPr>
        <w:pStyle w:val="Heading5"/>
        <w:ind w:left="1701" w:hanging="1701"/>
        <w:rPr>
          <w:lang w:eastAsia="zh-CN"/>
        </w:rPr>
      </w:pPr>
      <w:bookmarkStart w:id="82" w:name="__RefHeading___Toc25753244"/>
      <w:bookmarkEnd w:id="82"/>
      <w:r>
        <w:rPr/>
        <w:t>5.2.2.3.1</w:t>
        <w:tab/>
      </w:r>
      <w:r>
        <w:rPr>
          <w:lang w:eastAsia="zh-CN"/>
        </w:rPr>
        <w:t>General</w:t>
      </w:r>
    </w:p>
    <w:p>
      <w:pPr>
        <w:pStyle w:val="Normal"/>
        <w:rPr/>
      </w:pPr>
      <w:r>
        <w:rPr/>
        <w:t>The clause below describes connection management charging, which includes:</w:t>
      </w:r>
    </w:p>
    <w:p>
      <w:pPr>
        <w:pStyle w:val="B1"/>
        <w:rPr>
          <w:lang w:eastAsia="zh-CN"/>
        </w:rPr>
      </w:pPr>
      <w:r>
        <w:rPr/>
        <w:t>-</w:t>
        <w:tab/>
      </w:r>
      <w:r>
        <w:rPr>
          <w:lang w:eastAsia="zh-CN"/>
        </w:rPr>
        <w:t>N2 connection for this UE between the AN and the AMF for 3GPP access and untrusted non-3GPP access.</w:t>
      </w:r>
    </w:p>
    <w:p>
      <w:pPr>
        <w:pStyle w:val="Normal"/>
        <w:keepNext w:val="true"/>
        <w:rPr/>
      </w:pPr>
      <w:r>
        <w:rPr/>
        <w:t xml:space="preserve">The </w:t>
      </w:r>
      <w:r>
        <w:rPr>
          <w:lang w:bidi="ar-IQ"/>
        </w:rPr>
        <w:t xml:space="preserve">TS 23.502 [201] </w:t>
      </w:r>
      <w:r>
        <w:rPr/>
        <w:t xml:space="preserve">service request procedures and </w:t>
      </w:r>
      <w:r>
        <w:rPr>
          <w:lang w:bidi="ar-IQ"/>
        </w:rPr>
        <w:t xml:space="preserve">flows are used </w:t>
      </w:r>
      <w:r>
        <w:rPr/>
        <w:t xml:space="preserve">to describe one of the N2 connection establishment cases. The procedures for N2 connection establishment are specified in TS 38.413 [203] for 3GPP access and exceptions in TS 29.413 [204] for untrusted </w:t>
      </w:r>
      <w:r>
        <w:rPr>
          <w:lang w:eastAsia="zh-CN"/>
        </w:rPr>
        <w:t>non-3GPP</w:t>
      </w:r>
      <w:r>
        <w:rPr/>
        <w:t xml:space="preserve">, under the establishment of UE-associated logical NG-connection. </w:t>
      </w:r>
    </w:p>
    <w:p>
      <w:pPr>
        <w:pStyle w:val="Heading5"/>
        <w:ind w:left="1701" w:hanging="1701"/>
        <w:rPr>
          <w:lang w:eastAsia="zh-CN"/>
        </w:rPr>
      </w:pPr>
      <w:bookmarkStart w:id="83" w:name="__RefHeading___Toc25753245"/>
      <w:bookmarkEnd w:id="83"/>
      <w:r>
        <w:rPr/>
        <w:t>5.2.2.3.2</w:t>
        <w:tab/>
        <w:t>UE Triggered Service Request</w:t>
      </w:r>
    </w:p>
    <w:p>
      <w:pPr>
        <w:pStyle w:val="Normal"/>
        <w:rPr/>
      </w:pPr>
      <w:r>
        <w:rPr/>
        <w:t>The following figure 5.2.2.3.2.1 describes UE N2 connection during UE Triggered Service Request, in event based offline charging</w:t>
      </w:r>
      <w:r>
        <w:rPr>
          <w:lang w:eastAsia="zh-CN"/>
        </w:rPr>
        <w:t>, based on figure 4</w:t>
      </w:r>
      <w:r>
        <w:rPr/>
        <w:t>.2.</w:t>
      </w:r>
      <w:r>
        <w:rPr>
          <w:lang w:eastAsia="zh-CN"/>
        </w:rPr>
        <w:t>3</w:t>
      </w:r>
      <w:r>
        <w:rPr/>
        <w:t xml:space="preserve">.2-1 of TS 23.502 [202] description.  </w:t>
      </w:r>
    </w:p>
    <w:p>
      <w:pPr>
        <w:pStyle w:val="TF"/>
        <w:rPr/>
      </w:pPr>
      <w:r>
        <w:rPr/>
        <w:object w:dxaOrig="20505" w:dyaOrig="13312">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76.95pt;height:309.85pt" filled="f" o:ole="">
            <v:imagedata r:id="rId42" o:title=""/>
          </v:shape>
          <o:OLEObject Type="Embed" ProgID="" ShapeID="ole_rId41" DrawAspect="Content" ObjectID="_1835300769" r:id="rId41"/>
        </w:object>
      </w:r>
    </w:p>
    <w:p>
      <w:pPr>
        <w:pStyle w:val="TH"/>
        <w:rPr/>
      </w:pPr>
      <w:r>
        <w:rPr/>
        <w:t>Figure 5.2.2.3.2.1: UE Triggered Service Request –PEC  charging</w:t>
      </w:r>
    </w:p>
    <w:p>
      <w:pPr>
        <w:pStyle w:val="B1"/>
        <w:rPr/>
      </w:pPr>
      <w:r>
        <w:rPr/>
        <w:t>1-13.</w:t>
        <w:tab/>
        <w:t>Service request procedure initiated by UE.</w:t>
      </w:r>
    </w:p>
    <w:p>
      <w:pPr>
        <w:pStyle w:val="B1"/>
        <w:rPr/>
      </w:pPr>
      <w:r>
        <w:rPr/>
        <w:t>14. The (R)AN sends N2 Request ACK to AMF.</w:t>
      </w:r>
    </w:p>
    <w:p>
      <w:pPr>
        <w:pStyle w:val="B1"/>
        <w:rPr/>
      </w:pPr>
      <w:r>
        <w:rPr/>
        <w:t>14ch-a. The AMF sends Charging Data Request [Event] to CHF for the N2 connection established for the UE.</w:t>
      </w:r>
    </w:p>
    <w:p>
      <w:pPr>
        <w:pStyle w:val="B1"/>
        <w:rPr/>
      </w:pPr>
      <w:r>
        <w:rPr/>
        <w:t>14ch-b. The CHF creates the CDR for this N2 connectionestablishment.</w:t>
      </w:r>
    </w:p>
    <w:p>
      <w:pPr>
        <w:pStyle w:val="B1"/>
        <w:rPr/>
      </w:pPr>
      <w:r>
        <w:rPr/>
        <w:t>14ch-c. The CHF acknowledges by sending Charging Data Response [Event] to the AMF.</w:t>
      </w:r>
    </w:p>
    <w:p>
      <w:pPr>
        <w:pStyle w:val="B1"/>
        <w:rPr/>
      </w:pPr>
      <w:r>
        <w:rPr/>
        <w:t>15-22.</w:t>
        <w:tab/>
        <w:t>Service request procedure continuation.</w:t>
      </w:r>
    </w:p>
    <w:p>
      <w:pPr>
        <w:pStyle w:val="Normal"/>
        <w:rPr/>
      </w:pPr>
      <w:r>
        <w:rPr>
          <w:lang w:eastAsia="zh-CN"/>
        </w:rPr>
        <w:t xml:space="preserve">In case of untrusted non-3GPP, </w:t>
      </w:r>
      <w:r>
        <w:rPr/>
        <w:t xml:space="preserve">the (R)AN corresponds to an N3IWF, and the figure </w:t>
      </w:r>
      <w:r>
        <w:rPr>
          <w:lang w:eastAsia="zh-CN"/>
        </w:rPr>
        <w:t>4</w:t>
      </w:r>
      <w:r>
        <w:rPr/>
        <w:t>.2.</w:t>
      </w:r>
      <w:r>
        <w:rPr>
          <w:lang w:eastAsia="zh-CN"/>
        </w:rPr>
        <w:t>3</w:t>
      </w:r>
      <w:r>
        <w:rPr/>
        <w:t>.2-1 of TS 23.502 [202] description applies with the exceptions specified in clause 4.12.4.1 of TS 23.502 [202].</w:t>
      </w:r>
    </w:p>
    <w:p>
      <w:pPr>
        <w:pStyle w:val="Heading5"/>
        <w:ind w:left="1701" w:hanging="1701"/>
        <w:rPr>
          <w:lang w:eastAsia="zh-CN"/>
        </w:rPr>
      </w:pPr>
      <w:bookmarkStart w:id="84" w:name="__RefHeading___Toc25753246"/>
      <w:bookmarkEnd w:id="84"/>
      <w:r>
        <w:rPr/>
        <w:t>5.2.2.3.3</w:t>
        <w:tab/>
        <w:t>Network Triggered Service Request</w:t>
      </w:r>
    </w:p>
    <w:p>
      <w:pPr>
        <w:pStyle w:val="Normal"/>
        <w:rPr/>
      </w:pPr>
      <w:r>
        <w:rPr>
          <w:lang w:eastAsia="zh-CN"/>
        </w:rPr>
        <w:t xml:space="preserve">Based on figure 4.2.3.3-1 of </w:t>
      </w:r>
      <w:r>
        <w:rPr/>
        <w:t>TS 23.502 [202] description, a Service Request procedure from the UE is triggered from the Network, and corresponding N2 connection event offline charging in clause 5.2.2.3.2 applies.</w:t>
      </w:r>
    </w:p>
    <w:p>
      <w:pPr>
        <w:pStyle w:val="Heading5"/>
        <w:ind w:left="1701" w:hanging="1701"/>
        <w:rPr>
          <w:lang w:eastAsia="zh-CN"/>
        </w:rPr>
      </w:pPr>
      <w:bookmarkStart w:id="85" w:name="__RefHeading___Toc25753247"/>
      <w:bookmarkEnd w:id="85"/>
      <w:r>
        <w:rPr/>
        <w:t>5.2.2.3.4</w:t>
        <w:tab/>
        <w:t>AN release</w:t>
      </w:r>
    </w:p>
    <w:p>
      <w:pPr>
        <w:pStyle w:val="Normal"/>
        <w:rPr/>
      </w:pPr>
      <w:r>
        <w:rPr/>
        <w:t>The following figure 5.2.2.3.4.1 describes UE N2 connection release in event based offline charging</w:t>
      </w:r>
      <w:r>
        <w:rPr>
          <w:lang w:eastAsia="zh-CN"/>
        </w:rPr>
        <w:t>, based on figure </w:t>
      </w:r>
      <w:r>
        <w:rPr/>
        <w:t xml:space="preserve">4.2.6-1 of TS 23.502 [202] description. </w:t>
      </w:r>
    </w:p>
    <w:p>
      <w:pPr>
        <w:pStyle w:val="TH"/>
        <w:rPr/>
      </w:pPr>
      <w:r>
        <w:rPr/>
        <w:object w:dxaOrig="16291" w:dyaOrig="10871">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81.65pt;height:321.25pt" filled="f" o:ole="">
            <v:imagedata r:id="rId44" o:title=""/>
          </v:shape>
          <o:OLEObject Type="Embed" ProgID="" ShapeID="ole_rId43" DrawAspect="Content" ObjectID="_665012332" r:id="rId43"/>
        </w:object>
      </w:r>
      <w:r>
        <w:rPr/>
        <w:t xml:space="preserve">Figure 5.2.2.3.4.1: AN release –PEC  charging </w:t>
      </w:r>
    </w:p>
    <w:p>
      <w:pPr>
        <w:pStyle w:val="B1"/>
        <w:rPr/>
      </w:pPr>
      <w:r>
        <w:rPr/>
        <w:t>1a-3.</w:t>
        <w:tab/>
        <w:t>Release initiated by the (R)AN.</w:t>
      </w:r>
    </w:p>
    <w:p>
      <w:pPr>
        <w:pStyle w:val="B1"/>
        <w:rPr/>
      </w:pPr>
      <w:r>
        <w:rPr/>
        <w:t xml:space="preserve">4. </w:t>
      </w:r>
      <w:r>
        <w:rPr>
          <w:lang w:eastAsia="zh-CN"/>
        </w:rPr>
        <w:t>The AMF receives an N2 UE Context Release Complete</w:t>
      </w:r>
      <w:r>
        <w:rPr/>
        <w:t>.</w:t>
      </w:r>
    </w:p>
    <w:p>
      <w:pPr>
        <w:pStyle w:val="B1"/>
        <w:rPr/>
      </w:pPr>
      <w:r>
        <w:rPr/>
        <w:t>4ch-a. The AMF sends Charging Data Request [Event] to CHF for the UE N2 connection release.</w:t>
      </w:r>
    </w:p>
    <w:p>
      <w:pPr>
        <w:pStyle w:val="B1"/>
        <w:rPr/>
      </w:pPr>
      <w:r>
        <w:rPr/>
        <w:t>4ch-b. The CHF creates the CDR for this N2 connection release.</w:t>
      </w:r>
    </w:p>
    <w:p>
      <w:pPr>
        <w:pStyle w:val="B1"/>
        <w:rPr/>
      </w:pPr>
      <w:r>
        <w:rPr/>
        <w:t>4ch-c. The CHF acknowledges by sending Charging Data Response [Event] to the AMF.</w:t>
      </w:r>
    </w:p>
    <w:p>
      <w:pPr>
        <w:pStyle w:val="B1"/>
        <w:rPr/>
      </w:pPr>
      <w:r>
        <w:rPr/>
        <w:t>5-7.</w:t>
        <w:tab/>
        <w:t>AN release procedure continuation.</w:t>
      </w:r>
    </w:p>
    <w:p>
      <w:pPr>
        <w:pStyle w:val="Normal"/>
        <w:rPr/>
      </w:pPr>
      <w:r>
        <w:rPr>
          <w:lang w:eastAsia="zh-CN"/>
        </w:rPr>
        <w:t xml:space="preserve">In case of untrusted non-3GPP, </w:t>
      </w:r>
      <w:r>
        <w:rPr/>
        <w:t>the procedure is specified in figure 4.12.4.2-1 of TS 23.502 [202], and the figure 5.2.2.3.4.1 applies with following differences:</w:t>
      </w:r>
    </w:p>
    <w:p>
      <w:pPr>
        <w:pStyle w:val="B1"/>
        <w:rPr/>
      </w:pPr>
      <w:r>
        <w:rPr/>
        <w:t>-</w:t>
        <w:tab/>
        <w:t>(R)AN corresponds to an N3IWF.</w:t>
      </w:r>
    </w:p>
    <w:p>
      <w:pPr>
        <w:pStyle w:val="B1"/>
        <w:rPr/>
      </w:pPr>
      <w:r>
        <w:rPr/>
        <w:t>-</w:t>
        <w:tab/>
        <w:t>step 1a is replaced by conditions in figure 4.12.4.2-1 of TS 23.502 [202]</w:t>
      </w:r>
    </w:p>
    <w:p>
      <w:pPr>
        <w:pStyle w:val="Heading4"/>
        <w:ind w:left="1418" w:hanging="1418"/>
        <w:rPr/>
      </w:pPr>
      <w:bookmarkStart w:id="86" w:name="__RefHeading___Toc25753248"/>
      <w:bookmarkEnd w:id="86"/>
      <w:r>
        <w:rPr/>
        <w:t>5.2.2.4</w:t>
        <w:tab/>
        <w:t>Location reporting charging</w:t>
      </w:r>
    </w:p>
    <w:p>
      <w:pPr>
        <w:pStyle w:val="Heading5"/>
        <w:ind w:left="1701" w:hanging="1701"/>
        <w:rPr>
          <w:lang w:eastAsia="zh-CN"/>
        </w:rPr>
      </w:pPr>
      <w:bookmarkStart w:id="87" w:name="__RefHeading___Toc25753249"/>
      <w:bookmarkEnd w:id="87"/>
      <w:r>
        <w:rPr/>
        <w:t>5.2.2.4.1</w:t>
        <w:tab/>
      </w:r>
      <w:r>
        <w:rPr>
          <w:lang w:eastAsia="zh-CN"/>
        </w:rPr>
        <w:t>General</w:t>
      </w:r>
    </w:p>
    <w:p>
      <w:pPr>
        <w:pStyle w:val="Normal"/>
        <w:rPr/>
      </w:pPr>
      <w:r>
        <w:rPr/>
        <w:t>The clause below describes location reporting charging.</w:t>
      </w:r>
    </w:p>
    <w:p>
      <w:pPr>
        <w:pStyle w:val="Heading5"/>
        <w:ind w:left="1701" w:hanging="1701"/>
        <w:rPr>
          <w:lang w:eastAsia="zh-CN"/>
        </w:rPr>
      </w:pPr>
      <w:bookmarkStart w:id="88" w:name="__RefHeading___Toc25753250"/>
      <w:bookmarkEnd w:id="88"/>
      <w:r>
        <w:rPr/>
        <w:t>5.2.2.4.2</w:t>
        <w:tab/>
        <w:t>Location reporting</w:t>
      </w:r>
    </w:p>
    <w:p>
      <w:pPr>
        <w:pStyle w:val="Normal"/>
        <w:rPr/>
      </w:pPr>
      <w:r>
        <w:rPr/>
        <w:t xml:space="preserve">The following figure 5.2.2.4.2.1 describes Location reporting charging, in Post Event Charging.  </w:t>
      </w:r>
    </w:p>
    <w:p>
      <w:pPr>
        <w:pStyle w:val="TH"/>
        <w:rPr/>
      </w:pPr>
      <w:r>
        <w:rPr/>
        <w:drawing>
          <wp:inline distT="0" distB="0" distL="0" distR="0">
            <wp:extent cx="5068570" cy="496062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45"/>
                    <a:srcRect l="-7" t="-7" r="-7" b="-7"/>
                    <a:stretch>
                      <a:fillRect/>
                    </a:stretch>
                  </pic:blipFill>
                  <pic:spPr bwMode="auto">
                    <a:xfrm>
                      <a:off x="0" y="0"/>
                      <a:ext cx="5068570" cy="4960620"/>
                    </a:xfrm>
                    <a:prstGeom prst="rect">
                      <a:avLst/>
                    </a:prstGeom>
                  </pic:spPr>
                </pic:pic>
              </a:graphicData>
            </a:graphic>
          </wp:inline>
        </w:drawing>
      </w:r>
    </w:p>
    <w:p>
      <w:pPr>
        <w:pStyle w:val="TH"/>
        <w:rPr/>
      </w:pPr>
      <w:r>
        <w:rPr/>
        <w:t>Figure 5.2.2.4.2.1: Location reporting – Post Event Charging</w:t>
      </w:r>
    </w:p>
    <w:p>
      <w:pPr>
        <w:pStyle w:val="B1"/>
        <w:rPr>
          <w:lang w:val="en-US"/>
        </w:rPr>
      </w:pPr>
      <w:r>
        <w:rPr>
          <w:lang w:val="en-US"/>
        </w:rPr>
        <w:t>1. A New N2 connection is established between NG-RAN and AMF and Location Reporting charging is activated in the AMF charging profile, potentially with a list of Presence Reporting Area(s).</w:t>
      </w:r>
    </w:p>
    <w:p>
      <w:pPr>
        <w:pStyle w:val="B1"/>
        <w:rPr/>
      </w:pPr>
      <w:r>
        <w:rPr>
          <w:lang w:val="en-US"/>
        </w:rPr>
        <w:t xml:space="preserve">2. The AMF starts the procedure based on </w:t>
      </w:r>
      <w:r>
        <w:rPr>
          <w:lang w:eastAsia="zh-CN"/>
        </w:rPr>
        <w:t xml:space="preserve">figure </w:t>
      </w:r>
      <w:r>
        <w:rPr/>
        <w:t>4.10-1 of TS 23.502 [202] description</w:t>
      </w:r>
      <w:r>
        <w:rPr>
          <w:lang w:val="en-US"/>
        </w:rPr>
        <w:t xml:space="preserve"> and sends "Location Reporting Control" to NG-RAN indicating UE changes of location or presence in Presence Reporting Area(s) need to be reported. </w:t>
      </w:r>
    </w:p>
    <w:p>
      <w:pPr>
        <w:pStyle w:val="B1"/>
        <w:rPr/>
      </w:pPr>
      <w:r>
        <w:rPr>
          <w:lang w:val="en-US"/>
        </w:rPr>
        <w:t>3. Location Report received by AMF includes the UE current location, and potentially presence in Presence Reporting Area(s).</w:t>
      </w:r>
    </w:p>
    <w:p>
      <w:pPr>
        <w:pStyle w:val="B1"/>
        <w:rPr/>
      </w:pPr>
      <w:r>
        <w:rPr/>
        <w:t xml:space="preserve">3ch-a. The AMF sends Charging Data Request [Event, location reporting] to CHF with the current user location, </w:t>
      </w:r>
      <w:r>
        <w:rPr>
          <w:lang w:val="en-US"/>
        </w:rPr>
        <w:t xml:space="preserve">and </w:t>
      </w:r>
      <w:r>
        <w:rPr>
          <w:lang w:eastAsia="zh-CN"/>
        </w:rPr>
        <w:t xml:space="preserve">initial status(es) of </w:t>
      </w:r>
      <w:r>
        <w:rPr/>
        <w:t>presence in subscribed PRA(s) if requested in step 1.</w:t>
      </w:r>
    </w:p>
    <w:p>
      <w:pPr>
        <w:pStyle w:val="B1"/>
        <w:rPr/>
      </w:pPr>
      <w:r>
        <w:rPr/>
        <w:t>3ch-b. The CHF creates the CDR for this location reporting.</w:t>
      </w:r>
    </w:p>
    <w:p>
      <w:pPr>
        <w:pStyle w:val="B1"/>
        <w:rPr/>
      </w:pPr>
      <w:r>
        <w:rPr/>
        <w:t>3ch-c. The CHF acknowledges by sending Charging Data Response [Event, location reporting] to the AMF.</w:t>
      </w:r>
    </w:p>
    <w:p>
      <w:pPr>
        <w:pStyle w:val="B1"/>
        <w:rPr>
          <w:lang w:val="en-US"/>
        </w:rPr>
      </w:pPr>
      <w:r>
        <w:rPr>
          <w:lang w:val="en-US"/>
        </w:rPr>
        <w:t xml:space="preserve">4. Change in UE Location or presence in Presence Reporting Area(s) occur per AMF criteria provided in step 2. </w:t>
      </w:r>
    </w:p>
    <w:p>
      <w:pPr>
        <w:pStyle w:val="B1"/>
        <w:rPr>
          <w:lang w:val="en-US"/>
        </w:rPr>
      </w:pPr>
      <w:r>
        <w:rPr>
          <w:lang w:val="en-US"/>
        </w:rPr>
        <w:t>5. Location Report is received by AMF.</w:t>
      </w:r>
    </w:p>
    <w:p>
      <w:pPr>
        <w:pStyle w:val="B1"/>
        <w:rPr/>
      </w:pPr>
      <w:r>
        <w:rPr/>
        <w:t xml:space="preserve">5ch-a. The AMF sends Charging Data Request [Event, location reporting] to CHF with the new user location, </w:t>
      </w:r>
      <w:r>
        <w:rPr>
          <w:lang w:val="en-US"/>
        </w:rPr>
        <w:t xml:space="preserve">and </w:t>
      </w:r>
      <w:r>
        <w:rPr/>
        <w:t>PRA Identifier(s) and indication(s) whether the UE is inside or outside the Presence Reporting Area(s) if any</w:t>
      </w:r>
      <w:r>
        <w:rPr>
          <w:lang w:val="en-US"/>
        </w:rPr>
        <w:t>.</w:t>
      </w:r>
    </w:p>
    <w:p>
      <w:pPr>
        <w:pStyle w:val="B1"/>
        <w:rPr/>
      </w:pPr>
      <w:r>
        <w:rPr/>
        <w:t>5ch-b. The CHF creates the CDR for this location reporting.</w:t>
      </w:r>
    </w:p>
    <w:p>
      <w:pPr>
        <w:pStyle w:val="B1"/>
        <w:rPr/>
      </w:pPr>
      <w:r>
        <w:rPr/>
        <w:t>5ch-c. The CHF acknowledges by sending Charging Data Response [Event, location reporting] to the AMF.</w:t>
      </w:r>
    </w:p>
    <w:p>
      <w:pPr>
        <w:pStyle w:val="Heading4"/>
        <w:ind w:left="1418" w:hanging="1418"/>
        <w:rPr/>
      </w:pPr>
      <w:bookmarkStart w:id="89" w:name="__RefHeading___Toc25753251"/>
      <w:r>
        <w:rPr/>
        <w:t>5.2.2.5</w:t>
        <w:tab/>
        <w:t>Roaming - Registration management charging from AMF</w:t>
      </w:r>
      <w:bookmarkEnd w:id="89"/>
      <w:r>
        <w:rPr/>
        <w:t xml:space="preserve"> </w:t>
      </w:r>
    </w:p>
    <w:p>
      <w:pPr>
        <w:pStyle w:val="Heading5"/>
        <w:ind w:left="1701" w:hanging="1701"/>
        <w:rPr>
          <w:lang w:eastAsia="zh-CN"/>
        </w:rPr>
      </w:pPr>
      <w:bookmarkStart w:id="90" w:name="__RefHeading___Toc25753252"/>
      <w:bookmarkEnd w:id="90"/>
      <w:r>
        <w:rPr/>
        <w:t>5.2.2.5.1</w:t>
        <w:tab/>
      </w:r>
      <w:r>
        <w:rPr>
          <w:lang w:eastAsia="zh-CN"/>
        </w:rPr>
        <w:t>General</w:t>
      </w:r>
    </w:p>
    <w:p>
      <w:pPr>
        <w:pStyle w:val="Normal"/>
        <w:rPr/>
      </w:pPr>
      <w:r>
        <w:rPr>
          <w:lang w:eastAsia="zh-CN"/>
        </w:rPr>
        <w:t xml:space="preserve">In roaming, for </w:t>
      </w:r>
      <w:r>
        <w:rPr/>
        <w:t>registration management charging, the AMF in VPLMN</w:t>
      </w:r>
      <w:r>
        <w:rPr>
          <w:lang w:eastAsia="zh-CN"/>
        </w:rPr>
        <w:t>:</w:t>
      </w:r>
    </w:p>
    <w:p>
      <w:pPr>
        <w:pStyle w:val="B1"/>
        <w:rPr>
          <w:lang w:eastAsia="zh-CN"/>
        </w:rPr>
      </w:pPr>
      <w:r>
        <w:rPr>
          <w:lang w:eastAsia="zh-CN"/>
        </w:rPr>
        <w:t>-</w:t>
        <w:tab/>
        <w:t>may support PEC, IEC or ECUR scenario with H-CHF in HPLMN;</w:t>
      </w:r>
    </w:p>
    <w:p>
      <w:pPr>
        <w:pStyle w:val="B1"/>
        <w:rPr>
          <w:lang w:eastAsia="zh-CN"/>
        </w:rPr>
      </w:pPr>
      <w:r>
        <w:rPr>
          <w:lang w:eastAsia="zh-CN"/>
        </w:rPr>
        <w:t>-</w:t>
        <w:tab/>
        <w:t>shall support PEC scenario with V-CHF in VPLMN.</w:t>
      </w:r>
    </w:p>
    <w:p>
      <w:pPr>
        <w:pStyle w:val="Heading5"/>
        <w:ind w:left="1701" w:hanging="1701"/>
        <w:rPr>
          <w:lang w:eastAsia="zh-CN"/>
        </w:rPr>
      </w:pPr>
      <w:bookmarkStart w:id="91" w:name="__RefHeading___Toc25753253"/>
      <w:r>
        <w:rPr/>
        <w:t>5.2.2.5.2</w:t>
        <w:tab/>
        <w:t>Registration -</w:t>
      </w:r>
      <w:r>
        <w:rPr>
          <w:lang w:eastAsia="zh-CN"/>
        </w:rPr>
        <w:t xml:space="preserve"> PEC to HPLMN</w:t>
      </w:r>
      <w:bookmarkEnd w:id="91"/>
      <w:r>
        <w:rPr>
          <w:lang w:eastAsia="zh-CN"/>
        </w:rPr>
        <w:t xml:space="preserve">  </w:t>
      </w:r>
    </w:p>
    <w:p>
      <w:pPr>
        <w:pStyle w:val="Normal"/>
        <w:rPr>
          <w:lang w:val="en-US"/>
        </w:rPr>
      </w:pPr>
      <w:r>
        <w:rPr/>
        <w:t>The following figure 5.2.2.5.2.1 describes a</w:t>
      </w:r>
      <w:r>
        <w:rPr>
          <w:lang w:eastAsia="zh-CN"/>
        </w:rPr>
        <w:t xml:space="preserve"> </w:t>
      </w:r>
      <w:r>
        <w:rPr/>
        <w:t>Registration charging message flow in PEC to HPLMN scenario for roaming</w:t>
      </w:r>
      <w:r>
        <w:rPr>
          <w:lang w:eastAsia="zh-CN"/>
        </w:rPr>
        <w:t xml:space="preserve">, based on figure </w:t>
      </w:r>
      <w:r>
        <w:rPr/>
        <w:t xml:space="preserve">4.2.2.2.2-1 of TS 23.502 [202] description </w:t>
      </w:r>
    </w:p>
    <w:p>
      <w:pPr>
        <w:pStyle w:val="TH"/>
        <w:rPr/>
      </w:pPr>
      <w:r>
        <w:rPr/>
        <w:object w:dxaOrig="11565" w:dyaOrig="9855">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82.8pt;height:410.95pt" filled="f" o:ole="">
            <v:imagedata r:id="rId47" o:title=""/>
          </v:shape>
          <o:OLEObject Type="Embed" ProgID="" ShapeID="ole_rId46" DrawAspect="Content" ObjectID="_752779887" r:id="rId46"/>
        </w:object>
      </w:r>
    </w:p>
    <w:p>
      <w:pPr>
        <w:pStyle w:val="TF"/>
        <w:rPr/>
      </w:pPr>
      <w:r>
        <w:rPr/>
        <w:t xml:space="preserve">Figure 5.2.2.5.2.1: Roaming Registration – PEC to HPLMN </w:t>
      </w:r>
    </w:p>
    <w:p>
      <w:pPr>
        <w:pStyle w:val="Normal"/>
        <w:rPr/>
      </w:pPr>
      <w:r>
        <w:rPr/>
      </w:r>
    </w:p>
    <w:p>
      <w:pPr>
        <w:pStyle w:val="B1"/>
        <w:rPr/>
      </w:pPr>
      <w:r>
        <w:rPr/>
        <w:t>1-20a.</w:t>
        <w:tab/>
        <w:t>Registration procedure initiated by UE per steps 1 to 20a of figure 4.2.2.2.2-1 of TS 23.502, with PCF, AUSF and UDM in HPLMN.</w:t>
      </w:r>
    </w:p>
    <w:p>
      <w:pPr>
        <w:pStyle w:val="B1"/>
        <w:rPr/>
      </w:pPr>
      <w:r>
        <w:rPr/>
        <w:t>21.</w:t>
        <w:tab/>
        <w:t>Upon successful procedure, Registration Accept sent to the UE.</w:t>
      </w:r>
    </w:p>
    <w:p>
      <w:pPr>
        <w:pStyle w:val="B1"/>
        <w:rPr/>
      </w:pPr>
      <w:r>
        <w:rPr/>
        <w:t xml:space="preserve">21ch-a. Upon </w:t>
      </w:r>
      <w:r>
        <w:rPr>
          <w:rFonts w:eastAsia="DengXian;DengXian"/>
          <w:lang w:bidi="ar-IQ"/>
        </w:rPr>
        <w:t>Registration completed trigger, t</w:t>
      </w:r>
      <w:r>
        <w:rPr/>
        <w:t>he AMF in VPLMN may send Charging Data Request [Event] to H-CHF for the UE successful registration, indicating "roamer out".</w:t>
      </w:r>
    </w:p>
    <w:p>
      <w:pPr>
        <w:pStyle w:val="B1"/>
        <w:rPr/>
      </w:pPr>
      <w:r>
        <w:rPr/>
        <w:t>21ch-b. The H-CHF creates the CDR for this registration.</w:t>
      </w:r>
    </w:p>
    <w:p>
      <w:pPr>
        <w:pStyle w:val="B1"/>
        <w:rPr/>
      </w:pPr>
      <w:r>
        <w:rPr/>
        <w:t>21ch-c. The H-CHF acknowledges by sending Charging Data Response [Event] to the AMF in VPLMN.</w:t>
      </w:r>
    </w:p>
    <w:p>
      <w:pPr>
        <w:pStyle w:val="B1"/>
        <w:rPr/>
      </w:pPr>
      <w:r>
        <w:rPr/>
        <w:t>21ch-d. The AMF in VPLMN sends Charging Data Request [Event] to the V-CHF for the UE successful registration, indicating "roamer in".</w:t>
      </w:r>
    </w:p>
    <w:p>
      <w:pPr>
        <w:pStyle w:val="B1"/>
        <w:rPr/>
      </w:pPr>
      <w:r>
        <w:rPr/>
        <w:t>21ch-e. The V-CHF creates the CDR for this registration.</w:t>
      </w:r>
    </w:p>
    <w:p>
      <w:pPr>
        <w:pStyle w:val="B1"/>
        <w:rPr/>
      </w:pPr>
      <w:r>
        <w:rPr/>
        <w:t>21ch-f. The V-CHF acknowledges by sending Charging Data Response [Event] to the AMF in VPLMN.</w:t>
      </w:r>
    </w:p>
    <w:p>
      <w:pPr>
        <w:pStyle w:val="Heading5"/>
        <w:ind w:left="1701" w:hanging="1701"/>
        <w:rPr>
          <w:lang w:eastAsia="zh-CN"/>
        </w:rPr>
      </w:pPr>
      <w:bookmarkStart w:id="92" w:name="__RefHeading___Toc25753254"/>
      <w:bookmarkEnd w:id="92"/>
      <w:r>
        <w:rPr/>
        <w:t>5.2.2.5.3</w:t>
        <w:tab/>
      </w:r>
      <w:r>
        <w:rPr>
          <w:lang w:eastAsia="zh-CN"/>
        </w:rPr>
        <w:t>Registration – IEC to HPLMN</w:t>
      </w:r>
    </w:p>
    <w:p>
      <w:pPr>
        <w:pStyle w:val="Normal"/>
        <w:rPr/>
      </w:pPr>
      <w:r>
        <w:rPr/>
        <w:t>The following figure 5.2.2.5.3.1 describes a</w:t>
      </w:r>
      <w:r>
        <w:rPr>
          <w:lang w:eastAsia="zh-CN"/>
        </w:rPr>
        <w:t xml:space="preserve"> </w:t>
      </w:r>
      <w:r>
        <w:rPr/>
        <w:t>Registration charging message flows in IEC to HPLMN scenario for roaming</w:t>
      </w:r>
      <w:r>
        <w:rPr>
          <w:lang w:eastAsia="zh-CN"/>
        </w:rPr>
        <w:t>, based on the clause 5.2.2.2.2 Registration description</w:t>
      </w:r>
      <w:r>
        <w:rPr/>
        <w:t xml:space="preserve">:  </w:t>
      </w:r>
    </w:p>
    <w:p>
      <w:pPr>
        <w:pStyle w:val="TH"/>
        <w:rPr/>
      </w:pPr>
      <w:r>
        <w:rPr/>
        <w:object w:dxaOrig="11565" w:dyaOrig="11835">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82.8pt;height:493.5pt" filled="f" o:ole="">
            <v:imagedata r:id="rId49" o:title=""/>
          </v:shape>
          <o:OLEObject Type="Embed" ProgID="" ShapeID="ole_rId48" DrawAspect="Content" ObjectID="_469438179" r:id="rId48"/>
        </w:object>
      </w:r>
    </w:p>
    <w:p>
      <w:pPr>
        <w:pStyle w:val="TF"/>
        <w:rPr/>
      </w:pPr>
      <w:r>
        <w:rPr/>
        <w:t xml:space="preserve">Figure 5.2.2.5.3.1: Roaming Registration – IEC to HPLMN </w:t>
      </w:r>
    </w:p>
    <w:p>
      <w:pPr>
        <w:pStyle w:val="B1"/>
        <w:rPr/>
      </w:pPr>
      <w:r>
        <w:rPr>
          <w:lang w:val="en-US"/>
        </w:rPr>
        <w:t>1-16.</w:t>
        <w:tab/>
      </w:r>
      <w:r>
        <w:rPr/>
        <w:t>Registration procedure initiated by UE per steps 1 to 16 of figure 4.2.2.2.2-1 of TS 23.502, with PCF, AUSF and UDM in HPLMN.</w:t>
      </w:r>
    </w:p>
    <w:p>
      <w:pPr>
        <w:pStyle w:val="B1"/>
        <w:rPr>
          <w:lang w:val="en-US"/>
        </w:rPr>
      </w:pPr>
      <w:r>
        <w:rPr/>
        <w:t xml:space="preserve">16ch-a. Upon Registration checked trigger, the AMF in VPLMN sends Charging Data Request </w:t>
      </w:r>
      <w:r>
        <w:rPr>
          <w:lang w:eastAsia="zh-CN"/>
        </w:rPr>
        <w:t>[Event] to H-CHF</w:t>
      </w:r>
      <w:r>
        <w:rPr/>
        <w:t xml:space="preserve"> for the UE registration to be granted authorization, rated and accounted, indicating "roamer out". </w:t>
      </w:r>
    </w:p>
    <w:p>
      <w:pPr>
        <w:pStyle w:val="B1"/>
        <w:rPr/>
      </w:pPr>
      <w:r>
        <w:rPr/>
        <w:t>16ch-b. Accounting and Rating control by the H-CHF for the registration and CDR creation.</w:t>
      </w:r>
    </w:p>
    <w:p>
      <w:pPr>
        <w:pStyle w:val="B1"/>
        <w:rPr>
          <w:lang w:eastAsia="zh-CN"/>
        </w:rPr>
      </w:pPr>
      <w:r>
        <w:rPr/>
        <w:t xml:space="preserve">16ch-c. The H-CHF acknowledges by sending Charging Data Response </w:t>
      </w:r>
      <w:r>
        <w:rPr>
          <w:lang w:eastAsia="zh-CN"/>
        </w:rPr>
        <w:t xml:space="preserve">[Event] to the AMF </w:t>
      </w:r>
      <w:r>
        <w:rPr/>
        <w:t>in VPLMN</w:t>
      </w:r>
      <w:r>
        <w:rPr>
          <w:lang w:eastAsia="zh-CN"/>
        </w:rPr>
        <w:t>, granting authorization to the registration.</w:t>
      </w:r>
    </w:p>
    <w:p>
      <w:pPr>
        <w:pStyle w:val="B1"/>
        <w:rPr/>
      </w:pPr>
      <w:r>
        <w:rPr/>
        <w:t>21ch-a. Upon Registration completed trigger, the AMF in VPLMN sends Charging Data Request [Event] to V-CHF for the UE successful registration, indicating "roamer in".</w:t>
      </w:r>
    </w:p>
    <w:p>
      <w:pPr>
        <w:pStyle w:val="B1"/>
        <w:rPr/>
      </w:pPr>
      <w:r>
        <w:rPr/>
        <w:t>21ch-b. The V-CHF creates the CDR for this registration.</w:t>
      </w:r>
    </w:p>
    <w:p>
      <w:pPr>
        <w:pStyle w:val="B1"/>
        <w:rPr>
          <w:lang w:eastAsia="zh-CN"/>
        </w:rPr>
      </w:pPr>
      <w:r>
        <w:rPr/>
        <w:t>21ch-c. The V-CHF acknowledges by sending Charging Data Response [Event] to the AMF in VPLMN.</w:t>
      </w:r>
    </w:p>
    <w:p>
      <w:pPr>
        <w:pStyle w:val="B1"/>
        <w:rPr>
          <w:lang w:val="en-US"/>
        </w:rPr>
      </w:pPr>
      <w:r>
        <w:rPr>
          <w:lang w:val="en-US"/>
        </w:rPr>
        <w:t xml:space="preserve">17 to 24. Same steps as in Figure 5.2.2.2.2.1.  </w:t>
      </w:r>
    </w:p>
    <w:p>
      <w:pPr>
        <w:pStyle w:val="Heading5"/>
        <w:ind w:left="1701" w:hanging="1701"/>
        <w:rPr>
          <w:lang w:eastAsia="zh-CN"/>
        </w:rPr>
      </w:pPr>
      <w:bookmarkStart w:id="93" w:name="__RefHeading___Toc25753255"/>
      <w:bookmarkEnd w:id="93"/>
      <w:r>
        <w:rPr/>
        <w:t>5.2.2.5.4</w:t>
        <w:tab/>
      </w:r>
      <w:r>
        <w:rPr>
          <w:lang w:eastAsia="zh-CN"/>
        </w:rPr>
        <w:t>Registration – ECUR to HPLMN</w:t>
      </w:r>
    </w:p>
    <w:p>
      <w:pPr>
        <w:pStyle w:val="Normal"/>
        <w:rPr/>
      </w:pPr>
      <w:r>
        <w:rPr/>
        <w:t>The following figure 5.2.2.5.4.1 describes a</w:t>
      </w:r>
      <w:r>
        <w:rPr>
          <w:lang w:eastAsia="zh-CN"/>
        </w:rPr>
        <w:t xml:space="preserve"> </w:t>
      </w:r>
      <w:r>
        <w:rPr/>
        <w:t>Registration charging message flows in ECUR to HPLMN scenario for roaming</w:t>
      </w:r>
      <w:r>
        <w:rPr>
          <w:lang w:eastAsia="zh-CN"/>
        </w:rPr>
        <w:t>, based on the clause 5.2.2.2.2 Registration description</w:t>
      </w:r>
      <w:r>
        <w:rPr/>
        <w:t xml:space="preserve">:  </w:t>
      </w:r>
    </w:p>
    <w:p>
      <w:pPr>
        <w:pStyle w:val="TH"/>
        <w:rPr/>
      </w:pPr>
      <w:r>
        <w:rPr/>
        <w:object w:dxaOrig="11565" w:dyaOrig="13275">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82.8pt;height:553.55pt" filled="f" o:ole="">
            <v:imagedata r:id="rId51" o:title=""/>
          </v:shape>
          <o:OLEObject Type="Embed" ProgID="" ShapeID="ole_rId50" DrawAspect="Content" ObjectID="_457998218" r:id="rId50"/>
        </w:object>
      </w:r>
    </w:p>
    <w:p>
      <w:pPr>
        <w:pStyle w:val="TH"/>
        <w:rPr/>
      </w:pPr>
      <w:r>
        <w:rPr/>
        <w:t xml:space="preserve">Figure 5.2.2.5.4.1: Roaming Registration – ECUR to HPLMN </w:t>
      </w:r>
    </w:p>
    <w:p>
      <w:pPr>
        <w:pStyle w:val="B1"/>
        <w:rPr/>
      </w:pPr>
      <w:r>
        <w:rPr>
          <w:lang w:val="en-US"/>
        </w:rPr>
        <w:t>1-16.</w:t>
        <w:tab/>
      </w:r>
      <w:r>
        <w:rPr/>
        <w:t>Registration procedure initiated by UE per steps 1 to 16 of figure 4.2.2.2.2-1 of TS 23.502, with PCF, AUSF and UDM in HPLMN.</w:t>
      </w:r>
    </w:p>
    <w:p>
      <w:pPr>
        <w:pStyle w:val="B1"/>
        <w:rPr>
          <w:lang w:val="en-US"/>
        </w:rPr>
      </w:pPr>
      <w:r>
        <w:rPr/>
        <w:t xml:space="preserve">16ch-a. Upon Registration checked trigger, the AMF sends Charging Data Request </w:t>
      </w:r>
      <w:r>
        <w:rPr>
          <w:lang w:eastAsia="zh-CN"/>
        </w:rPr>
        <w:t>[Initial] to H-CHF</w:t>
      </w:r>
      <w:r>
        <w:rPr/>
        <w:t xml:space="preserve"> for the UE registration to be granted authorization, indicating "roamer out". </w:t>
      </w:r>
    </w:p>
    <w:p>
      <w:pPr>
        <w:pStyle w:val="B1"/>
        <w:rPr/>
      </w:pPr>
      <w:r>
        <w:rPr/>
        <w:t>16ch-b. Account and Rating control by the H-CHF for the registration and open a CDR.</w:t>
      </w:r>
    </w:p>
    <w:p>
      <w:pPr>
        <w:pStyle w:val="B1"/>
        <w:rPr>
          <w:lang w:eastAsia="zh-CN"/>
        </w:rPr>
      </w:pPr>
      <w:r>
        <w:rPr/>
        <w:t xml:space="preserve">16ch-c. The H-CHF acknowledges by sending Charging Data Response </w:t>
      </w:r>
      <w:r>
        <w:rPr>
          <w:lang w:eastAsia="zh-CN"/>
        </w:rPr>
        <w:t xml:space="preserve">[Initial] to the AMF </w:t>
      </w:r>
      <w:r>
        <w:rPr/>
        <w:t>in VPLMN</w:t>
      </w:r>
      <w:r>
        <w:rPr>
          <w:lang w:eastAsia="zh-CN"/>
        </w:rPr>
        <w:t>, granting authorization to the registration.</w:t>
      </w:r>
    </w:p>
    <w:p>
      <w:pPr>
        <w:pStyle w:val="B1"/>
        <w:rPr>
          <w:lang w:val="en-US"/>
        </w:rPr>
      </w:pPr>
      <w:r>
        <w:rPr>
          <w:lang w:val="en-US"/>
        </w:rPr>
        <w:t xml:space="preserve">17 to 21. Same steps as in Figure 5.2.2.2.2.1.  </w:t>
      </w:r>
    </w:p>
    <w:p>
      <w:pPr>
        <w:pStyle w:val="B1"/>
        <w:rPr>
          <w:lang w:val="en-US"/>
        </w:rPr>
      </w:pPr>
      <w:r>
        <w:rPr/>
        <w:t xml:space="preserve">21ch-a. The AMF in VPLMN sends Charging Data Request </w:t>
      </w:r>
      <w:r>
        <w:rPr>
          <w:lang w:eastAsia="zh-CN"/>
        </w:rPr>
        <w:t>[Termination] to H-CHF</w:t>
      </w:r>
      <w:r>
        <w:rPr/>
        <w:t xml:space="preserve"> for the UE successful registration.</w:t>
      </w:r>
    </w:p>
    <w:p>
      <w:pPr>
        <w:pStyle w:val="B1"/>
        <w:rPr/>
      </w:pPr>
      <w:r>
        <w:rPr/>
        <w:t>21ch-b. The H-CHF closes the CDR for this registration.</w:t>
      </w:r>
    </w:p>
    <w:p>
      <w:pPr>
        <w:pStyle w:val="B1"/>
        <w:rPr>
          <w:lang w:val="en-US"/>
        </w:rPr>
      </w:pPr>
      <w:r>
        <w:rPr/>
        <w:t xml:space="preserve">21ch-c. The H-CHF acknowledges by sending Charging Data Response </w:t>
      </w:r>
      <w:r>
        <w:rPr>
          <w:lang w:eastAsia="zh-CN"/>
        </w:rPr>
        <w:t xml:space="preserve">[Termination] to the AMF </w:t>
      </w:r>
      <w:r>
        <w:rPr/>
        <w:t>in VPLMN</w:t>
      </w:r>
      <w:r>
        <w:rPr>
          <w:lang w:eastAsia="zh-CN"/>
        </w:rPr>
        <w:t>.</w:t>
      </w:r>
    </w:p>
    <w:p>
      <w:pPr>
        <w:pStyle w:val="B1"/>
        <w:rPr/>
      </w:pPr>
      <w:r>
        <w:rPr/>
        <w:t>21ch-d. The AMF in VPLMN sends Charging Data Request [Event] to V-CHF for the UE successful registration, indicating "roamer in".</w:t>
      </w:r>
    </w:p>
    <w:p>
      <w:pPr>
        <w:pStyle w:val="B1"/>
        <w:rPr/>
      </w:pPr>
      <w:r>
        <w:rPr/>
        <w:t>21ch-e. The V-CHF creates the CDR for this registration.</w:t>
      </w:r>
    </w:p>
    <w:p>
      <w:pPr>
        <w:pStyle w:val="B1"/>
        <w:rPr>
          <w:lang w:eastAsia="zh-CN"/>
        </w:rPr>
      </w:pPr>
      <w:r>
        <w:rPr/>
        <w:t>21ch-f. The V-CHF acknowledges by sending Charging Data Response [Event] to the AMF in VPLMN.</w:t>
      </w:r>
    </w:p>
    <w:p>
      <w:pPr>
        <w:pStyle w:val="Heading5"/>
        <w:ind w:left="1701" w:hanging="1701"/>
        <w:rPr>
          <w:lang w:eastAsia="zh-CN"/>
        </w:rPr>
      </w:pPr>
      <w:bookmarkStart w:id="94" w:name="__RefHeading___Toc25753256"/>
      <w:bookmarkEnd w:id="94"/>
      <w:r>
        <w:rPr/>
        <w:t>5.2.2.5.5</w:t>
        <w:tab/>
        <w:t>Der</w:t>
      </w:r>
      <w:r>
        <w:rPr>
          <w:lang w:eastAsia="zh-CN"/>
        </w:rPr>
        <w:t>egistration – PEC to HPLMN</w:t>
      </w:r>
    </w:p>
    <w:p>
      <w:pPr>
        <w:pStyle w:val="Normal"/>
        <w:rPr/>
      </w:pPr>
      <w:r>
        <w:rPr/>
        <w:t>The following figure 5.2.2.5.5.1 describes a</w:t>
      </w:r>
      <w:r>
        <w:rPr>
          <w:lang w:eastAsia="zh-CN"/>
        </w:rPr>
        <w:t xml:space="preserve"> </w:t>
      </w:r>
      <w:r>
        <w:rPr/>
        <w:t xml:space="preserve">deregistration UE-initiated or Network-initiated in PEC to HPLMN for roaming, </w:t>
      </w:r>
      <w:r>
        <w:rPr>
          <w:lang w:eastAsia="zh-CN"/>
        </w:rPr>
        <w:t xml:space="preserve">based on figure </w:t>
      </w:r>
      <w:r>
        <w:rPr/>
        <w:t>4.2.2.3.2-1 and figure 4.2.2.3.3-1 of TS 23.502 [202] description:</w:t>
      </w:r>
    </w:p>
    <w:p>
      <w:pPr>
        <w:pStyle w:val="TH"/>
        <w:rPr/>
      </w:pPr>
      <w:r>
        <w:rPr/>
        <w:object w:dxaOrig="11565" w:dyaOrig="9855">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82.8pt;height:410.95pt" filled="f" o:ole="">
            <v:imagedata r:id="rId53" o:title=""/>
          </v:shape>
          <o:OLEObject Type="Embed" ProgID="" ShapeID="ole_rId52" DrawAspect="Content" ObjectID="_2146646670" r:id="rId52"/>
        </w:object>
      </w:r>
    </w:p>
    <w:p>
      <w:pPr>
        <w:pStyle w:val="TF"/>
        <w:rPr>
          <w:lang w:eastAsia="zh-CN"/>
        </w:rPr>
      </w:pPr>
      <w:r>
        <w:rPr/>
        <w:t>Figure 5.2.2.5.5.1: Roaming Deregistration – PEC to HPLMN</w:t>
      </w:r>
    </w:p>
    <w:p>
      <w:pPr>
        <w:pStyle w:val="B1"/>
        <w:rPr/>
      </w:pPr>
      <w:r>
        <w:rPr>
          <w:lang w:val="en-US"/>
        </w:rPr>
        <w:t>1.</w:t>
        <w:tab/>
        <w:t>Der</w:t>
      </w:r>
      <w:r>
        <w:rPr/>
        <w:t xml:space="preserve">egistration Request from the UE or towards the UE. </w:t>
      </w:r>
      <w:r>
        <w:rPr>
          <w:lang w:val="en-US"/>
        </w:rPr>
        <w:t xml:space="preserve"> </w:t>
      </w:r>
    </w:p>
    <w:p>
      <w:pPr>
        <w:pStyle w:val="B1"/>
        <w:rPr>
          <w:lang w:val="en-US"/>
        </w:rPr>
      </w:pPr>
      <w:r>
        <w:rPr/>
        <w:t xml:space="preserve">1ch-a. Upon Deregistration trigger, the AMF in VPLMN sends Charging Data Request </w:t>
      </w:r>
      <w:r>
        <w:rPr>
          <w:lang w:eastAsia="zh-CN"/>
        </w:rPr>
        <w:t>[Event] to H-CHF</w:t>
      </w:r>
      <w:r>
        <w:rPr/>
        <w:t xml:space="preserve"> for the UE successful deregistration, indicating "roamer out".</w:t>
      </w:r>
    </w:p>
    <w:p>
      <w:pPr>
        <w:pStyle w:val="B1"/>
        <w:rPr/>
      </w:pPr>
      <w:r>
        <w:rPr/>
        <w:t>1ch-b. The H-CHF creates the CDR for this deregistration.</w:t>
      </w:r>
    </w:p>
    <w:p>
      <w:pPr>
        <w:pStyle w:val="B1"/>
        <w:rPr>
          <w:lang w:eastAsia="zh-CN"/>
        </w:rPr>
      </w:pPr>
      <w:r>
        <w:rPr/>
        <w:t xml:space="preserve">1ch-c. The H-CHF acknowledges by sending Charging Data Response </w:t>
      </w:r>
      <w:r>
        <w:rPr>
          <w:lang w:eastAsia="zh-CN"/>
        </w:rPr>
        <w:t xml:space="preserve">[Event] to the AMF </w:t>
      </w:r>
      <w:r>
        <w:rPr/>
        <w:t>in VPLMN</w:t>
      </w:r>
      <w:r>
        <w:rPr>
          <w:lang w:eastAsia="zh-CN"/>
        </w:rPr>
        <w:t>.</w:t>
      </w:r>
    </w:p>
    <w:p>
      <w:pPr>
        <w:pStyle w:val="B1"/>
        <w:rPr>
          <w:lang w:val="en-US"/>
        </w:rPr>
      </w:pPr>
      <w:r>
        <w:rPr/>
        <w:t xml:space="preserve">1ch-d. The AMF in VPLMN sends Charging Data Request </w:t>
      </w:r>
      <w:r>
        <w:rPr>
          <w:lang w:eastAsia="zh-CN"/>
        </w:rPr>
        <w:t>[Event] to V-CHF</w:t>
      </w:r>
      <w:r>
        <w:rPr/>
        <w:t xml:space="preserve"> for the UE successful deregistration, indicating "roamer in".</w:t>
      </w:r>
    </w:p>
    <w:p>
      <w:pPr>
        <w:pStyle w:val="B1"/>
        <w:rPr/>
      </w:pPr>
      <w:r>
        <w:rPr/>
        <w:t>1ch-e. The V-CHF creates the CDR for this deregistration.</w:t>
      </w:r>
    </w:p>
    <w:p>
      <w:pPr>
        <w:pStyle w:val="B1"/>
        <w:rPr>
          <w:lang w:eastAsia="zh-CN"/>
        </w:rPr>
      </w:pPr>
      <w:r>
        <w:rPr/>
        <w:t xml:space="preserve">1ch-f. The V-CHF acknowledges by sending Charging Data Response </w:t>
      </w:r>
      <w:r>
        <w:rPr>
          <w:lang w:eastAsia="zh-CN"/>
        </w:rPr>
        <w:t xml:space="preserve">[Event] to the AMF </w:t>
      </w:r>
      <w:r>
        <w:rPr/>
        <w:t>in VPLMN</w:t>
      </w:r>
    </w:p>
    <w:p>
      <w:pPr>
        <w:pStyle w:val="B1"/>
        <w:rPr/>
      </w:pPr>
      <w:r>
        <w:rPr>
          <w:lang w:eastAsia="zh-CN"/>
        </w:rPr>
        <w:t>[6-8]</w:t>
      </w:r>
      <w:r>
        <w:rPr/>
        <w:t>. Deregistration procedure steps.</w:t>
      </w:r>
    </w:p>
    <w:p>
      <w:pPr>
        <w:pStyle w:val="Heading3"/>
        <w:rPr>
          <w:lang w:val="en-US"/>
        </w:rPr>
      </w:pPr>
      <w:bookmarkStart w:id="95" w:name="__RefHeading___Toc25753257"/>
      <w:bookmarkEnd w:id="95"/>
      <w:r>
        <w:rPr/>
        <w:t>5.2.3</w:t>
        <w:tab/>
        <w:t>CDR generation</w:t>
      </w:r>
    </w:p>
    <w:p>
      <w:pPr>
        <w:pStyle w:val="Heading4"/>
        <w:ind w:left="1418" w:hanging="1418"/>
        <w:rPr/>
      </w:pPr>
      <w:bookmarkStart w:id="96" w:name="__RefHeading___Toc25753258"/>
      <w:bookmarkEnd w:id="96"/>
      <w:r>
        <w:rPr>
          <w:lang w:bidi="ar-IQ"/>
        </w:rPr>
        <w:t>5.2.3.1</w:t>
        <w:tab/>
        <w:t>Introduction</w:t>
      </w:r>
    </w:p>
    <w:p>
      <w:pPr>
        <w:pStyle w:val="Normal"/>
        <w:numPr>
          <w:ilvl w:val="0"/>
          <w:numId w:val="0"/>
        </w:numPr>
        <w:ind w:left="0" w:hanging="0"/>
        <w:rPr/>
      </w:pPr>
      <w:r>
        <w:rPr>
          <w:lang w:bidi="ar-IQ"/>
        </w:rPr>
        <w:t xml:space="preserve">The CHF CDRs for </w:t>
      </w:r>
      <w:r>
        <w:rPr/>
        <w:t>5G connection and mobility</w:t>
      </w:r>
      <w:r>
        <w:rPr>
          <w:lang w:bidi="ar-IQ"/>
        </w:rPr>
        <w:t xml:space="preserve"> charging are generated by the CHF to collect charging information that they subsequently transfer to the Charging Gateway Function (CGF).</w:t>
      </w:r>
    </w:p>
    <w:p>
      <w:pPr>
        <w:pStyle w:val="Normal"/>
        <w:numPr>
          <w:ilvl w:val="0"/>
          <w:numId w:val="0"/>
        </w:numPr>
        <w:ind w:left="0" w:hanging="0"/>
        <w:rPr>
          <w:lang w:bidi="ar-IQ"/>
        </w:rPr>
      </w:pPr>
      <w:r>
        <w:rPr>
          <w:lang w:bidi="ar-IQ"/>
        </w:rPr>
        <w:t>The following clauses describe in detail the conditions for generating the CHF CDR, which shall be supported by the CHF.</w:t>
      </w:r>
    </w:p>
    <w:p>
      <w:pPr>
        <w:pStyle w:val="Heading4"/>
        <w:spacing w:before="60" w:after="120"/>
        <w:ind w:left="1418" w:hanging="1418"/>
        <w:rPr/>
      </w:pPr>
      <w:bookmarkStart w:id="97" w:name="__RefHeading___Toc25753259"/>
      <w:r>
        <w:rPr>
          <w:lang w:bidi="ar-IQ"/>
        </w:rPr>
        <w:t>5.2.3.2</w:t>
        <w:tab/>
        <w:t xml:space="preserve">Triggers for </w:t>
      </w:r>
      <w:r>
        <w:rPr>
          <w:lang w:val="en-US" w:bidi="ar-IQ"/>
        </w:rPr>
        <w:t xml:space="preserve">CHF </w:t>
      </w:r>
      <w:r>
        <w:rPr>
          <w:lang w:bidi="ar-IQ"/>
        </w:rPr>
        <w:t>CDR</w:t>
      </w:r>
      <w:bookmarkEnd w:id="97"/>
      <w:r>
        <w:rPr>
          <w:lang w:bidi="ar-IQ"/>
        </w:rPr>
        <w:t xml:space="preserve"> </w:t>
      </w:r>
    </w:p>
    <w:p>
      <w:pPr>
        <w:pStyle w:val="Heading5"/>
        <w:ind w:left="1701" w:hanging="1701"/>
        <w:rPr/>
      </w:pPr>
      <w:bookmarkStart w:id="98" w:name="__RefHeading___Toc25753260"/>
      <w:bookmarkEnd w:id="98"/>
      <w:r>
        <w:rPr/>
        <w:t>5.2.3.2.1</w:t>
        <w:tab/>
        <w:t>General</w:t>
      </w:r>
    </w:p>
    <w:p>
      <w:pPr>
        <w:pStyle w:val="Normal"/>
        <w:rPr>
          <w:lang w:eastAsia="zh-CN" w:bidi="ar-IQ"/>
        </w:rPr>
      </w:pPr>
      <w:r>
        <w:rPr>
          <w:lang w:bidi="ar-IQ"/>
        </w:rPr>
        <w:t xml:space="preserve">A </w:t>
      </w:r>
      <w:r>
        <w:rPr/>
        <w:t>5G connection and mobility</w:t>
      </w:r>
      <w:r>
        <w:rPr>
          <w:lang w:bidi="ar-IQ"/>
        </w:rPr>
        <w:t xml:space="preserve"> charging CHF CDR is used to collect charging information related to </w:t>
      </w:r>
      <w:r>
        <w:rPr/>
        <w:t>5G connection and mobility</w:t>
      </w:r>
      <w:r>
        <w:rPr>
          <w:lang w:bidi="ar-IQ"/>
        </w:rPr>
        <w:t xml:space="preserve"> chargeable events for PEC, IEC and ECUR</w:t>
      </w:r>
      <w:r>
        <w:rPr/>
        <w:t>.</w:t>
      </w:r>
      <w:r>
        <w:rPr>
          <w:lang w:eastAsia="zh-CN" w:bidi="ar-IQ"/>
        </w:rPr>
        <w:t xml:space="preserve"> </w:t>
      </w:r>
    </w:p>
    <w:p>
      <w:pPr>
        <w:pStyle w:val="Heading5"/>
        <w:ind w:left="1701" w:hanging="1701"/>
        <w:rPr/>
      </w:pPr>
      <w:bookmarkStart w:id="99" w:name="__RefHeading___Toc25753261"/>
      <w:bookmarkEnd w:id="99"/>
      <w:r>
        <w:rPr>
          <w:lang w:bidi="ar-IQ"/>
        </w:rPr>
        <w:t>5.2.3.</w:t>
      </w:r>
      <w:r>
        <w:rPr>
          <w:lang w:val="en-US" w:bidi="ar-IQ"/>
        </w:rPr>
        <w:t>2.2</w:t>
      </w:r>
      <w:r>
        <w:rPr>
          <w:lang w:bidi="ar-IQ"/>
        </w:rPr>
        <w:tab/>
        <w:t xml:space="preserve">Triggers for </w:t>
      </w:r>
      <w:r>
        <w:rPr>
          <w:lang w:val="en-US" w:bidi="ar-IQ"/>
        </w:rPr>
        <w:t xml:space="preserve">CHF </w:t>
      </w:r>
      <w:r>
        <w:rPr>
          <w:lang w:bidi="ar-IQ"/>
        </w:rPr>
        <w:t>CDR generation</w:t>
      </w:r>
    </w:p>
    <w:p>
      <w:pPr>
        <w:pStyle w:val="Normal"/>
        <w:rPr>
          <w:lang w:bidi="ar-IQ"/>
        </w:rPr>
      </w:pPr>
      <w:r>
        <w:rPr>
          <w:lang w:bidi="ar-IQ"/>
        </w:rPr>
        <w:t xml:space="preserve">A CHF CDR </w:t>
      </w:r>
      <w:r>
        <w:rPr/>
        <w:t xml:space="preserve">shall be generated by the </w:t>
      </w:r>
      <w:r>
        <w:rPr>
          <w:lang w:bidi="ar-IQ"/>
        </w:rPr>
        <w:t xml:space="preserve">CHF for each </w:t>
      </w:r>
      <w:r>
        <w:rPr>
          <w:rStyle w:val="Shorttext"/>
        </w:rPr>
        <w:t xml:space="preserve">received </w:t>
      </w:r>
      <w:r>
        <w:rPr/>
        <w:t>Charging Data Request [</w:t>
      </w:r>
      <w:r>
        <w:rPr>
          <w:lang w:eastAsia="zh-CN" w:bidi="ar-IQ"/>
        </w:rPr>
        <w:t>Event</w:t>
      </w:r>
      <w:r>
        <w:rPr/>
        <w:t>]</w:t>
      </w:r>
      <w:r>
        <w:rPr>
          <w:lang w:bidi="ar-IQ"/>
        </w:rPr>
        <w:t>.</w:t>
      </w:r>
    </w:p>
    <w:p>
      <w:pPr>
        <w:pStyle w:val="Heading5"/>
        <w:ind w:left="1701" w:hanging="1701"/>
        <w:rPr>
          <w:lang w:bidi="ar-IQ"/>
        </w:rPr>
      </w:pPr>
      <w:bookmarkStart w:id="100" w:name="__RefHeading___Toc25753262"/>
      <w:bookmarkEnd w:id="100"/>
      <w:r>
        <w:rPr>
          <w:lang w:bidi="ar-IQ"/>
        </w:rPr>
        <w:t>5.2.3.</w:t>
      </w:r>
      <w:r>
        <w:rPr>
          <w:lang w:val="en-US" w:bidi="ar-IQ"/>
        </w:rPr>
        <w:t>2.3</w:t>
      </w:r>
      <w:r>
        <w:rPr>
          <w:lang w:bidi="ar-IQ"/>
        </w:rPr>
        <w:tab/>
        <w:t xml:space="preserve">Triggers for </w:t>
      </w:r>
      <w:r>
        <w:rPr>
          <w:lang w:val="en-US" w:bidi="ar-IQ"/>
        </w:rPr>
        <w:t xml:space="preserve">CHF </w:t>
      </w:r>
      <w:r>
        <w:rPr>
          <w:lang w:bidi="ar-IQ"/>
        </w:rPr>
        <w:t>CDR opening</w:t>
      </w:r>
    </w:p>
    <w:p>
      <w:pPr>
        <w:pStyle w:val="Normal"/>
        <w:rPr>
          <w:lang w:bidi="ar-IQ"/>
        </w:rPr>
      </w:pPr>
      <w:r>
        <w:rPr>
          <w:lang w:bidi="ar-IQ"/>
        </w:rPr>
        <w:t xml:space="preserve">A CHF CDR shall be opened when the CHF </w:t>
      </w:r>
      <w:r>
        <w:rPr>
          <w:rStyle w:val="Shorttext"/>
        </w:rPr>
        <w:t xml:space="preserve">receives </w:t>
      </w:r>
      <w:r>
        <w:rPr/>
        <w:t>Charging Data Request [</w:t>
      </w:r>
      <w:r>
        <w:rPr>
          <w:lang w:eastAsia="zh-CN" w:bidi="ar-IQ"/>
        </w:rPr>
        <w:t>Initial</w:t>
      </w:r>
      <w:r>
        <w:rPr/>
        <w:t>]</w:t>
      </w:r>
      <w:r>
        <w:rPr>
          <w:lang w:bidi="ar-IQ"/>
        </w:rPr>
        <w:t>.</w:t>
      </w:r>
    </w:p>
    <w:p>
      <w:pPr>
        <w:pStyle w:val="Heading5"/>
        <w:ind w:left="1701" w:hanging="1701"/>
        <w:rPr>
          <w:lang w:bidi="ar-IQ"/>
        </w:rPr>
      </w:pPr>
      <w:bookmarkStart w:id="101" w:name="__RefHeading___Toc25753263"/>
      <w:bookmarkEnd w:id="101"/>
      <w:r>
        <w:rPr>
          <w:lang w:bidi="ar-IQ"/>
        </w:rPr>
        <w:t>5.2.3.2.4</w:t>
        <w:tab/>
        <w:t>Triggers for CHF CDR closure</w:t>
      </w:r>
    </w:p>
    <w:p>
      <w:pPr>
        <w:pStyle w:val="Normal"/>
        <w:rPr>
          <w:lang w:bidi="ar-IQ"/>
        </w:rPr>
      </w:pPr>
      <w:r>
        <w:rPr>
          <w:lang w:bidi="ar-IQ"/>
        </w:rPr>
        <w:t>The CHF CDR shall be closed when the CHF receives Charging Data Request [Termination].</w:t>
      </w:r>
    </w:p>
    <w:p>
      <w:pPr>
        <w:pStyle w:val="Heading3"/>
        <w:rPr>
          <w:lang w:val="en-US"/>
        </w:rPr>
      </w:pPr>
      <w:bookmarkStart w:id="102" w:name="__RefHeading___Toc25753264"/>
      <w:bookmarkEnd w:id="102"/>
      <w:r>
        <w:rPr/>
        <w:t>5.2.4</w:t>
        <w:tab/>
        <w:t>Ga record transfer flows</w:t>
      </w:r>
    </w:p>
    <w:p>
      <w:pPr>
        <w:pStyle w:val="Normal"/>
        <w:rPr/>
      </w:pPr>
      <w:r>
        <w:rPr/>
        <w:t>Details of the Ga protocol application are specified in TS 32.295 [54].</w:t>
      </w:r>
    </w:p>
    <w:p>
      <w:pPr>
        <w:pStyle w:val="Heading3"/>
        <w:rPr/>
      </w:pPr>
      <w:bookmarkStart w:id="103" w:name="__RefHeading___Toc25753265"/>
      <w:bookmarkEnd w:id="103"/>
      <w:r>
        <w:rPr/>
        <w:t>5.2.5</w:t>
        <w:tab/>
        <w:t>Bam CDR file transfer</w:t>
      </w:r>
    </w:p>
    <w:p>
      <w:pPr>
        <w:pStyle w:val="Normal"/>
        <w:rPr/>
      </w:pPr>
      <w:r>
        <w:rPr/>
        <w:t>Details of the Bam protocol application are specified in TS 32.297 [52].</w:t>
      </w:r>
    </w:p>
    <w:p>
      <w:pPr>
        <w:pStyle w:val="Heading1"/>
        <w:ind w:left="1134" w:hanging="1134"/>
        <w:rPr/>
      </w:pPr>
      <w:bookmarkStart w:id="104" w:name="__RefHeading___Toc25753266"/>
      <w:bookmarkEnd w:id="104"/>
      <w:r>
        <w:rPr/>
        <w:t>6.</w:t>
        <w:tab/>
        <w:t>Definition of charging information</w:t>
      </w:r>
    </w:p>
    <w:p>
      <w:pPr>
        <w:pStyle w:val="Heading2"/>
        <w:rPr/>
      </w:pPr>
      <w:bookmarkStart w:id="105" w:name="__RefHeading___Toc25753267"/>
      <w:bookmarkEnd w:id="105"/>
      <w:r>
        <w:rPr/>
        <w:t>6.1</w:t>
        <w:tab/>
        <w:t xml:space="preserve">Data description for </w:t>
      </w:r>
      <w:r>
        <w:rPr>
          <w:lang w:bidi="ar-IQ"/>
        </w:rPr>
        <w:t xml:space="preserve">5G connection and mobility </w:t>
      </w:r>
      <w:r>
        <w:rPr/>
        <w:t>charging</w:t>
      </w:r>
    </w:p>
    <w:p>
      <w:pPr>
        <w:pStyle w:val="Heading3"/>
        <w:rPr/>
      </w:pPr>
      <w:bookmarkStart w:id="106" w:name="__RefHeading___Toc25753268"/>
      <w:bookmarkEnd w:id="106"/>
      <w:r>
        <w:rPr/>
        <w:t>6.1.1</w:t>
        <w:tab/>
        <w:t>Message contents</w:t>
      </w:r>
    </w:p>
    <w:p>
      <w:pPr>
        <w:pStyle w:val="Heading4"/>
        <w:ind w:left="1418" w:hanging="1418"/>
        <w:rPr/>
      </w:pPr>
      <w:bookmarkStart w:id="107" w:name="__RefHeading___Toc25753269"/>
      <w:bookmarkEnd w:id="107"/>
      <w:r>
        <w:rPr/>
        <w:t>6.1.1</w:t>
      </w:r>
      <w:r>
        <w:rPr>
          <w:lang w:eastAsia="zh-CN"/>
        </w:rPr>
        <w:t>.1</w:t>
        <w:tab/>
        <w:t>General</w:t>
      </w:r>
    </w:p>
    <w:p>
      <w:pPr>
        <w:pStyle w:val="Normal"/>
        <w:rPr/>
      </w:pPr>
      <w:r>
        <w:rPr/>
        <w:t xml:space="preserve">The Charging Data Request and Charging Data Response are specified in TS 32.290 [57] and include charging information. The Charging Data Request can be of type [Event]. </w:t>
      </w:r>
    </w:p>
    <w:p>
      <w:pPr>
        <w:pStyle w:val="Normal"/>
        <w:rPr/>
      </w:pPr>
      <w:r>
        <w:rPr>
          <w:lang w:bidi="ar-IQ"/>
        </w:rPr>
        <w:t>Table 6.1.1.1.1 describes the use of these messages for converged charging.</w:t>
      </w:r>
    </w:p>
    <w:p>
      <w:pPr>
        <w:pStyle w:val="TH"/>
        <w:rPr/>
      </w:pPr>
      <w:r>
        <w:rPr>
          <w:lang w:bidi="ar-IQ"/>
        </w:rPr>
        <w:t>Table 6.1.1.1.1: Converged charging messages reference tabl</w:t>
      </w:r>
      <w:r>
        <w:rPr/>
        <w:t xml:space="preserve">e </w:t>
      </w:r>
    </w:p>
    <w:tbl>
      <w:tblPr>
        <w:tblW w:w="5657" w:type="dxa"/>
        <w:jc w:val="center"/>
        <w:tblInd w:w="0" w:type="dxa"/>
        <w:tblLayout w:type="fixed"/>
        <w:tblCellMar>
          <w:top w:w="0" w:type="dxa"/>
          <w:left w:w="28" w:type="dxa"/>
          <w:bottom w:w="0" w:type="dxa"/>
          <w:right w:w="28" w:type="dxa"/>
        </w:tblCellMar>
      </w:tblPr>
      <w:tblGrid>
        <w:gridCol w:w="2545"/>
        <w:gridCol w:w="1560"/>
        <w:gridCol w:w="1552"/>
      </w:tblGrid>
      <w:tr>
        <w:trPr/>
        <w:tc>
          <w:tcPr>
            <w:tcW w:w="2545" w:type="dxa"/>
            <w:tcBorders>
              <w:top w:val="single" w:sz="4" w:space="0" w:color="000000"/>
              <w:left w:val="single" w:sz="4" w:space="0" w:color="000000"/>
              <w:bottom w:val="single" w:sz="4" w:space="0" w:color="000000"/>
              <w:right w:val="single" w:sz="4" w:space="0" w:color="000000"/>
            </w:tcBorders>
            <w:shd w:fill="AEAAAA" w:val="clear"/>
          </w:tcPr>
          <w:p>
            <w:pPr>
              <w:pStyle w:val="Normal"/>
              <w:keepNext w:val="true"/>
              <w:keepLines/>
              <w:spacing w:before="0" w:after="0"/>
              <w:jc w:val="center"/>
              <w:rPr>
                <w:rFonts w:ascii="Arial" w:hAnsi="Arial" w:eastAsia="MS Mincho;ＭＳ 明朝" w:cs="Arial"/>
                <w:b/>
                <w:b/>
                <w:sz w:val="18"/>
                <w:lang w:bidi="ar-IQ"/>
              </w:rPr>
            </w:pPr>
            <w:r>
              <w:rPr>
                <w:rFonts w:eastAsia="MS Mincho;ＭＳ 明朝" w:cs="Arial" w:ascii="Arial" w:hAnsi="Arial"/>
                <w:b/>
                <w:sz w:val="18"/>
                <w:lang w:bidi="ar-IQ"/>
              </w:rPr>
              <w:t>Message</w:t>
            </w:r>
          </w:p>
        </w:tc>
        <w:tc>
          <w:tcPr>
            <w:tcW w:w="1560" w:type="dxa"/>
            <w:tcBorders>
              <w:top w:val="single" w:sz="4" w:space="0" w:color="000000"/>
              <w:left w:val="single" w:sz="4" w:space="0" w:color="000000"/>
              <w:bottom w:val="single" w:sz="4" w:space="0" w:color="000000"/>
              <w:right w:val="single" w:sz="4" w:space="0" w:color="000000"/>
            </w:tcBorders>
            <w:shd w:fill="AEAAAA" w:val="clear"/>
          </w:tcPr>
          <w:p>
            <w:pPr>
              <w:pStyle w:val="Normal"/>
              <w:keepNext w:val="true"/>
              <w:keepLines/>
              <w:spacing w:before="0" w:after="0"/>
              <w:jc w:val="center"/>
              <w:rPr/>
            </w:pPr>
            <w:r>
              <w:rPr>
                <w:rFonts w:eastAsia="MS Mincho;ＭＳ 明朝" w:cs="Arial" w:ascii="Arial" w:hAnsi="Arial"/>
                <w:b/>
                <w:sz w:val="18"/>
                <w:lang w:bidi="ar-IQ"/>
              </w:rPr>
              <w:t>Source</w:t>
            </w:r>
          </w:p>
        </w:tc>
        <w:tc>
          <w:tcPr>
            <w:tcW w:w="1552" w:type="dxa"/>
            <w:tcBorders>
              <w:top w:val="single" w:sz="4" w:space="0" w:color="000000"/>
              <w:left w:val="single" w:sz="4" w:space="0" w:color="000000"/>
              <w:bottom w:val="single" w:sz="4" w:space="0" w:color="000000"/>
              <w:right w:val="single" w:sz="4" w:space="0" w:color="000000"/>
            </w:tcBorders>
            <w:shd w:fill="AEAAAA" w:val="clear"/>
          </w:tcPr>
          <w:p>
            <w:pPr>
              <w:pStyle w:val="Normal"/>
              <w:keepNext w:val="true"/>
              <w:keepLines/>
              <w:spacing w:before="0" w:after="0"/>
              <w:jc w:val="center"/>
              <w:rPr/>
            </w:pPr>
            <w:r>
              <w:rPr>
                <w:rFonts w:eastAsia="MS Mincho;ＭＳ 明朝" w:cs="Arial" w:ascii="Arial" w:hAnsi="Arial"/>
                <w:b/>
                <w:sz w:val="18"/>
                <w:lang w:bidi="ar-IQ"/>
              </w:rPr>
              <w:t>Destination</w:t>
            </w:r>
          </w:p>
        </w:tc>
      </w:tr>
      <w:tr>
        <w:trPr>
          <w:trHeight w:val="64" w:hRule="atLeast"/>
        </w:trPr>
        <w:tc>
          <w:tcPr>
            <w:tcW w:w="2545" w:type="dxa"/>
            <w:tcBorders>
              <w:top w:val="single" w:sz="4" w:space="0" w:color="000000"/>
              <w:left w:val="single" w:sz="4" w:space="0" w:color="000000"/>
              <w:bottom w:val="single" w:sz="4" w:space="0" w:color="000000"/>
              <w:right w:val="single" w:sz="4" w:space="0" w:color="000000"/>
            </w:tcBorders>
          </w:tcPr>
          <w:p>
            <w:pPr>
              <w:pStyle w:val="TAL"/>
              <w:rPr/>
            </w:pPr>
            <w:r>
              <w:rPr>
                <w:lang w:bidi="ar-IQ"/>
              </w:rPr>
              <w:t>Charging Data Request</w:t>
            </w:r>
          </w:p>
        </w:tc>
        <w:tc>
          <w:tcPr>
            <w:tcW w:w="156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bidi="ar-IQ"/>
              </w:rPr>
            </w:pPr>
            <w:r>
              <w:rPr>
                <w:lang w:eastAsia="zh-CN" w:bidi="ar-IQ"/>
              </w:rPr>
              <w:t>AMF</w:t>
            </w:r>
          </w:p>
        </w:tc>
        <w:tc>
          <w:tcPr>
            <w:tcW w:w="1552"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bidi="ar-IQ"/>
              </w:rPr>
            </w:pPr>
            <w:r>
              <w:rPr>
                <w:lang w:bidi="ar-IQ"/>
              </w:rPr>
              <w:t>CHF</w:t>
            </w:r>
          </w:p>
        </w:tc>
      </w:tr>
      <w:tr>
        <w:trPr/>
        <w:tc>
          <w:tcPr>
            <w:tcW w:w="2545" w:type="dxa"/>
            <w:tcBorders>
              <w:top w:val="single" w:sz="4" w:space="0" w:color="000000"/>
              <w:left w:val="single" w:sz="4" w:space="0" w:color="000000"/>
              <w:bottom w:val="single" w:sz="4" w:space="0" w:color="000000"/>
              <w:right w:val="single" w:sz="4" w:space="0" w:color="000000"/>
            </w:tcBorders>
          </w:tcPr>
          <w:p>
            <w:pPr>
              <w:pStyle w:val="TAL"/>
              <w:rPr>
                <w:lang w:bidi="ar-IQ"/>
              </w:rPr>
            </w:pPr>
            <w:r>
              <w:rPr/>
              <w:t>Charging Data Response</w:t>
            </w:r>
          </w:p>
        </w:tc>
        <w:tc>
          <w:tcPr>
            <w:tcW w:w="156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bidi="ar-IQ"/>
              </w:rPr>
            </w:pPr>
            <w:r>
              <w:rPr>
                <w:lang w:bidi="ar-IQ"/>
              </w:rPr>
              <w:t>CHF</w:t>
            </w:r>
          </w:p>
        </w:tc>
        <w:tc>
          <w:tcPr>
            <w:tcW w:w="1552"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bidi="ar-IQ"/>
              </w:rPr>
            </w:pPr>
            <w:r>
              <w:rPr>
                <w:lang w:eastAsia="zh-CN" w:bidi="ar-IQ"/>
              </w:rPr>
              <w:t>AMF</w:t>
            </w:r>
          </w:p>
        </w:tc>
      </w:tr>
    </w:tbl>
    <w:p>
      <w:pPr>
        <w:pStyle w:val="Normal"/>
        <w:rPr/>
      </w:pPr>
      <w:r>
        <w:rPr/>
      </w:r>
    </w:p>
    <w:p>
      <w:pPr>
        <w:pStyle w:val="Normal"/>
        <w:rPr/>
      </w:pPr>
      <w:r>
        <w:rPr/>
        <w:t>The following clauses describe the different fields used in the Charging Data messages and t</w:t>
      </w:r>
      <w:r>
        <w:rPr>
          <w:lang w:bidi="ar-IQ"/>
        </w:rPr>
        <w:t>he c</w:t>
      </w:r>
      <w:r>
        <w:rPr/>
        <w:t>ategory in the tables is used according to the charging data configuration defined in clause 5.4 of TS 32.240 [1].</w:t>
      </w:r>
    </w:p>
    <w:p>
      <w:pPr>
        <w:pStyle w:val="Heading4"/>
        <w:ind w:left="1418" w:hanging="1418"/>
        <w:rPr/>
      </w:pPr>
      <w:bookmarkStart w:id="108" w:name="__RefHeading___Toc25753270"/>
      <w:bookmarkEnd w:id="108"/>
      <w:r>
        <w:rPr>
          <w:lang w:bidi="ar-IQ"/>
        </w:rPr>
        <w:t>6.1.</w:t>
      </w:r>
      <w:r>
        <w:rPr>
          <w:lang w:eastAsia="zh-CN" w:bidi="ar-IQ"/>
        </w:rPr>
        <w:t>1</w:t>
      </w:r>
      <w:r>
        <w:rPr>
          <w:lang w:bidi="ar-IQ"/>
        </w:rPr>
        <w:t>.2</w:t>
        <w:tab/>
        <w:t>Charging Data Request message</w:t>
      </w:r>
    </w:p>
    <w:p>
      <w:pPr>
        <w:pStyle w:val="Normal"/>
        <w:keepNext w:val="true"/>
        <w:rPr/>
      </w:pPr>
      <w:r>
        <w:rPr>
          <w:lang w:bidi="ar-IQ"/>
        </w:rPr>
        <w:t>Table 6.1.</w:t>
      </w:r>
      <w:r>
        <w:rPr>
          <w:lang w:eastAsia="zh-CN" w:bidi="ar-IQ"/>
        </w:rPr>
        <w:t>1.2</w:t>
      </w:r>
      <w:r>
        <w:rPr>
          <w:lang w:bidi="ar-IQ"/>
        </w:rPr>
        <w:t xml:space="preserve">.1 illustrates the basic structure of a Charging Data Request message from the </w:t>
      </w:r>
      <w:r>
        <w:rPr>
          <w:lang w:eastAsia="zh-CN" w:bidi="ar-IQ"/>
        </w:rPr>
        <w:t xml:space="preserve">AMF </w:t>
      </w:r>
      <w:r>
        <w:rPr>
          <w:lang w:bidi="ar-IQ"/>
        </w:rPr>
        <w:t xml:space="preserve">as used for 5G connection and mobility </w:t>
      </w:r>
      <w:r>
        <w:rPr/>
        <w:t xml:space="preserve">converged </w:t>
      </w:r>
      <w:r>
        <w:rPr>
          <w:lang w:bidi="ar-IQ"/>
        </w:rPr>
        <w:t>charging.</w:t>
      </w:r>
    </w:p>
    <w:p>
      <w:pPr>
        <w:pStyle w:val="TH"/>
        <w:rPr>
          <w:lang w:bidi="ar-IQ"/>
        </w:rPr>
      </w:pPr>
      <w:r>
        <w:rPr>
          <w:lang w:bidi="ar-IQ"/>
        </w:rPr>
        <w:t>Table 6.1.</w:t>
      </w:r>
      <w:r>
        <w:rPr>
          <w:lang w:eastAsia="zh-CN" w:bidi="ar-IQ"/>
        </w:rPr>
        <w:t>1</w:t>
      </w:r>
      <w:r>
        <w:rPr>
          <w:lang w:bidi="ar-IQ"/>
        </w:rPr>
        <w:t>.2</w:t>
      </w:r>
      <w:r>
        <w:rPr>
          <w:lang w:eastAsia="zh-CN" w:bidi="ar-IQ"/>
        </w:rPr>
        <w:t>.1</w:t>
      </w:r>
      <w:r>
        <w:rPr>
          <w:lang w:bidi="ar-IQ"/>
        </w:rPr>
        <w:t>: Charging Data Request</w:t>
      </w:r>
      <w:r>
        <w:rPr>
          <w:rFonts w:eastAsia="MS Mincho;ＭＳ 明朝"/>
          <w:lang w:bidi="ar-IQ"/>
        </w:rPr>
        <w:t xml:space="preserve"> message contents</w:t>
      </w:r>
    </w:p>
    <w:tbl>
      <w:tblPr>
        <w:tblW w:w="7675" w:type="dxa"/>
        <w:jc w:val="center"/>
        <w:tblInd w:w="0" w:type="dxa"/>
        <w:tblLayout w:type="fixed"/>
        <w:tblCellMar>
          <w:top w:w="0" w:type="dxa"/>
          <w:left w:w="28" w:type="dxa"/>
          <w:bottom w:w="0" w:type="dxa"/>
          <w:right w:w="107" w:type="dxa"/>
        </w:tblCellMar>
      </w:tblPr>
      <w:tblGrid>
        <w:gridCol w:w="3009"/>
        <w:gridCol w:w="1111"/>
        <w:gridCol w:w="3555"/>
      </w:tblGrid>
      <w:tr>
        <w:trPr>
          <w:tblHeader w:val="true"/>
          <w:cantSplit w:val="true"/>
        </w:trPr>
        <w:tc>
          <w:tcPr>
            <w:tcW w:w="3009"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cs="Arial"/>
                <w:b/>
                <w:b/>
                <w:sz w:val="18"/>
                <w:lang w:eastAsia="zh-CN" w:bidi="ar-IQ"/>
              </w:rPr>
            </w:pPr>
            <w:r>
              <w:rPr>
                <w:rFonts w:cs="Arial" w:ascii="Arial" w:hAnsi="Arial"/>
                <w:b/>
                <w:sz w:val="18"/>
                <w:lang w:eastAsia="zh-CN" w:bidi="ar-IQ"/>
              </w:rPr>
              <w:t>Information Element</w:t>
            </w:r>
          </w:p>
        </w:tc>
        <w:tc>
          <w:tcPr>
            <w:tcW w:w="1111"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cs="Arial"/>
                <w:b/>
                <w:b/>
                <w:sz w:val="18"/>
                <w:lang w:bidi="ar-IQ"/>
              </w:rPr>
            </w:pPr>
            <w:r>
              <w:rPr>
                <w:rFonts w:cs="Arial" w:ascii="Arial" w:hAnsi="Arial"/>
                <w:b/>
                <w:sz w:val="18"/>
                <w:lang w:bidi="ar-IQ"/>
              </w:rPr>
              <w:t>Category for converged charging</w:t>
            </w:r>
          </w:p>
        </w:tc>
        <w:tc>
          <w:tcPr>
            <w:tcW w:w="3555"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pPr>
            <w:r>
              <w:rPr>
                <w:rFonts w:cs="Arial" w:ascii="Arial" w:hAnsi="Arial"/>
                <w:b/>
                <w:sz w:val="18"/>
                <w:lang w:bidi="ar-IQ"/>
              </w:rPr>
              <w:t>Description</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Session Identifier</w:t>
            </w:r>
          </w:p>
        </w:tc>
        <w:tc>
          <w:tcPr>
            <w:tcW w:w="1111" w:type="dxa"/>
            <w:tcBorders>
              <w:top w:val="single" w:sz="6" w:space="0" w:color="000000"/>
              <w:left w:val="single" w:sz="6" w:space="0" w:color="000000"/>
              <w:bottom w:val="single" w:sz="6" w:space="0" w:color="000000"/>
              <w:right w:val="single" w:sz="6" w:space="0" w:color="000000"/>
            </w:tcBorders>
          </w:tcPr>
          <w:p>
            <w:pPr>
              <w:pStyle w:val="TAC"/>
              <w:rPr>
                <w:rFonts w:cs="Arial"/>
                <w:lang w:bidi="ar-IQ"/>
              </w:rPr>
            </w:pPr>
            <w:r>
              <w:rPr>
                <w:lang w:bidi="ar-IQ"/>
              </w:rPr>
              <w:t>O</w:t>
            </w:r>
            <w:r>
              <w:rPr>
                <w:vertAlign w:val="subscript"/>
                <w:lang w:bidi="ar-IQ"/>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Subscriber Identifier</w:t>
            </w:r>
          </w:p>
        </w:tc>
        <w:tc>
          <w:tcPr>
            <w:tcW w:w="1111" w:type="dxa"/>
            <w:tcBorders>
              <w:top w:val="single" w:sz="6" w:space="0" w:color="000000"/>
              <w:left w:val="single" w:sz="6" w:space="0" w:color="000000"/>
              <w:bottom w:val="single" w:sz="6" w:space="0" w:color="000000"/>
              <w:right w:val="single" w:sz="6" w:space="0" w:color="000000"/>
            </w:tcBorders>
          </w:tcPr>
          <w:p>
            <w:pPr>
              <w:pStyle w:val="TAC"/>
              <w:rPr>
                <w:rFonts w:cs="Arial"/>
                <w:lang w:bidi="ar-IQ"/>
              </w:rPr>
            </w:pPr>
            <w:r>
              <w:rPr>
                <w:lang w:bidi="ar-IQ"/>
              </w:rPr>
              <w:t>O</w:t>
            </w:r>
            <w:r>
              <w:rPr>
                <w:vertAlign w:val="subscript"/>
                <w:lang w:bidi="ar-IQ"/>
              </w:rPr>
              <w:t>M</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p>
            <w:pPr>
              <w:pStyle w:val="TAL"/>
              <w:rPr>
                <w:lang w:bidi="ar-IQ"/>
              </w:rPr>
            </w:pPr>
            <w:r>
              <w:rPr/>
              <w:t xml:space="preserve">In case Subscriber Identifier (i.e. SUPI) is not present (for emergency service), the </w:t>
            </w:r>
            <w:r>
              <w:rPr>
                <w:rFonts w:eastAsia="MS Mincho;ＭＳ 明朝"/>
              </w:rPr>
              <w:t>User Equipment Info in table 6.2.</w:t>
            </w:r>
            <w:r>
              <w:rPr>
                <w:lang w:bidi="ar-IQ"/>
              </w:rPr>
              <w:t>1.2.1.</w:t>
            </w:r>
            <w:r>
              <w:rPr>
                <w:rFonts w:eastAsia="MS Mincho;ＭＳ 明朝"/>
              </w:rPr>
              <w:t xml:space="preserve"> shall be present </w:t>
            </w:r>
            <w:r>
              <w:rPr/>
              <w:t>for identifying the user.</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NF Consumer Identification</w:t>
            </w:r>
          </w:p>
        </w:tc>
        <w:tc>
          <w:tcPr>
            <w:tcW w:w="1111" w:type="dxa"/>
            <w:tcBorders>
              <w:top w:val="single" w:sz="6" w:space="0" w:color="000000"/>
              <w:left w:val="single" w:sz="6" w:space="0" w:color="000000"/>
              <w:bottom w:val="single" w:sz="6" w:space="0" w:color="000000"/>
              <w:right w:val="single" w:sz="6" w:space="0" w:color="000000"/>
            </w:tcBorders>
          </w:tcPr>
          <w:p>
            <w:pPr>
              <w:pStyle w:val="TAC"/>
              <w:rPr>
                <w:rFonts w:cs="Arial"/>
                <w:lang w:bidi="ar-IQ"/>
              </w:rPr>
            </w:pPr>
            <w:r>
              <w:rPr>
                <w:lang w:bidi="ar-IQ"/>
              </w:rPr>
              <w:t>M</w:t>
            </w:r>
          </w:p>
        </w:tc>
        <w:tc>
          <w:tcPr>
            <w:tcW w:w="3555"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trHeight w:val="224" w:hRule="exact"/>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ind w:left="284" w:hanging="0"/>
              <w:rPr>
                <w:lang w:eastAsia="zh-CN"/>
              </w:rPr>
            </w:pPr>
            <w:r>
              <w:rPr>
                <w:lang w:eastAsia="zh-CN"/>
              </w:rPr>
              <w:t>NF Functionality</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3555"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ind w:left="284" w:hanging="0"/>
              <w:rPr>
                <w:rFonts w:cs="Arial"/>
                <w:lang w:bidi="ar-IQ"/>
              </w:rPr>
            </w:pPr>
            <w:r>
              <w:rPr>
                <w:rFonts w:cs="Arial"/>
                <w:lang w:bidi="ar-IQ"/>
              </w:rPr>
              <w:t>NF Name</w:t>
            </w:r>
          </w:p>
        </w:tc>
        <w:tc>
          <w:tcPr>
            <w:tcW w:w="1111" w:type="dxa"/>
            <w:tcBorders>
              <w:top w:val="single" w:sz="6" w:space="0" w:color="000000"/>
              <w:left w:val="single" w:sz="6" w:space="0" w:color="000000"/>
              <w:bottom w:val="single" w:sz="6" w:space="0" w:color="000000"/>
              <w:right w:val="single" w:sz="6" w:space="0" w:color="000000"/>
            </w:tcBorders>
          </w:tcPr>
          <w:p>
            <w:pPr>
              <w:pStyle w:val="TAC"/>
              <w:rPr>
                <w:rFonts w:cs="Arial"/>
                <w:lang w:bidi="ar-IQ"/>
              </w:rPr>
            </w:pPr>
            <w:r>
              <w:rPr>
                <w:lang w:bidi="ar-IQ"/>
              </w:rPr>
              <w:t>O</w:t>
            </w:r>
            <w:r>
              <w:rPr>
                <w:vertAlign w:val="subscript"/>
                <w:lang w:bidi="ar-IQ"/>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bidi="ar-IQ"/>
              </w:rPr>
              <w:t>NF Address</w:t>
            </w:r>
          </w:p>
        </w:tc>
        <w:tc>
          <w:tcPr>
            <w:tcW w:w="1111" w:type="dxa"/>
            <w:tcBorders>
              <w:top w:val="single" w:sz="6" w:space="0" w:color="000000"/>
              <w:left w:val="single" w:sz="6" w:space="0" w:color="000000"/>
              <w:bottom w:val="single" w:sz="6" w:space="0" w:color="000000"/>
              <w:right w:val="single" w:sz="6" w:space="0" w:color="000000"/>
            </w:tcBorders>
          </w:tcPr>
          <w:p>
            <w:pPr>
              <w:pStyle w:val="TAC"/>
              <w:rPr>
                <w:rFonts w:cs="Arial"/>
                <w:lang w:bidi="ar-IQ"/>
              </w:rPr>
            </w:pPr>
            <w:r>
              <w:rPr>
                <w:lang w:bidi="ar-IQ"/>
              </w:rPr>
              <w:t>O</w:t>
            </w:r>
            <w:r>
              <w:rPr>
                <w:vertAlign w:val="subscript"/>
                <w:lang w:bidi="ar-IQ"/>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NF PLMN ID</w:t>
            </w:r>
          </w:p>
        </w:tc>
        <w:tc>
          <w:tcPr>
            <w:tcW w:w="1111" w:type="dxa"/>
            <w:tcBorders>
              <w:top w:val="single" w:sz="6" w:space="0" w:color="000000"/>
              <w:left w:val="single" w:sz="6" w:space="0" w:color="000000"/>
              <w:bottom w:val="single" w:sz="6" w:space="0" w:color="000000"/>
              <w:right w:val="single" w:sz="6" w:space="0" w:color="000000"/>
            </w:tcBorders>
          </w:tcPr>
          <w:p>
            <w:pPr>
              <w:pStyle w:val="TAC"/>
              <w:rPr>
                <w:rFonts w:cs="Arial"/>
                <w:lang w:bidi="ar-IQ"/>
              </w:rPr>
            </w:pPr>
            <w:r>
              <w:rPr>
                <w:lang w:bidi="ar-IQ"/>
              </w:rPr>
              <w:t>O</w:t>
            </w:r>
            <w:r>
              <w:rPr>
                <w:vertAlign w:val="subscript"/>
                <w:lang w:bidi="ar-IQ"/>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lang w:val="fr-FR" w:bidi="ar-IQ"/>
              </w:rPr>
            </w:pPr>
            <w:r>
              <w:rPr>
                <w:lang w:val="fr-FR" w:bidi="ar-IQ"/>
              </w:rPr>
              <w:t>Charging Identifier</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val="fr-FR" w:bidi="ar-IQ"/>
              </w:rPr>
              <w:t>-</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eastAsia="zh-CN"/>
              </w:rPr>
              <w:t>This field is not applicable.</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lang w:bidi="ar-IQ"/>
              </w:rPr>
              <w:t>Invocation Timestamp</w:t>
            </w:r>
          </w:p>
        </w:tc>
        <w:tc>
          <w:tcPr>
            <w:tcW w:w="1111" w:type="dxa"/>
            <w:tcBorders>
              <w:top w:val="single" w:sz="6" w:space="0" w:color="000000"/>
              <w:left w:val="single" w:sz="6" w:space="0" w:color="000000"/>
              <w:bottom w:val="single" w:sz="6" w:space="0" w:color="000000"/>
              <w:right w:val="single" w:sz="6" w:space="0" w:color="000000"/>
            </w:tcBorders>
          </w:tcPr>
          <w:p>
            <w:pPr>
              <w:pStyle w:val="TAC"/>
              <w:rPr>
                <w:rFonts w:cs="Arial"/>
                <w:lang w:bidi="ar-IQ"/>
              </w:rPr>
            </w:pPr>
            <w:r>
              <w:rPr>
                <w:lang w:bidi="ar-IQ"/>
              </w:rPr>
              <w:t>M</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Cs w:val="18"/>
                <w:lang w:bidi="ar-IQ"/>
              </w:rPr>
            </w:pPr>
            <w:r>
              <w:rPr/>
              <w:t>Invocation Sequence Number</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pPr>
            <w:r>
              <w:rPr>
                <w:lang w:val="fr-FR"/>
              </w:rPr>
              <w:t>Retransmission Indicator</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szCs w:val="18"/>
                <w:lang w:val="fr-FR" w:bidi="ar-IQ"/>
              </w:rPr>
              <w:t>-</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eastAsia="zh-CN"/>
              </w:rPr>
              <w:t>This field is not applicable.</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One-time Event</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szCs w:val="18"/>
                <w:vertAlign w:val="subscript"/>
                <w:lang w:bidi="ar-IQ"/>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rPr>
              <w:t>O</w:t>
            </w:r>
            <w:r>
              <w:rPr>
                <w:rFonts w:cs="Arial"/>
              </w:rPr>
              <w:t>ne</w:t>
            </w:r>
            <w:r>
              <w:rPr>
                <w:rFonts w:cs="Arial"/>
              </w:rPr>
              <w:t>-time Event Type</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rFonts w:cs="Arial"/>
                <w:lang w:bidi="ar-IQ"/>
              </w:rPr>
              <w:t>O</w:t>
            </w:r>
            <w:r>
              <w:rPr>
                <w:rFonts w:cs="Arial"/>
                <w:position w:val="-6"/>
                <w:sz w:val="14"/>
                <w:szCs w:val="14"/>
                <w:lang w:bidi="ar-IQ"/>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pPr>
            <w:r>
              <w:rPr/>
              <w:t>Notify URI</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is not applicable.</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Service Specification Information</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val="fr-FR" w:bidi="ar-IQ"/>
              </w:rPr>
              <w:t>O</w:t>
            </w:r>
            <w:r>
              <w:rPr>
                <w:szCs w:val="18"/>
                <w:vertAlign w:val="subscript"/>
                <w:lang w:val="fr-FR" w:bidi="ar-IQ"/>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val="fr-FR"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bidi="ar-IQ"/>
              </w:rPr>
              <w:t>Triggers</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eastAsia="zh-CN"/>
              </w:rPr>
              <w:t>O</w:t>
            </w:r>
            <w:r>
              <w:rPr>
                <w:vertAlign w:val="subscript"/>
                <w:lang w:eastAsia="zh-CN"/>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eastAsia="zh-CN" w:bidi="ar-IQ"/>
              </w:rPr>
            </w:pPr>
            <w:r>
              <w:rPr>
                <w:lang w:bidi="ar-IQ"/>
              </w:rPr>
              <w:t>This field is described in TS 32.290 [57] and holds the 5G connection and mobility specific triggers described in clause 5.2.1.</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t xml:space="preserve">Multiple </w:t>
            </w:r>
            <w:r>
              <w:rPr>
                <w:lang w:eastAsia="zh-CN"/>
              </w:rPr>
              <w:t>Unit</w:t>
            </w:r>
            <w:r>
              <w:rPr/>
              <w:t xml:space="preserve"> Usage </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vertAlign w:val="subscript"/>
                <w:lang w:bidi="ar-IQ"/>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eastAsia="zh-CN" w:bidi="ar-IQ"/>
              </w:rPr>
              <w:t>Rating</w:t>
            </w:r>
            <w:r>
              <w:rPr>
                <w:lang w:eastAsia="zh-CN" w:bidi="ar-IQ"/>
              </w:rPr>
              <w:t xml:space="preserve"> Group</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szCs w:val="18"/>
                <w:lang w:bidi="ar-IQ"/>
              </w:rPr>
              <w:t>M</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ind w:left="284" w:hanging="0"/>
              <w:rPr>
                <w:lang w:eastAsia="zh-CN" w:bidi="ar-IQ"/>
              </w:rPr>
            </w:pPr>
            <w:r>
              <w:rPr>
                <w:lang w:eastAsia="zh-CN" w:bidi="ar-IQ"/>
              </w:rPr>
              <w:t>Requested Unit</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szCs w:val="18"/>
                <w:lang w:bidi="ar-IQ"/>
              </w:rPr>
              <w:t>O</w:t>
            </w:r>
            <w:r>
              <w:rPr>
                <w:szCs w:val="18"/>
                <w:vertAlign w:val="subscript"/>
                <w:lang w:bidi="ar-IQ"/>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pPr>
            <w:r>
              <w:rPr/>
              <w:t>AMF Identifier</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vertAlign w:val="subscript"/>
                <w:lang w:bidi="ar-IQ"/>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lang w:bidi="ar-IQ"/>
              </w:rPr>
            </w:pPr>
            <w:r>
              <w:rPr/>
              <w:t>This field holds the AMF identifier.</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pPr>
            <w:r>
              <w:rPr/>
              <w:t>AMF Charging Profile</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vertAlign w:val="subscript"/>
                <w:lang w:bidi="ar-IQ"/>
              </w:rPr>
              <w:t>C</w:t>
            </w:r>
          </w:p>
        </w:tc>
        <w:tc>
          <w:tcPr>
            <w:tcW w:w="3555" w:type="dxa"/>
            <w:tcBorders>
              <w:top w:val="single" w:sz="6" w:space="0" w:color="000000"/>
              <w:left w:val="single" w:sz="6" w:space="0" w:color="000000"/>
              <w:bottom w:val="single" w:sz="6" w:space="0" w:color="000000"/>
              <w:right w:val="single" w:sz="6" w:space="0" w:color="000000"/>
            </w:tcBorders>
          </w:tcPr>
          <w:p>
            <w:pPr>
              <w:pStyle w:val="TAL"/>
              <w:rPr/>
            </w:pPr>
            <w:r>
              <w:rPr/>
              <w:t>This field holds the applicable AMF Charging Profile</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pPr>
            <w:r>
              <w:rPr/>
              <w:t>Registration Charging Information</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vertAlign w:val="subscript"/>
                <w:lang w:bidi="ar-IQ"/>
              </w:rPr>
              <w:t>M</w:t>
            </w:r>
          </w:p>
        </w:tc>
        <w:tc>
          <w:tcPr>
            <w:tcW w:w="3555" w:type="dxa"/>
            <w:tcBorders>
              <w:top w:val="single" w:sz="6" w:space="0" w:color="000000"/>
              <w:left w:val="single" w:sz="6" w:space="0" w:color="000000"/>
              <w:bottom w:val="single" w:sz="6" w:space="0" w:color="000000"/>
              <w:right w:val="single" w:sz="6" w:space="0" w:color="000000"/>
            </w:tcBorders>
          </w:tcPr>
          <w:p>
            <w:pPr>
              <w:pStyle w:val="TAL"/>
              <w:rPr/>
            </w:pPr>
            <w:r>
              <w:rPr/>
              <w:t>This field holds the registration specific information described in clause 6.2.1.2</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pPr>
            <w:r>
              <w:rPr/>
              <w:t>N2 connection Charging Information</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vertAlign w:val="subscript"/>
                <w:lang w:bidi="ar-IQ"/>
              </w:rPr>
              <w:t>M</w:t>
            </w:r>
          </w:p>
        </w:tc>
        <w:tc>
          <w:tcPr>
            <w:tcW w:w="3555" w:type="dxa"/>
            <w:tcBorders>
              <w:top w:val="single" w:sz="6" w:space="0" w:color="000000"/>
              <w:left w:val="single" w:sz="6" w:space="0" w:color="000000"/>
              <w:bottom w:val="single" w:sz="6" w:space="0" w:color="000000"/>
              <w:right w:val="single" w:sz="6" w:space="0" w:color="000000"/>
            </w:tcBorders>
          </w:tcPr>
          <w:p>
            <w:pPr>
              <w:pStyle w:val="TAL"/>
              <w:rPr/>
            </w:pPr>
            <w:r>
              <w:rPr/>
              <w:t>This field holds the N2 connection specific information described in clause 6.2.1.3</w:t>
            </w:r>
          </w:p>
        </w:tc>
      </w:tr>
      <w:tr>
        <w:trPr>
          <w:cantSplit w:val="true"/>
        </w:trPr>
        <w:tc>
          <w:tcPr>
            <w:tcW w:w="3009" w:type="dxa"/>
            <w:tcBorders>
              <w:top w:val="single" w:sz="6" w:space="0" w:color="000000"/>
              <w:left w:val="single" w:sz="6" w:space="0" w:color="000000"/>
              <w:bottom w:val="single" w:sz="6" w:space="0" w:color="000000"/>
              <w:right w:val="single" w:sz="6" w:space="0" w:color="000000"/>
            </w:tcBorders>
          </w:tcPr>
          <w:p>
            <w:pPr>
              <w:pStyle w:val="TAL"/>
              <w:rPr/>
            </w:pPr>
            <w:r>
              <w:rPr/>
              <w:t>Location Reporting Charging information</w:t>
            </w:r>
          </w:p>
        </w:tc>
        <w:tc>
          <w:tcPr>
            <w:tcW w:w="1111"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vertAlign w:val="subscript"/>
                <w:lang w:bidi="ar-IQ"/>
              </w:rPr>
              <w:t>M</w:t>
            </w:r>
          </w:p>
        </w:tc>
        <w:tc>
          <w:tcPr>
            <w:tcW w:w="3555" w:type="dxa"/>
            <w:tcBorders>
              <w:top w:val="single" w:sz="6" w:space="0" w:color="000000"/>
              <w:left w:val="single" w:sz="6" w:space="0" w:color="000000"/>
              <w:bottom w:val="single" w:sz="6" w:space="0" w:color="000000"/>
              <w:right w:val="single" w:sz="6" w:space="0" w:color="000000"/>
            </w:tcBorders>
          </w:tcPr>
          <w:p>
            <w:pPr>
              <w:pStyle w:val="TAL"/>
              <w:rPr/>
            </w:pPr>
            <w:r>
              <w:rPr/>
              <w:t>This field holds the Location Reporting specific information described in clause 6.2.1.4</w:t>
            </w:r>
          </w:p>
        </w:tc>
      </w:tr>
    </w:tbl>
    <w:p>
      <w:pPr>
        <w:pStyle w:val="Normal"/>
        <w:rPr>
          <w:lang w:val="en-US"/>
        </w:rPr>
      </w:pPr>
      <w:r>
        <w:rPr>
          <w:lang w:val="en-US"/>
        </w:rPr>
      </w:r>
    </w:p>
    <w:p>
      <w:pPr>
        <w:pStyle w:val="Heading4"/>
        <w:ind w:left="1418" w:hanging="1418"/>
        <w:rPr/>
      </w:pPr>
      <w:bookmarkStart w:id="109" w:name="__RefHeading___Toc25753271"/>
      <w:bookmarkEnd w:id="109"/>
      <w:r>
        <w:rPr>
          <w:lang w:bidi="ar-IQ"/>
        </w:rPr>
        <w:t>6.1.</w:t>
      </w:r>
      <w:r>
        <w:rPr>
          <w:lang w:eastAsia="zh-CN" w:bidi="ar-IQ"/>
        </w:rPr>
        <w:t>1</w:t>
      </w:r>
      <w:r>
        <w:rPr>
          <w:lang w:bidi="ar-IQ"/>
        </w:rPr>
        <w:t>.3</w:t>
        <w:tab/>
      </w:r>
      <w:r>
        <w:rPr/>
        <w:t>Charging data response</w:t>
      </w:r>
      <w:r>
        <w:rPr>
          <w:lang w:bidi="ar-IQ"/>
        </w:rPr>
        <w:t xml:space="preserve"> message</w:t>
      </w:r>
    </w:p>
    <w:p>
      <w:pPr>
        <w:pStyle w:val="Normal"/>
        <w:keepNext w:val="true"/>
        <w:rPr/>
      </w:pPr>
      <w:r>
        <w:rPr>
          <w:lang w:bidi="ar-IQ"/>
        </w:rPr>
        <w:t>Table 6.1.</w:t>
      </w:r>
      <w:r>
        <w:rPr>
          <w:lang w:eastAsia="zh-CN" w:bidi="ar-IQ"/>
        </w:rPr>
        <w:t>1</w:t>
      </w:r>
      <w:r>
        <w:rPr>
          <w:lang w:bidi="ar-IQ"/>
        </w:rPr>
        <w:t>.3</w:t>
      </w:r>
      <w:r>
        <w:rPr>
          <w:lang w:eastAsia="zh-CN" w:bidi="ar-IQ"/>
        </w:rPr>
        <w:t>.1</w:t>
      </w:r>
      <w:r>
        <w:rPr>
          <w:lang w:bidi="ar-IQ"/>
        </w:rPr>
        <w:t xml:space="preserve"> illustrates the basic structure of a </w:t>
      </w:r>
      <w:r>
        <w:rPr/>
        <w:t>Charging Data Response</w:t>
      </w:r>
      <w:r>
        <w:rPr>
          <w:lang w:bidi="ar-IQ"/>
        </w:rPr>
        <w:t xml:space="preserve"> message from the </w:t>
      </w:r>
      <w:r>
        <w:rPr>
          <w:lang w:eastAsia="zh-CN" w:bidi="ar-IQ"/>
        </w:rPr>
        <w:t xml:space="preserve">CHF </w:t>
      </w:r>
      <w:r>
        <w:rPr>
          <w:lang w:bidi="ar-IQ"/>
        </w:rPr>
        <w:t xml:space="preserve">as used for 5G connection and mobility </w:t>
      </w:r>
      <w:r>
        <w:rPr/>
        <w:t xml:space="preserve">converged </w:t>
      </w:r>
      <w:r>
        <w:rPr>
          <w:lang w:bidi="ar-IQ"/>
        </w:rPr>
        <w:t xml:space="preserve">charging. </w:t>
      </w:r>
    </w:p>
    <w:p>
      <w:pPr>
        <w:pStyle w:val="TH"/>
        <w:rPr/>
      </w:pPr>
      <w:r>
        <w:rPr>
          <w:rFonts w:eastAsia="MS Mincho;ＭＳ 明朝"/>
          <w:lang w:bidi="ar-IQ"/>
        </w:rPr>
        <w:t>Table 6.1.</w:t>
      </w:r>
      <w:r>
        <w:rPr>
          <w:rFonts w:eastAsia="MS Mincho;ＭＳ 明朝"/>
          <w:lang w:eastAsia="zh-CN" w:bidi="ar-IQ"/>
        </w:rPr>
        <w:t>1</w:t>
      </w:r>
      <w:r>
        <w:rPr>
          <w:rFonts w:eastAsia="MS Mincho;ＭＳ 明朝"/>
          <w:lang w:bidi="ar-IQ"/>
        </w:rPr>
        <w:t>.3</w:t>
      </w:r>
      <w:r>
        <w:rPr>
          <w:rFonts w:eastAsia="MS Mincho;ＭＳ 明朝"/>
          <w:lang w:eastAsia="zh-CN" w:bidi="ar-IQ"/>
        </w:rPr>
        <w:t>.1</w:t>
      </w:r>
      <w:r>
        <w:rPr>
          <w:rFonts w:eastAsia="MS Mincho;ＭＳ 明朝"/>
          <w:lang w:bidi="ar-IQ"/>
        </w:rPr>
        <w:t>: Charging Data Response message con</w:t>
      </w:r>
      <w:r>
        <w:rPr/>
        <w:t>tents</w:t>
      </w:r>
    </w:p>
    <w:tbl>
      <w:tblPr>
        <w:tblW w:w="8500" w:type="dxa"/>
        <w:jc w:val="center"/>
        <w:tblInd w:w="0" w:type="dxa"/>
        <w:tblLayout w:type="fixed"/>
        <w:tblCellMar>
          <w:top w:w="0" w:type="dxa"/>
          <w:left w:w="28" w:type="dxa"/>
          <w:bottom w:w="0" w:type="dxa"/>
          <w:right w:w="107" w:type="dxa"/>
        </w:tblCellMar>
      </w:tblPr>
      <w:tblGrid>
        <w:gridCol w:w="2744"/>
        <w:gridCol w:w="1577"/>
        <w:gridCol w:w="4179"/>
      </w:tblGrid>
      <w:tr>
        <w:trPr>
          <w:tblHeader w:val="true"/>
          <w:cantSplit w:val="true"/>
        </w:trPr>
        <w:tc>
          <w:tcPr>
            <w:tcW w:w="2744"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pPr>
            <w:r>
              <w:rPr>
                <w:rFonts w:cs="Arial" w:ascii="Arial" w:hAnsi="Arial"/>
                <w:b/>
                <w:sz w:val="18"/>
                <w:lang w:eastAsia="zh-CN" w:bidi="ar-IQ"/>
              </w:rPr>
              <w:t>Information Element</w:t>
            </w:r>
          </w:p>
        </w:tc>
        <w:tc>
          <w:tcPr>
            <w:tcW w:w="1577"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cs="Arial"/>
                <w:b/>
                <w:b/>
                <w:sz w:val="18"/>
                <w:lang w:bidi="ar-IQ"/>
              </w:rPr>
            </w:pPr>
            <w:r>
              <w:rPr>
                <w:rFonts w:cs="Arial" w:ascii="Arial" w:hAnsi="Arial"/>
                <w:b/>
                <w:sz w:val="18"/>
                <w:lang w:bidi="ar-IQ"/>
              </w:rPr>
              <w:t>Category for converged charging</w:t>
            </w:r>
          </w:p>
        </w:tc>
        <w:tc>
          <w:tcPr>
            <w:tcW w:w="4179"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pPr>
            <w:r>
              <w:rPr>
                <w:rFonts w:cs="Arial" w:ascii="Arial" w:hAnsi="Arial"/>
                <w:b/>
                <w:sz w:val="18"/>
                <w:lang w:bidi="ar-IQ"/>
              </w:rPr>
              <w:t>Description</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Session Identifier</w:t>
            </w:r>
          </w:p>
        </w:tc>
        <w:tc>
          <w:tcPr>
            <w:tcW w:w="1577" w:type="dxa"/>
            <w:tcBorders>
              <w:top w:val="single" w:sz="6" w:space="0" w:color="000000"/>
              <w:left w:val="single" w:sz="6" w:space="0" w:color="000000"/>
              <w:bottom w:val="single" w:sz="6" w:space="0" w:color="000000"/>
              <w:right w:val="single" w:sz="6" w:space="0" w:color="000000"/>
            </w:tcBorders>
          </w:tcPr>
          <w:p>
            <w:pPr>
              <w:pStyle w:val="TAC"/>
              <w:rPr>
                <w:rFonts w:cs="Arial"/>
                <w:lang w:bidi="ar-IQ"/>
              </w:rPr>
            </w:pPr>
            <w:r>
              <w:rPr>
                <w:lang w:bidi="ar-IQ"/>
              </w:rPr>
              <w:t>O</w:t>
            </w:r>
            <w:r>
              <w:rPr>
                <w:vertAlign w:val="subscript"/>
                <w:lang w:bidi="ar-IQ"/>
              </w:rPr>
              <w:t>C</w:t>
            </w:r>
          </w:p>
        </w:tc>
        <w:tc>
          <w:tcPr>
            <w:tcW w:w="417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lang w:bidi="ar-IQ"/>
              </w:rPr>
              <w:t>Invocation Timestamp</w:t>
            </w:r>
          </w:p>
        </w:tc>
        <w:tc>
          <w:tcPr>
            <w:tcW w:w="1577" w:type="dxa"/>
            <w:tcBorders>
              <w:top w:val="single" w:sz="6" w:space="0" w:color="000000"/>
              <w:left w:val="single" w:sz="6" w:space="0" w:color="000000"/>
              <w:bottom w:val="single" w:sz="6" w:space="0" w:color="000000"/>
              <w:right w:val="single" w:sz="6" w:space="0" w:color="000000"/>
            </w:tcBorders>
          </w:tcPr>
          <w:p>
            <w:pPr>
              <w:pStyle w:val="TAC"/>
              <w:rPr>
                <w:rFonts w:cs="Arial"/>
                <w:lang w:bidi="ar-IQ"/>
              </w:rPr>
            </w:pPr>
            <w:r>
              <w:rPr>
                <w:lang w:bidi="ar-IQ"/>
              </w:rPr>
              <w:t>M</w:t>
            </w:r>
          </w:p>
        </w:tc>
        <w:tc>
          <w:tcPr>
            <w:tcW w:w="4179"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Invocation Result</w:t>
            </w:r>
          </w:p>
        </w:tc>
        <w:tc>
          <w:tcPr>
            <w:tcW w:w="1577" w:type="dxa"/>
            <w:tcBorders>
              <w:top w:val="single" w:sz="6" w:space="0" w:color="000000"/>
              <w:left w:val="single" w:sz="6" w:space="0" w:color="000000"/>
              <w:bottom w:val="single" w:sz="6" w:space="0" w:color="000000"/>
              <w:right w:val="single" w:sz="6" w:space="0" w:color="000000"/>
            </w:tcBorders>
          </w:tcPr>
          <w:p>
            <w:pPr>
              <w:pStyle w:val="TAC"/>
              <w:rPr>
                <w:rFonts w:cs="Arial"/>
                <w:lang w:bidi="ar-IQ"/>
              </w:rPr>
            </w:pPr>
            <w:r>
              <w:rPr>
                <w:lang w:bidi="ar-IQ"/>
              </w:rPr>
              <w:t>O</w:t>
            </w:r>
            <w:r>
              <w:rPr>
                <w:vertAlign w:val="subscript"/>
                <w:lang w:bidi="ar-IQ"/>
              </w:rPr>
              <w:t>C</w:t>
            </w:r>
          </w:p>
        </w:tc>
        <w:tc>
          <w:tcPr>
            <w:tcW w:w="4179"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Invocation Sequence Number</w:t>
            </w:r>
          </w:p>
        </w:tc>
        <w:tc>
          <w:tcPr>
            <w:tcW w:w="1577" w:type="dxa"/>
            <w:tcBorders>
              <w:top w:val="single" w:sz="6" w:space="0" w:color="000000"/>
              <w:left w:val="single" w:sz="6" w:space="0" w:color="000000"/>
              <w:bottom w:val="single" w:sz="6" w:space="0" w:color="000000"/>
              <w:right w:val="single" w:sz="6" w:space="0" w:color="000000"/>
            </w:tcBorders>
          </w:tcPr>
          <w:p>
            <w:pPr>
              <w:pStyle w:val="TAC"/>
              <w:rPr>
                <w:rFonts w:cs="Arial"/>
                <w:lang w:bidi="ar-IQ"/>
              </w:rPr>
            </w:pPr>
            <w:r>
              <w:rPr>
                <w:lang w:bidi="ar-IQ"/>
              </w:rPr>
              <w:t>M</w:t>
            </w:r>
          </w:p>
        </w:tc>
        <w:tc>
          <w:tcPr>
            <w:tcW w:w="417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rPr/>
            </w:pPr>
            <w:r>
              <w:rPr/>
              <w:t>Session Failover</w:t>
            </w:r>
          </w:p>
        </w:tc>
        <w:tc>
          <w:tcPr>
            <w:tcW w:w="1577"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vertAlign w:val="subscript"/>
                <w:lang w:bidi="ar-IQ"/>
              </w:rPr>
              <w:t>C</w:t>
            </w:r>
          </w:p>
        </w:tc>
        <w:tc>
          <w:tcPr>
            <w:tcW w:w="417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is not applicable.</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rPr/>
            </w:pPr>
            <w:r>
              <w:rPr>
                <w:lang w:eastAsia="zh-CN" w:bidi="ar-IQ"/>
              </w:rPr>
              <w:t xml:space="preserve">Triggers </w:t>
            </w:r>
          </w:p>
        </w:tc>
        <w:tc>
          <w:tcPr>
            <w:tcW w:w="1577"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eastAsia="zh-CN"/>
              </w:rPr>
              <w:t>O</w:t>
            </w:r>
            <w:r>
              <w:rPr>
                <w:vertAlign w:val="subscript"/>
                <w:lang w:eastAsia="zh-CN"/>
              </w:rPr>
              <w:t>C</w:t>
            </w:r>
          </w:p>
        </w:tc>
        <w:tc>
          <w:tcPr>
            <w:tcW w:w="417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is described in TS 32.290 [57] and holds the 5G connection and mobility specific triggers described in clause 5.2.1.</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rPr/>
            </w:pPr>
            <w:r>
              <w:rPr/>
              <w:t>Multiple Unit Information</w:t>
            </w:r>
          </w:p>
        </w:tc>
        <w:tc>
          <w:tcPr>
            <w:tcW w:w="1577"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vertAlign w:val="subscript"/>
                <w:lang w:bidi="ar-IQ"/>
              </w:rPr>
              <w:t>C</w:t>
            </w:r>
          </w:p>
        </w:tc>
        <w:tc>
          <w:tcPr>
            <w:tcW w:w="417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is applicable for ECUR.</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ind w:left="284" w:hanging="0"/>
              <w:rPr>
                <w:lang w:eastAsia="zh-CN" w:bidi="ar-IQ"/>
              </w:rPr>
            </w:pPr>
            <w:r>
              <w:rPr>
                <w:lang w:eastAsia="zh-CN" w:bidi="ar-IQ"/>
              </w:rPr>
              <w:t>Result Code</w:t>
            </w:r>
          </w:p>
        </w:tc>
        <w:tc>
          <w:tcPr>
            <w:tcW w:w="1577"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eastAsia="zh-CN"/>
              </w:rPr>
              <w:t>O</w:t>
            </w:r>
            <w:r>
              <w:rPr>
                <w:vertAlign w:val="subscript"/>
                <w:lang w:eastAsia="zh-CN"/>
              </w:rPr>
              <w:t>C</w:t>
            </w:r>
          </w:p>
        </w:tc>
        <w:tc>
          <w:tcPr>
            <w:tcW w:w="417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eastAsia="zh-CN" w:bidi="ar-IQ"/>
              </w:rPr>
              <w:t>Rating Group</w:t>
            </w:r>
          </w:p>
        </w:tc>
        <w:tc>
          <w:tcPr>
            <w:tcW w:w="1577"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eastAsia="zh-CN"/>
              </w:rPr>
              <w:t>O</w:t>
            </w:r>
            <w:r>
              <w:rPr>
                <w:vertAlign w:val="subscript"/>
                <w:lang w:eastAsia="zh-CN"/>
              </w:rPr>
              <w:t>M</w:t>
            </w:r>
          </w:p>
        </w:tc>
        <w:tc>
          <w:tcPr>
            <w:tcW w:w="417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eastAsia="zh-CN" w:bidi="ar-IQ"/>
              </w:rPr>
              <w:t>Granted Unit</w:t>
            </w:r>
          </w:p>
        </w:tc>
        <w:tc>
          <w:tcPr>
            <w:tcW w:w="1577"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eastAsia="zh-CN"/>
              </w:rPr>
              <w:t>O</w:t>
            </w:r>
            <w:r>
              <w:rPr>
                <w:vertAlign w:val="subscript"/>
                <w:lang w:eastAsia="zh-CN"/>
              </w:rPr>
              <w:t>C</w:t>
            </w:r>
          </w:p>
        </w:tc>
        <w:tc>
          <w:tcPr>
            <w:tcW w:w="417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ind w:left="284" w:hanging="0"/>
              <w:rPr>
                <w:lang w:eastAsia="zh-CN" w:bidi="ar-IQ"/>
              </w:rPr>
            </w:pPr>
            <w:r>
              <w:rPr>
                <w:lang w:eastAsia="zh-CN" w:bidi="ar-IQ"/>
              </w:rPr>
              <w:t>Validity Time</w:t>
            </w:r>
          </w:p>
        </w:tc>
        <w:tc>
          <w:tcPr>
            <w:tcW w:w="1577"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eastAsia="zh-CN"/>
              </w:rPr>
              <w:t>O</w:t>
            </w:r>
            <w:r>
              <w:rPr>
                <w:vertAlign w:val="subscript"/>
                <w:lang w:eastAsia="zh-CN"/>
              </w:rPr>
              <w:t>C</w:t>
            </w:r>
          </w:p>
        </w:tc>
        <w:tc>
          <w:tcPr>
            <w:tcW w:w="417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rPr/>
            </w:pPr>
            <w:r>
              <w:rPr/>
              <w:t>AMF Charging Profile</w:t>
            </w:r>
          </w:p>
        </w:tc>
        <w:tc>
          <w:tcPr>
            <w:tcW w:w="1577"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vertAlign w:val="subscript"/>
                <w:lang w:bidi="ar-IQ"/>
              </w:rPr>
              <w:t>C</w:t>
            </w:r>
          </w:p>
        </w:tc>
        <w:tc>
          <w:tcPr>
            <w:tcW w:w="417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holds the AMF Charging Profile to be applied</w:t>
            </w:r>
          </w:p>
        </w:tc>
      </w:tr>
      <w:tr>
        <w:trPr>
          <w:cantSplit w:val="true"/>
        </w:trPr>
        <w:tc>
          <w:tcPr>
            <w:tcW w:w="2744" w:type="dxa"/>
            <w:tcBorders>
              <w:top w:val="single" w:sz="6" w:space="0" w:color="000000"/>
              <w:left w:val="single" w:sz="6" w:space="0" w:color="000000"/>
              <w:bottom w:val="single" w:sz="6" w:space="0" w:color="000000"/>
              <w:right w:val="single" w:sz="6" w:space="0" w:color="000000"/>
            </w:tcBorders>
          </w:tcPr>
          <w:p>
            <w:pPr>
              <w:pStyle w:val="TAL"/>
              <w:rPr/>
            </w:pPr>
            <w:r>
              <w:rPr>
                <w:lang w:val="fr-FR"/>
              </w:rPr>
              <w:t>Location Reporting Charging information</w:t>
            </w:r>
          </w:p>
        </w:tc>
        <w:tc>
          <w:tcPr>
            <w:tcW w:w="1577"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val="fr-FR" w:bidi="ar-IQ"/>
              </w:rPr>
              <w:t>Oc</w:t>
            </w:r>
          </w:p>
        </w:tc>
        <w:tc>
          <w:tcPr>
            <w:tcW w:w="4179" w:type="dxa"/>
            <w:tcBorders>
              <w:top w:val="single" w:sz="6" w:space="0" w:color="000000"/>
              <w:left w:val="single" w:sz="6" w:space="0" w:color="000000"/>
              <w:bottom w:val="single" w:sz="6" w:space="0" w:color="000000"/>
              <w:right w:val="single" w:sz="6" w:space="0" w:color="000000"/>
            </w:tcBorders>
          </w:tcPr>
          <w:p>
            <w:pPr>
              <w:pStyle w:val="TAL"/>
              <w:rPr>
                <w:lang w:bidi="ar-IQ"/>
              </w:rPr>
            </w:pPr>
            <w:r>
              <w:rPr/>
              <w:t>This field holds the Location Reporting specific information described in clause 6.2.1.4</w:t>
            </w:r>
          </w:p>
        </w:tc>
      </w:tr>
    </w:tbl>
    <w:p>
      <w:pPr>
        <w:pStyle w:val="Heading3"/>
        <w:rPr/>
      </w:pPr>
      <w:bookmarkStart w:id="110" w:name="__RefHeading___Toc25753272"/>
      <w:bookmarkEnd w:id="110"/>
      <w:r>
        <w:rPr/>
        <w:t>6.1.2</w:t>
        <w:tab/>
        <w:t>Ga message contents</w:t>
      </w:r>
    </w:p>
    <w:p>
      <w:pPr>
        <w:pStyle w:val="Normal"/>
        <w:rPr/>
      </w:pPr>
      <w:r>
        <w:rPr/>
        <w:t>See clause 5.2.4.</w:t>
      </w:r>
    </w:p>
    <w:p>
      <w:pPr>
        <w:pStyle w:val="Heading3"/>
        <w:rPr/>
      </w:pPr>
      <w:bookmarkStart w:id="111" w:name="__RefHeading___Toc25753273"/>
      <w:bookmarkEnd w:id="111"/>
      <w:r>
        <w:rPr/>
        <w:t>6.1.3</w:t>
        <w:tab/>
        <w:t>CDR description on the B</w:t>
      </w:r>
      <w:r>
        <w:rPr>
          <w:vertAlign w:val="subscript"/>
          <w:lang w:eastAsia="zh-CN"/>
        </w:rPr>
        <w:t>am</w:t>
      </w:r>
      <w:r>
        <w:rPr/>
        <w:t xml:space="preserve"> interface</w:t>
      </w:r>
    </w:p>
    <w:p>
      <w:pPr>
        <w:pStyle w:val="Heading4"/>
        <w:ind w:left="1418" w:hanging="1418"/>
        <w:rPr>
          <w:lang w:bidi="ar-IQ"/>
        </w:rPr>
      </w:pPr>
      <w:bookmarkStart w:id="112" w:name="__RefHeading___Toc25753274"/>
      <w:bookmarkEnd w:id="112"/>
      <w:r>
        <w:rPr>
          <w:lang w:bidi="ar-IQ"/>
        </w:rPr>
        <w:t>6.1.3.1</w:t>
        <w:tab/>
        <w:t>General</w:t>
      </w:r>
    </w:p>
    <w:p>
      <w:pPr>
        <w:pStyle w:val="Normal"/>
        <w:rPr>
          <w:lang w:bidi="ar-IQ"/>
        </w:rPr>
      </w:pPr>
      <w:r>
        <w:rPr>
          <w:lang w:bidi="ar-IQ"/>
        </w:rPr>
        <w:t xml:space="preserve">This clause describes the CDR </w:t>
      </w:r>
      <w:r>
        <w:rPr/>
        <w:t xml:space="preserve">content and format </w:t>
      </w:r>
      <w:r>
        <w:rPr>
          <w:lang w:bidi="ar-IQ"/>
        </w:rPr>
        <w:t xml:space="preserve">generated for 5G connection and mobility </w:t>
      </w:r>
      <w:r>
        <w:rPr/>
        <w:t>charging</w:t>
      </w:r>
    </w:p>
    <w:p>
      <w:pPr>
        <w:pStyle w:val="Normal"/>
        <w:rPr/>
      </w:pPr>
      <w:r>
        <w:rPr/>
        <w:t>The following tables provide a brief description of each CDR parameter. The category in the tables is used according to the charging data configuration defined in clause 5.4 of TS 32.240 [1]. Full definitions of the CDR parameters, sorted by the name in alphabetical order, are provided in TS 32.298 [51].</w:t>
      </w:r>
    </w:p>
    <w:p>
      <w:pPr>
        <w:pStyle w:val="Heading4"/>
        <w:ind w:left="1418" w:hanging="1418"/>
        <w:rPr/>
      </w:pPr>
      <w:bookmarkStart w:id="113" w:name="__RefHeading___Toc25753275"/>
      <w:r>
        <w:rPr>
          <w:lang w:bidi="ar-IQ"/>
        </w:rPr>
        <w:t>6.1.3.2</w:t>
        <w:tab/>
        <w:t>Registration charging</w:t>
      </w:r>
      <w:r>
        <w:rPr>
          <w:lang w:val="en-US" w:bidi="ar-IQ"/>
        </w:rPr>
        <w:t xml:space="preserve"> </w:t>
      </w:r>
      <w:r>
        <w:rPr>
          <w:lang w:bidi="ar-IQ"/>
        </w:rPr>
        <w:t>CHF CDR data</w:t>
      </w:r>
      <w:bookmarkEnd w:id="113"/>
      <w:r>
        <w:rPr>
          <w:lang w:bidi="ar-IQ"/>
        </w:rPr>
        <w:t xml:space="preserve"> </w:t>
      </w:r>
    </w:p>
    <w:p>
      <w:pPr>
        <w:pStyle w:val="Normal"/>
        <w:rPr>
          <w:lang w:eastAsia="zh-CN" w:bidi="ar-IQ"/>
        </w:rPr>
      </w:pPr>
      <w:r>
        <w:rPr>
          <w:lang w:bidi="ar-IQ"/>
        </w:rPr>
        <w:t xml:space="preserve">If enabled, CHF CDRs for Registration charging </w:t>
      </w:r>
      <w:r>
        <w:rPr>
          <w:lang w:eastAsia="zh-CN" w:bidi="ar-IQ"/>
        </w:rPr>
        <w:t>shall be produced for each registration and deregistration</w:t>
      </w:r>
    </w:p>
    <w:p>
      <w:pPr>
        <w:pStyle w:val="Normal"/>
        <w:rPr>
          <w:lang w:bidi="ar-IQ"/>
        </w:rPr>
      </w:pPr>
      <w:r>
        <w:rPr>
          <w:lang w:bidi="ar-IQ"/>
        </w:rPr>
        <w:t>The fields of Registration charging</w:t>
      </w:r>
      <w:r>
        <w:rPr>
          <w:lang w:val="en-US" w:bidi="ar-IQ"/>
        </w:rPr>
        <w:t xml:space="preserve"> </w:t>
      </w:r>
      <w:r>
        <w:rPr>
          <w:lang w:bidi="ar-IQ"/>
        </w:rPr>
        <w:t>CHF CDR are specified in table 6.1.3</w:t>
      </w:r>
      <w:r>
        <w:rPr>
          <w:lang w:eastAsia="zh-CN" w:bidi="ar-IQ"/>
        </w:rPr>
        <w:t>.2.1</w:t>
      </w:r>
      <w:r>
        <w:rPr>
          <w:lang w:bidi="ar-IQ"/>
        </w:rPr>
        <w:t>.</w:t>
      </w:r>
    </w:p>
    <w:p>
      <w:pPr>
        <w:pStyle w:val="TH"/>
        <w:rPr>
          <w:lang w:bidi="ar-IQ"/>
        </w:rPr>
      </w:pPr>
      <w:r>
        <w:rPr>
          <w:lang w:bidi="ar-IQ"/>
        </w:rPr>
        <w:t>Table 6.1.3.2.1: Registration charging</w:t>
      </w:r>
      <w:r>
        <w:rPr>
          <w:lang w:val="en-US" w:bidi="ar-IQ"/>
        </w:rPr>
        <w:t xml:space="preserve"> </w:t>
      </w:r>
      <w:r>
        <w:rPr>
          <w:lang w:bidi="ar-IQ"/>
        </w:rPr>
        <w:t xml:space="preserve">CHF record data </w:t>
      </w:r>
    </w:p>
    <w:tbl>
      <w:tblPr>
        <w:tblW w:w="9925" w:type="dxa"/>
        <w:jc w:val="center"/>
        <w:tblInd w:w="0" w:type="dxa"/>
        <w:tblLayout w:type="fixed"/>
        <w:tblCellMar>
          <w:top w:w="0" w:type="dxa"/>
          <w:left w:w="28" w:type="dxa"/>
          <w:bottom w:w="0" w:type="dxa"/>
          <w:right w:w="28" w:type="dxa"/>
        </w:tblCellMar>
      </w:tblPr>
      <w:tblGrid>
        <w:gridCol w:w="3403"/>
        <w:gridCol w:w="850"/>
        <w:gridCol w:w="5672"/>
      </w:tblGrid>
      <w:tr>
        <w:trPr>
          <w:tblHeader w:val="true"/>
          <w:cantSplit w:val="true"/>
        </w:trPr>
        <w:tc>
          <w:tcPr>
            <w:tcW w:w="3403"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pPr>
            <w:r>
              <w:rPr>
                <w:lang w:bidi="ar-IQ"/>
              </w:rPr>
              <w:t>Field</w:t>
            </w:r>
          </w:p>
        </w:tc>
        <w:tc>
          <w:tcPr>
            <w:tcW w:w="850"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lang w:bidi="ar-IQ"/>
              </w:rPr>
            </w:pPr>
            <w:r>
              <w:rPr>
                <w:lang w:bidi="ar-IQ"/>
              </w:rPr>
              <w:t>Category</w:t>
            </w:r>
          </w:p>
        </w:tc>
        <w:tc>
          <w:tcPr>
            <w:tcW w:w="5672"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lang w:bidi="ar-IQ"/>
              </w:rPr>
            </w:pPr>
            <w:r>
              <w:rPr>
                <w:lang w:bidi="ar-IQ"/>
              </w:rPr>
              <w:t>Description</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 xml:space="preserve">Record Type </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CHF</w:t>
            </w:r>
            <w:r>
              <w:rPr>
                <w:lang w:val="fr-FR" w:bidi="ar-IQ"/>
              </w:rPr>
              <w:t xml:space="preserve"> </w:t>
            </w:r>
            <w:r>
              <w:rPr>
                <w:lang w:bidi="ar-IQ"/>
              </w:rPr>
              <w:t>record.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Recording Network Function ID</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name of the recording entity, i.e. the CHF id.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t>Subscriber Identifier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 xml:space="preserve">This field holds the </w:t>
            </w:r>
            <w:r>
              <w:rPr/>
              <w:t xml:space="preserve">5G Subscription Permanent Identifier (SUPI) </w:t>
            </w:r>
            <w:r>
              <w:rPr>
                <w:lang w:bidi="ar-IQ"/>
              </w:rPr>
              <w:t>of the served party. This fields should be present except for emergency session.</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NF Consumer Information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szCs w:val="18"/>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holds the information of the AMF that used the charging service.</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rFonts w:cs="Arial"/>
              </w:rPr>
              <w:t>NF Functionality</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szCs w:val="18"/>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eastAsia="zh-CN"/>
              </w:rPr>
              <w:t>This field contains the function of the node (i.e. AMF)</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NF Name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holds the name of the AMF used.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bidi="ar-IQ"/>
              </w:rPr>
              <w:t>NF Address</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IP Address of the AMF used.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rFonts w:ascii="Courier New" w:hAnsi="Courier New" w:cs="Courier New"/>
                <w:sz w:val="20"/>
                <w:lang w:bidi="ar-IQ"/>
              </w:rPr>
            </w:pPr>
            <w:r>
              <w:rPr>
                <w:lang w:bidi="ar-IQ"/>
              </w:rPr>
              <w:t>NF PLMN ID</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PLMN identifier (MCC MNC) of the AMF.</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Record Opening Time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Duration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Record Sequence Number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 xml:space="preserve">Cause for Record Closing </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right w:val="single" w:sz="6" w:space="0" w:color="000000"/>
            </w:tcBorders>
          </w:tcPr>
          <w:p>
            <w:pPr>
              <w:pStyle w:val="TAL"/>
              <w:rPr>
                <w:lang w:bidi="ar-IQ"/>
              </w:rPr>
            </w:pPr>
            <w:r>
              <w:rPr>
                <w:lang w:bidi="ar-IQ"/>
              </w:rPr>
              <w:t>Diagnostics</w:t>
            </w:r>
          </w:p>
        </w:tc>
        <w:tc>
          <w:tcPr>
            <w:tcW w:w="850" w:type="dxa"/>
            <w:tcBorders>
              <w:top w:val="single" w:sz="6" w:space="0" w:color="000000"/>
              <w:left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Local Record Sequence Number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trHeight w:val="180" w:hRule="atLeast"/>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Record Extensions</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32.298 [51]</w:t>
            </w:r>
          </w:p>
        </w:tc>
      </w:tr>
      <w:tr>
        <w:trPr>
          <w:trHeight w:val="180" w:hRule="atLeast"/>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t>Registration Charging Information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 xml:space="preserve">This field holds the </w:t>
            </w:r>
            <w:r>
              <w:rPr>
                <w:rFonts w:cs="Arial"/>
                <w:szCs w:val="18"/>
                <w:lang w:bidi="ar-IQ"/>
              </w:rPr>
              <w:t>5G registration specific</w:t>
            </w:r>
            <w:r>
              <w:rPr>
                <w:rFonts w:cs="Arial"/>
                <w:szCs w:val="18"/>
              </w:rPr>
              <w:t xml:space="preserve"> information defined in clause 6.2.1.2.</w:t>
            </w:r>
          </w:p>
        </w:tc>
      </w:tr>
    </w:tbl>
    <w:p>
      <w:pPr>
        <w:pStyle w:val="TH"/>
        <w:rPr>
          <w:lang w:bidi="ar-IQ"/>
        </w:rPr>
      </w:pPr>
      <w:r>
        <w:rPr>
          <w:lang w:bidi="ar-IQ"/>
        </w:rPr>
      </w:r>
    </w:p>
    <w:p>
      <w:pPr>
        <w:pStyle w:val="Heading4"/>
        <w:ind w:left="1418" w:hanging="1418"/>
        <w:rPr/>
      </w:pPr>
      <w:bookmarkStart w:id="114" w:name="__RefHeading___Toc25753276"/>
      <w:r>
        <w:rPr>
          <w:lang w:bidi="ar-IQ"/>
        </w:rPr>
        <w:t>6.1.3.3</w:t>
        <w:tab/>
      </w:r>
      <w:r>
        <w:rPr/>
        <w:t>N2 connection charging Information</w:t>
      </w:r>
      <w:r>
        <w:rPr>
          <w:lang w:bidi="ar-IQ"/>
        </w:rPr>
        <w:t xml:space="preserve"> CHF CDR data</w:t>
      </w:r>
      <w:bookmarkEnd w:id="114"/>
      <w:r>
        <w:rPr>
          <w:lang w:bidi="ar-IQ"/>
        </w:rPr>
        <w:t xml:space="preserve"> </w:t>
      </w:r>
    </w:p>
    <w:p>
      <w:pPr>
        <w:pStyle w:val="Normal"/>
        <w:rPr>
          <w:lang w:eastAsia="zh-CN" w:bidi="ar-IQ"/>
        </w:rPr>
      </w:pPr>
      <w:r>
        <w:rPr>
          <w:lang w:bidi="ar-IQ"/>
        </w:rPr>
        <w:t xml:space="preserve">If enabled, CHF CDRs for </w:t>
      </w:r>
      <w:r>
        <w:rPr/>
        <w:t xml:space="preserve">N2 connection charging </w:t>
      </w:r>
      <w:r>
        <w:rPr>
          <w:lang w:eastAsia="zh-CN" w:bidi="ar-IQ"/>
        </w:rPr>
        <w:t>shall be produced for each N2 connection establishment and release.</w:t>
      </w:r>
    </w:p>
    <w:p>
      <w:pPr>
        <w:pStyle w:val="Normal"/>
        <w:rPr/>
      </w:pPr>
      <w:r>
        <w:rPr>
          <w:lang w:bidi="ar-IQ"/>
        </w:rPr>
        <w:t xml:space="preserve">The fields of </w:t>
      </w:r>
      <w:r>
        <w:rPr/>
        <w:t xml:space="preserve">N2 connection charging </w:t>
      </w:r>
      <w:r>
        <w:rPr>
          <w:lang w:bidi="ar-IQ"/>
        </w:rPr>
        <w:t>CHF CDR are specified in table 6.1.3</w:t>
      </w:r>
      <w:r>
        <w:rPr>
          <w:lang w:eastAsia="zh-CN" w:bidi="ar-IQ"/>
        </w:rPr>
        <w:t>.3.1</w:t>
      </w:r>
      <w:r>
        <w:rPr>
          <w:lang w:bidi="ar-IQ"/>
        </w:rPr>
        <w:t>.</w:t>
      </w:r>
    </w:p>
    <w:p>
      <w:pPr>
        <w:pStyle w:val="TH"/>
        <w:rPr>
          <w:lang w:bidi="ar-IQ"/>
        </w:rPr>
      </w:pPr>
      <w:r>
        <w:rPr>
          <w:lang w:bidi="ar-IQ"/>
        </w:rPr>
        <w:t xml:space="preserve">Table 6.1.3.3.1: N2 connection charging CHF record data </w:t>
      </w:r>
    </w:p>
    <w:tbl>
      <w:tblPr>
        <w:tblW w:w="9925" w:type="dxa"/>
        <w:jc w:val="center"/>
        <w:tblInd w:w="0" w:type="dxa"/>
        <w:tblLayout w:type="fixed"/>
        <w:tblCellMar>
          <w:top w:w="0" w:type="dxa"/>
          <w:left w:w="28" w:type="dxa"/>
          <w:bottom w:w="0" w:type="dxa"/>
          <w:right w:w="28" w:type="dxa"/>
        </w:tblCellMar>
      </w:tblPr>
      <w:tblGrid>
        <w:gridCol w:w="3403"/>
        <w:gridCol w:w="850"/>
        <w:gridCol w:w="5672"/>
      </w:tblGrid>
      <w:tr>
        <w:trPr>
          <w:tblHeader w:val="true"/>
          <w:cantSplit w:val="true"/>
        </w:trPr>
        <w:tc>
          <w:tcPr>
            <w:tcW w:w="3403"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lang w:bidi="ar-IQ"/>
              </w:rPr>
            </w:pPr>
            <w:r>
              <w:rPr>
                <w:lang w:bidi="ar-IQ"/>
              </w:rPr>
              <w:t>Field</w:t>
            </w:r>
          </w:p>
        </w:tc>
        <w:tc>
          <w:tcPr>
            <w:tcW w:w="850"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pPr>
            <w:r>
              <w:rPr>
                <w:lang w:bidi="ar-IQ"/>
              </w:rPr>
              <w:t>Category</w:t>
            </w:r>
          </w:p>
        </w:tc>
        <w:tc>
          <w:tcPr>
            <w:tcW w:w="5672"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lang w:bidi="ar-IQ"/>
              </w:rPr>
            </w:pPr>
            <w:r>
              <w:rPr>
                <w:lang w:bidi="ar-IQ"/>
              </w:rPr>
              <w:t>Description</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 xml:space="preserve">Record Type </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CHF</w:t>
            </w:r>
            <w:r>
              <w:rPr>
                <w:lang w:val="fr-FR" w:bidi="ar-IQ"/>
              </w:rPr>
              <w:t xml:space="preserve"> </w:t>
            </w:r>
            <w:r>
              <w:rPr>
                <w:lang w:bidi="ar-IQ"/>
              </w:rPr>
              <w:t>record.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Recording Network Function ID</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name of the recording entity, i.e. the CHF id.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t>Subscriber Identifier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 xml:space="preserve">This field holds the </w:t>
            </w:r>
            <w:r>
              <w:rPr/>
              <w:t xml:space="preserve">5G Subscription Permanent Identifier (SUPI) </w:t>
            </w:r>
            <w:r>
              <w:rPr>
                <w:lang w:bidi="ar-IQ"/>
              </w:rPr>
              <w:t>of the served party. This fields should be present except for emergency session.</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NF Consumer Information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szCs w:val="18"/>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holds the information of the AMF that used the charging service.</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rFonts w:cs="Arial"/>
              </w:rPr>
            </w:pPr>
            <w:r>
              <w:rPr>
                <w:rFonts w:cs="Arial"/>
              </w:rPr>
              <w:t>NF Functionality</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szCs w:val="18"/>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eastAsia="zh-CN"/>
              </w:rPr>
              <w:t>This field contains the function of the node (i.e. AMF)</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NF Name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holds the name of the AMF used.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bidi="ar-IQ"/>
              </w:rPr>
              <w:t>NF Address</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IP Address of the AMF used.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rFonts w:ascii="Courier New" w:hAnsi="Courier New" w:cs="Courier New"/>
                <w:sz w:val="20"/>
                <w:lang w:bidi="ar-IQ"/>
              </w:rPr>
            </w:pPr>
            <w:r>
              <w:rPr>
                <w:lang w:bidi="ar-IQ"/>
              </w:rPr>
              <w:t>NF PLMN ID</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PLMN identifier (MCC MNC) of the AMF.</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Record Opening Time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Duration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Record Sequence Number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 xml:space="preserve">Cause for Record Closing </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Local Record Sequence Number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trHeight w:val="180" w:hRule="atLeast"/>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Record Extensions</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32.298 [51]</w:t>
            </w:r>
          </w:p>
        </w:tc>
      </w:tr>
      <w:tr>
        <w:trPr>
          <w:trHeight w:val="180" w:hRule="atLeast"/>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t>N2 connection charging Information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 xml:space="preserve">This field holds the </w:t>
            </w:r>
            <w:r>
              <w:rPr/>
              <w:t xml:space="preserve">N2 connection </w:t>
            </w:r>
            <w:r>
              <w:rPr>
                <w:rFonts w:cs="Arial"/>
                <w:szCs w:val="18"/>
                <w:lang w:bidi="ar-IQ"/>
              </w:rPr>
              <w:t>specific</w:t>
            </w:r>
            <w:r>
              <w:rPr>
                <w:rFonts w:cs="Arial"/>
                <w:szCs w:val="18"/>
              </w:rPr>
              <w:t xml:space="preserve"> information defined in clause 6.2.1.3</w:t>
            </w:r>
          </w:p>
        </w:tc>
      </w:tr>
    </w:tbl>
    <w:p>
      <w:pPr>
        <w:pStyle w:val="TH"/>
        <w:rPr>
          <w:lang w:bidi="ar-IQ"/>
        </w:rPr>
      </w:pPr>
      <w:r>
        <w:rPr>
          <w:lang w:bidi="ar-IQ"/>
        </w:rPr>
      </w:r>
    </w:p>
    <w:p>
      <w:pPr>
        <w:pStyle w:val="Heading4"/>
        <w:ind w:left="1418" w:hanging="1418"/>
        <w:rPr/>
      </w:pPr>
      <w:bookmarkStart w:id="115" w:name="__RefHeading___Toc25753277"/>
      <w:r>
        <w:rPr>
          <w:lang w:bidi="ar-IQ"/>
        </w:rPr>
        <w:t>6.1.3.4</w:t>
        <w:tab/>
        <w:t>Location reporting charging</w:t>
      </w:r>
      <w:r>
        <w:rPr>
          <w:lang w:val="en-US" w:bidi="ar-IQ"/>
        </w:rPr>
        <w:t xml:space="preserve"> </w:t>
      </w:r>
      <w:r>
        <w:rPr>
          <w:lang w:bidi="ar-IQ"/>
        </w:rPr>
        <w:t>CHF CDR data</w:t>
      </w:r>
      <w:bookmarkEnd w:id="115"/>
      <w:r>
        <w:rPr>
          <w:lang w:bidi="ar-IQ"/>
        </w:rPr>
        <w:t xml:space="preserve"> </w:t>
      </w:r>
    </w:p>
    <w:p>
      <w:pPr>
        <w:pStyle w:val="Normal"/>
        <w:rPr>
          <w:lang w:eastAsia="zh-CN" w:bidi="ar-IQ"/>
        </w:rPr>
      </w:pPr>
      <w:r>
        <w:rPr>
          <w:lang w:bidi="ar-IQ"/>
        </w:rPr>
        <w:t xml:space="preserve">If enabled, CHF CDRs for Location reporting charging </w:t>
      </w:r>
      <w:r>
        <w:rPr>
          <w:lang w:eastAsia="zh-CN" w:bidi="ar-IQ"/>
        </w:rPr>
        <w:t xml:space="preserve">shall be produced for each </w:t>
      </w:r>
      <w:r>
        <w:rPr>
          <w:lang w:bidi="ar-IQ"/>
        </w:rPr>
        <w:t>Location reporting.</w:t>
      </w:r>
    </w:p>
    <w:p>
      <w:pPr>
        <w:pStyle w:val="Normal"/>
        <w:rPr/>
      </w:pPr>
      <w:r>
        <w:rPr>
          <w:lang w:bidi="ar-IQ"/>
        </w:rPr>
        <w:t>The fields of Location reporting charging</w:t>
      </w:r>
      <w:r>
        <w:rPr>
          <w:lang w:val="en-US" w:bidi="ar-IQ"/>
        </w:rPr>
        <w:t xml:space="preserve"> </w:t>
      </w:r>
      <w:r>
        <w:rPr>
          <w:lang w:bidi="ar-IQ"/>
        </w:rPr>
        <w:t>CHF CDR are specified in table 6.1.3</w:t>
      </w:r>
      <w:r>
        <w:rPr>
          <w:lang w:eastAsia="zh-CN" w:bidi="ar-IQ"/>
        </w:rPr>
        <w:t>.4.1</w:t>
      </w:r>
      <w:r>
        <w:rPr>
          <w:lang w:bidi="ar-IQ"/>
        </w:rPr>
        <w:t>.</w:t>
      </w:r>
    </w:p>
    <w:p>
      <w:pPr>
        <w:pStyle w:val="TH"/>
        <w:rPr>
          <w:lang w:bidi="ar-IQ"/>
        </w:rPr>
      </w:pPr>
      <w:r>
        <w:rPr>
          <w:lang w:bidi="ar-IQ"/>
        </w:rPr>
        <w:t>Table 6.1.3.4.1: Location reporting charging</w:t>
      </w:r>
      <w:r>
        <w:rPr>
          <w:lang w:val="en-US" w:bidi="ar-IQ"/>
        </w:rPr>
        <w:t xml:space="preserve"> </w:t>
      </w:r>
      <w:r>
        <w:rPr>
          <w:lang w:bidi="ar-IQ"/>
        </w:rPr>
        <w:t xml:space="preserve">CHF record data </w:t>
      </w:r>
    </w:p>
    <w:tbl>
      <w:tblPr>
        <w:tblW w:w="9925" w:type="dxa"/>
        <w:jc w:val="center"/>
        <w:tblInd w:w="0" w:type="dxa"/>
        <w:tblLayout w:type="fixed"/>
        <w:tblCellMar>
          <w:top w:w="0" w:type="dxa"/>
          <w:left w:w="28" w:type="dxa"/>
          <w:bottom w:w="0" w:type="dxa"/>
          <w:right w:w="28" w:type="dxa"/>
        </w:tblCellMar>
      </w:tblPr>
      <w:tblGrid>
        <w:gridCol w:w="3403"/>
        <w:gridCol w:w="850"/>
        <w:gridCol w:w="5672"/>
      </w:tblGrid>
      <w:tr>
        <w:trPr>
          <w:tblHeader w:val="true"/>
          <w:cantSplit w:val="true"/>
        </w:trPr>
        <w:tc>
          <w:tcPr>
            <w:tcW w:w="3403"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lang w:bidi="ar-IQ"/>
              </w:rPr>
            </w:pPr>
            <w:r>
              <w:rPr>
                <w:lang w:bidi="ar-IQ"/>
              </w:rPr>
              <w:t>Field</w:t>
            </w:r>
          </w:p>
        </w:tc>
        <w:tc>
          <w:tcPr>
            <w:tcW w:w="850"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lang w:bidi="ar-IQ"/>
              </w:rPr>
            </w:pPr>
            <w:r>
              <w:rPr>
                <w:lang w:bidi="ar-IQ"/>
              </w:rPr>
              <w:t>Category</w:t>
            </w:r>
          </w:p>
        </w:tc>
        <w:tc>
          <w:tcPr>
            <w:tcW w:w="5672"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lang w:bidi="ar-IQ"/>
              </w:rPr>
            </w:pPr>
            <w:r>
              <w:rPr>
                <w:lang w:bidi="ar-IQ"/>
              </w:rPr>
              <w:t>Description</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 xml:space="preserve">Record Type </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CHF</w:t>
            </w:r>
            <w:r>
              <w:rPr>
                <w:lang w:val="fr-FR" w:bidi="ar-IQ"/>
              </w:rPr>
              <w:t xml:space="preserve"> </w:t>
            </w:r>
            <w:r>
              <w:rPr>
                <w:lang w:bidi="ar-IQ"/>
              </w:rPr>
              <w:t>record.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Recording Network Function ID</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name of the recording entity, i.e. the CHF id.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t>Subscriber Identifier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 xml:space="preserve">This field holds the </w:t>
            </w:r>
            <w:r>
              <w:rPr/>
              <w:t xml:space="preserve">5G Subscription Permanent Identifier (SUPI) </w:t>
            </w:r>
            <w:r>
              <w:rPr>
                <w:lang w:bidi="ar-IQ"/>
              </w:rPr>
              <w:t>of the served party. This fields should be present except for emergency session.</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NF Consumer Information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szCs w:val="18"/>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holds the information of the AMF that used the charging service.</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rFonts w:cs="Arial"/>
              </w:rPr>
            </w:pPr>
            <w:r>
              <w:rPr>
                <w:rFonts w:cs="Arial"/>
              </w:rPr>
              <w:t>NF Functionality</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szCs w:val="18"/>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eastAsia="zh-CN"/>
              </w:rPr>
              <w:t>This field contains the function of the node (i.e. AMF)</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NF Name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holds the name of the AMF used.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bidi="ar-IQ"/>
              </w:rPr>
              <w:t>NF Address</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IP Address of the AMF used.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rFonts w:ascii="Courier New" w:hAnsi="Courier New" w:cs="Courier New"/>
                <w:sz w:val="20"/>
                <w:lang w:bidi="ar-IQ"/>
              </w:rPr>
            </w:pPr>
            <w:r>
              <w:rPr>
                <w:lang w:bidi="ar-IQ"/>
              </w:rPr>
              <w:t>NF PLMN ID</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PLMN identifier (MCC MNC) of the AMF.</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Record Opening Time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Duration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Record Sequence Number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 xml:space="preserve">Cause for Record Closing </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Local Record Sequence Number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[51]</w:t>
            </w:r>
          </w:p>
        </w:tc>
      </w:tr>
      <w:tr>
        <w:trPr>
          <w:trHeight w:val="180" w:hRule="atLeast"/>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Record Extensions</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32.298 [51]</w:t>
            </w:r>
          </w:p>
        </w:tc>
      </w:tr>
      <w:tr>
        <w:trPr>
          <w:trHeight w:val="180" w:hRule="atLeast"/>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 xml:space="preserve">Location reporting charging </w:t>
            </w:r>
            <w:r>
              <w:rPr/>
              <w:t>Information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 xml:space="preserve">This field holds the </w:t>
            </w:r>
            <w:r>
              <w:rPr>
                <w:lang w:bidi="ar-IQ"/>
              </w:rPr>
              <w:t>Location reporting</w:t>
            </w:r>
            <w:r>
              <w:rPr>
                <w:rFonts w:cs="Arial"/>
                <w:szCs w:val="18"/>
                <w:lang w:bidi="ar-IQ"/>
              </w:rPr>
              <w:t xml:space="preserve"> specific</w:t>
            </w:r>
            <w:r>
              <w:rPr>
                <w:rFonts w:cs="Arial"/>
                <w:szCs w:val="18"/>
              </w:rPr>
              <w:t xml:space="preserve"> information defined in clause 6.2.1.4.</w:t>
            </w:r>
          </w:p>
        </w:tc>
      </w:tr>
    </w:tbl>
    <w:p>
      <w:pPr>
        <w:pStyle w:val="TH"/>
        <w:rPr>
          <w:lang w:bidi="ar-IQ"/>
        </w:rPr>
      </w:pPr>
      <w:r>
        <w:rPr>
          <w:lang w:bidi="ar-IQ"/>
        </w:rPr>
      </w:r>
    </w:p>
    <w:p>
      <w:pPr>
        <w:pStyle w:val="Heading2"/>
        <w:rPr/>
      </w:pPr>
      <w:bookmarkStart w:id="116" w:name="__RefHeading___Toc25753278"/>
      <w:r>
        <w:rPr>
          <w:lang w:bidi="ar-IQ"/>
        </w:rPr>
        <w:t>6.2</w:t>
        <w:tab/>
        <w:t>5G connection and mobility charging specific parameters</w:t>
      </w:r>
      <w:bookmarkEnd w:id="116"/>
      <w:r>
        <w:rPr/>
        <w:t xml:space="preserve"> </w:t>
      </w:r>
    </w:p>
    <w:p>
      <w:pPr>
        <w:pStyle w:val="Heading3"/>
        <w:rPr/>
      </w:pPr>
      <w:bookmarkStart w:id="117" w:name="__RefHeading___Toc25753279"/>
      <w:bookmarkEnd w:id="117"/>
      <w:r>
        <w:rPr/>
        <w:t>6.2.1</w:t>
        <w:tab/>
        <w:t xml:space="preserve">Definition of </w:t>
      </w:r>
      <w:r>
        <w:rPr>
          <w:lang w:bidi="ar-IQ"/>
        </w:rPr>
        <w:t xml:space="preserve">5G connection and mobility </w:t>
      </w:r>
      <w:r>
        <w:rPr/>
        <w:t>charging information</w:t>
      </w:r>
    </w:p>
    <w:p>
      <w:pPr>
        <w:pStyle w:val="Heading4"/>
        <w:ind w:left="1418" w:hanging="1418"/>
        <w:rPr/>
      </w:pPr>
      <w:bookmarkStart w:id="118" w:name="__RefHeading___Toc25753280"/>
      <w:bookmarkEnd w:id="118"/>
      <w:r>
        <w:rPr/>
        <w:t>6.2.1.1</w:t>
        <w:tab/>
        <w:t>General</w:t>
      </w:r>
    </w:p>
    <w:p>
      <w:pPr>
        <w:pStyle w:val="Normal"/>
        <w:rPr/>
      </w:pPr>
      <w:r>
        <w:rPr>
          <w:lang w:bidi="ar-IQ"/>
        </w:rPr>
        <w:t>The Charging Information parameter used for 5G connection and mobility charging is provided in the following clauses.</w:t>
      </w:r>
    </w:p>
    <w:p>
      <w:pPr>
        <w:pStyle w:val="Heading4"/>
        <w:ind w:left="1418" w:hanging="1418"/>
        <w:rPr/>
      </w:pPr>
      <w:bookmarkStart w:id="119" w:name="__RefHeading___Toc25753281"/>
      <w:r>
        <w:rPr>
          <w:lang w:bidi="ar-IQ"/>
        </w:rPr>
        <w:t>6.2.1.2</w:t>
        <w:tab/>
        <w:t>Definition of Registration</w:t>
      </w:r>
      <w:r>
        <w:rPr/>
        <w:t xml:space="preserve"> charging</w:t>
      </w:r>
      <w:r>
        <w:rPr>
          <w:lang w:bidi="ar-IQ"/>
        </w:rPr>
        <w:t xml:space="preserve"> information</w:t>
      </w:r>
      <w:bookmarkEnd w:id="119"/>
      <w:r>
        <w:rPr>
          <w:lang w:bidi="ar-IQ"/>
        </w:rPr>
        <w:t xml:space="preserve"> </w:t>
      </w:r>
    </w:p>
    <w:p>
      <w:pPr>
        <w:pStyle w:val="Normal"/>
        <w:keepNext w:val="true"/>
        <w:rPr/>
      </w:pPr>
      <w:r>
        <w:rPr/>
        <w:t xml:space="preserve">Specific charging information used for 5G </w:t>
      </w:r>
      <w:r>
        <w:rPr>
          <w:lang w:bidi="ar-IQ"/>
        </w:rPr>
        <w:t xml:space="preserve">registration </w:t>
      </w:r>
      <w:r>
        <w:rPr/>
        <w:t xml:space="preserve">charging is provided within the Registration Charging Information. </w:t>
      </w:r>
    </w:p>
    <w:p>
      <w:pPr>
        <w:pStyle w:val="Normal"/>
        <w:keepNext w:val="true"/>
        <w:rPr/>
      </w:pPr>
      <w:r>
        <w:rPr>
          <w:lang w:bidi="ar-IQ"/>
        </w:rPr>
        <w:t>The detailed structure of the Registration</w:t>
      </w:r>
      <w:r>
        <w:rPr/>
        <w:t xml:space="preserve"> Charging </w:t>
      </w:r>
      <w:r>
        <w:rPr>
          <w:lang w:bidi="ar-IQ"/>
        </w:rPr>
        <w:t>Information can be found in table 6.2.1.2.1.</w:t>
      </w:r>
    </w:p>
    <w:p>
      <w:pPr>
        <w:pStyle w:val="TH"/>
        <w:rPr>
          <w:lang w:bidi="ar-IQ"/>
        </w:rPr>
      </w:pPr>
      <w:r>
        <w:rPr>
          <w:lang w:bidi="ar-IQ"/>
        </w:rPr>
        <w:t>Table 6.2.1.2.1: Structure of Registration Charging Information</w:t>
      </w:r>
    </w:p>
    <w:tbl>
      <w:tblPr>
        <w:tblW w:w="8903" w:type="dxa"/>
        <w:jc w:val="center"/>
        <w:tblInd w:w="0" w:type="dxa"/>
        <w:tblLayout w:type="fixed"/>
        <w:tblCellMar>
          <w:top w:w="0" w:type="dxa"/>
          <w:left w:w="28" w:type="dxa"/>
          <w:bottom w:w="0" w:type="dxa"/>
          <w:right w:w="28" w:type="dxa"/>
        </w:tblCellMar>
      </w:tblPr>
      <w:tblGrid>
        <w:gridCol w:w="2554"/>
        <w:gridCol w:w="859"/>
        <w:gridCol w:w="5490"/>
      </w:tblGrid>
      <w:tr>
        <w:trPr>
          <w:cantSplit w:val="true"/>
        </w:trPr>
        <w:tc>
          <w:tcPr>
            <w:tcW w:w="255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Element</w:t>
            </w:r>
          </w:p>
        </w:tc>
        <w:tc>
          <w:tcPr>
            <w:tcW w:w="859"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549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Description</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zh-CN" w:bidi="ar-IQ"/>
              </w:rPr>
            </w:pPr>
            <w:r>
              <w:rPr>
                <w:lang w:eastAsia="zh-CN" w:bidi="ar-IQ"/>
              </w:rPr>
              <w:t>Registration message type</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This field holds the message type received by the AMF associated to registration: registration (initial, mobility, periodic, emergency), deregistration.</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IQ"/>
              </w:rPr>
              <w:t>User Information</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 of user information</w:t>
            </w:r>
            <w:r>
              <w:rPr>
                <w:lang w:eastAsia="zh-CN"/>
              </w:rPr>
              <w:t>.</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ind w:firstLine="270"/>
              <w:rPr/>
            </w:pPr>
            <w:r>
              <w:rPr/>
              <w:t>User Identifier</w:t>
            </w:r>
          </w:p>
        </w:tc>
        <w:tc>
          <w:tcPr>
            <w:tcW w:w="859"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contains the identification of the user (i.e. GPSI).</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ind w:firstLine="270"/>
              <w:rPr/>
            </w:pPr>
            <w:r>
              <w:rPr>
                <w:rFonts w:eastAsia="MS Mincho;ＭＳ 明朝" w:cs="Arial"/>
                <w:szCs w:val="18"/>
                <w:lang w:bidi="ar-IQ"/>
              </w:rPr>
              <w:t>User Equipment Info</w:t>
            </w:r>
            <w:r>
              <w:rPr>
                <w:rFonts w:cs="Arial"/>
                <w:szCs w:val="18"/>
                <w:lang w:bidi="ar-IQ"/>
              </w:rPr>
              <w:t xml:space="preserve"> </w:t>
            </w:r>
          </w:p>
        </w:tc>
        <w:tc>
          <w:tcPr>
            <w:tcW w:w="859" w:type="dxa"/>
            <w:tcBorders>
              <w:top w:val="single" w:sz="4" w:space="0" w:color="000000"/>
              <w:left w:val="single" w:sz="4" w:space="0" w:color="000000"/>
              <w:bottom w:val="single" w:sz="4" w:space="0" w:color="000000"/>
              <w:right w:val="single" w:sz="4" w:space="0" w:color="000000"/>
            </w:tcBorders>
          </w:tcPr>
          <w:p>
            <w:pPr>
              <w:pStyle w:val="TAC"/>
              <w:rPr>
                <w:rFonts w:cs="Arial"/>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identification of the terminal (i.e. PEI, MAC Address) </w:t>
            </w:r>
          </w:p>
          <w:p>
            <w:pPr>
              <w:pStyle w:val="TAL"/>
              <w:rPr/>
            </w:pPr>
            <w:r>
              <w:rPr>
                <w:lang w:bidi="ar-IQ"/>
              </w:rPr>
              <w:t xml:space="preserve">It may be used for identifying the user and shall be present in case </w:t>
            </w:r>
            <w:r>
              <w:rPr/>
              <w:t>Subscriber Identifier</w:t>
            </w:r>
            <w:r>
              <w:rPr>
                <w:lang w:bidi="ar-IQ"/>
              </w:rPr>
              <w:t xml:space="preserve"> is not present.</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ind w:firstLine="270"/>
              <w:rPr>
                <w:rFonts w:eastAsia="MS Mincho;ＭＳ 明朝" w:cs="Arial"/>
                <w:szCs w:val="18"/>
                <w:lang w:bidi="ar-IQ"/>
              </w:rPr>
            </w:pPr>
            <w:r>
              <w:rPr>
                <w:lang w:eastAsia="zh-CN"/>
              </w:rPr>
              <w:t>unauthenticatedFlag</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indicates the </w:t>
            </w:r>
            <w:r>
              <w:rPr>
                <w:lang w:bidi="ar-IQ"/>
              </w:rPr>
              <w:t>served SUPI is not authenticated.</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ind w:firstLine="270"/>
              <w:rPr>
                <w:lang w:eastAsia="zh-CN"/>
              </w:rPr>
            </w:pPr>
            <w:r>
              <w:rPr>
                <w:lang w:eastAsia="zh-CN"/>
              </w:rPr>
              <w:t>Roamer In Out</w:t>
            </w:r>
            <w:r>
              <w:rPr/>
              <w:t xml:space="preserve"> </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lang w:bidi="ar-IQ"/>
              </w:rPr>
              <w:t>This field holds an indication if the roamer is in-bound or out-bound. This field is present only if UE is identified as a roamer.</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UE 5GMM Core Network Capability</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UE 5GMM Core Network Capability included in UE MM Core network capabilities, as specified in clause 5.4.4a TS 23.501 [200]</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MICO Mode Indication</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indicates whether </w:t>
            </w:r>
            <w:r>
              <w:rPr>
                <w:lang w:eastAsia="ko-KR"/>
              </w:rPr>
              <w:t>the MICO Mode is applicable or not.</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bidi="ar-IQ"/>
              </w:rPr>
              <w:t>SMS Supported Indication</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indicates whether </w:t>
            </w:r>
            <w:r>
              <w:rPr>
                <w:lang w:bidi="ar-IQ"/>
              </w:rPr>
              <w:t>SMS is supported or not</w:t>
            </w:r>
            <w:r>
              <w:rPr>
                <w:lang w:eastAsia="ko-KR"/>
              </w:rPr>
              <w:t>.</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lang w:bidi="ar-IQ"/>
              </w:rPr>
              <w:t>RAT Type</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Radio Access Technology (RAT) currently serving the UE</w:t>
            </w:r>
            <w:r>
              <w:rPr>
                <w:lang w:bidi="ar-IQ"/>
              </w:rPr>
              <w:t>.</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TAI List</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a set of tracking areas composing the Registration Area.</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lang w:bidi="ar-IQ"/>
              </w:rPr>
              <w:t>User Location Info</w:t>
            </w:r>
          </w:p>
        </w:tc>
        <w:tc>
          <w:tcPr>
            <w:tcW w:w="859"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indicates details of where the UE is currently located (access-specific user location information).</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t>PSCell Information</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PSCell: Primary SCG (Secondary Cell Group) Cell </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rFonts w:cs="Arial"/>
                <w:lang w:bidi="ar-IQ"/>
              </w:rPr>
            </w:pPr>
            <w:r>
              <w:rPr>
                <w:lang w:bidi="ar-IQ"/>
              </w:rPr>
              <w:t>UE Time Zone</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Time Zone of where the UE is located, if available where the UE currently resides.</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bidi="ar-IQ"/>
              </w:rPr>
            </w:pPr>
            <w:r>
              <w:rPr/>
              <w:t>Mobility Restrictions</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Mobility Restrictions applicable to the UE: RAT restriction, Forbidden area, Service area restrictions and Core Network type restriction.</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t>Requested NSSAI</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requested NSSAI.</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Allowed NSSAI</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allowed NSSAI consisting of one or more S-NSSAIs for serving PLMN in the present Registration Area.</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Rejected NSSAI</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rejected NSSAI.</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NSSAI mapping list</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mapping of each S-NSSAI of the Allowed NSSAI to the S-NSSAIs of the Subscribed S-NSSAIs.</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t>AMF UE NGAP ID</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fields holds </w:t>
            </w:r>
            <w:r>
              <w:rPr>
                <w:rFonts w:cs="Arial"/>
                <w:szCs w:val="18"/>
                <w:lang w:eastAsia="zh-CN"/>
              </w:rPr>
              <w:t>the UE association over the N2 interface within the AMF.</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RAN UE NGAP ID</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fields holds </w:t>
            </w:r>
            <w:r>
              <w:rPr>
                <w:rFonts w:cs="Arial"/>
                <w:szCs w:val="18"/>
                <w:lang w:eastAsia="zh-CN"/>
              </w:rPr>
              <w:t>the RAN UE NGAP ID over N2 interface.</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RAN Node Id</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fields holds </w:t>
            </w:r>
            <w:r>
              <w:rPr>
                <w:rFonts w:cs="Arial"/>
                <w:szCs w:val="18"/>
                <w:lang w:eastAsia="zh-CN"/>
              </w:rPr>
              <w:t>the Global RAN Node ID.</w:t>
            </w:r>
          </w:p>
        </w:tc>
      </w:tr>
    </w:tbl>
    <w:p>
      <w:pPr>
        <w:pStyle w:val="B1"/>
        <w:ind w:left="0" w:hanging="0"/>
        <w:rPr>
          <w:b/>
          <w:b/>
        </w:rPr>
      </w:pPr>
      <w:r>
        <w:rPr>
          <w:b/>
        </w:rPr>
      </w:r>
    </w:p>
    <w:p>
      <w:pPr>
        <w:pStyle w:val="Heading4"/>
        <w:ind w:left="1418" w:hanging="1418"/>
        <w:rPr/>
      </w:pPr>
      <w:bookmarkStart w:id="120" w:name="__RefHeading___Toc25753282"/>
      <w:r>
        <w:rPr>
          <w:lang w:bidi="ar-IQ"/>
        </w:rPr>
        <w:t>6.2.1.3</w:t>
        <w:tab/>
        <w:t>Definition of N2 Connection</w:t>
      </w:r>
      <w:r>
        <w:rPr/>
        <w:t xml:space="preserve"> charging</w:t>
      </w:r>
      <w:r>
        <w:rPr>
          <w:lang w:bidi="ar-IQ"/>
        </w:rPr>
        <w:t xml:space="preserve"> information</w:t>
      </w:r>
      <w:bookmarkEnd w:id="120"/>
      <w:r>
        <w:rPr>
          <w:lang w:bidi="ar-IQ"/>
        </w:rPr>
        <w:t xml:space="preserve"> </w:t>
      </w:r>
    </w:p>
    <w:p>
      <w:pPr>
        <w:pStyle w:val="Normal"/>
        <w:keepNext w:val="true"/>
        <w:rPr/>
      </w:pPr>
      <w:r>
        <w:rPr/>
        <w:t xml:space="preserve">Specific charging information used for 5G </w:t>
      </w:r>
      <w:r>
        <w:rPr>
          <w:lang w:bidi="ar-IQ"/>
        </w:rPr>
        <w:t xml:space="preserve">N2 Connection </w:t>
      </w:r>
      <w:r>
        <w:rPr/>
        <w:t xml:space="preserve">charging is provided within the N2 connection charging Information. </w:t>
      </w:r>
    </w:p>
    <w:p>
      <w:pPr>
        <w:pStyle w:val="Normal"/>
        <w:keepNext w:val="true"/>
        <w:rPr/>
      </w:pPr>
      <w:r>
        <w:rPr>
          <w:lang w:bidi="ar-IQ"/>
        </w:rPr>
        <w:t>The detailed structure of the N2 connection</w:t>
      </w:r>
      <w:r>
        <w:rPr/>
        <w:t xml:space="preserve"> Charging </w:t>
      </w:r>
      <w:r>
        <w:rPr>
          <w:lang w:bidi="ar-IQ"/>
        </w:rPr>
        <w:t>Information can be found in table 6.2.1.3.1.</w:t>
      </w:r>
    </w:p>
    <w:p>
      <w:pPr>
        <w:pStyle w:val="TH"/>
        <w:rPr>
          <w:lang w:bidi="ar-IQ"/>
        </w:rPr>
      </w:pPr>
      <w:r>
        <w:rPr>
          <w:lang w:bidi="ar-IQ"/>
        </w:rPr>
        <w:t>Table 6.2.1.3.1: Structure of N2 Connection Charging Information</w:t>
      </w:r>
    </w:p>
    <w:tbl>
      <w:tblPr>
        <w:tblW w:w="8903" w:type="dxa"/>
        <w:jc w:val="center"/>
        <w:tblInd w:w="0" w:type="dxa"/>
        <w:tblLayout w:type="fixed"/>
        <w:tblCellMar>
          <w:top w:w="0" w:type="dxa"/>
          <w:left w:w="28" w:type="dxa"/>
          <w:bottom w:w="0" w:type="dxa"/>
          <w:right w:w="28" w:type="dxa"/>
        </w:tblCellMar>
      </w:tblPr>
      <w:tblGrid>
        <w:gridCol w:w="2554"/>
        <w:gridCol w:w="859"/>
        <w:gridCol w:w="5490"/>
      </w:tblGrid>
      <w:tr>
        <w:trPr>
          <w:cantSplit w:val="true"/>
        </w:trPr>
        <w:tc>
          <w:tcPr>
            <w:tcW w:w="255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Element</w:t>
            </w:r>
          </w:p>
        </w:tc>
        <w:tc>
          <w:tcPr>
            <w:tcW w:w="859"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549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Description</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zh-CN" w:bidi="ar-IQ"/>
              </w:rPr>
            </w:pPr>
            <w:r>
              <w:rPr>
                <w:lang w:eastAsia="zh-CN" w:bidi="ar-IQ"/>
              </w:rPr>
              <w:t>N2 Connection message type</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This field holds the N2 message type received by the AMF.</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IQ"/>
              </w:rPr>
              <w:t>User Information</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 of user information</w:t>
            </w:r>
            <w:r>
              <w:rPr>
                <w:lang w:eastAsia="zh-CN"/>
              </w:rPr>
              <w:t>.</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ind w:firstLine="270"/>
              <w:rPr/>
            </w:pPr>
            <w:r>
              <w:rPr/>
              <w:t>User Identifier</w:t>
            </w:r>
          </w:p>
        </w:tc>
        <w:tc>
          <w:tcPr>
            <w:tcW w:w="859"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contains the identification of the user (i.e. GPSI).</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ind w:firstLine="270"/>
              <w:rPr/>
            </w:pPr>
            <w:r>
              <w:rPr>
                <w:rFonts w:eastAsia="MS Mincho;ＭＳ 明朝" w:cs="Arial"/>
                <w:szCs w:val="18"/>
                <w:lang w:bidi="ar-IQ"/>
              </w:rPr>
              <w:t>User Equipment Info</w:t>
            </w:r>
            <w:r>
              <w:rPr>
                <w:rFonts w:cs="Arial"/>
                <w:szCs w:val="18"/>
                <w:lang w:bidi="ar-IQ"/>
              </w:rPr>
              <w:t xml:space="preserve"> </w:t>
            </w:r>
          </w:p>
        </w:tc>
        <w:tc>
          <w:tcPr>
            <w:tcW w:w="859" w:type="dxa"/>
            <w:tcBorders>
              <w:top w:val="single" w:sz="4" w:space="0" w:color="000000"/>
              <w:left w:val="single" w:sz="4" w:space="0" w:color="000000"/>
              <w:bottom w:val="single" w:sz="4" w:space="0" w:color="000000"/>
              <w:right w:val="single" w:sz="4" w:space="0" w:color="000000"/>
            </w:tcBorders>
          </w:tcPr>
          <w:p>
            <w:pPr>
              <w:pStyle w:val="TAC"/>
              <w:rPr>
                <w:rFonts w:cs="Arial"/>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identification of the terminal (i.e. PEI, MAC Address) </w:t>
            </w:r>
          </w:p>
          <w:p>
            <w:pPr>
              <w:pStyle w:val="TAL"/>
              <w:rPr/>
            </w:pPr>
            <w:r>
              <w:rPr>
                <w:lang w:bidi="ar-IQ"/>
              </w:rPr>
              <w:t>It is used for identifying the user in case SUPI is not present during emergency service.</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ind w:firstLine="270"/>
              <w:rPr>
                <w:rFonts w:eastAsia="MS Mincho;ＭＳ 明朝" w:cs="Arial"/>
                <w:szCs w:val="18"/>
                <w:lang w:bidi="ar-IQ"/>
              </w:rPr>
            </w:pPr>
            <w:r>
              <w:rPr>
                <w:lang w:eastAsia="zh-CN"/>
              </w:rPr>
              <w:t>unauthenticatedFlag</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indicates the </w:t>
            </w:r>
            <w:r>
              <w:rPr>
                <w:lang w:bidi="ar-IQ"/>
              </w:rPr>
              <w:t>served SUPI is not authenticated.</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lang w:bidi="ar-IQ"/>
              </w:rPr>
              <w:t>User Location Info</w:t>
            </w:r>
          </w:p>
        </w:tc>
        <w:tc>
          <w:tcPr>
            <w:tcW w:w="859"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indicates details of where the UE is currently located (access-specific user location information).</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t>PSCell Information</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PSCell: Primary SCG (Secondary Cell Group) Cell </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rFonts w:cs="Arial"/>
                <w:lang w:bidi="ar-IQ"/>
              </w:rPr>
            </w:pPr>
            <w:r>
              <w:rPr>
                <w:lang w:bidi="ar-IQ"/>
              </w:rPr>
              <w:t>UE Time Zone</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Time Zone of where the UE is located, if available where the UE currently resides.</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RAT Type</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Radio Access Technology (RAT)</w:t>
            </w:r>
            <w:r>
              <w:rPr>
                <w:lang w:bidi="ar-IQ"/>
              </w:rPr>
              <w:t>.</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t>AMF UE NGAP ID</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fields holds </w:t>
            </w:r>
            <w:r>
              <w:rPr>
                <w:rFonts w:cs="Arial"/>
                <w:szCs w:val="18"/>
                <w:lang w:eastAsia="zh-CN"/>
              </w:rPr>
              <w:t>the UE association over the N2 interface within the AMF.</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RAN UE NGAP ID</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fields holds </w:t>
            </w:r>
            <w:r>
              <w:rPr>
                <w:rFonts w:cs="Arial"/>
                <w:szCs w:val="18"/>
                <w:lang w:eastAsia="zh-CN"/>
              </w:rPr>
              <w:t>the RAN UE NGAP ID over N2 interface.</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RAN Node Id</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fields holds </w:t>
            </w:r>
            <w:r>
              <w:rPr>
                <w:rFonts w:cs="Arial"/>
                <w:szCs w:val="18"/>
                <w:lang w:eastAsia="zh-CN"/>
              </w:rPr>
              <w:t>the Global RAN Node ID.</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bidi="ar-IQ"/>
              </w:rPr>
            </w:pPr>
            <w:r>
              <w:rPr/>
              <w:t>Mobility Restrictions</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Mobility Restrictions applicable to the UE: RAT restriction, Forbidden area, Service area restrictions and Core Network type restriction.</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Allowed NSSAI</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allowed NSSAI consisting of one or more S-NSSAIs for serving PLMN in the present Registration Area.</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lang w:eastAsia="ja-JP"/>
              </w:rPr>
              <w:t>RRC Establishment Cause</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fields holds </w:t>
            </w:r>
            <w:r>
              <w:rPr>
                <w:rFonts w:cs="Arial"/>
                <w:szCs w:val="18"/>
                <w:lang w:eastAsia="zh-CN"/>
              </w:rPr>
              <w:t>the reason for RRC Connection Establishment as received from the UE.</w:t>
            </w:r>
          </w:p>
        </w:tc>
      </w:tr>
    </w:tbl>
    <w:p>
      <w:pPr>
        <w:pStyle w:val="B1"/>
        <w:ind w:left="0" w:hanging="0"/>
        <w:rPr>
          <w:b/>
          <w:b/>
        </w:rPr>
      </w:pPr>
      <w:r>
        <w:rPr>
          <w:b/>
        </w:rPr>
      </w:r>
    </w:p>
    <w:p>
      <w:pPr>
        <w:pStyle w:val="Heading4"/>
        <w:ind w:left="1418" w:hanging="1418"/>
        <w:rPr>
          <w:lang w:bidi="ar-IQ"/>
        </w:rPr>
      </w:pPr>
      <w:bookmarkStart w:id="121" w:name="__RefHeading___Toc25753283"/>
      <w:r>
        <w:rPr>
          <w:lang w:bidi="ar-IQ"/>
        </w:rPr>
        <w:t>6.2.1.4</w:t>
        <w:tab/>
        <w:t>Definition of Location Reporting</w:t>
      </w:r>
      <w:r>
        <w:rPr/>
        <w:t xml:space="preserve"> charging</w:t>
      </w:r>
      <w:r>
        <w:rPr>
          <w:lang w:bidi="ar-IQ"/>
        </w:rPr>
        <w:t xml:space="preserve"> information</w:t>
      </w:r>
      <w:bookmarkEnd w:id="121"/>
      <w:r>
        <w:rPr>
          <w:lang w:bidi="ar-IQ"/>
        </w:rPr>
        <w:t xml:space="preserve"> </w:t>
      </w:r>
    </w:p>
    <w:p>
      <w:pPr>
        <w:pStyle w:val="Normal"/>
        <w:keepNext w:val="true"/>
        <w:rPr/>
      </w:pPr>
      <w:r>
        <w:rPr/>
        <w:t xml:space="preserve">Specific charging information used for 5G </w:t>
      </w:r>
      <w:r>
        <w:rPr>
          <w:lang w:bidi="ar-IQ"/>
        </w:rPr>
        <w:t xml:space="preserve">Location Reporting </w:t>
      </w:r>
      <w:r>
        <w:rPr/>
        <w:t xml:space="preserve">charging is provided within the Location reporting charging Information. </w:t>
      </w:r>
    </w:p>
    <w:p>
      <w:pPr>
        <w:pStyle w:val="Normal"/>
        <w:keepNext w:val="true"/>
        <w:rPr/>
      </w:pPr>
      <w:r>
        <w:rPr>
          <w:lang w:bidi="ar-IQ"/>
        </w:rPr>
        <w:t xml:space="preserve">The detailed structure of the </w:t>
      </w:r>
      <w:r>
        <w:rPr/>
        <w:t>Location reporting charging Information</w:t>
      </w:r>
      <w:r>
        <w:rPr>
          <w:lang w:bidi="ar-IQ"/>
        </w:rPr>
        <w:t xml:space="preserve"> can be found in table 6.2.1.4.1.</w:t>
      </w:r>
    </w:p>
    <w:p>
      <w:pPr>
        <w:pStyle w:val="TH"/>
        <w:rPr>
          <w:lang w:bidi="ar-IQ"/>
        </w:rPr>
      </w:pPr>
      <w:r>
        <w:rPr>
          <w:lang w:bidi="ar-IQ"/>
        </w:rPr>
        <w:t>Table 6.2.1.4.1: Structure of Location Reporting Charging Information</w:t>
      </w:r>
    </w:p>
    <w:tbl>
      <w:tblPr>
        <w:tblW w:w="8903" w:type="dxa"/>
        <w:jc w:val="center"/>
        <w:tblInd w:w="0" w:type="dxa"/>
        <w:tblLayout w:type="fixed"/>
        <w:tblCellMar>
          <w:top w:w="0" w:type="dxa"/>
          <w:left w:w="28" w:type="dxa"/>
          <w:bottom w:w="0" w:type="dxa"/>
          <w:right w:w="28" w:type="dxa"/>
        </w:tblCellMar>
      </w:tblPr>
      <w:tblGrid>
        <w:gridCol w:w="2554"/>
        <w:gridCol w:w="859"/>
        <w:gridCol w:w="5490"/>
      </w:tblGrid>
      <w:tr>
        <w:trPr>
          <w:cantSplit w:val="true"/>
        </w:trPr>
        <w:tc>
          <w:tcPr>
            <w:tcW w:w="255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Element</w:t>
            </w:r>
          </w:p>
        </w:tc>
        <w:tc>
          <w:tcPr>
            <w:tcW w:w="85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szCs w:val="18"/>
              </w:rPr>
              <w:t>Category</w:t>
            </w:r>
          </w:p>
        </w:tc>
        <w:tc>
          <w:tcPr>
            <w:tcW w:w="549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Description</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zh-CN" w:bidi="ar-IQ"/>
              </w:rPr>
            </w:pPr>
            <w:r>
              <w:rPr>
                <w:lang w:eastAsia="zh-CN" w:bidi="ar-IQ"/>
              </w:rPr>
              <w:t>Location reporting message type</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This field holds the location reporting message type received by the AMF.</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eastAsia="zh-CN" w:bidi="ar-IQ"/>
              </w:rPr>
            </w:pPr>
            <w:r>
              <w:rPr>
                <w:lang w:eastAsia="zh-CN" w:bidi="ar-IQ"/>
              </w:rPr>
              <w:t>User Information</w:t>
            </w:r>
          </w:p>
        </w:tc>
        <w:tc>
          <w:tcPr>
            <w:tcW w:w="859"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O</w:t>
            </w:r>
            <w:r>
              <w:rPr>
                <w:vertAlign w:val="subscript"/>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 of user information</w:t>
            </w:r>
            <w:r>
              <w:rPr>
                <w:lang w:eastAsia="zh-CN"/>
              </w:rPr>
              <w:t>.</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ind w:firstLine="270"/>
              <w:rPr/>
            </w:pPr>
            <w:r>
              <w:rPr/>
              <w:t>User Identifier</w:t>
            </w:r>
          </w:p>
        </w:tc>
        <w:tc>
          <w:tcPr>
            <w:tcW w:w="859" w:type="dxa"/>
            <w:tcBorders>
              <w:top w:val="single" w:sz="4" w:space="0" w:color="000000"/>
              <w:left w:val="single" w:sz="4" w:space="0" w:color="000000"/>
              <w:bottom w:val="single" w:sz="4" w:space="0" w:color="000000"/>
              <w:right w:val="single" w:sz="4" w:space="0" w:color="000000"/>
            </w:tcBorders>
          </w:tcPr>
          <w:p>
            <w:pPr>
              <w:pStyle w:val="TAL"/>
              <w:jc w:val="center"/>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contains the identification of the user (i.e. GPSI).</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ind w:firstLine="270"/>
              <w:rPr/>
            </w:pPr>
            <w:r>
              <w:rPr>
                <w:rFonts w:eastAsia="MS Mincho;ＭＳ 明朝" w:cs="Arial"/>
                <w:szCs w:val="18"/>
                <w:lang w:bidi="ar-IQ"/>
              </w:rPr>
              <w:t>User Equipment Info</w:t>
            </w:r>
            <w:r>
              <w:rPr>
                <w:rFonts w:cs="Arial"/>
                <w:szCs w:val="18"/>
                <w:lang w:bidi="ar-IQ"/>
              </w:rPr>
              <w:t xml:space="preserve"> </w:t>
            </w:r>
          </w:p>
        </w:tc>
        <w:tc>
          <w:tcPr>
            <w:tcW w:w="859" w:type="dxa"/>
            <w:tcBorders>
              <w:top w:val="single" w:sz="4" w:space="0" w:color="000000"/>
              <w:left w:val="single" w:sz="4" w:space="0" w:color="000000"/>
              <w:bottom w:val="single" w:sz="4" w:space="0" w:color="000000"/>
              <w:right w:val="single" w:sz="4" w:space="0" w:color="000000"/>
            </w:tcBorders>
          </w:tcPr>
          <w:p>
            <w:pPr>
              <w:pStyle w:val="TAC"/>
              <w:rPr>
                <w:rFonts w:cs="Arial"/>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identification of the terminal (i.e. PEI, MAC Address) </w:t>
            </w:r>
          </w:p>
          <w:p>
            <w:pPr>
              <w:pStyle w:val="TAL"/>
              <w:rPr/>
            </w:pPr>
            <w:r>
              <w:rPr>
                <w:lang w:bidi="ar-IQ"/>
              </w:rPr>
              <w:t>It is used for identifying the user in case SUPI is not present during emergency service.</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ind w:firstLine="270"/>
              <w:rPr>
                <w:rFonts w:eastAsia="MS Mincho;ＭＳ 明朝" w:cs="Arial"/>
                <w:szCs w:val="18"/>
                <w:lang w:bidi="ar-IQ"/>
              </w:rPr>
            </w:pPr>
            <w:r>
              <w:rPr>
                <w:lang w:eastAsia="zh-CN"/>
              </w:rPr>
              <w:t>unauthenticatedFlag</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indicates the </w:t>
            </w:r>
            <w:r>
              <w:rPr>
                <w:lang w:bidi="ar-IQ"/>
              </w:rPr>
              <w:t>served SUPI is not authenticated.</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lang w:bidi="ar-IQ"/>
              </w:rPr>
              <w:t>User Location Info</w:t>
            </w:r>
          </w:p>
        </w:tc>
        <w:tc>
          <w:tcPr>
            <w:tcW w:w="859"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O</w:t>
            </w:r>
            <w:r>
              <w:rPr>
                <w:vertAlign w:val="subscript"/>
                <w:lang w:eastAsia="zh-CN"/>
              </w:rPr>
              <w:t>M</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indicates details of where the UE is currently located under the access type.</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pPr>
            <w:r>
              <w:rPr/>
              <w:t>PSCell Information</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PSCell: Primary SCG (Secondary Cell Group) Cell </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rFonts w:cs="Arial"/>
                <w:lang w:bidi="ar-IQ"/>
              </w:rPr>
            </w:pPr>
            <w:r>
              <w:rPr>
                <w:lang w:bidi="ar-IQ"/>
              </w:rPr>
              <w:t>UE Time Zone</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Time Zone of where the UE is located, if available where the UE currently resides.</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bidi="ar-IQ"/>
              </w:rPr>
            </w:pPr>
            <w:r>
              <w:rPr/>
              <w:t>Presence Reporting Area Information</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szCs w:val="18"/>
              </w:rPr>
              <w:t xml:space="preserve">This field contains the Presence Reporting Area Information of UE as defined in TS 23.501 [200], comprising the Presence Reporting Area identifier(s) and an indication on whether the UE is inside or outside the Presence Reporting Area, if available. </w:t>
            </w:r>
          </w:p>
        </w:tc>
      </w:tr>
      <w:tr>
        <w:trPr>
          <w:cantSplit w:val="true"/>
        </w:trPr>
        <w:tc>
          <w:tcPr>
            <w:tcW w:w="2554" w:type="dxa"/>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RAT Type</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r>
              <w:rPr>
                <w:vertAlign w:val="subscript"/>
                <w:lang w:eastAsia="zh-CN"/>
              </w:rPr>
              <w:t>C</w:t>
            </w:r>
          </w:p>
        </w:tc>
        <w:tc>
          <w:tcPr>
            <w:tcW w:w="5490" w:type="dxa"/>
            <w:tcBorders>
              <w:top w:val="single" w:sz="4" w:space="0" w:color="000000"/>
              <w:left w:val="single" w:sz="4" w:space="0" w:color="000000"/>
              <w:bottom w:val="single" w:sz="4" w:space="0" w:color="000000"/>
              <w:right w:val="single" w:sz="4" w:space="0" w:color="000000"/>
            </w:tcBorders>
          </w:tcPr>
          <w:p>
            <w:pPr>
              <w:pStyle w:val="TAL"/>
              <w:rPr/>
            </w:pPr>
            <w:r>
              <w:rPr/>
              <w:t>This field holds the Radio Access Technology (RAT)</w:t>
            </w:r>
            <w:r>
              <w:rPr>
                <w:lang w:bidi="ar-IQ"/>
              </w:rPr>
              <w:t>.</w:t>
            </w:r>
          </w:p>
        </w:tc>
      </w:tr>
    </w:tbl>
    <w:p>
      <w:pPr>
        <w:pStyle w:val="Normal"/>
        <w:rPr/>
      </w:pPr>
      <w:r>
        <w:rPr/>
      </w:r>
    </w:p>
    <w:p>
      <w:pPr>
        <w:pStyle w:val="Heading3"/>
        <w:rPr/>
      </w:pPr>
      <w:bookmarkStart w:id="122" w:name="__RefHeading___Toc25753284"/>
      <w:bookmarkEnd w:id="122"/>
      <w:r>
        <w:rPr/>
        <w:t>6.2.2</w:t>
        <w:tab/>
        <w:t>Formal 5G connection and mobility charging parameter description</w:t>
      </w:r>
    </w:p>
    <w:p>
      <w:pPr>
        <w:pStyle w:val="Heading4"/>
        <w:ind w:left="1418" w:hanging="1418"/>
        <w:rPr/>
      </w:pPr>
      <w:bookmarkStart w:id="123" w:name="__RefHeading___Toc25753285"/>
      <w:bookmarkEnd w:id="123"/>
      <w:r>
        <w:rPr/>
        <w:t>6.2.2.1</w:t>
        <w:tab/>
      </w:r>
      <w:r>
        <w:rPr>
          <w:lang w:bidi="ar-IQ"/>
        </w:rPr>
        <w:t xml:space="preserve">5G </w:t>
      </w:r>
      <w:r>
        <w:rPr/>
        <w:t>connection and mobility</w:t>
      </w:r>
      <w:r>
        <w:rPr>
          <w:lang w:val="en-US" w:eastAsia="en-US"/>
        </w:rPr>
        <w:t xml:space="preserve"> CHF</w:t>
      </w:r>
      <w:r>
        <w:rPr/>
        <w:t xml:space="preserve"> CDR parameters</w:t>
      </w:r>
    </w:p>
    <w:p>
      <w:pPr>
        <w:pStyle w:val="Normal"/>
        <w:rPr/>
      </w:pPr>
      <w:r>
        <w:rPr/>
        <w:t xml:space="preserve">The detailed definitions, abstract syntax and encoding of </w:t>
      </w:r>
      <w:r>
        <w:rPr>
          <w:lang w:bidi="ar-IQ"/>
        </w:rPr>
        <w:t xml:space="preserve">5G </w:t>
      </w:r>
      <w:r>
        <w:rPr/>
        <w:t>connection and mobility</w:t>
      </w:r>
      <w:r>
        <w:rPr>
          <w:lang w:val="en-US" w:eastAsia="en-US"/>
        </w:rPr>
        <w:t xml:space="preserve"> CHF</w:t>
      </w:r>
      <w:r>
        <w:rPr/>
        <w:t xml:space="preserve"> CDRs parameters are specified in TS 32.298 [51].</w:t>
      </w:r>
    </w:p>
    <w:p>
      <w:pPr>
        <w:pStyle w:val="Heading4"/>
        <w:ind w:left="1418" w:hanging="1418"/>
        <w:rPr/>
      </w:pPr>
      <w:bookmarkStart w:id="124" w:name="__RefHeading___Toc25753286"/>
      <w:bookmarkEnd w:id="124"/>
      <w:r>
        <w:rPr/>
        <w:t>6.2.2.2</w:t>
        <w:tab/>
      </w:r>
      <w:r>
        <w:rPr>
          <w:lang w:bidi="ar-IQ"/>
        </w:rPr>
        <w:t xml:space="preserve">5G </w:t>
      </w:r>
      <w:r>
        <w:rPr/>
        <w:t>connection and mobility</w:t>
      </w:r>
      <w:r>
        <w:rPr>
          <w:lang w:val="en-US" w:eastAsia="en-US"/>
        </w:rPr>
        <w:t xml:space="preserve"> resources </w:t>
      </w:r>
      <w:r>
        <w:rPr/>
        <w:t>attributes</w:t>
      </w:r>
    </w:p>
    <w:p>
      <w:pPr>
        <w:pStyle w:val="Normal"/>
        <w:rPr/>
      </w:pPr>
      <w:r>
        <w:rPr/>
        <w:t xml:space="preserve">The detailed definitions </w:t>
      </w:r>
      <w:r>
        <w:rPr>
          <w:lang w:eastAsia="zh-CN"/>
        </w:rPr>
        <w:t xml:space="preserve">of </w:t>
      </w:r>
      <w:r>
        <w:rPr>
          <w:lang w:eastAsia="zh-CN"/>
        </w:rPr>
        <w:t xml:space="preserve">resources attributes used for </w:t>
      </w:r>
      <w:r>
        <w:rPr>
          <w:lang w:bidi="ar-IQ"/>
        </w:rPr>
        <w:t xml:space="preserve">5G </w:t>
      </w:r>
      <w:r>
        <w:rPr/>
        <w:t>connection and mobility</w:t>
      </w:r>
      <w:r>
        <w:rPr>
          <w:lang w:val="en-US" w:eastAsia="en-US"/>
        </w:rPr>
        <w:t xml:space="preserve"> charging </w:t>
      </w:r>
      <w:r>
        <w:rPr/>
        <w:t>are specified in TS 32.291 [58].</w:t>
      </w:r>
    </w:p>
    <w:p>
      <w:pPr>
        <w:pStyle w:val="Heading3"/>
        <w:rPr/>
      </w:pPr>
      <w:bookmarkStart w:id="125" w:name="__RefHeading___Toc25753287"/>
      <w:bookmarkEnd w:id="125"/>
      <w:r>
        <w:rPr/>
        <w:t>6.2.3</w:t>
        <w:tab/>
        <w:t>Detailed message format for converged charging</w:t>
      </w:r>
    </w:p>
    <w:p>
      <w:pPr>
        <w:pStyle w:val="Normal"/>
        <w:keepNext w:val="true"/>
        <w:rPr/>
      </w:pPr>
      <w:r>
        <w:rPr/>
        <w:t xml:space="preserve">The following clause specifies per Operation Type the charging data that are sent by AMF for </w:t>
      </w:r>
      <w:r>
        <w:rPr>
          <w:lang w:bidi="ar-IQ"/>
        </w:rPr>
        <w:t xml:space="preserve">5G </w:t>
      </w:r>
      <w:r>
        <w:rPr/>
        <w:t xml:space="preserve">connection and mobility </w:t>
      </w:r>
      <w:r>
        <w:rPr>
          <w:lang w:bidi="ar-IQ"/>
        </w:rPr>
        <w:t>converged charging</w:t>
      </w:r>
      <w:r>
        <w:rPr/>
        <w:t xml:space="preserve">. </w:t>
      </w:r>
    </w:p>
    <w:p>
      <w:pPr>
        <w:pStyle w:val="Normal"/>
        <w:rPr/>
      </w:pPr>
      <w:r>
        <w:rPr>
          <w:rFonts w:eastAsia="MS Mincho;ＭＳ 明朝"/>
        </w:rPr>
        <w:t xml:space="preserve">The Operation Types are listed in the following order: I (Initial)/T (Termination)/E (Event). Therefore, when all Operation Types are possible it is marked as ITE. If only some Operation Types are allowed for a node, only the appropriate letters are used (i.e. IT or E) as indicated in the table heading. The omission of an Operation Type for a particular field is marked with "-" (i.e. I-E). Also, when an entire field is not allowed in a node the entire cell is marked as "-". </w:t>
      </w:r>
    </w:p>
    <w:p>
      <w:pPr>
        <w:pStyle w:val="Normal"/>
        <w:keepNext w:val="true"/>
        <w:rPr/>
      </w:pPr>
      <w:r>
        <w:rPr/>
        <w:t xml:space="preserve">Table 6.2.3.1 defines the basic structure of the supported fields in the </w:t>
      </w:r>
      <w:r>
        <w:rPr>
          <w:rFonts w:eastAsia="MS Mincho;ＭＳ 明朝"/>
          <w:i/>
          <w:iCs/>
        </w:rPr>
        <w:t>Charging Data Request</w:t>
      </w:r>
      <w:r>
        <w:rPr/>
        <w:t xml:space="preserve"> message for </w:t>
      </w:r>
      <w:r>
        <w:rPr>
          <w:lang w:bidi="ar-IQ"/>
        </w:rPr>
        <w:t xml:space="preserve">AMF </w:t>
      </w:r>
      <w:r>
        <w:rPr/>
        <w:t xml:space="preserve">converged </w:t>
      </w:r>
      <w:r>
        <w:rPr>
          <w:lang w:bidi="ar-IQ"/>
        </w:rPr>
        <w:t>charging</w:t>
      </w:r>
      <w:r>
        <w:rPr/>
        <w:t>.</w:t>
      </w:r>
      <w:r>
        <w:rPr>
          <w:lang w:eastAsia="zh-CN"/>
        </w:rPr>
        <w:t xml:space="preserve">  </w:t>
      </w:r>
    </w:p>
    <w:p>
      <w:pPr>
        <w:pStyle w:val="TH"/>
        <w:rPr/>
      </w:pPr>
      <w:r>
        <w:rPr/>
        <w:t xml:space="preserve">Table 6.2.3.1: </w:t>
      </w:r>
      <w:r>
        <w:rPr>
          <w:rFonts w:eastAsia="MS Mincho;ＭＳ 明朝"/>
        </w:rPr>
        <w:t>Supported fields in Charging Data Request message</w:t>
      </w:r>
    </w:p>
    <w:tbl>
      <w:tblPr>
        <w:tblW w:w="6987" w:type="dxa"/>
        <w:jc w:val="center"/>
        <w:tblInd w:w="0" w:type="dxa"/>
        <w:tblLayout w:type="fixed"/>
        <w:tblCellMar>
          <w:top w:w="0" w:type="dxa"/>
          <w:left w:w="28" w:type="dxa"/>
          <w:bottom w:w="0" w:type="dxa"/>
          <w:right w:w="28" w:type="dxa"/>
        </w:tblCellMar>
      </w:tblPr>
      <w:tblGrid>
        <w:gridCol w:w="2613"/>
        <w:gridCol w:w="2127"/>
        <w:gridCol w:w="749"/>
        <w:gridCol w:w="749"/>
        <w:gridCol w:w="749"/>
      </w:tblGrid>
      <w:tr>
        <w:trPr>
          <w:tblHeader w:val="true"/>
        </w:trPr>
        <w:tc>
          <w:tcPr>
            <w:tcW w:w="2613" w:type="dxa"/>
            <w:vMerge w:val="restart"/>
            <w:tcBorders>
              <w:top w:val="single" w:sz="4" w:space="0" w:color="000000"/>
              <w:left w:val="single" w:sz="4" w:space="0" w:color="000000"/>
              <w:bottom w:val="single" w:sz="4" w:space="0" w:color="000000"/>
              <w:right w:val="single" w:sz="4" w:space="0" w:color="000000"/>
            </w:tcBorders>
            <w:shd w:fill="D9D9D9" w:val="clear"/>
          </w:tcPr>
          <w:p>
            <w:pPr>
              <w:pStyle w:val="TAH"/>
              <w:rPr/>
            </w:pPr>
            <w:r>
              <w:rPr/>
              <w:t>Information Element</w:t>
            </w:r>
          </w:p>
        </w:tc>
        <w:tc>
          <w:tcPr>
            <w:tcW w:w="212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Functionality of AMF</w:t>
            </w:r>
          </w:p>
        </w:tc>
        <w:tc>
          <w:tcPr>
            <w:tcW w:w="74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Reg.</w:t>
            </w:r>
          </w:p>
        </w:tc>
        <w:tc>
          <w:tcPr>
            <w:tcW w:w="74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 xml:space="preserve">N2 cnt </w:t>
            </w:r>
          </w:p>
        </w:tc>
        <w:tc>
          <w:tcPr>
            <w:tcW w:w="74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Loc. Report.</w:t>
            </w:r>
          </w:p>
        </w:tc>
      </w:tr>
      <w:tr>
        <w:trPr>
          <w:tblHeader w:val="true"/>
        </w:trPr>
        <w:tc>
          <w:tcPr>
            <w:tcW w:w="2613"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rFonts w:ascii="Arial" w:hAnsi="Arial" w:eastAsia="MS Mincho;ＭＳ 明朝" w:cs="Arial"/>
                <w:sz w:val="18"/>
                <w:lang w:val="en-US"/>
              </w:rPr>
            </w:pPr>
            <w:r>
              <w:rPr>
                <w:rFonts w:eastAsia="MS Mincho;ＭＳ 明朝" w:cs="Arial"/>
                <w:sz w:val="18"/>
                <w:lang w:val="en-US"/>
              </w:rPr>
            </w:r>
          </w:p>
        </w:tc>
        <w:tc>
          <w:tcPr>
            <w:tcW w:w="212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Supported Operation Types</w:t>
            </w:r>
          </w:p>
        </w:tc>
        <w:tc>
          <w:tcPr>
            <w:tcW w:w="7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I/T/E</w:t>
            </w:r>
          </w:p>
        </w:tc>
        <w:tc>
          <w:tcPr>
            <w:tcW w:w="7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E</w:t>
            </w:r>
          </w:p>
        </w:tc>
        <w:tc>
          <w:tcPr>
            <w:tcW w:w="7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rPr>
              <w:t>Session Identifier</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Subscriber Identifier</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NF Consumer Identification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Charging Identifier</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Invocation Timestamp</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Invocation Sequence Number</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Retransmission Indicator</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rPr>
              <w:t>One-time Event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rPr>
              <w:t>O</w:t>
            </w:r>
            <w:r>
              <w:rPr>
                <w:rFonts w:cs="Arial"/>
              </w:rPr>
              <w:t>ne</w:t>
            </w:r>
            <w:r>
              <w:rPr>
                <w:rFonts w:cs="Arial"/>
              </w:rPr>
              <w:t>-time Event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Notify URI</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eastAsia="en-US"/>
              </w:rPr>
              <w:t>Service Specification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bidi="ar-IQ"/>
              </w:rPr>
            </w:pPr>
            <w:r>
              <w:rPr>
                <w:lang w:eastAsia="zh-CN" w:bidi="ar-IQ"/>
              </w:rPr>
              <w:t>Triggers</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Multiple </w:t>
            </w:r>
            <w:r>
              <w:rPr>
                <w:lang w:eastAsia="zh-CN"/>
              </w:rPr>
              <w:t>Unit</w:t>
            </w:r>
            <w:r>
              <w:rPr/>
              <w:t xml:space="preserve"> Usage</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AMF Identifier</w:t>
            </w:r>
          </w:p>
        </w:tc>
        <w:tc>
          <w:tcPr>
            <w:tcW w:w="74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AMF Charging Profile</w:t>
            </w:r>
          </w:p>
        </w:tc>
        <w:tc>
          <w:tcPr>
            <w:tcW w:w="74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I-E</w:t>
            </w:r>
          </w:p>
        </w:tc>
        <w:tc>
          <w:tcPr>
            <w:tcW w:w="749"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E</w:t>
            </w:r>
          </w:p>
        </w:tc>
      </w:tr>
      <w:tr>
        <w:trPr/>
        <w:tc>
          <w:tcPr>
            <w:tcW w:w="6987" w:type="dxa"/>
            <w:gridSpan w:val="5"/>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bidi="ar-IQ"/>
              </w:rPr>
            </w:pPr>
            <w:r>
              <w:rPr/>
              <w:t>Registration Charging Information</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bidi="ar-IQ"/>
              </w:rPr>
              <w:t>Registration Message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bidi="ar-IQ"/>
              </w:rPr>
            </w:pPr>
            <w:r>
              <w:rPr>
                <w:lang w:eastAsia="zh-CN" w:bidi="ar-IQ"/>
              </w:rPr>
              <w:t>User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rPr>
              <w:t>UE 5GMM Core Network Capability</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ko-KR"/>
              </w:rPr>
              <w:t>MICO Mode Indication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SMS Supported Indication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Access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RAT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TAI List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User Location Info</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PSCell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UE Time Zone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Mobility Restrictions</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Requested NSSAI</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ko-KR"/>
              </w:rPr>
              <w:t>Allowed NSSAI</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Rejected NSSAI</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NSSAI mapping list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AMF UE NGAP ID</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RAN UE NGAP ID</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rPr>
              <w:t>RAN Node Id</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6987" w:type="dxa"/>
            <w:gridSpan w:val="5"/>
            <w:tcBorders>
              <w:top w:val="single" w:sz="4" w:space="0" w:color="000000"/>
              <w:left w:val="single" w:sz="4" w:space="0" w:color="000000"/>
              <w:bottom w:val="single" w:sz="4" w:space="0" w:color="000000"/>
              <w:right w:val="single" w:sz="4" w:space="0" w:color="000000"/>
            </w:tcBorders>
            <w:shd w:fill="E7E6E6" w:val="clear"/>
          </w:tcPr>
          <w:p>
            <w:pPr>
              <w:pStyle w:val="TAC"/>
              <w:rPr/>
            </w:pPr>
            <w:r>
              <w:rPr/>
              <w:t>N2 Connection Charging Information</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bidi="ar-IQ"/>
              </w:rPr>
              <w:t>N2 Connection Message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bidi="ar-IQ"/>
              </w:rPr>
              <w:t>User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User Location Info</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PSCell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UE Time Zone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RAT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AMF UE NGAP ID</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RAN UE NGAP ID</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RAN Node Id</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Mobility Restrictions</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Allowed NSSAI</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ja-JP"/>
              </w:rPr>
              <w:t>RRC Establishment Cause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6987" w:type="dxa"/>
            <w:gridSpan w:val="5"/>
            <w:tcBorders>
              <w:top w:val="single" w:sz="4" w:space="0" w:color="000000"/>
              <w:left w:val="single" w:sz="4" w:space="0" w:color="000000"/>
              <w:bottom w:val="single" w:sz="4" w:space="0" w:color="000000"/>
              <w:right w:val="single" w:sz="4" w:space="0" w:color="000000"/>
            </w:tcBorders>
            <w:shd w:fill="E7E6E6" w:val="clear"/>
          </w:tcPr>
          <w:p>
            <w:pPr>
              <w:pStyle w:val="TAC"/>
              <w:rPr/>
            </w:pPr>
            <w:r>
              <w:rPr/>
              <w:t>Location Reporting Charging information</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bidi="ar-IQ"/>
              </w:rPr>
              <w:t>Location reporting Message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bidi="ar-IQ"/>
              </w:rPr>
              <w:t>User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User Location Info</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PSCell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UE Time Zone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Presence Reporting Area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RAT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bl>
    <w:p>
      <w:pPr>
        <w:pStyle w:val="Normal"/>
        <w:keepNext w:val="true"/>
        <w:rPr/>
      </w:pPr>
      <w:r>
        <w:rPr/>
      </w:r>
    </w:p>
    <w:p>
      <w:pPr>
        <w:pStyle w:val="Normal"/>
        <w:keepNext w:val="true"/>
        <w:rPr/>
      </w:pPr>
      <w:r>
        <w:rPr/>
        <w:t xml:space="preserve">Table 6.2.3.2 defines the basic structure of the supported fields in the </w:t>
      </w:r>
      <w:r>
        <w:rPr>
          <w:rFonts w:eastAsia="MS Mincho;ＭＳ 明朝"/>
          <w:i/>
          <w:iCs/>
        </w:rPr>
        <w:t>Charging Data Response</w:t>
      </w:r>
      <w:r>
        <w:rPr/>
        <w:t xml:space="preserve"> message for </w:t>
      </w:r>
      <w:r>
        <w:rPr>
          <w:lang w:bidi="ar-IQ"/>
        </w:rPr>
        <w:t xml:space="preserve">AMF </w:t>
      </w:r>
      <w:r>
        <w:rPr/>
        <w:t xml:space="preserve">converged </w:t>
      </w:r>
      <w:r>
        <w:rPr>
          <w:lang w:bidi="ar-IQ"/>
        </w:rPr>
        <w:t>charging</w:t>
      </w:r>
      <w:r>
        <w:rPr/>
        <w:t>.</w:t>
      </w:r>
      <w:r>
        <w:rPr>
          <w:lang w:eastAsia="zh-CN"/>
        </w:rPr>
        <w:t xml:space="preserve">  </w:t>
      </w:r>
    </w:p>
    <w:p>
      <w:pPr>
        <w:pStyle w:val="TH"/>
        <w:rPr/>
      </w:pPr>
      <w:r>
        <w:rPr/>
        <w:t xml:space="preserve">Table 6.2.3.2: </w:t>
      </w:r>
      <w:r>
        <w:rPr>
          <w:rFonts w:eastAsia="MS Mincho;ＭＳ 明朝"/>
        </w:rPr>
        <w:t>Supported fields in Charging Data Response message</w:t>
      </w:r>
    </w:p>
    <w:tbl>
      <w:tblPr>
        <w:tblW w:w="6987" w:type="dxa"/>
        <w:jc w:val="center"/>
        <w:tblInd w:w="0" w:type="dxa"/>
        <w:tblLayout w:type="fixed"/>
        <w:tblCellMar>
          <w:top w:w="0" w:type="dxa"/>
          <w:left w:w="28" w:type="dxa"/>
          <w:bottom w:w="0" w:type="dxa"/>
          <w:right w:w="28" w:type="dxa"/>
        </w:tblCellMar>
      </w:tblPr>
      <w:tblGrid>
        <w:gridCol w:w="2613"/>
        <w:gridCol w:w="2127"/>
        <w:gridCol w:w="749"/>
        <w:gridCol w:w="749"/>
        <w:gridCol w:w="749"/>
      </w:tblGrid>
      <w:tr>
        <w:trPr>
          <w:tblHeader w:val="true"/>
        </w:trPr>
        <w:tc>
          <w:tcPr>
            <w:tcW w:w="2613" w:type="dxa"/>
            <w:vMerge w:val="restart"/>
            <w:tcBorders>
              <w:top w:val="single" w:sz="4" w:space="0" w:color="000000"/>
              <w:left w:val="single" w:sz="4" w:space="0" w:color="000000"/>
              <w:bottom w:val="single" w:sz="4" w:space="0" w:color="000000"/>
              <w:right w:val="single" w:sz="4" w:space="0" w:color="000000"/>
            </w:tcBorders>
            <w:shd w:fill="D9D9D9" w:val="clear"/>
          </w:tcPr>
          <w:p>
            <w:pPr>
              <w:pStyle w:val="TAH"/>
              <w:rPr/>
            </w:pPr>
            <w:r>
              <w:rPr/>
              <w:t>Information Element</w:t>
            </w:r>
          </w:p>
        </w:tc>
        <w:tc>
          <w:tcPr>
            <w:tcW w:w="212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Functionality of AMF</w:t>
            </w:r>
          </w:p>
        </w:tc>
        <w:tc>
          <w:tcPr>
            <w:tcW w:w="74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Reg.</w:t>
            </w:r>
          </w:p>
        </w:tc>
        <w:tc>
          <w:tcPr>
            <w:tcW w:w="74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 xml:space="preserve">N2 cnt </w:t>
            </w:r>
          </w:p>
        </w:tc>
        <w:tc>
          <w:tcPr>
            <w:tcW w:w="74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Loc. Report.</w:t>
            </w:r>
          </w:p>
        </w:tc>
      </w:tr>
      <w:tr>
        <w:trPr>
          <w:tblHeader w:val="true"/>
        </w:trPr>
        <w:tc>
          <w:tcPr>
            <w:tcW w:w="2613"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rFonts w:eastAsia="MS Mincho;ＭＳ 明朝"/>
                <w:lang w:val="en-US"/>
              </w:rPr>
            </w:pPr>
            <w:r>
              <w:rPr>
                <w:rFonts w:eastAsia="MS Mincho;ＭＳ 明朝"/>
                <w:lang w:val="en-US"/>
              </w:rPr>
            </w:r>
          </w:p>
        </w:tc>
        <w:tc>
          <w:tcPr>
            <w:tcW w:w="212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Supported Operation Types</w:t>
            </w:r>
          </w:p>
        </w:tc>
        <w:tc>
          <w:tcPr>
            <w:tcW w:w="7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ITE</w:t>
            </w:r>
          </w:p>
        </w:tc>
        <w:tc>
          <w:tcPr>
            <w:tcW w:w="7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E</w:t>
            </w:r>
          </w:p>
        </w:tc>
        <w:tc>
          <w:tcPr>
            <w:tcW w:w="7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Session Identifier</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Invocation Timestamp</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Invocation Result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Invocation Sequence Number</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Session Failover</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I--</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bidi="ar-IQ"/>
              </w:rPr>
            </w:pPr>
            <w:r>
              <w:rPr>
                <w:lang w:eastAsia="zh-CN" w:bidi="ar-IQ"/>
              </w:rPr>
              <w:t xml:space="preserve">Triggers </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Multiple Unit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AMF Charging Profile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E</w:t>
            </w:r>
          </w:p>
        </w:tc>
      </w:tr>
      <w:tr>
        <w:trPr/>
        <w:tc>
          <w:tcPr>
            <w:tcW w:w="6987" w:type="dxa"/>
            <w:gridSpan w:val="5"/>
            <w:tcBorders>
              <w:top w:val="single" w:sz="4" w:space="0" w:color="000000"/>
              <w:left w:val="single" w:sz="4" w:space="0" w:color="000000"/>
              <w:bottom w:val="single" w:sz="4" w:space="0" w:color="000000"/>
              <w:right w:val="single" w:sz="4" w:space="0" w:color="000000"/>
            </w:tcBorders>
          </w:tcPr>
          <w:tbl>
            <w:tblPr>
              <w:tblW w:w="6987" w:type="dxa"/>
              <w:jc w:val="center"/>
              <w:tblInd w:w="0" w:type="dxa"/>
              <w:tblLayout w:type="fixed"/>
              <w:tblCellMar>
                <w:top w:w="0" w:type="dxa"/>
                <w:left w:w="28" w:type="dxa"/>
                <w:bottom w:w="0" w:type="dxa"/>
                <w:right w:w="28" w:type="dxa"/>
              </w:tblCellMar>
            </w:tblPr>
            <w:tblGrid>
              <w:gridCol w:w="6987"/>
            </w:tblGrid>
            <w:tr>
              <w:trPr/>
              <w:tc>
                <w:tcPr>
                  <w:tcW w:w="6987"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Location Reporting Charging information</w:t>
                  </w:r>
                </w:p>
              </w:tc>
            </w:tr>
          </w:tbl>
          <w:p>
            <w:pPr>
              <w:pStyle w:val="TAC"/>
              <w:rPr/>
            </w:pPr>
            <w:r>
              <w:rPr/>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Location reporting Message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User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User Location Info</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PSCell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UE Time Zone</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Presence Reporting Area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RAT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r>
    </w:tbl>
    <w:p>
      <w:pPr>
        <w:pStyle w:val="Normal"/>
        <w:rPr/>
      </w:pPr>
      <w:r>
        <w:rPr/>
      </w:r>
    </w:p>
    <w:p>
      <w:pPr>
        <w:pStyle w:val="Heading2"/>
        <w:rPr/>
      </w:pPr>
      <w:bookmarkStart w:id="126" w:name="__RefHeading___Toc25753288"/>
      <w:bookmarkEnd w:id="126"/>
      <w:r>
        <w:rPr>
          <w:lang w:bidi="ar-IQ"/>
        </w:rPr>
        <w:t>6.3</w:t>
        <w:tab/>
      </w:r>
      <w:r>
        <w:rPr/>
        <w:t xml:space="preserve">Bindings for </w:t>
      </w:r>
      <w:r>
        <w:rPr>
          <w:lang w:bidi="ar-IQ"/>
        </w:rPr>
        <w:t xml:space="preserve">5G connection and mobility </w:t>
      </w:r>
      <w:r>
        <w:rPr/>
        <w:t>converged charging</w:t>
      </w:r>
    </w:p>
    <w:p>
      <w:pPr>
        <w:pStyle w:val="Normal"/>
        <w:rPr/>
      </w:pPr>
      <w:r>
        <w:rPr/>
        <w:t xml:space="preserve">This mapping between the Information Elements, resource attributes and CHF CDR parameters for </w:t>
      </w:r>
      <w:r>
        <w:rPr>
          <w:lang w:bidi="ar-IQ"/>
        </w:rPr>
        <w:t xml:space="preserve">5G connection and mobility </w:t>
      </w:r>
      <w:r>
        <w:rPr/>
        <w:t xml:space="preserve">converged charging is described in clause 7 of TS 32.291 [58]. </w:t>
      </w:r>
    </w:p>
    <w:p>
      <w:pPr>
        <w:pStyle w:val="Heading8"/>
        <w:ind w:left="0" w:hanging="0"/>
        <w:rPr/>
      </w:pPr>
      <w:bookmarkStart w:id="127" w:name="__RefHeading___Toc25753289"/>
      <w:bookmarkEnd w:id="127"/>
      <w:r>
        <w:rPr>
          <w:lang w:bidi="ar-IQ"/>
        </w:rPr>
        <w:t>Annex A (normative):</w:t>
        <w:br/>
        <w:t>Charging Characteristics</w:t>
      </w:r>
    </w:p>
    <w:p>
      <w:pPr>
        <w:pStyle w:val="Heading1"/>
        <w:ind w:left="1134" w:hanging="1134"/>
        <w:rPr/>
      </w:pPr>
      <w:bookmarkStart w:id="128" w:name="__RefHeading___Toc25753290"/>
      <w:bookmarkEnd w:id="128"/>
      <w:r>
        <w:rPr>
          <w:lang w:bidi="ar-IQ"/>
        </w:rPr>
        <w:t>A.1</w:t>
        <w:tab/>
        <w:t>General</w:t>
      </w:r>
    </w:p>
    <w:p>
      <w:pPr>
        <w:pStyle w:val="Normal"/>
        <w:rPr>
          <w:lang w:bidi="ar-IQ"/>
        </w:rPr>
      </w:pPr>
      <w:r>
        <w:rPr>
          <w:lang w:bidi="ar-IQ"/>
        </w:rPr>
        <w:t xml:space="preserve">A subscriber may have Charging Characteristics assigned to his subscription. Default Charging Characteristics may also be pre-provisioned on the AMF. </w:t>
      </w:r>
    </w:p>
    <w:p>
      <w:pPr>
        <w:pStyle w:val="Normal"/>
        <w:rPr/>
      </w:pPr>
      <w:r>
        <w:rPr>
          <w:lang w:bidi="ar-IQ"/>
        </w:rPr>
        <w:t>During UE Registration, the subscribed Charging Characteristics, if any, shall override the AMF pre-provisioned Charging Characteristics. The subscribed Charging Characteristics may be transferred from old AMF during UE context transfer or retrieved from UDM.</w:t>
      </w:r>
    </w:p>
    <w:p>
      <w:pPr>
        <w:pStyle w:val="Normal"/>
        <w:rPr/>
      </w:pPr>
      <w:r>
        <w:rPr>
          <w:lang w:bidi="ar-IQ"/>
        </w:rPr>
        <w:t>The Charging Characteristics parameter consists of a string of 16 bits designated as Behaviours (B), freely defined by Operators, as shown in TS 32.298 [51]. Each bit corresponds to an index to specific charging behaviour which is configured on a per operator basis and active when the bit is set to "1" value.</w:t>
      </w:r>
    </w:p>
    <w:p>
      <w:pPr>
        <w:pStyle w:val="Normal"/>
        <w:rPr>
          <w:lang w:bidi="ar-IQ"/>
        </w:rPr>
      </w:pPr>
      <w:r>
        <w:rPr>
          <w:rFonts w:eastAsia="MS Mincho;ＭＳ 明朝"/>
          <w:lang w:eastAsia="ja-JP"/>
        </w:rPr>
        <w:t>The following Table A.1.1 provides an example of Charging Characteristics for AMF:</w:t>
      </w:r>
    </w:p>
    <w:p>
      <w:pPr>
        <w:pStyle w:val="TH"/>
        <w:rPr>
          <w:lang w:bidi="ar-IQ"/>
        </w:rPr>
      </w:pPr>
      <w:r>
        <w:rPr>
          <w:lang w:bidi="ar-IQ"/>
        </w:rPr>
        <w:t>Table A.1.1: Example of Charging Characteristics behaviours for AMF</w:t>
      </w:r>
    </w:p>
    <w:tbl>
      <w:tblPr>
        <w:tblW w:w="8298" w:type="dxa"/>
        <w:jc w:val="center"/>
        <w:tblInd w:w="0" w:type="dxa"/>
        <w:tblLayout w:type="fixed"/>
        <w:tblCellMar>
          <w:top w:w="0" w:type="dxa"/>
          <w:left w:w="108" w:type="dxa"/>
          <w:bottom w:w="0" w:type="dxa"/>
          <w:right w:w="108" w:type="dxa"/>
        </w:tblCellMar>
      </w:tblPr>
      <w:tblGrid>
        <w:gridCol w:w="1134"/>
        <w:gridCol w:w="1156"/>
        <w:gridCol w:w="729"/>
        <w:gridCol w:w="969"/>
        <w:gridCol w:w="766"/>
        <w:gridCol w:w="938"/>
        <w:gridCol w:w="763"/>
        <w:gridCol w:w="992"/>
        <w:gridCol w:w="851"/>
      </w:tblGrid>
      <w:tr>
        <w:trPr/>
        <w:tc>
          <w:tcPr>
            <w:tcW w:w="1134" w:type="dxa"/>
            <w:tcBorders>
              <w:top w:val="single" w:sz="12" w:space="0" w:color="000000"/>
              <w:left w:val="single" w:sz="12" w:space="0" w:color="000000"/>
              <w:right w:val="single" w:sz="12" w:space="0" w:color="000000"/>
            </w:tcBorders>
            <w:shd w:fill="D9D9D9" w:val="clear"/>
          </w:tcPr>
          <w:p>
            <w:pPr>
              <w:pStyle w:val="TAH"/>
              <w:snapToGrid w:val="false"/>
              <w:rPr>
                <w:rFonts w:cs="Arial"/>
                <w:szCs w:val="18"/>
                <w:lang w:bidi="ar-IQ"/>
              </w:rPr>
            </w:pPr>
            <w:r>
              <w:rPr>
                <w:rFonts w:cs="Arial"/>
                <w:szCs w:val="18"/>
                <w:lang w:bidi="ar-IQ"/>
              </w:rPr>
            </w:r>
          </w:p>
        </w:tc>
        <w:tc>
          <w:tcPr>
            <w:tcW w:w="1156" w:type="dxa"/>
            <w:tcBorders>
              <w:top w:val="single" w:sz="12" w:space="0" w:color="000000"/>
              <w:left w:val="single" w:sz="12" w:space="0" w:color="000000"/>
              <w:right w:val="single" w:sz="12" w:space="0" w:color="000000"/>
            </w:tcBorders>
            <w:shd w:fill="D9D9D9" w:val="clear"/>
          </w:tcPr>
          <w:p>
            <w:pPr>
              <w:pStyle w:val="TAH"/>
              <w:snapToGrid w:val="false"/>
              <w:rPr>
                <w:rFonts w:cs="Arial"/>
                <w:szCs w:val="18"/>
                <w:lang w:bidi="ar-IQ"/>
              </w:rPr>
            </w:pPr>
            <w:r>
              <w:rPr>
                <w:rFonts w:cs="Arial"/>
                <w:szCs w:val="18"/>
                <w:lang w:bidi="ar-IQ"/>
              </w:rPr>
            </w:r>
          </w:p>
        </w:tc>
        <w:tc>
          <w:tcPr>
            <w:tcW w:w="1698" w:type="dxa"/>
            <w:gridSpan w:val="2"/>
            <w:tcBorders>
              <w:top w:val="single" w:sz="12" w:space="0" w:color="000000"/>
              <w:left w:val="single" w:sz="12" w:space="0" w:color="000000"/>
              <w:bottom w:val="single" w:sz="4" w:space="0" w:color="000000"/>
              <w:right w:val="single" w:sz="12" w:space="0" w:color="000000"/>
            </w:tcBorders>
            <w:shd w:fill="D9D9D9" w:val="clear"/>
          </w:tcPr>
          <w:p>
            <w:pPr>
              <w:pStyle w:val="TAH"/>
              <w:rPr>
                <w:rFonts w:cs="Arial"/>
                <w:szCs w:val="18"/>
                <w:lang w:bidi="ar-IQ"/>
              </w:rPr>
            </w:pPr>
            <w:r>
              <w:rPr>
                <w:rFonts w:cs="Arial"/>
                <w:szCs w:val="18"/>
                <w:lang w:bidi="ar-IQ"/>
              </w:rPr>
              <w:t>Registration charging</w:t>
            </w:r>
          </w:p>
        </w:tc>
        <w:tc>
          <w:tcPr>
            <w:tcW w:w="1704" w:type="dxa"/>
            <w:gridSpan w:val="2"/>
            <w:tcBorders>
              <w:top w:val="single" w:sz="12" w:space="0" w:color="000000"/>
              <w:left w:val="single" w:sz="12" w:space="0" w:color="000000"/>
              <w:bottom w:val="single" w:sz="4" w:space="0" w:color="000000"/>
              <w:right w:val="single" w:sz="12" w:space="0" w:color="000000"/>
            </w:tcBorders>
            <w:shd w:fill="D9D9D9" w:val="clear"/>
          </w:tcPr>
          <w:p>
            <w:pPr>
              <w:pStyle w:val="TAH"/>
              <w:rPr>
                <w:rFonts w:cs="Arial"/>
                <w:szCs w:val="18"/>
                <w:lang w:bidi="ar-IQ"/>
              </w:rPr>
            </w:pPr>
            <w:r>
              <w:rPr>
                <w:rFonts w:cs="Arial"/>
                <w:szCs w:val="18"/>
                <w:lang w:bidi="ar-IQ"/>
              </w:rPr>
              <w:t>N2 connections charging</w:t>
            </w:r>
          </w:p>
        </w:tc>
        <w:tc>
          <w:tcPr>
            <w:tcW w:w="2606" w:type="dxa"/>
            <w:gridSpan w:val="3"/>
            <w:tcBorders>
              <w:top w:val="single" w:sz="12" w:space="0" w:color="000000"/>
              <w:left w:val="single" w:sz="12" w:space="0" w:color="000000"/>
              <w:bottom w:val="single" w:sz="4" w:space="0" w:color="000000"/>
              <w:right w:val="single" w:sz="12" w:space="0" w:color="000000"/>
            </w:tcBorders>
            <w:shd w:fill="D9D9D9" w:val="clear"/>
          </w:tcPr>
          <w:p>
            <w:pPr>
              <w:pStyle w:val="TAH"/>
              <w:rPr>
                <w:rFonts w:cs="Arial"/>
                <w:szCs w:val="18"/>
                <w:lang w:bidi="ar-IQ"/>
              </w:rPr>
            </w:pPr>
            <w:r>
              <w:rPr>
                <w:rFonts w:cs="Arial"/>
                <w:szCs w:val="18"/>
                <w:lang w:bidi="ar-IQ"/>
              </w:rPr>
              <w:t>Location reporting charging</w:t>
            </w:r>
          </w:p>
        </w:tc>
      </w:tr>
      <w:tr>
        <w:trPr/>
        <w:tc>
          <w:tcPr>
            <w:tcW w:w="1134" w:type="dxa"/>
            <w:tcBorders>
              <w:left w:val="single" w:sz="12" w:space="0" w:color="000000"/>
              <w:bottom w:val="single" w:sz="12" w:space="0" w:color="000000"/>
              <w:right w:val="single" w:sz="12" w:space="0" w:color="000000"/>
            </w:tcBorders>
            <w:shd w:fill="D9D9D9" w:val="clear"/>
          </w:tcPr>
          <w:p>
            <w:pPr>
              <w:pStyle w:val="TAH"/>
              <w:rPr/>
            </w:pPr>
            <w:r>
              <w:rPr>
                <w:rFonts w:cs="Arial"/>
                <w:szCs w:val="18"/>
                <w:lang w:bidi="ar-IQ"/>
              </w:rPr>
              <w:t xml:space="preserve">Behaviour Index </w:t>
            </w:r>
          </w:p>
          <w:p>
            <w:pPr>
              <w:pStyle w:val="TAH"/>
              <w:rPr>
                <w:rFonts w:cs="Arial"/>
                <w:szCs w:val="18"/>
                <w:lang w:bidi="ar-IQ"/>
              </w:rPr>
            </w:pPr>
            <w:r>
              <w:rPr>
                <w:rFonts w:cs="Arial"/>
                <w:szCs w:val="18"/>
                <w:lang w:bidi="ar-IQ"/>
              </w:rPr>
            </w:r>
          </w:p>
        </w:tc>
        <w:tc>
          <w:tcPr>
            <w:tcW w:w="1156" w:type="dxa"/>
            <w:tcBorders>
              <w:left w:val="single" w:sz="12" w:space="0" w:color="000000"/>
              <w:bottom w:val="single" w:sz="12" w:space="0" w:color="000000"/>
              <w:right w:val="single" w:sz="12" w:space="0" w:color="000000"/>
            </w:tcBorders>
            <w:shd w:fill="D9D9D9" w:val="clear"/>
          </w:tcPr>
          <w:p>
            <w:pPr>
              <w:pStyle w:val="TAH"/>
              <w:rPr/>
            </w:pPr>
            <w:r>
              <w:rPr>
                <w:rFonts w:cs="Arial"/>
                <w:bCs/>
                <w:szCs w:val="18"/>
              </w:rPr>
              <w:t>Primary and Secondary CHF</w:t>
            </w:r>
          </w:p>
          <w:p>
            <w:pPr>
              <w:pStyle w:val="TAH"/>
              <w:rPr>
                <w:rFonts w:cs="Arial"/>
                <w:bCs/>
                <w:szCs w:val="18"/>
                <w:lang w:bidi="ar-IQ"/>
              </w:rPr>
            </w:pPr>
            <w:r>
              <w:rPr>
                <w:rFonts w:cs="Arial"/>
                <w:bCs/>
                <w:szCs w:val="18"/>
              </w:rPr>
              <w:t>addresses</w:t>
            </w:r>
          </w:p>
        </w:tc>
        <w:tc>
          <w:tcPr>
            <w:tcW w:w="729" w:type="dxa"/>
            <w:tcBorders>
              <w:top w:val="single" w:sz="4" w:space="0" w:color="000000"/>
              <w:left w:val="single" w:sz="12" w:space="0" w:color="000000"/>
              <w:bottom w:val="single" w:sz="12" w:space="0" w:color="000000"/>
              <w:right w:val="single" w:sz="4" w:space="0" w:color="000000"/>
            </w:tcBorders>
            <w:shd w:fill="D9D9D9" w:val="clear"/>
          </w:tcPr>
          <w:p>
            <w:pPr>
              <w:pStyle w:val="TAH"/>
              <w:rPr>
                <w:rFonts w:cs="Arial"/>
                <w:bCs/>
                <w:szCs w:val="18"/>
                <w:lang w:bidi="ar-IQ"/>
              </w:rPr>
            </w:pPr>
            <w:r>
              <w:rPr>
                <w:rFonts w:cs="Arial"/>
                <w:bCs/>
                <w:szCs w:val="18"/>
                <w:lang w:bidi="ar-IQ"/>
              </w:rPr>
              <w:t>Active</w:t>
            </w:r>
          </w:p>
        </w:tc>
        <w:tc>
          <w:tcPr>
            <w:tcW w:w="969" w:type="dxa"/>
            <w:tcBorders>
              <w:top w:val="single" w:sz="4" w:space="0" w:color="000000"/>
              <w:left w:val="single" w:sz="4" w:space="0" w:color="000000"/>
              <w:bottom w:val="single" w:sz="12" w:space="0" w:color="000000"/>
              <w:right w:val="single" w:sz="4" w:space="0" w:color="000000"/>
            </w:tcBorders>
            <w:shd w:fill="D9D9D9" w:val="clear"/>
          </w:tcPr>
          <w:p>
            <w:pPr>
              <w:pStyle w:val="TAH"/>
              <w:rPr>
                <w:rFonts w:cs="Arial"/>
                <w:bCs/>
                <w:szCs w:val="18"/>
              </w:rPr>
            </w:pPr>
            <w:r>
              <w:rPr>
                <w:rFonts w:cs="Arial"/>
                <w:bCs/>
                <w:szCs w:val="18"/>
              </w:rPr>
              <w:t>Charging scenario</w:t>
            </w:r>
          </w:p>
        </w:tc>
        <w:tc>
          <w:tcPr>
            <w:tcW w:w="766" w:type="dxa"/>
            <w:tcBorders>
              <w:top w:val="single" w:sz="4" w:space="0" w:color="000000"/>
              <w:left w:val="single" w:sz="12" w:space="0" w:color="000000"/>
              <w:bottom w:val="single" w:sz="12" w:space="0" w:color="000000"/>
              <w:right w:val="single" w:sz="4" w:space="0" w:color="000000"/>
            </w:tcBorders>
            <w:shd w:fill="D9D9D9" w:val="clear"/>
          </w:tcPr>
          <w:p>
            <w:pPr>
              <w:pStyle w:val="TAH"/>
              <w:rPr>
                <w:rFonts w:cs="Arial"/>
                <w:szCs w:val="18"/>
                <w:lang w:bidi="ar-IQ"/>
              </w:rPr>
            </w:pPr>
            <w:r>
              <w:rPr>
                <w:rFonts w:cs="Arial"/>
                <w:szCs w:val="18"/>
                <w:lang w:bidi="ar-IQ"/>
              </w:rPr>
              <w:t>Active</w:t>
            </w:r>
          </w:p>
        </w:tc>
        <w:tc>
          <w:tcPr>
            <w:tcW w:w="938" w:type="dxa"/>
            <w:tcBorders>
              <w:top w:val="single" w:sz="4" w:space="0" w:color="000000"/>
              <w:left w:val="single" w:sz="4" w:space="0" w:color="000000"/>
              <w:bottom w:val="single" w:sz="12" w:space="0" w:color="000000"/>
              <w:right w:val="single" w:sz="12" w:space="0" w:color="000000"/>
            </w:tcBorders>
            <w:shd w:fill="D9D9D9" w:val="clear"/>
          </w:tcPr>
          <w:p>
            <w:pPr>
              <w:pStyle w:val="TAH"/>
              <w:rPr>
                <w:rFonts w:cs="Arial"/>
                <w:szCs w:val="18"/>
                <w:lang w:bidi="ar-IQ"/>
              </w:rPr>
            </w:pPr>
            <w:r>
              <w:rPr>
                <w:rFonts w:cs="Arial"/>
                <w:bCs/>
                <w:szCs w:val="18"/>
              </w:rPr>
              <w:t>Charging scenario</w:t>
            </w:r>
          </w:p>
        </w:tc>
        <w:tc>
          <w:tcPr>
            <w:tcW w:w="763" w:type="dxa"/>
            <w:tcBorders>
              <w:top w:val="single" w:sz="4" w:space="0" w:color="000000"/>
              <w:left w:val="single" w:sz="4" w:space="0" w:color="000000"/>
              <w:bottom w:val="single" w:sz="12" w:space="0" w:color="000000"/>
              <w:right w:val="single" w:sz="4" w:space="0" w:color="000000"/>
            </w:tcBorders>
            <w:shd w:fill="D9D9D9" w:val="clear"/>
          </w:tcPr>
          <w:p>
            <w:pPr>
              <w:pStyle w:val="TAH"/>
              <w:rPr>
                <w:rFonts w:cs="Arial"/>
                <w:bCs/>
                <w:szCs w:val="18"/>
              </w:rPr>
            </w:pPr>
            <w:r>
              <w:rPr>
                <w:rFonts w:cs="Arial"/>
                <w:bCs/>
                <w:szCs w:val="18"/>
                <w:lang w:bidi="ar-IQ"/>
              </w:rPr>
              <w:t>Active</w:t>
            </w:r>
          </w:p>
        </w:tc>
        <w:tc>
          <w:tcPr>
            <w:tcW w:w="992" w:type="dxa"/>
            <w:tcBorders>
              <w:top w:val="single" w:sz="4" w:space="0" w:color="000000"/>
              <w:left w:val="single" w:sz="4" w:space="0" w:color="000000"/>
              <w:bottom w:val="single" w:sz="12" w:space="0" w:color="000000"/>
              <w:right w:val="single" w:sz="4" w:space="0" w:color="000000"/>
            </w:tcBorders>
            <w:shd w:fill="D9D9D9" w:val="clear"/>
          </w:tcPr>
          <w:p>
            <w:pPr>
              <w:pStyle w:val="TAH"/>
              <w:rPr/>
            </w:pPr>
            <w:r>
              <w:rPr>
                <w:rFonts w:cs="Arial"/>
                <w:bCs/>
                <w:szCs w:val="18"/>
              </w:rPr>
              <w:t>Charging scenario</w:t>
            </w:r>
          </w:p>
        </w:tc>
        <w:tc>
          <w:tcPr>
            <w:tcW w:w="851" w:type="dxa"/>
            <w:tcBorders>
              <w:top w:val="single" w:sz="4" w:space="0" w:color="000000"/>
              <w:left w:val="single" w:sz="4" w:space="0" w:color="000000"/>
              <w:bottom w:val="single" w:sz="12" w:space="0" w:color="000000"/>
              <w:right w:val="single" w:sz="12" w:space="0" w:color="000000"/>
            </w:tcBorders>
            <w:shd w:fill="D9D9D9" w:val="clear"/>
          </w:tcPr>
          <w:p>
            <w:pPr>
              <w:pStyle w:val="TAH"/>
              <w:rPr>
                <w:rFonts w:cs="Arial"/>
                <w:bCs/>
                <w:szCs w:val="18"/>
              </w:rPr>
            </w:pPr>
            <w:r>
              <w:rPr>
                <w:rFonts w:cs="Arial"/>
                <w:bCs/>
                <w:szCs w:val="18"/>
              </w:rPr>
              <w:t>Level</w:t>
            </w:r>
          </w:p>
        </w:tc>
      </w:tr>
      <w:tr>
        <w:trPr/>
        <w:tc>
          <w:tcPr>
            <w:tcW w:w="1134" w:type="dxa"/>
            <w:tcBorders>
              <w:top w:val="single" w:sz="12" w:space="0" w:color="000000"/>
              <w:left w:val="single" w:sz="12" w:space="0" w:color="000000"/>
              <w:bottom w:val="single" w:sz="4" w:space="0" w:color="000000"/>
              <w:right w:val="single" w:sz="12" w:space="0" w:color="000000"/>
            </w:tcBorders>
          </w:tcPr>
          <w:p>
            <w:pPr>
              <w:pStyle w:val="TAC"/>
              <w:rPr>
                <w:rFonts w:cs="Arial"/>
                <w:szCs w:val="18"/>
                <w:lang w:bidi="ar-IQ"/>
              </w:rPr>
            </w:pPr>
            <w:r>
              <w:rPr>
                <w:rFonts w:cs="Arial"/>
                <w:szCs w:val="18"/>
                <w:lang w:bidi="ar-IQ"/>
              </w:rPr>
              <w:t>0</w:t>
            </w:r>
          </w:p>
        </w:tc>
        <w:tc>
          <w:tcPr>
            <w:tcW w:w="1156" w:type="dxa"/>
            <w:tcBorders>
              <w:top w:val="single" w:sz="12" w:space="0" w:color="000000"/>
              <w:left w:val="single" w:sz="12" w:space="0" w:color="000000"/>
              <w:bottom w:val="single" w:sz="4" w:space="0" w:color="000000"/>
              <w:right w:val="single" w:sz="12" w:space="0" w:color="000000"/>
            </w:tcBorders>
          </w:tcPr>
          <w:p>
            <w:pPr>
              <w:pStyle w:val="TAC"/>
              <w:rPr>
                <w:rFonts w:cs="Arial"/>
                <w:szCs w:val="18"/>
                <w:lang w:eastAsia="zh-CN"/>
              </w:rPr>
            </w:pPr>
            <w:r>
              <w:rPr>
                <w:rFonts w:cs="Arial"/>
                <w:szCs w:val="18"/>
                <w:lang w:eastAsia="zh-CN"/>
              </w:rPr>
              <w:t>URI 1</w:t>
            </w:r>
          </w:p>
          <w:p>
            <w:pPr>
              <w:pStyle w:val="TAC"/>
              <w:rPr>
                <w:rFonts w:cs="Arial"/>
                <w:szCs w:val="18"/>
                <w:lang w:bidi="ar-IQ"/>
              </w:rPr>
            </w:pPr>
            <w:r>
              <w:rPr>
                <w:rFonts w:cs="Arial"/>
                <w:szCs w:val="18"/>
                <w:lang w:eastAsia="zh-CN"/>
              </w:rPr>
              <w:t>URI 2</w:t>
            </w:r>
          </w:p>
        </w:tc>
        <w:tc>
          <w:tcPr>
            <w:tcW w:w="729" w:type="dxa"/>
            <w:tcBorders>
              <w:top w:val="single" w:sz="12" w:space="0" w:color="000000"/>
              <w:left w:val="single" w:sz="12" w:space="0" w:color="000000"/>
              <w:bottom w:val="single" w:sz="4" w:space="0" w:color="000000"/>
              <w:right w:val="single" w:sz="4" w:space="0" w:color="000000"/>
            </w:tcBorders>
          </w:tcPr>
          <w:p>
            <w:pPr>
              <w:pStyle w:val="TAC"/>
              <w:rPr>
                <w:rFonts w:cs="Arial"/>
                <w:szCs w:val="18"/>
                <w:lang w:bidi="ar-IQ"/>
              </w:rPr>
            </w:pPr>
            <w:r>
              <w:rPr>
                <w:rFonts w:cs="Arial"/>
                <w:szCs w:val="18"/>
                <w:lang w:bidi="ar-IQ"/>
              </w:rPr>
              <w:t>Yes</w:t>
            </w:r>
          </w:p>
        </w:tc>
        <w:tc>
          <w:tcPr>
            <w:tcW w:w="969" w:type="dxa"/>
            <w:tcBorders>
              <w:top w:val="single" w:sz="12" w:space="0" w:color="000000"/>
              <w:left w:val="single" w:sz="4" w:space="0" w:color="000000"/>
              <w:bottom w:val="single" w:sz="4" w:space="0" w:color="000000"/>
              <w:right w:val="single" w:sz="4" w:space="0" w:color="000000"/>
            </w:tcBorders>
          </w:tcPr>
          <w:p>
            <w:pPr>
              <w:pStyle w:val="TAC"/>
              <w:rPr>
                <w:rFonts w:cs="Arial"/>
                <w:szCs w:val="18"/>
                <w:lang w:bidi="ar-IQ"/>
              </w:rPr>
            </w:pPr>
            <w:r>
              <w:rPr>
                <w:rFonts w:cs="Arial"/>
                <w:szCs w:val="18"/>
                <w:lang w:bidi="ar-IQ"/>
              </w:rPr>
              <w:t>ECUR</w:t>
            </w:r>
          </w:p>
        </w:tc>
        <w:tc>
          <w:tcPr>
            <w:tcW w:w="766" w:type="dxa"/>
            <w:tcBorders>
              <w:top w:val="single" w:sz="12" w:space="0" w:color="000000"/>
              <w:left w:val="single" w:sz="12" w:space="0" w:color="000000"/>
              <w:bottom w:val="single" w:sz="4" w:space="0" w:color="000000"/>
              <w:right w:val="single" w:sz="4" w:space="0" w:color="000000"/>
            </w:tcBorders>
          </w:tcPr>
          <w:p>
            <w:pPr>
              <w:pStyle w:val="TAC"/>
              <w:rPr>
                <w:rFonts w:cs="Arial"/>
                <w:szCs w:val="18"/>
                <w:lang w:bidi="ar-IQ"/>
              </w:rPr>
            </w:pPr>
            <w:r>
              <w:rPr>
                <w:rFonts w:cs="Arial"/>
                <w:szCs w:val="18"/>
                <w:lang w:bidi="ar-IQ"/>
              </w:rPr>
              <w:t>No</w:t>
            </w:r>
          </w:p>
        </w:tc>
        <w:tc>
          <w:tcPr>
            <w:tcW w:w="938" w:type="dxa"/>
            <w:tcBorders>
              <w:top w:val="single" w:sz="12" w:space="0" w:color="000000"/>
              <w:left w:val="single" w:sz="4" w:space="0" w:color="000000"/>
              <w:bottom w:val="single" w:sz="4" w:space="0" w:color="000000"/>
              <w:right w:val="single" w:sz="12" w:space="0" w:color="000000"/>
            </w:tcBorders>
          </w:tcPr>
          <w:p>
            <w:pPr>
              <w:pStyle w:val="TAC"/>
              <w:rPr>
                <w:rFonts w:cs="Arial"/>
                <w:szCs w:val="18"/>
                <w:lang w:bidi="ar-IQ"/>
              </w:rPr>
            </w:pPr>
            <w:r>
              <w:rPr>
                <w:rFonts w:cs="Arial"/>
                <w:szCs w:val="18"/>
                <w:lang w:bidi="ar-IQ"/>
              </w:rPr>
              <w:t>-</w:t>
            </w:r>
          </w:p>
        </w:tc>
        <w:tc>
          <w:tcPr>
            <w:tcW w:w="763" w:type="dxa"/>
            <w:tcBorders>
              <w:top w:val="single" w:sz="12" w:space="0" w:color="000000"/>
              <w:left w:val="single" w:sz="4" w:space="0" w:color="000000"/>
              <w:bottom w:val="single" w:sz="4" w:space="0" w:color="000000"/>
              <w:right w:val="single" w:sz="4" w:space="0" w:color="000000"/>
            </w:tcBorders>
          </w:tcPr>
          <w:p>
            <w:pPr>
              <w:pStyle w:val="TAC"/>
              <w:rPr/>
            </w:pPr>
            <w:r>
              <w:rPr>
                <w:rFonts w:cs="Arial"/>
                <w:szCs w:val="18"/>
                <w:lang w:bidi="ar-IQ"/>
              </w:rPr>
              <w:t>No</w:t>
            </w:r>
          </w:p>
        </w:tc>
        <w:tc>
          <w:tcPr>
            <w:tcW w:w="992" w:type="dxa"/>
            <w:tcBorders>
              <w:top w:val="single" w:sz="12" w:space="0" w:color="000000"/>
              <w:left w:val="single" w:sz="4" w:space="0" w:color="000000"/>
              <w:bottom w:val="single" w:sz="4" w:space="0" w:color="000000"/>
              <w:right w:val="single" w:sz="4" w:space="0" w:color="000000"/>
            </w:tcBorders>
          </w:tcPr>
          <w:p>
            <w:pPr>
              <w:pStyle w:val="TAC"/>
              <w:rPr>
                <w:rFonts w:cs="Arial"/>
                <w:szCs w:val="18"/>
                <w:lang w:bidi="ar-IQ"/>
              </w:rPr>
            </w:pPr>
            <w:r>
              <w:rPr>
                <w:rFonts w:cs="Arial"/>
                <w:szCs w:val="18"/>
                <w:lang w:bidi="ar-IQ"/>
              </w:rPr>
              <w:t>-</w:t>
            </w:r>
          </w:p>
        </w:tc>
        <w:tc>
          <w:tcPr>
            <w:tcW w:w="851" w:type="dxa"/>
            <w:tcBorders>
              <w:top w:val="single" w:sz="12" w:space="0" w:color="000000"/>
              <w:left w:val="single" w:sz="4" w:space="0" w:color="000000"/>
              <w:bottom w:val="single" w:sz="4" w:space="0" w:color="000000"/>
              <w:right w:val="single" w:sz="12" w:space="0" w:color="000000"/>
            </w:tcBorders>
          </w:tcPr>
          <w:p>
            <w:pPr>
              <w:pStyle w:val="TAC"/>
              <w:snapToGrid w:val="false"/>
              <w:rPr>
                <w:rFonts w:cs="Arial"/>
                <w:szCs w:val="18"/>
                <w:lang w:bidi="ar-IQ"/>
              </w:rPr>
            </w:pPr>
            <w:r>
              <w:rPr>
                <w:rFonts w:cs="Arial"/>
                <w:szCs w:val="18"/>
                <w:lang w:bidi="ar-IQ"/>
              </w:rPr>
            </w:r>
          </w:p>
        </w:tc>
      </w:tr>
      <w:tr>
        <w:trPr/>
        <w:tc>
          <w:tcPr>
            <w:tcW w:w="1134" w:type="dxa"/>
            <w:tcBorders>
              <w:top w:val="single" w:sz="4" w:space="0" w:color="000000"/>
              <w:left w:val="single" w:sz="12" w:space="0" w:color="000000"/>
              <w:bottom w:val="single" w:sz="4" w:space="0" w:color="000000"/>
              <w:right w:val="single" w:sz="12" w:space="0" w:color="000000"/>
            </w:tcBorders>
          </w:tcPr>
          <w:p>
            <w:pPr>
              <w:pStyle w:val="TAC"/>
              <w:rPr>
                <w:rFonts w:cs="Arial"/>
                <w:szCs w:val="18"/>
                <w:lang w:bidi="ar-IQ"/>
              </w:rPr>
            </w:pPr>
            <w:r>
              <w:rPr>
                <w:rFonts w:cs="Arial"/>
                <w:szCs w:val="18"/>
                <w:lang w:bidi="ar-IQ"/>
              </w:rPr>
              <w:t>1</w:t>
            </w:r>
          </w:p>
        </w:tc>
        <w:tc>
          <w:tcPr>
            <w:tcW w:w="1156" w:type="dxa"/>
            <w:tcBorders>
              <w:top w:val="single" w:sz="4" w:space="0" w:color="000000"/>
              <w:left w:val="single" w:sz="12" w:space="0" w:color="000000"/>
              <w:bottom w:val="single" w:sz="4" w:space="0" w:color="000000"/>
              <w:right w:val="single" w:sz="12" w:space="0" w:color="000000"/>
            </w:tcBorders>
          </w:tcPr>
          <w:p>
            <w:pPr>
              <w:pStyle w:val="TAC"/>
              <w:rPr>
                <w:rFonts w:cs="Arial"/>
                <w:szCs w:val="18"/>
                <w:lang w:eastAsia="zh-CN"/>
              </w:rPr>
            </w:pPr>
            <w:r>
              <w:rPr>
                <w:rFonts w:cs="Arial"/>
                <w:szCs w:val="18"/>
                <w:lang w:eastAsia="zh-CN"/>
              </w:rPr>
              <w:t>URI 1</w:t>
            </w:r>
          </w:p>
          <w:p>
            <w:pPr>
              <w:pStyle w:val="TAC"/>
              <w:rPr>
                <w:rFonts w:cs="Arial"/>
                <w:szCs w:val="18"/>
                <w:lang w:eastAsia="zh-CN"/>
              </w:rPr>
            </w:pPr>
            <w:r>
              <w:rPr>
                <w:rFonts w:cs="Arial"/>
                <w:szCs w:val="18"/>
                <w:lang w:eastAsia="zh-CN"/>
              </w:rPr>
              <w:t>URI 2</w:t>
            </w:r>
          </w:p>
        </w:tc>
        <w:tc>
          <w:tcPr>
            <w:tcW w:w="729" w:type="dxa"/>
            <w:tcBorders>
              <w:top w:val="single" w:sz="4" w:space="0" w:color="000000"/>
              <w:left w:val="single" w:sz="12" w:space="0" w:color="000000"/>
              <w:bottom w:val="single" w:sz="4" w:space="0" w:color="000000"/>
              <w:right w:val="single" w:sz="4" w:space="0" w:color="000000"/>
            </w:tcBorders>
          </w:tcPr>
          <w:p>
            <w:pPr>
              <w:pStyle w:val="TAC"/>
              <w:rPr>
                <w:rFonts w:cs="Arial"/>
                <w:szCs w:val="18"/>
                <w:lang w:bidi="ar-IQ"/>
              </w:rPr>
            </w:pPr>
            <w:r>
              <w:rPr>
                <w:rFonts w:cs="Arial"/>
                <w:szCs w:val="18"/>
                <w:lang w:bidi="ar-IQ"/>
              </w:rPr>
              <w:t>Yes</w:t>
            </w:r>
          </w:p>
        </w:tc>
        <w:tc>
          <w:tcPr>
            <w:tcW w:w="969" w:type="dxa"/>
            <w:tcBorders>
              <w:top w:val="single" w:sz="4" w:space="0" w:color="000000"/>
              <w:left w:val="single" w:sz="4" w:space="0" w:color="000000"/>
              <w:bottom w:val="single" w:sz="4" w:space="0" w:color="000000"/>
              <w:right w:val="single" w:sz="4" w:space="0" w:color="000000"/>
            </w:tcBorders>
          </w:tcPr>
          <w:p>
            <w:pPr>
              <w:pStyle w:val="TAC"/>
              <w:rPr>
                <w:rFonts w:cs="Arial"/>
                <w:szCs w:val="18"/>
                <w:lang w:bidi="ar-IQ"/>
              </w:rPr>
            </w:pPr>
            <w:r>
              <w:rPr>
                <w:rFonts w:cs="Arial"/>
                <w:szCs w:val="18"/>
                <w:lang w:bidi="ar-IQ"/>
              </w:rPr>
              <w:t>IEC</w:t>
            </w:r>
          </w:p>
        </w:tc>
        <w:tc>
          <w:tcPr>
            <w:tcW w:w="766" w:type="dxa"/>
            <w:tcBorders>
              <w:top w:val="single" w:sz="4" w:space="0" w:color="000000"/>
              <w:left w:val="single" w:sz="12" w:space="0" w:color="000000"/>
              <w:bottom w:val="single" w:sz="4" w:space="0" w:color="000000"/>
              <w:right w:val="single" w:sz="4" w:space="0" w:color="000000"/>
            </w:tcBorders>
          </w:tcPr>
          <w:p>
            <w:pPr>
              <w:pStyle w:val="TAC"/>
              <w:rPr>
                <w:rFonts w:cs="Arial"/>
                <w:szCs w:val="18"/>
                <w:lang w:bidi="ar-IQ"/>
              </w:rPr>
            </w:pPr>
            <w:r>
              <w:rPr>
                <w:rFonts w:cs="Arial"/>
                <w:szCs w:val="18"/>
                <w:lang w:bidi="ar-IQ"/>
              </w:rPr>
              <w:t>Yes</w:t>
            </w:r>
          </w:p>
        </w:tc>
        <w:tc>
          <w:tcPr>
            <w:tcW w:w="938" w:type="dxa"/>
            <w:tcBorders>
              <w:top w:val="single" w:sz="4" w:space="0" w:color="000000"/>
              <w:left w:val="single" w:sz="4" w:space="0" w:color="000000"/>
              <w:bottom w:val="single" w:sz="4" w:space="0" w:color="000000"/>
              <w:right w:val="single" w:sz="12" w:space="0" w:color="000000"/>
            </w:tcBorders>
          </w:tcPr>
          <w:p>
            <w:pPr>
              <w:pStyle w:val="TAC"/>
              <w:rPr>
                <w:rFonts w:cs="Arial"/>
                <w:szCs w:val="18"/>
                <w:lang w:bidi="ar-IQ"/>
              </w:rPr>
            </w:pPr>
            <w:r>
              <w:rPr>
                <w:rFonts w:cs="Arial"/>
                <w:szCs w:val="18"/>
                <w:lang w:bidi="ar-IQ"/>
              </w:rPr>
              <w:t>PEC</w:t>
            </w:r>
          </w:p>
        </w:tc>
        <w:tc>
          <w:tcPr>
            <w:tcW w:w="763" w:type="dxa"/>
            <w:tcBorders>
              <w:top w:val="single" w:sz="4" w:space="0" w:color="000000"/>
              <w:left w:val="single" w:sz="4" w:space="0" w:color="000000"/>
              <w:bottom w:val="single" w:sz="4" w:space="0" w:color="000000"/>
              <w:right w:val="single" w:sz="4" w:space="0" w:color="000000"/>
            </w:tcBorders>
          </w:tcPr>
          <w:p>
            <w:pPr>
              <w:pStyle w:val="TAC"/>
              <w:rPr>
                <w:rFonts w:cs="Arial"/>
                <w:szCs w:val="18"/>
                <w:lang w:bidi="ar-IQ"/>
              </w:rPr>
            </w:pPr>
            <w:r>
              <w:rPr>
                <w:rFonts w:cs="Arial"/>
                <w:szCs w:val="18"/>
                <w:lang w:bidi="ar-IQ"/>
              </w:rPr>
              <w:t>Yes</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bidi="ar-IQ"/>
              </w:rPr>
              <w:t>PEC</w:t>
            </w:r>
          </w:p>
        </w:tc>
        <w:tc>
          <w:tcPr>
            <w:tcW w:w="851" w:type="dxa"/>
            <w:tcBorders>
              <w:top w:val="single" w:sz="4" w:space="0" w:color="000000"/>
              <w:left w:val="single" w:sz="4" w:space="0" w:color="000000"/>
              <w:bottom w:val="single" w:sz="4" w:space="0" w:color="000000"/>
              <w:right w:val="single" w:sz="12" w:space="0" w:color="000000"/>
            </w:tcBorders>
          </w:tcPr>
          <w:p>
            <w:pPr>
              <w:pStyle w:val="TAC"/>
              <w:rPr/>
            </w:pPr>
            <w:r>
              <w:rPr>
                <w:rFonts w:cs="Arial"/>
                <w:szCs w:val="18"/>
                <w:lang w:bidi="ar-IQ"/>
              </w:rPr>
              <w:t>TAI, Cell</w:t>
            </w:r>
          </w:p>
        </w:tc>
      </w:tr>
      <w:tr>
        <w:trPr/>
        <w:tc>
          <w:tcPr>
            <w:tcW w:w="1134" w:type="dxa"/>
            <w:tcBorders>
              <w:top w:val="single" w:sz="4" w:space="0" w:color="000000"/>
              <w:left w:val="single" w:sz="12" w:space="0" w:color="000000"/>
              <w:bottom w:val="single" w:sz="4" w:space="0" w:color="000000"/>
              <w:right w:val="single" w:sz="12" w:space="0" w:color="000000"/>
            </w:tcBorders>
          </w:tcPr>
          <w:p>
            <w:pPr>
              <w:pStyle w:val="TAC"/>
              <w:rPr>
                <w:rFonts w:cs="Arial"/>
                <w:szCs w:val="18"/>
                <w:lang w:bidi="ar-IQ"/>
              </w:rPr>
            </w:pPr>
            <w:r>
              <w:rPr>
                <w:rFonts w:cs="Arial"/>
                <w:szCs w:val="18"/>
                <w:lang w:bidi="ar-IQ"/>
              </w:rPr>
              <w:t>2</w:t>
            </w:r>
          </w:p>
        </w:tc>
        <w:tc>
          <w:tcPr>
            <w:tcW w:w="1156" w:type="dxa"/>
            <w:tcBorders>
              <w:top w:val="single" w:sz="4" w:space="0" w:color="000000"/>
              <w:left w:val="single" w:sz="12" w:space="0" w:color="000000"/>
              <w:bottom w:val="single" w:sz="4" w:space="0" w:color="000000"/>
              <w:right w:val="single" w:sz="12" w:space="0" w:color="000000"/>
            </w:tcBorders>
          </w:tcPr>
          <w:p>
            <w:pPr>
              <w:pStyle w:val="TAC"/>
              <w:rPr>
                <w:rFonts w:cs="Arial"/>
                <w:szCs w:val="18"/>
                <w:lang w:eastAsia="zh-CN"/>
              </w:rPr>
            </w:pPr>
            <w:r>
              <w:rPr>
                <w:rFonts w:cs="Arial"/>
                <w:szCs w:val="18"/>
                <w:lang w:eastAsia="zh-CN"/>
              </w:rPr>
              <w:t>URI 1</w:t>
            </w:r>
          </w:p>
          <w:p>
            <w:pPr>
              <w:pStyle w:val="TAC"/>
              <w:rPr>
                <w:rFonts w:cs="Arial"/>
                <w:szCs w:val="18"/>
                <w:lang w:bidi="ar-IQ"/>
              </w:rPr>
            </w:pPr>
            <w:r>
              <w:rPr>
                <w:rFonts w:cs="Arial"/>
                <w:szCs w:val="18"/>
                <w:lang w:eastAsia="zh-CN"/>
              </w:rPr>
              <w:t>URI 2</w:t>
            </w:r>
          </w:p>
        </w:tc>
        <w:tc>
          <w:tcPr>
            <w:tcW w:w="729" w:type="dxa"/>
            <w:tcBorders>
              <w:top w:val="single" w:sz="4" w:space="0" w:color="000000"/>
              <w:left w:val="single" w:sz="12" w:space="0" w:color="000000"/>
              <w:bottom w:val="single" w:sz="4" w:space="0" w:color="000000"/>
              <w:right w:val="single" w:sz="4" w:space="0" w:color="000000"/>
            </w:tcBorders>
          </w:tcPr>
          <w:p>
            <w:pPr>
              <w:pStyle w:val="TAC"/>
              <w:rPr>
                <w:rFonts w:cs="Arial"/>
                <w:szCs w:val="18"/>
                <w:lang w:bidi="ar-IQ"/>
              </w:rPr>
            </w:pPr>
            <w:r>
              <w:rPr>
                <w:rFonts w:cs="Arial"/>
                <w:szCs w:val="18"/>
                <w:lang w:bidi="ar-IQ"/>
              </w:rPr>
              <w:t>Yes</w:t>
            </w:r>
          </w:p>
        </w:tc>
        <w:tc>
          <w:tcPr>
            <w:tcW w:w="969" w:type="dxa"/>
            <w:tcBorders>
              <w:top w:val="single" w:sz="4" w:space="0" w:color="000000"/>
              <w:left w:val="single" w:sz="4" w:space="0" w:color="000000"/>
              <w:bottom w:val="single" w:sz="4" w:space="0" w:color="000000"/>
              <w:right w:val="single" w:sz="4" w:space="0" w:color="000000"/>
            </w:tcBorders>
          </w:tcPr>
          <w:p>
            <w:pPr>
              <w:pStyle w:val="TAC"/>
              <w:rPr>
                <w:rFonts w:cs="Arial"/>
                <w:szCs w:val="18"/>
                <w:lang w:bidi="ar-IQ"/>
              </w:rPr>
            </w:pPr>
            <w:r>
              <w:rPr>
                <w:rFonts w:cs="Arial"/>
                <w:szCs w:val="18"/>
                <w:lang w:bidi="ar-IQ"/>
              </w:rPr>
              <w:t>PEC</w:t>
            </w:r>
          </w:p>
        </w:tc>
        <w:tc>
          <w:tcPr>
            <w:tcW w:w="766" w:type="dxa"/>
            <w:tcBorders>
              <w:top w:val="single" w:sz="4" w:space="0" w:color="000000"/>
              <w:left w:val="single" w:sz="12" w:space="0" w:color="000000"/>
              <w:bottom w:val="single" w:sz="4" w:space="0" w:color="000000"/>
              <w:right w:val="single" w:sz="4" w:space="0" w:color="000000"/>
            </w:tcBorders>
          </w:tcPr>
          <w:p>
            <w:pPr>
              <w:pStyle w:val="TAC"/>
              <w:rPr>
                <w:rFonts w:cs="Arial"/>
                <w:szCs w:val="18"/>
                <w:lang w:bidi="ar-IQ"/>
              </w:rPr>
            </w:pPr>
            <w:r>
              <w:rPr>
                <w:rFonts w:cs="Arial"/>
                <w:szCs w:val="18"/>
                <w:lang w:bidi="ar-IQ"/>
              </w:rPr>
              <w:t>No</w:t>
            </w:r>
          </w:p>
        </w:tc>
        <w:tc>
          <w:tcPr>
            <w:tcW w:w="938" w:type="dxa"/>
            <w:tcBorders>
              <w:top w:val="single" w:sz="4" w:space="0" w:color="000000"/>
              <w:left w:val="single" w:sz="4" w:space="0" w:color="000000"/>
              <w:bottom w:val="single" w:sz="4" w:space="0" w:color="000000"/>
              <w:right w:val="single" w:sz="12" w:space="0" w:color="000000"/>
            </w:tcBorders>
          </w:tcPr>
          <w:p>
            <w:pPr>
              <w:pStyle w:val="TAC"/>
              <w:rPr>
                <w:rFonts w:cs="Arial"/>
                <w:szCs w:val="18"/>
                <w:lang w:bidi="ar-IQ"/>
              </w:rPr>
            </w:pPr>
            <w:r>
              <w:rPr>
                <w:rFonts w:cs="Arial"/>
                <w:szCs w:val="18"/>
                <w:lang w:bidi="ar-IQ"/>
              </w:rPr>
              <w:t>-</w:t>
            </w:r>
          </w:p>
        </w:tc>
        <w:tc>
          <w:tcPr>
            <w:tcW w:w="763" w:type="dxa"/>
            <w:tcBorders>
              <w:top w:val="single" w:sz="4" w:space="0" w:color="000000"/>
              <w:left w:val="single" w:sz="4" w:space="0" w:color="000000"/>
              <w:bottom w:val="single" w:sz="4" w:space="0" w:color="000000"/>
              <w:right w:val="single" w:sz="4" w:space="0" w:color="000000"/>
            </w:tcBorders>
          </w:tcPr>
          <w:p>
            <w:pPr>
              <w:pStyle w:val="TAC"/>
              <w:rPr>
                <w:rFonts w:cs="Arial"/>
                <w:szCs w:val="18"/>
                <w:lang w:bidi="ar-IQ"/>
              </w:rPr>
            </w:pPr>
            <w:r>
              <w:rPr>
                <w:rFonts w:cs="Arial"/>
                <w:szCs w:val="18"/>
                <w:lang w:bidi="ar-IQ"/>
              </w:rPr>
              <w:t>Yes</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bidi="ar-IQ"/>
              </w:rPr>
              <w:t>PEC</w:t>
            </w:r>
          </w:p>
        </w:tc>
        <w:tc>
          <w:tcPr>
            <w:tcW w:w="851" w:type="dxa"/>
            <w:tcBorders>
              <w:top w:val="single" w:sz="4" w:space="0" w:color="000000"/>
              <w:left w:val="single" w:sz="4" w:space="0" w:color="000000"/>
              <w:bottom w:val="single" w:sz="4" w:space="0" w:color="000000"/>
              <w:right w:val="single" w:sz="12" w:space="0" w:color="000000"/>
            </w:tcBorders>
          </w:tcPr>
          <w:p>
            <w:pPr>
              <w:pStyle w:val="TAC"/>
              <w:rPr>
                <w:rFonts w:cs="Arial"/>
                <w:szCs w:val="18"/>
                <w:lang w:bidi="ar-IQ"/>
              </w:rPr>
            </w:pPr>
            <w:r>
              <w:rPr>
                <w:rFonts w:cs="Arial"/>
                <w:szCs w:val="18"/>
                <w:lang w:bidi="ar-IQ"/>
              </w:rPr>
              <w:t>Cell</w:t>
            </w:r>
          </w:p>
        </w:tc>
      </w:tr>
      <w:tr>
        <w:trPr>
          <w:trHeight w:val="58" w:hRule="atLeast"/>
        </w:trPr>
        <w:tc>
          <w:tcPr>
            <w:tcW w:w="1134" w:type="dxa"/>
            <w:tcBorders>
              <w:top w:val="single" w:sz="4" w:space="0" w:color="000000"/>
              <w:left w:val="single" w:sz="12" w:space="0" w:color="000000"/>
              <w:bottom w:val="single" w:sz="4" w:space="0" w:color="000000"/>
              <w:right w:val="single" w:sz="12" w:space="0" w:color="000000"/>
            </w:tcBorders>
          </w:tcPr>
          <w:p>
            <w:pPr>
              <w:pStyle w:val="TAC"/>
              <w:rPr>
                <w:rFonts w:cs="Arial"/>
                <w:szCs w:val="18"/>
                <w:lang w:bidi="ar-IQ"/>
              </w:rPr>
            </w:pPr>
            <w:r>
              <w:rPr>
                <w:rFonts w:cs="Arial"/>
                <w:szCs w:val="18"/>
                <w:lang w:bidi="ar-IQ"/>
              </w:rPr>
              <w:t>3</w:t>
            </w:r>
          </w:p>
        </w:tc>
        <w:tc>
          <w:tcPr>
            <w:tcW w:w="1156" w:type="dxa"/>
            <w:tcBorders>
              <w:top w:val="single" w:sz="4" w:space="0" w:color="000000"/>
              <w:left w:val="single" w:sz="12" w:space="0" w:color="000000"/>
              <w:bottom w:val="single" w:sz="4" w:space="0" w:color="000000"/>
              <w:right w:val="single" w:sz="12" w:space="0" w:color="000000"/>
            </w:tcBorders>
          </w:tcPr>
          <w:p>
            <w:pPr>
              <w:pStyle w:val="TAC"/>
              <w:rPr>
                <w:rFonts w:cs="Arial"/>
                <w:szCs w:val="18"/>
                <w:lang w:eastAsia="zh-CN"/>
              </w:rPr>
            </w:pPr>
            <w:r>
              <w:rPr>
                <w:rFonts w:cs="Arial"/>
                <w:szCs w:val="18"/>
                <w:lang w:eastAsia="zh-CN"/>
              </w:rPr>
              <w:t>URI 1</w:t>
            </w:r>
          </w:p>
          <w:p>
            <w:pPr>
              <w:pStyle w:val="TAC"/>
              <w:rPr>
                <w:rFonts w:cs="Arial"/>
                <w:szCs w:val="18"/>
                <w:lang w:bidi="ar-IQ"/>
              </w:rPr>
            </w:pPr>
            <w:r>
              <w:rPr>
                <w:rFonts w:cs="Arial"/>
                <w:szCs w:val="18"/>
                <w:lang w:eastAsia="zh-CN"/>
              </w:rPr>
              <w:t>URI 2</w:t>
            </w:r>
          </w:p>
        </w:tc>
        <w:tc>
          <w:tcPr>
            <w:tcW w:w="729" w:type="dxa"/>
            <w:tcBorders>
              <w:top w:val="single" w:sz="4" w:space="0" w:color="000000"/>
              <w:left w:val="single" w:sz="12" w:space="0" w:color="000000"/>
              <w:bottom w:val="single" w:sz="4" w:space="0" w:color="000000"/>
              <w:right w:val="single" w:sz="4" w:space="0" w:color="000000"/>
            </w:tcBorders>
          </w:tcPr>
          <w:p>
            <w:pPr>
              <w:pStyle w:val="TAC"/>
              <w:rPr>
                <w:rFonts w:cs="Arial"/>
                <w:szCs w:val="18"/>
                <w:lang w:bidi="ar-IQ"/>
              </w:rPr>
            </w:pPr>
            <w:r>
              <w:rPr>
                <w:rFonts w:cs="Arial"/>
                <w:szCs w:val="18"/>
                <w:lang w:bidi="ar-IQ"/>
              </w:rPr>
              <w:t>No</w:t>
            </w:r>
          </w:p>
        </w:tc>
        <w:tc>
          <w:tcPr>
            <w:tcW w:w="969" w:type="dxa"/>
            <w:tcBorders>
              <w:top w:val="single" w:sz="4" w:space="0" w:color="000000"/>
              <w:left w:val="single" w:sz="4" w:space="0" w:color="000000"/>
              <w:bottom w:val="single" w:sz="4" w:space="0" w:color="000000"/>
              <w:right w:val="single" w:sz="4" w:space="0" w:color="000000"/>
            </w:tcBorders>
          </w:tcPr>
          <w:p>
            <w:pPr>
              <w:pStyle w:val="TAC"/>
              <w:rPr>
                <w:rFonts w:cs="Arial"/>
                <w:szCs w:val="18"/>
                <w:lang w:bidi="ar-IQ"/>
              </w:rPr>
            </w:pPr>
            <w:r>
              <w:rPr>
                <w:rFonts w:cs="Arial"/>
                <w:szCs w:val="18"/>
                <w:lang w:bidi="ar-IQ"/>
              </w:rPr>
              <w:t>-</w:t>
            </w:r>
          </w:p>
        </w:tc>
        <w:tc>
          <w:tcPr>
            <w:tcW w:w="766" w:type="dxa"/>
            <w:tcBorders>
              <w:top w:val="single" w:sz="4" w:space="0" w:color="000000"/>
              <w:left w:val="single" w:sz="12" w:space="0" w:color="000000"/>
              <w:bottom w:val="single" w:sz="4" w:space="0" w:color="000000"/>
              <w:right w:val="single" w:sz="4" w:space="0" w:color="000000"/>
            </w:tcBorders>
          </w:tcPr>
          <w:p>
            <w:pPr>
              <w:pStyle w:val="TAC"/>
              <w:rPr>
                <w:rFonts w:cs="Arial"/>
                <w:szCs w:val="18"/>
                <w:lang w:bidi="ar-IQ"/>
              </w:rPr>
            </w:pPr>
            <w:r>
              <w:rPr>
                <w:rFonts w:cs="Arial"/>
                <w:szCs w:val="18"/>
                <w:lang w:bidi="ar-IQ"/>
              </w:rPr>
              <w:t>Yes</w:t>
            </w:r>
          </w:p>
        </w:tc>
        <w:tc>
          <w:tcPr>
            <w:tcW w:w="938" w:type="dxa"/>
            <w:tcBorders>
              <w:top w:val="single" w:sz="4" w:space="0" w:color="000000"/>
              <w:left w:val="single" w:sz="4" w:space="0" w:color="000000"/>
              <w:bottom w:val="single" w:sz="4" w:space="0" w:color="000000"/>
              <w:right w:val="single" w:sz="12" w:space="0" w:color="000000"/>
            </w:tcBorders>
          </w:tcPr>
          <w:p>
            <w:pPr>
              <w:pStyle w:val="TAC"/>
              <w:rPr>
                <w:rFonts w:cs="Arial"/>
                <w:szCs w:val="18"/>
                <w:lang w:bidi="ar-IQ"/>
              </w:rPr>
            </w:pPr>
            <w:r>
              <w:rPr>
                <w:rFonts w:cs="Arial"/>
                <w:szCs w:val="18"/>
                <w:lang w:bidi="ar-IQ"/>
              </w:rPr>
              <w:t>PEC</w:t>
            </w:r>
          </w:p>
        </w:tc>
        <w:tc>
          <w:tcPr>
            <w:tcW w:w="763" w:type="dxa"/>
            <w:tcBorders>
              <w:top w:val="single" w:sz="4" w:space="0" w:color="000000"/>
              <w:left w:val="single" w:sz="4" w:space="0" w:color="000000"/>
              <w:bottom w:val="single" w:sz="4" w:space="0" w:color="000000"/>
              <w:right w:val="single" w:sz="4" w:space="0" w:color="000000"/>
            </w:tcBorders>
          </w:tcPr>
          <w:p>
            <w:pPr>
              <w:pStyle w:val="TAC"/>
              <w:rPr>
                <w:rFonts w:cs="Arial"/>
                <w:szCs w:val="18"/>
                <w:lang w:bidi="ar-IQ"/>
              </w:rPr>
            </w:pPr>
            <w:r>
              <w:rPr>
                <w:rFonts w:cs="Arial"/>
                <w:szCs w:val="18"/>
                <w:lang w:bidi="ar-IQ"/>
              </w:rPr>
              <w:t>Yes</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bidi="ar-IQ"/>
              </w:rPr>
              <w:t>PEC</w:t>
            </w:r>
          </w:p>
        </w:tc>
        <w:tc>
          <w:tcPr>
            <w:tcW w:w="851" w:type="dxa"/>
            <w:tcBorders>
              <w:top w:val="single" w:sz="4" w:space="0" w:color="000000"/>
              <w:left w:val="single" w:sz="4" w:space="0" w:color="000000"/>
              <w:bottom w:val="single" w:sz="4" w:space="0" w:color="000000"/>
              <w:right w:val="single" w:sz="12" w:space="0" w:color="000000"/>
            </w:tcBorders>
          </w:tcPr>
          <w:p>
            <w:pPr>
              <w:pStyle w:val="TAC"/>
              <w:rPr>
                <w:rFonts w:cs="Arial"/>
                <w:szCs w:val="18"/>
                <w:lang w:bidi="ar-IQ"/>
              </w:rPr>
            </w:pPr>
            <w:r>
              <w:rPr>
                <w:rFonts w:cs="Arial"/>
                <w:szCs w:val="18"/>
              </w:rPr>
              <w:t>TAI</w:t>
            </w:r>
          </w:p>
        </w:tc>
      </w:tr>
      <w:tr>
        <w:trPr/>
        <w:tc>
          <w:tcPr>
            <w:tcW w:w="1134" w:type="dxa"/>
            <w:tcBorders>
              <w:top w:val="single" w:sz="4" w:space="0" w:color="000000"/>
              <w:left w:val="single" w:sz="12" w:space="0" w:color="000000"/>
              <w:bottom w:val="single" w:sz="12" w:space="0" w:color="000000"/>
              <w:right w:val="single" w:sz="12" w:space="0" w:color="000000"/>
            </w:tcBorders>
          </w:tcPr>
          <w:p>
            <w:pPr>
              <w:pStyle w:val="TAC"/>
              <w:rPr>
                <w:rFonts w:cs="Arial"/>
                <w:szCs w:val="18"/>
                <w:lang w:bidi="ar-IQ"/>
              </w:rPr>
            </w:pPr>
            <w:r>
              <w:rPr>
                <w:rFonts w:cs="Arial"/>
                <w:szCs w:val="18"/>
              </w:rPr>
              <w:t>…</w:t>
            </w:r>
          </w:p>
        </w:tc>
        <w:tc>
          <w:tcPr>
            <w:tcW w:w="1156" w:type="dxa"/>
            <w:tcBorders>
              <w:top w:val="single" w:sz="4" w:space="0" w:color="000000"/>
              <w:left w:val="single" w:sz="12" w:space="0" w:color="000000"/>
              <w:bottom w:val="single" w:sz="12" w:space="0" w:color="000000"/>
              <w:right w:val="single" w:sz="12" w:space="0" w:color="000000"/>
            </w:tcBorders>
          </w:tcPr>
          <w:p>
            <w:pPr>
              <w:pStyle w:val="TAC"/>
              <w:rPr>
                <w:rFonts w:cs="Arial"/>
                <w:szCs w:val="18"/>
                <w:lang w:bidi="ar-IQ"/>
              </w:rPr>
            </w:pPr>
            <w:r>
              <w:rPr>
                <w:rFonts w:cs="Arial"/>
                <w:szCs w:val="18"/>
              </w:rPr>
              <w:t>…</w:t>
            </w:r>
          </w:p>
        </w:tc>
        <w:tc>
          <w:tcPr>
            <w:tcW w:w="729" w:type="dxa"/>
            <w:tcBorders>
              <w:top w:val="single" w:sz="4" w:space="0" w:color="000000"/>
              <w:left w:val="single" w:sz="12" w:space="0" w:color="000000"/>
              <w:bottom w:val="single" w:sz="12" w:space="0" w:color="000000"/>
              <w:right w:val="single" w:sz="4" w:space="0" w:color="000000"/>
            </w:tcBorders>
          </w:tcPr>
          <w:p>
            <w:pPr>
              <w:pStyle w:val="TAC"/>
              <w:rPr>
                <w:rFonts w:cs="Arial"/>
                <w:szCs w:val="18"/>
                <w:lang w:bidi="ar-IQ"/>
              </w:rPr>
            </w:pPr>
            <w:r>
              <w:rPr>
                <w:rFonts w:cs="Arial"/>
                <w:szCs w:val="18"/>
              </w:rPr>
              <w:t>…</w:t>
            </w:r>
          </w:p>
        </w:tc>
        <w:tc>
          <w:tcPr>
            <w:tcW w:w="969" w:type="dxa"/>
            <w:tcBorders>
              <w:top w:val="single" w:sz="4" w:space="0" w:color="000000"/>
              <w:left w:val="single" w:sz="4" w:space="0" w:color="000000"/>
              <w:bottom w:val="single" w:sz="12" w:space="0" w:color="000000"/>
              <w:right w:val="single" w:sz="4" w:space="0" w:color="000000"/>
            </w:tcBorders>
          </w:tcPr>
          <w:p>
            <w:pPr>
              <w:pStyle w:val="TAC"/>
              <w:rPr>
                <w:rFonts w:cs="Arial"/>
                <w:szCs w:val="18"/>
                <w:lang w:bidi="ar-IQ"/>
              </w:rPr>
            </w:pPr>
            <w:r>
              <w:rPr>
                <w:rFonts w:cs="Arial"/>
                <w:szCs w:val="18"/>
              </w:rPr>
              <w:t>…</w:t>
            </w:r>
          </w:p>
        </w:tc>
        <w:tc>
          <w:tcPr>
            <w:tcW w:w="766" w:type="dxa"/>
            <w:tcBorders>
              <w:top w:val="single" w:sz="4" w:space="0" w:color="000000"/>
              <w:left w:val="single" w:sz="12" w:space="0" w:color="000000"/>
              <w:bottom w:val="single" w:sz="12" w:space="0" w:color="000000"/>
              <w:right w:val="single" w:sz="4" w:space="0" w:color="000000"/>
            </w:tcBorders>
          </w:tcPr>
          <w:p>
            <w:pPr>
              <w:pStyle w:val="TAC"/>
              <w:rPr>
                <w:rFonts w:cs="Arial"/>
                <w:szCs w:val="18"/>
                <w:lang w:bidi="ar-IQ"/>
              </w:rPr>
            </w:pPr>
            <w:r>
              <w:rPr>
                <w:rFonts w:cs="Arial"/>
                <w:szCs w:val="18"/>
              </w:rPr>
              <w:t>…</w:t>
            </w:r>
          </w:p>
        </w:tc>
        <w:tc>
          <w:tcPr>
            <w:tcW w:w="938" w:type="dxa"/>
            <w:tcBorders>
              <w:top w:val="single" w:sz="4" w:space="0" w:color="000000"/>
              <w:left w:val="single" w:sz="4" w:space="0" w:color="000000"/>
              <w:bottom w:val="single" w:sz="12" w:space="0" w:color="000000"/>
              <w:right w:val="single" w:sz="12" w:space="0" w:color="000000"/>
            </w:tcBorders>
          </w:tcPr>
          <w:p>
            <w:pPr>
              <w:pStyle w:val="TAC"/>
              <w:rPr>
                <w:rFonts w:cs="Arial"/>
                <w:szCs w:val="18"/>
                <w:lang w:bidi="ar-IQ"/>
              </w:rPr>
            </w:pPr>
            <w:r>
              <w:rPr>
                <w:rFonts w:cs="Arial"/>
                <w:szCs w:val="18"/>
              </w:rPr>
              <w:t>…</w:t>
            </w:r>
          </w:p>
        </w:tc>
        <w:tc>
          <w:tcPr>
            <w:tcW w:w="763" w:type="dxa"/>
            <w:tcBorders>
              <w:top w:val="single" w:sz="4" w:space="0" w:color="000000"/>
              <w:left w:val="single" w:sz="4" w:space="0" w:color="000000"/>
              <w:bottom w:val="single" w:sz="12" w:space="0" w:color="000000"/>
              <w:right w:val="single" w:sz="4" w:space="0" w:color="000000"/>
            </w:tcBorders>
          </w:tcPr>
          <w:p>
            <w:pPr>
              <w:pStyle w:val="TAC"/>
              <w:rPr>
                <w:rFonts w:cs="Arial"/>
                <w:szCs w:val="18"/>
              </w:rPr>
            </w:pPr>
            <w:r>
              <w:rPr>
                <w:rFonts w:cs="Arial"/>
                <w:szCs w:val="18"/>
              </w:rPr>
              <w:t>…</w:t>
            </w:r>
          </w:p>
        </w:tc>
        <w:tc>
          <w:tcPr>
            <w:tcW w:w="992" w:type="dxa"/>
            <w:tcBorders>
              <w:top w:val="single" w:sz="4" w:space="0" w:color="000000"/>
              <w:left w:val="single" w:sz="4" w:space="0" w:color="000000"/>
              <w:bottom w:val="single" w:sz="12" w:space="0" w:color="000000"/>
              <w:right w:val="single" w:sz="4" w:space="0" w:color="000000"/>
            </w:tcBorders>
          </w:tcPr>
          <w:p>
            <w:pPr>
              <w:pStyle w:val="TAC"/>
              <w:rPr>
                <w:rFonts w:cs="Arial"/>
                <w:szCs w:val="18"/>
              </w:rPr>
            </w:pPr>
            <w:r>
              <w:rPr>
                <w:rFonts w:cs="Arial"/>
                <w:szCs w:val="18"/>
              </w:rPr>
              <w:t>…</w:t>
            </w:r>
          </w:p>
        </w:tc>
        <w:tc>
          <w:tcPr>
            <w:tcW w:w="851" w:type="dxa"/>
            <w:tcBorders>
              <w:top w:val="single" w:sz="4" w:space="0" w:color="000000"/>
              <w:left w:val="single" w:sz="4" w:space="0" w:color="000000"/>
              <w:bottom w:val="single" w:sz="12" w:space="0" w:color="000000"/>
              <w:right w:val="single" w:sz="12" w:space="0" w:color="000000"/>
            </w:tcBorders>
          </w:tcPr>
          <w:p>
            <w:pPr>
              <w:pStyle w:val="TAC"/>
              <w:rPr>
                <w:rFonts w:cs="Arial"/>
                <w:szCs w:val="18"/>
              </w:rPr>
            </w:pPr>
            <w:r>
              <w:rPr>
                <w:rFonts w:cs="Arial"/>
                <w:szCs w:val="18"/>
              </w:rPr>
              <w:t>…</w:t>
            </w:r>
          </w:p>
        </w:tc>
      </w:tr>
    </w:tbl>
    <w:p>
      <w:pPr>
        <w:pStyle w:val="B1"/>
        <w:rPr/>
      </w:pPr>
      <w:r>
        <w:rPr/>
      </w:r>
    </w:p>
    <w:p>
      <w:pPr>
        <w:pStyle w:val="Heading8"/>
        <w:ind w:left="0" w:hanging="0"/>
        <w:rPr/>
      </w:pPr>
      <w:bookmarkStart w:id="129" w:name="__RefHeading___Toc25753291"/>
      <w:bookmarkEnd w:id="129"/>
      <w:r>
        <w:rPr/>
        <w:t>Annex B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SA#86</w:t>
            </w:r>
          </w:p>
        </w:tc>
        <w:tc>
          <w:tcPr>
            <w:tcW w:w="109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SP-191183</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Presented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SA#86</w:t>
            </w:r>
          </w:p>
        </w:tc>
        <w:tc>
          <w:tcPr>
            <w:tcW w:w="109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rPr>
            </w:pPr>
            <w:r>
              <w:rPr>
                <w:rFonts w:cs="Arial"/>
                <w:sz w:val="16"/>
                <w:szCs w:val="16"/>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Change control version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SA#88-e</w:t>
            </w:r>
          </w:p>
        </w:tc>
        <w:tc>
          <w:tcPr>
            <w:tcW w:w="109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SP-200509</w:t>
            </w:r>
          </w:p>
        </w:tc>
        <w:tc>
          <w:tcPr>
            <w:tcW w:w="425"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 the Retransmission Indicator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SA#88-e</w:t>
            </w:r>
          </w:p>
        </w:tc>
        <w:tc>
          <w:tcPr>
            <w:tcW w:w="109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SP-200509</w:t>
            </w:r>
          </w:p>
        </w:tc>
        <w:tc>
          <w:tcPr>
            <w:tcW w:w="425"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 the Event offline charging scenarios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SA#91e</w:t>
            </w:r>
          </w:p>
        </w:tc>
        <w:tc>
          <w:tcPr>
            <w:tcW w:w="109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SP-210163</w:t>
            </w:r>
          </w:p>
        </w:tc>
        <w:tc>
          <w:tcPr>
            <w:tcW w:w="425"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Registration flows and message content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SA#91e</w:t>
            </w:r>
          </w:p>
        </w:tc>
        <w:tc>
          <w:tcPr>
            <w:tcW w:w="109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SP-210163</w:t>
            </w:r>
          </w:p>
        </w:tc>
        <w:tc>
          <w:tcPr>
            <w:tcW w:w="425"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UE MM Core Network Capability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2022-12</w:t>
            </w:r>
          </w:p>
        </w:tc>
        <w:tc>
          <w:tcPr>
            <w:tcW w:w="800" w:type="dxa"/>
            <w:tcBorders>
              <w:top w:val="single" w:sz="6" w:space="0" w:color="000000"/>
              <w:left w:val="single" w:sz="6" w:space="0" w:color="000000"/>
              <w:bottom w:val="single" w:sz="6" w:space="0" w:color="000000"/>
              <w:right w:val="single" w:sz="6" w:space="0" w:color="000000"/>
            </w:tcBorders>
          </w:tcPr>
          <w:p>
            <w:pPr>
              <w:pStyle w:val="TAC"/>
              <w:rPr>
                <w:sz w:val="16"/>
                <w:szCs w:val="16"/>
              </w:rPr>
            </w:pPr>
            <w:r>
              <w:rPr>
                <w:sz w:val="16"/>
                <w:szCs w:val="16"/>
              </w:rPr>
              <w:t>SA#98e</w:t>
            </w:r>
          </w:p>
        </w:tc>
        <w:tc>
          <w:tcPr>
            <w:tcW w:w="109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SP-221171</w:t>
            </w:r>
          </w:p>
        </w:tc>
        <w:tc>
          <w:tcPr>
            <w:tcW w:w="425"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the Triggers for AMF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bl>
    <w:p>
      <w:pPr>
        <w:pStyle w:val="Normal"/>
        <w:widowControl/>
        <w:bidi w:val="0"/>
        <w:spacing w:before="0" w:after="180"/>
        <w:rPr/>
      </w:pPr>
      <w:r>
        <w:rPr/>
      </w:r>
    </w:p>
    <w:sectPr>
      <w:headerReference w:type="default" r:id="rId54"/>
      <w:footerReference w:type="default" r:id="rId55"/>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FuturaA Bk BT">
    <w:charset w:val="00"/>
    <w:family w:val="swiss"/>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Calibri Light">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84">
              <wp:simplePos x="0" y="0"/>
              <wp:positionH relativeFrom="margin">
                <wp:align>right</wp:align>
              </wp:positionH>
              <wp:positionV relativeFrom="paragraph">
                <wp:posOffset>635</wp:posOffset>
              </wp:positionV>
              <wp:extent cx="2263775" cy="180340"/>
              <wp:effectExtent l="0" t="0" r="0" b="0"/>
              <wp:wrapSquare wrapText="largest"/>
              <wp:docPr id="15" name="Frame9"/>
              <a:graphic xmlns:a="http://schemas.openxmlformats.org/drawingml/2006/main">
                <a:graphicData uri="http://schemas.microsoft.com/office/word/2010/wordprocessingShape">
                  <wps:wsp>
                    <wps:cNvSpPr txBox="1"/>
                    <wps:spPr>
                      <a:xfrm>
                        <a:off x="0" y="0"/>
                        <a:ext cx="2263775"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32.256 V16.23.0 (20212022-0312)</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78.25pt;height:14.2pt;mso-wrap-distance-left:0pt;mso-wrap-distance-right:0pt;mso-wrap-distance-top:0pt;mso-wrap-distance-bottom:0pt;margin-top:0.05pt;mso-position-vertical-relative:text;margin-left:303.75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32.256 V16.23.0 (20212022-0312)</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2">
              <wp:simplePos x="0" y="0"/>
              <wp:positionH relativeFrom="margin">
                <wp:align>center</wp:align>
              </wp:positionH>
              <wp:positionV relativeFrom="paragraph">
                <wp:posOffset>4445</wp:posOffset>
              </wp:positionV>
              <wp:extent cx="127635" cy="180340"/>
              <wp:effectExtent l="0" t="0" r="0" b="0"/>
              <wp:wrapSquare wrapText="largest"/>
              <wp:docPr id="16" name="Frame10"/>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49</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49</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0">
              <wp:simplePos x="0" y="0"/>
              <wp:positionH relativeFrom="margin">
                <wp:align>left</wp:align>
              </wp:positionH>
              <wp:positionV relativeFrom="paragraph">
                <wp:posOffset>4445</wp:posOffset>
              </wp:positionV>
              <wp:extent cx="591820" cy="180340"/>
              <wp:effectExtent l="0" t="0" r="0" b="0"/>
              <wp:wrapSquare wrapText="largest"/>
              <wp:docPr id="17" name="Frame11"/>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decimal"/>
      <w:lvlText w:val="%1."/>
      <w:lvlJc w:val="left"/>
      <w:pPr>
        <w:tabs>
          <w:tab w:val="num" w:pos="643"/>
        </w:tabs>
        <w:ind w:left="643" w:hanging="360"/>
      </w:pPr>
    </w:lvl>
  </w:abstractNum>
  <w:abstractNum w:abstractNumId="6">
    <w:lvl w:ilvl="0">
      <w:start w:val="1"/>
      <w:numFmt w:val="bullet"/>
      <w:lvlText w:val=""/>
      <w:lvlJc w:val="left"/>
      <w:pPr>
        <w:tabs>
          <w:tab w:val="num" w:pos="1492"/>
        </w:tabs>
        <w:ind w:left="1492" w:hanging="360"/>
      </w:pPr>
      <w:rPr>
        <w:rFonts w:ascii="Symbol" w:hAnsi="Symbol" w:cs="Symbol" w:hint="default"/>
      </w:rPr>
    </w:lvl>
  </w:abstractNum>
  <w:abstractNum w:abstractNumId="7">
    <w:lvl w:ilvl="0">
      <w:start w:val="1"/>
      <w:numFmt w:val="bullet"/>
      <w:lvlText w:val=""/>
      <w:lvlJc w:val="left"/>
      <w:pPr>
        <w:tabs>
          <w:tab w:val="num" w:pos="1209"/>
        </w:tabs>
        <w:ind w:left="1209" w:hanging="360"/>
      </w:pPr>
      <w:rPr>
        <w:rFonts w:ascii="Symbol" w:hAnsi="Symbol" w:cs="Symbol" w:hint="default"/>
      </w:rPr>
    </w:lvl>
  </w:abstractNum>
  <w:abstractNum w:abstractNumId="8">
    <w:lvl w:ilvl="0">
      <w:start w:val="1"/>
      <w:numFmt w:val="bullet"/>
      <w:lvlText w:val=""/>
      <w:lvlJc w:val="left"/>
      <w:pPr>
        <w:tabs>
          <w:tab w:val="num" w:pos="926"/>
        </w:tabs>
        <w:ind w:left="926" w:hanging="360"/>
      </w:pPr>
      <w:rPr>
        <w:rFonts w:ascii="Symbol" w:hAnsi="Symbol" w:cs="Symbol" w:hint="default"/>
      </w:rPr>
    </w:lvl>
  </w:abstractNum>
  <w:abstractNum w:abstractNumId="9">
    <w:lvl w:ilvl="0">
      <w:start w:val="1"/>
      <w:numFmt w:val="bullet"/>
      <w:lvlText w:val=""/>
      <w:lvlJc w:val="left"/>
      <w:pPr>
        <w:tabs>
          <w:tab w:val="num" w:pos="643"/>
        </w:tabs>
        <w:ind w:left="643" w:hanging="360"/>
      </w:pPr>
      <w:rPr>
        <w:rFonts w:ascii="Symbol" w:hAnsi="Symbol" w:cs="Symbol" w:hint="default"/>
      </w:rPr>
    </w:lvl>
  </w:abstractNum>
  <w:abstractNum w:abstractNumId="10">
    <w:lvl w:ilvl="0">
      <w:start w:val="1"/>
      <w:numFmt w:val="decimal"/>
      <w:lvlText w:val="%1."/>
      <w:lvlJc w:val="left"/>
      <w:pPr>
        <w:tabs>
          <w:tab w:val="num" w:pos="360"/>
        </w:tabs>
        <w:ind w:left="360" w:hanging="360"/>
      </w:pPr>
    </w:lvl>
  </w:abstractNum>
  <w:abstractNum w:abstractNumId="11">
    <w:lvl w:ilvl="0">
      <w:start w:val="1"/>
      <w:numFmt w:val="bullet"/>
      <w:lvlText w:val=""/>
      <w:lvlJc w:val="left"/>
      <w:pPr>
        <w:tabs>
          <w:tab w:val="num" w:pos="360"/>
        </w:tabs>
        <w:ind w:left="36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3z0">
    <w:name w:val="WW8Num13z0"/>
    <w:qFormat/>
    <w:rPr>
      <w:rFonts w:ascii="FuturaA Bk BT" w:hAnsi="FuturaA Bk BT" w:eastAsia="MS Mincho;ＭＳ 明朝"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THChar">
    <w:name w:val="TH Char"/>
    <w:qFormat/>
    <w:rPr>
      <w:rFonts w:ascii="Arial" w:hAnsi="Arial" w:cs="Arial"/>
      <w:b/>
    </w:rPr>
  </w:style>
  <w:style w:type="character" w:styleId="B1Char">
    <w:name w:val="B1 Char"/>
    <w:qFormat/>
    <w:rPr/>
  </w:style>
  <w:style w:type="character" w:styleId="EXCar">
    <w:name w:val="EX Car"/>
    <w:qFormat/>
    <w:rPr/>
  </w:style>
  <w:style w:type="character" w:styleId="TFChar">
    <w:name w:val="TF Char"/>
    <w:qFormat/>
    <w:rPr>
      <w:rFonts w:ascii="Arial" w:hAnsi="Arial" w:cs="Arial"/>
      <w:b/>
    </w:rPr>
  </w:style>
  <w:style w:type="character" w:styleId="TALChar1">
    <w:name w:val="TAL Char1"/>
    <w:qFormat/>
    <w:rPr>
      <w:rFonts w:ascii="Arial" w:hAnsi="Arial" w:cs="Arial"/>
      <w:sz w:val="18"/>
    </w:rPr>
  </w:style>
  <w:style w:type="character" w:styleId="TACChar">
    <w:name w:val="TAC Char"/>
    <w:qFormat/>
    <w:rPr>
      <w:rFonts w:ascii="Arial" w:hAnsi="Arial" w:cs="Arial"/>
      <w:sz w:val="18"/>
    </w:rPr>
  </w:style>
  <w:style w:type="character" w:styleId="TAHCar">
    <w:name w:val="TAH Car"/>
    <w:qFormat/>
    <w:rPr>
      <w:rFonts w:ascii="Arial" w:hAnsi="Arial" w:cs="Arial"/>
      <w:b/>
      <w:sz w:val="18"/>
    </w:rPr>
  </w:style>
  <w:style w:type="character" w:styleId="Shorttext">
    <w:name w:val="short_text"/>
    <w:qFormat/>
    <w:rPr/>
  </w:style>
  <w:style w:type="character" w:styleId="InternetLink">
    <w:name w:val="Hyperlink"/>
    <w:rPr>
      <w:color w:val="0000FF"/>
      <w:u w:val="single"/>
    </w:rPr>
  </w:style>
  <w:style w:type="character" w:styleId="BalloonTextChar">
    <w:name w:val="Balloon Text Char"/>
    <w:qFormat/>
    <w:rPr>
      <w:rFonts w:ascii="Segoe UI" w:hAnsi="Segoe UI" w:cs="Segoe UI"/>
      <w:sz w:val="18"/>
      <w:szCs w:val="18"/>
    </w:rPr>
  </w:style>
  <w:style w:type="character" w:styleId="EWChar">
    <w:name w:val="EW Char"/>
    <w:qFormat/>
    <w:rPr/>
  </w:style>
  <w:style w:type="character" w:styleId="BodyTextChar">
    <w:name w:val="Body Text Char"/>
    <w:qFormat/>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basedOn w:val="BodyText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CommentTextChar">
    <w:name w:val="Comment Text Char"/>
    <w:qFormat/>
    <w:rPr/>
  </w:style>
  <w:style w:type="character" w:styleId="CommentSubjectChar">
    <w:name w:val="Comment Subject Char"/>
    <w:qFormat/>
    <w:rPr>
      <w:b/>
      <w:bCs/>
    </w:rPr>
  </w:style>
  <w:style w:type="character" w:styleId="DateChar">
    <w:name w:val="Date Char"/>
    <w:qFormat/>
    <w:rPr/>
  </w:style>
  <w:style w:type="character" w:styleId="DocumentMapChar">
    <w:name w:val="Document Map Char"/>
    <w:qFormat/>
    <w:rPr>
      <w:rFonts w:ascii="Segoe UI" w:hAnsi="Segoe UI" w:cs="Segoe UI"/>
      <w:sz w:val="16"/>
      <w:szCs w:val="16"/>
    </w:rPr>
  </w:style>
  <w:style w:type="character" w:styleId="EmailSignatureChar">
    <w:name w:val="E-mail Signature Char"/>
    <w:qFormat/>
    <w:rPr/>
  </w:style>
  <w:style w:type="character" w:styleId="EndnoteTextChar">
    <w:name w:val="Endnote Text Char"/>
    <w:qFormat/>
    <w:rPr/>
  </w:style>
  <w:style w:type="character" w:styleId="FootnoteTextChar">
    <w:name w:val="Foot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cs="Calibri Light"/>
      <w:sz w:val="24"/>
      <w:szCs w:val="24"/>
      <w:shd w:fill="CCCCCC" w:val="clear"/>
    </w:rPr>
  </w:style>
  <w:style w:type="character" w:styleId="NoteHeadingChar">
    <w:name w:val="Note Heading Char"/>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cs="Calibri Light"/>
      <w:sz w:val="24"/>
      <w:szCs w:val="24"/>
    </w:rPr>
  </w:style>
  <w:style w:type="character" w:styleId="TitleChar">
    <w:name w:val="Title Char"/>
    <w:qFormat/>
    <w:rPr>
      <w:rFonts w:ascii="Calibri Light" w:hAnsi="Calibri Light" w:cs="Calibri Light"/>
      <w:b/>
      <w:bCs/>
      <w:kern w:val="2"/>
      <w:sz w:val="32"/>
      <w:szCs w:val="3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cs="Calibri Light"/>
      <w:b/>
      <w:bCs/>
      <w:kern w:val="2"/>
      <w:sz w:val="32"/>
      <w:szCs w:val="32"/>
    </w:rPr>
  </w:style>
  <w:style w:type="paragraph" w:styleId="TextBody">
    <w:name w:val="Body Text"/>
    <w:basedOn w:val="Normal"/>
    <w:pPr>
      <w:spacing w:before="0" w:after="120"/>
    </w:pPr>
    <w:rPr/>
  </w:style>
  <w:style w:type="paragraph" w:styleId="List">
    <w:name w:val="List"/>
    <w:basedOn w:val="Normal"/>
    <w:pPr>
      <w:spacing w:before="0" w:after="180"/>
      <w:ind w:left="283" w:hanging="283"/>
      <w:contextualSpacing/>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ja-JP"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Segoe UI" w:hAnsi="Segoe UI" w:cs="Segoe UI"/>
      <w:sz w:val="18"/>
      <w:szCs w:val="18"/>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Date">
    <w:name w:val="Date"/>
    <w:basedOn w:val="Normal"/>
    <w:next w:val="Normal"/>
    <w:qFormat/>
    <w:pPr/>
    <w:rPr/>
  </w:style>
  <w:style w:type="paragraph" w:styleId="DocumentMap">
    <w:name w:val="Document Map"/>
    <w:basedOn w:val="Normal"/>
    <w:qFormat/>
    <w:pPr/>
    <w:rPr>
      <w:rFonts w:ascii="Segoe UI" w:hAnsi="Segoe UI" w:cs="Segoe UI"/>
      <w:sz w:val="16"/>
      <w:szCs w:val="16"/>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cs="Calibri Light"/>
      <w:sz w:val="24"/>
      <w:szCs w:val="24"/>
    </w:rPr>
  </w:style>
  <w:style w:type="paragraph" w:styleId="Sender">
    <w:name w:val="Envelope Return"/>
    <w:basedOn w:val="Normal"/>
    <w:pPr/>
    <w:rPr>
      <w:rFonts w:ascii="Calibri Light" w:hAnsi="Calibri Light" w:cs="Calibri Light"/>
    </w:rPr>
  </w:style>
  <w:style w:type="paragraph" w:styleId="Footnote">
    <w:name w:val="Footnote Text"/>
    <w:basedOn w:val="Normal"/>
    <w:pPr/>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1">
    <w:name w:val="Index 1"/>
    <w:basedOn w:val="Normal"/>
    <w:next w:val="Normal"/>
    <w:pPr>
      <w:ind w:left="200" w:hanging="200"/>
    </w:pPr>
    <w:rPr/>
  </w:style>
  <w:style w:type="paragraph" w:styleId="Index2">
    <w:name w:val="Index 2"/>
    <w:basedOn w:val="Normal"/>
    <w:next w:val="Normal"/>
    <w:pPr>
      <w:ind w:left="400" w:hanging="200"/>
    </w:pPr>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cs="Calibri Light"/>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2">
    <w:name w:val="List Bullet 3"/>
    <w:basedOn w:val="Normal"/>
    <w:pPr>
      <w:spacing w:before="0" w:after="180"/>
      <w:ind w:left="566" w:hanging="283"/>
      <w:contextualSpacing/>
    </w:pPr>
    <w:rPr/>
  </w:style>
  <w:style w:type="paragraph" w:styleId="List3">
    <w:name w:val="List Bullet 4"/>
    <w:basedOn w:val="Normal"/>
    <w:pPr>
      <w:spacing w:before="0" w:after="180"/>
      <w:ind w:left="849" w:hanging="283"/>
      <w:contextualSpacing/>
    </w:pPr>
    <w:rPr/>
  </w:style>
  <w:style w:type="paragraph" w:styleId="List4">
    <w:name w:val="List Bullet 5"/>
    <w:basedOn w:val="Normal"/>
    <w:pPr>
      <w:spacing w:before="0" w:after="180"/>
      <w:ind w:left="1132" w:hanging="283"/>
      <w:contextualSpacing/>
    </w:pPr>
    <w:rPr/>
  </w:style>
  <w:style w:type="paragraph" w:styleId="List5">
    <w:name w:val="List Number"/>
    <w:basedOn w:val="Normal"/>
    <w:pPr>
      <w:spacing w:before="0" w:after="180"/>
      <w:ind w:left="1415" w:hanging="283"/>
      <w:contextualSpacing/>
    </w:pPr>
    <w:rPr/>
  </w:style>
  <w:style w:type="paragraph" w:styleId="ListBullet">
    <w:name w:val="List Bullet"/>
    <w:basedOn w:val="Normal"/>
    <w:qFormat/>
    <w:pPr>
      <w:numPr>
        <w:ilvl w:val="0"/>
        <w:numId w:val="11"/>
      </w:numPr>
      <w:spacing w:before="0" w:after="180"/>
      <w:contextualSpacing/>
    </w:pPr>
    <w:rPr/>
  </w:style>
  <w:style w:type="paragraph" w:styleId="ListBullet2">
    <w:name w:val="List Bullet 2"/>
    <w:basedOn w:val="Normal"/>
    <w:qFormat/>
    <w:pPr>
      <w:numPr>
        <w:ilvl w:val="0"/>
        <w:numId w:val="9"/>
      </w:numPr>
      <w:spacing w:before="0" w:after="180"/>
      <w:contextualSpacing/>
    </w:pPr>
    <w:rPr/>
  </w:style>
  <w:style w:type="paragraph" w:styleId="ListBullet3">
    <w:name w:val="List Bullet 3"/>
    <w:basedOn w:val="Normal"/>
    <w:qFormat/>
    <w:pPr>
      <w:numPr>
        <w:ilvl w:val="0"/>
        <w:numId w:val="8"/>
      </w:numPr>
      <w:spacing w:before="0" w:after="180"/>
      <w:contextualSpacing/>
    </w:pPr>
    <w:rPr/>
  </w:style>
  <w:style w:type="paragraph" w:styleId="ListBullet4">
    <w:name w:val="List Bullet 4"/>
    <w:basedOn w:val="Normal"/>
    <w:qFormat/>
    <w:pPr>
      <w:numPr>
        <w:ilvl w:val="0"/>
        <w:numId w:val="7"/>
      </w:numPr>
      <w:spacing w:before="0" w:after="180"/>
      <w:contextualSpacing/>
    </w:pPr>
    <w:rPr/>
  </w:style>
  <w:style w:type="paragraph" w:styleId="ListBullet5">
    <w:name w:val="List Bullet 5"/>
    <w:basedOn w:val="Normal"/>
    <w:qFormat/>
    <w:pPr>
      <w:numPr>
        <w:ilvl w:val="0"/>
        <w:numId w:val="6"/>
      </w:numPr>
      <w:spacing w:before="0" w:after="180"/>
      <w:contextualSpacing/>
    </w:pPr>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
    <w:name w:val="List Number"/>
    <w:basedOn w:val="Normal"/>
    <w:qFormat/>
    <w:pPr>
      <w:numPr>
        <w:ilvl w:val="0"/>
        <w:numId w:val="10"/>
      </w:numPr>
      <w:spacing w:before="0" w:after="180"/>
      <w:contextualSpacing/>
    </w:pPr>
    <w:rPr/>
  </w:style>
  <w:style w:type="paragraph" w:styleId="ListNumber2">
    <w:name w:val="List Number 2"/>
    <w:basedOn w:val="Normal"/>
    <w:qFormat/>
    <w:pPr>
      <w:numPr>
        <w:ilvl w:val="0"/>
        <w:numId w:val="5"/>
      </w:numPr>
      <w:spacing w:before="0" w:after="18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cs="Calibri Light"/>
      <w:sz w:val="24"/>
      <w:szCs w:val="24"/>
    </w:rPr>
  </w:style>
  <w:style w:type="paragraph" w:styleId="NoSpacing">
    <w:name w:val="No Spacing"/>
    <w:qFormat/>
    <w:pPr>
      <w:widowControl/>
      <w:bidi w:val="0"/>
    </w:pPr>
    <w:rPr>
      <w:rFonts w:ascii="Times New Roman" w:hAnsi="Times New Roman" w:eastAsia="Times New Roman" w:cs="Times New Roman"/>
      <w:color w:val="auto"/>
      <w:sz w:val="20"/>
      <w:szCs w:val="20"/>
      <w:lang w:val="en-GB" w:bidi="ar-SA" w:eastAsia="zh-CN"/>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cs="Calibri Light"/>
      <w:b/>
      <w:bCs/>
      <w:sz w:val="24"/>
      <w:szCs w:val="24"/>
    </w:rPr>
  </w:style>
  <w:style w:type="paragraph" w:styleId="TOCHeading">
    <w:name w:val="TOC Heading"/>
    <w:basedOn w:val="Heading1"/>
    <w:next w:val="Normal"/>
    <w:qFormat/>
    <w:pPr>
      <w:keepLines w:val="false"/>
      <w:numPr>
        <w:ilvl w:val="0"/>
        <w:numId w:val="0"/>
      </w:numPr>
      <w:pBdr>
        <w:top w:val="nil"/>
      </w:pBdr>
      <w:spacing w:before="240" w:after="60"/>
      <w:ind w:left="0" w:hanging="0"/>
      <w:outlineLvl w:val="9"/>
    </w:pPr>
    <w:rPr>
      <w:rFonts w:ascii="Calibri Light" w:hAnsi="Calibri Light" w:cs="Calibri Light"/>
      <w:b/>
      <w:bCs/>
      <w:kern w:val="2"/>
      <w:sz w:val="32"/>
      <w:szCs w:val="32"/>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oleObject" Target="embeddings/oleObject1.bin"/><Relationship Id="rId8" Type="http://schemas.openxmlformats.org/officeDocument/2006/relationships/image" Target="media/image4.wmf"/><Relationship Id="rId9" Type="http://schemas.openxmlformats.org/officeDocument/2006/relationships/oleObject" Target="embeddings/oleObject2.bin"/><Relationship Id="rId10" Type="http://schemas.openxmlformats.org/officeDocument/2006/relationships/image" Target="media/image5.wmf"/><Relationship Id="rId11" Type="http://schemas.openxmlformats.org/officeDocument/2006/relationships/oleObject" Target="embeddings/oleObject3.bin"/><Relationship Id="rId12" Type="http://schemas.openxmlformats.org/officeDocument/2006/relationships/image" Target="media/image6.wmf"/><Relationship Id="rId13" Type="http://schemas.openxmlformats.org/officeDocument/2006/relationships/oleObject" Target="embeddings/oleObject4.bin"/><Relationship Id="rId14" Type="http://schemas.openxmlformats.org/officeDocument/2006/relationships/image" Target="media/image7.wmf"/><Relationship Id="rId15" Type="http://schemas.openxmlformats.org/officeDocument/2006/relationships/oleObject" Target="embeddings/oleObject5.bin"/><Relationship Id="rId16" Type="http://schemas.openxmlformats.org/officeDocument/2006/relationships/image" Target="media/image8.wmf"/><Relationship Id="rId17" Type="http://schemas.openxmlformats.org/officeDocument/2006/relationships/oleObject" Target="embeddings/oleObject6.bin"/><Relationship Id="rId18" Type="http://schemas.openxmlformats.org/officeDocument/2006/relationships/image" Target="media/image9.wmf"/><Relationship Id="rId19" Type="http://schemas.openxmlformats.org/officeDocument/2006/relationships/oleObject" Target="embeddings/oleObject7.bin"/><Relationship Id="rId20" Type="http://schemas.openxmlformats.org/officeDocument/2006/relationships/image" Target="media/image10.wmf"/><Relationship Id="rId21" Type="http://schemas.openxmlformats.org/officeDocument/2006/relationships/oleObject" Target="embeddings/oleObject8.bin"/><Relationship Id="rId22" Type="http://schemas.openxmlformats.org/officeDocument/2006/relationships/image" Target="media/image11.wmf"/><Relationship Id="rId23" Type="http://schemas.openxmlformats.org/officeDocument/2006/relationships/oleObject" Target="embeddings/oleObject9.bin"/><Relationship Id="rId24" Type="http://schemas.openxmlformats.org/officeDocument/2006/relationships/image" Target="media/image12.wmf"/><Relationship Id="rId25" Type="http://schemas.openxmlformats.org/officeDocument/2006/relationships/oleObject" Target="embeddings/oleObject10.bin"/><Relationship Id="rId26" Type="http://schemas.openxmlformats.org/officeDocument/2006/relationships/image" Target="media/image13.wmf"/><Relationship Id="rId27" Type="http://schemas.openxmlformats.org/officeDocument/2006/relationships/oleObject" Target="embeddings/oleObject11.bin"/><Relationship Id="rId28" Type="http://schemas.openxmlformats.org/officeDocument/2006/relationships/image" Target="media/image14.wmf"/><Relationship Id="rId29" Type="http://schemas.openxmlformats.org/officeDocument/2006/relationships/oleObject" Target="embeddings/oleObject12.bin"/><Relationship Id="rId30" Type="http://schemas.openxmlformats.org/officeDocument/2006/relationships/image" Target="media/image15.wmf"/><Relationship Id="rId31" Type="http://schemas.openxmlformats.org/officeDocument/2006/relationships/oleObject" Target="embeddings/oleObject13.bin"/><Relationship Id="rId32" Type="http://schemas.openxmlformats.org/officeDocument/2006/relationships/image" Target="media/image16.wmf"/><Relationship Id="rId33" Type="http://schemas.openxmlformats.org/officeDocument/2006/relationships/oleObject" Target="embeddings/oleObject14.bin"/><Relationship Id="rId34" Type="http://schemas.openxmlformats.org/officeDocument/2006/relationships/image" Target="media/image17.wmf"/><Relationship Id="rId35" Type="http://schemas.openxmlformats.org/officeDocument/2006/relationships/oleObject" Target="embeddings/oleObject15.bin"/><Relationship Id="rId36" Type="http://schemas.openxmlformats.org/officeDocument/2006/relationships/image" Target="media/image18.wmf"/><Relationship Id="rId37" Type="http://schemas.openxmlformats.org/officeDocument/2006/relationships/oleObject" Target="embeddings/oleObject16.bin"/><Relationship Id="rId38" Type="http://schemas.openxmlformats.org/officeDocument/2006/relationships/image" Target="media/image19.wmf"/><Relationship Id="rId39" Type="http://schemas.openxmlformats.org/officeDocument/2006/relationships/oleObject" Target="embeddings/oleObject17.bin"/><Relationship Id="rId40" Type="http://schemas.openxmlformats.org/officeDocument/2006/relationships/image" Target="media/image20.wmf"/><Relationship Id="rId41" Type="http://schemas.openxmlformats.org/officeDocument/2006/relationships/oleObject" Target="embeddings/oleObject18.bin"/><Relationship Id="rId42" Type="http://schemas.openxmlformats.org/officeDocument/2006/relationships/image" Target="media/image21.wmf"/><Relationship Id="rId43" Type="http://schemas.openxmlformats.org/officeDocument/2006/relationships/oleObject" Target="embeddings/oleObject19.bin"/><Relationship Id="rId44" Type="http://schemas.openxmlformats.org/officeDocument/2006/relationships/image" Target="media/image22.wmf"/><Relationship Id="rId45" Type="http://schemas.openxmlformats.org/officeDocument/2006/relationships/image" Target="media/image23.wmf"/><Relationship Id="rId46" Type="http://schemas.openxmlformats.org/officeDocument/2006/relationships/oleObject" Target="embeddings/oleObject20.bin"/><Relationship Id="rId47" Type="http://schemas.openxmlformats.org/officeDocument/2006/relationships/image" Target="media/image24.wmf"/><Relationship Id="rId48" Type="http://schemas.openxmlformats.org/officeDocument/2006/relationships/oleObject" Target="embeddings/oleObject21.bin"/><Relationship Id="rId49" Type="http://schemas.openxmlformats.org/officeDocument/2006/relationships/image" Target="media/image25.wmf"/><Relationship Id="rId50" Type="http://schemas.openxmlformats.org/officeDocument/2006/relationships/oleObject" Target="embeddings/oleObject22.bin"/><Relationship Id="rId51" Type="http://schemas.openxmlformats.org/officeDocument/2006/relationships/image" Target="media/image26.wmf"/><Relationship Id="rId52" Type="http://schemas.openxmlformats.org/officeDocument/2006/relationships/oleObject" Target="embeddings/oleObject23.bin"/><Relationship Id="rId53" Type="http://schemas.openxmlformats.org/officeDocument/2006/relationships/image" Target="media/image27.wmf"/><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2023-01-06T15:36:00Z</dcterms:created>
  <dc:creator>MCC Support</dc:creator>
  <dc:description/>
  <cp:keywords>&lt;keyword[ keyword ]&gt;</cp:keywords>
  <dc:language>en-US</dc:language>
  <cp:lastModifiedBy>32.423_CR0139_(Rel-17)_TEI17</cp:lastModifiedBy>
  <dcterms:modified xsi:type="dcterms:W3CDTF">2023-01-06T15:36:00Z</dcterms:modified>
  <cp:revision>2</cp:revision>
  <dc:subject>&lt;Title 1; Title 2&gt; (Release 14 | 13 |12)</dc:subject>
  <dc:title>3GPP TS ab.cde</dc:title>
</cp:coreProperties>
</file>