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32.271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32.271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bCs/>
                              </w:rPr>
                              <w:t>Services and System Aspects;</w:t>
                            </w:r>
                          </w:p>
                          <w:p>
                            <w:pPr>
                              <w:pStyle w:val="ZT"/>
                              <w:rPr/>
                            </w:pPr>
                            <w:r>
                              <w:rPr/>
                              <w:t>Telecommunication management;</w:t>
                            </w:r>
                          </w:p>
                          <w:p>
                            <w:pPr>
                              <w:pStyle w:val="ZT"/>
                              <w:rPr/>
                            </w:pPr>
                            <w:r>
                              <w:rPr/>
                              <w:t>Charging management;</w:t>
                            </w:r>
                          </w:p>
                          <w:p>
                            <w:pPr>
                              <w:pStyle w:val="ZT"/>
                              <w:rPr/>
                            </w:pPr>
                            <w:r>
                              <w:rPr/>
                              <w:t>Location Services (LCS) charging</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bCs/>
                        </w:rPr>
                        <w:t>Services and System Aspects;</w:t>
                      </w:r>
                    </w:p>
                    <w:p>
                      <w:pPr>
                        <w:pStyle w:val="ZT"/>
                        <w:rPr/>
                      </w:pPr>
                      <w:r>
                        <w:rPr/>
                        <w:t>Telecommunication management;</w:t>
                      </w:r>
                    </w:p>
                    <w:p>
                      <w:pPr>
                        <w:pStyle w:val="ZT"/>
                        <w:rPr/>
                      </w:pPr>
                      <w:r>
                        <w:rPr/>
                        <w:t>Charging management;</w:t>
                      </w:r>
                    </w:p>
                    <w:p>
                      <w:pPr>
                        <w:pStyle w:val="ZT"/>
                        <w:rPr/>
                      </w:pPr>
                      <w:r>
                        <w:rPr/>
                        <w:t>Location Services (LCS) charging</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szCs w:val="18"/>
                              </w:rPr>
                              <w:t>GSM, UMTS, LTE, charging, management, LCS</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szCs w:val="18"/>
                        </w:rPr>
                        <w:t>GSM, UMTS, LTE, charging, management, LCS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67205"/>
                <wp:effectExtent l="0" t="0" r="0" b="0"/>
                <wp:wrapTopAndBottom/>
                <wp:docPr id="12" name="Frame8"/>
                <a:graphic xmlns:a="http://schemas.openxmlformats.org/drawingml/2006/main">
                  <a:graphicData uri="http://schemas.microsoft.com/office/word/2010/wordprocessingShape">
                    <wps:wsp>
                      <wps:cNvSpPr txBox="1"/>
                      <wps:spPr>
                        <a:xfrm>
                          <a:off x="0" y="0"/>
                          <a:ext cx="612013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39.15pt;mso-wrap-distance-left:0pt;mso-wrap-distance-right:0pt;mso-wrap-distance-top:0pt;mso-wrap-distance-bottom:0pt;margin-top:287.6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ind w:left="0" w:hanging="0"/>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99247528">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99247529">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99247530">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399247531">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99247532">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399247533">
            <w:r>
              <w:rPr>
                <w:rStyle w:val="IndexLink"/>
              </w:rPr>
              <w:t>10</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399247534">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Architecture considerations</w:t>
            <w:tab/>
          </w:r>
          <w:hyperlink w:anchor="__RefHeading___Toc399247535">
            <w:r>
              <w:rPr>
                <w:rStyle w:val="IndexLink"/>
              </w:rPr>
              <w:t>12</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High level LCS architecture</w:t>
            <w:tab/>
          </w:r>
          <w:hyperlink w:anchor="__RefHeading___Toc399247536">
            <w:r>
              <w:rPr>
                <w:rStyle w:val="IndexLink"/>
              </w:rPr>
              <w:t>12</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LCS offline charging architecture</w:t>
            <w:tab/>
          </w:r>
          <w:hyperlink w:anchor="__RefHeading___Toc399247537">
            <w:r>
              <w:rPr>
                <w:rStyle w:val="IndexLink"/>
              </w:rPr>
              <w:t>13</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LCS online charging architecture</w:t>
            <w:tab/>
          </w:r>
          <w:hyperlink w:anchor="__RefHeading___Toc399247538">
            <w:r>
              <w:rPr>
                <w:rStyle w:val="IndexLink"/>
              </w:rPr>
              <w:t>13</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LCS charging principles and scenarios</w:t>
            <w:tab/>
          </w:r>
          <w:hyperlink w:anchor="__RefHeading___Toc399247539">
            <w:r>
              <w:rPr>
                <w:rStyle w:val="IndexLink"/>
              </w:rPr>
              <w:t>14</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LCS charging principles</w:t>
            <w:tab/>
          </w:r>
          <w:hyperlink w:anchor="__RefHeading___Toc399247540">
            <w:r>
              <w:rPr>
                <w:rStyle w:val="IndexLink"/>
              </w:rPr>
              <w:t>14</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LCS offline charging scenarios</w:t>
            <w:tab/>
          </w:r>
          <w:hyperlink w:anchor="__RefHeading___Toc399247541">
            <w:r>
              <w:rPr>
                <w:rStyle w:val="IndexLink"/>
              </w:rPr>
              <w:t>15</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Basic principles</w:t>
            <w:tab/>
          </w:r>
          <w:hyperlink w:anchor="__RefHeading___Toc399247542">
            <w:r>
              <w:rPr>
                <w:rStyle w:val="IndexLink"/>
              </w:rPr>
              <w:t>15</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Rf message flows</w:t>
            <w:tab/>
          </w:r>
          <w:hyperlink w:anchor="__RefHeading___Toc399247543">
            <w:r>
              <w:rPr>
                <w:rStyle w:val="IndexLink"/>
              </w:rPr>
              <w:t>15</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CDR Generation</w:t>
            <w:tab/>
          </w:r>
          <w:hyperlink w:anchor="__RefHeading___Toc399247544">
            <w:r>
              <w:rPr>
                <w:rStyle w:val="IndexLink"/>
              </w:rPr>
              <w:t>15</w:t>
            </w:r>
          </w:hyperlink>
        </w:p>
        <w:p>
          <w:pPr>
            <w:pStyle w:val="Contents4"/>
            <w:rPr>
              <w:rFonts w:ascii="Calibri" w:hAnsi="Calibri" w:cs="Calibri"/>
              <w:sz w:val="22"/>
              <w:szCs w:val="22"/>
              <w:lang w:val="en-US" w:eastAsia="en-US"/>
            </w:rPr>
          </w:pPr>
          <w:r>
            <w:rPr/>
            <w:t>5.2.3.0</w:t>
          </w:r>
          <w:r>
            <w:rPr>
              <w:rFonts w:cs="Calibri" w:ascii="Calibri" w:hAnsi="Calibri"/>
              <w:sz w:val="22"/>
              <w:szCs w:val="22"/>
              <w:lang w:val="en-US" w:eastAsia="en-US"/>
            </w:rPr>
            <w:tab/>
          </w:r>
          <w:r>
            <w:rPr/>
            <w:t>Introduction</w:t>
            <w:tab/>
          </w:r>
          <w:hyperlink w:anchor="__RefHeading___Toc399247545">
            <w:r>
              <w:rPr>
                <w:rStyle w:val="IndexLink"/>
              </w:rPr>
              <w:t>15</w:t>
            </w:r>
          </w:hyperlink>
        </w:p>
        <w:p>
          <w:pPr>
            <w:pStyle w:val="Contents4"/>
            <w:rPr>
              <w:rFonts w:ascii="Calibri" w:hAnsi="Calibri" w:cs="Calibri"/>
              <w:sz w:val="22"/>
              <w:szCs w:val="22"/>
              <w:lang w:val="en-US" w:eastAsia="en-US"/>
            </w:rPr>
          </w:pPr>
          <w:r>
            <w:rPr/>
            <w:t>5.2.3.1</w:t>
          </w:r>
          <w:r>
            <w:rPr>
              <w:rFonts w:cs="Calibri" w:ascii="Calibri" w:hAnsi="Calibri"/>
              <w:sz w:val="22"/>
              <w:szCs w:val="22"/>
              <w:lang w:val="en-US" w:eastAsia="en-US"/>
            </w:rPr>
            <w:tab/>
          </w:r>
          <w:r>
            <w:rPr/>
            <w:t>Mobile Originated Location Request (MO-LR)</w:t>
            <w:tab/>
          </w:r>
          <w:hyperlink w:anchor="__RefHeading___Toc399247546">
            <w:r>
              <w:rPr>
                <w:rStyle w:val="IndexLink"/>
              </w:rPr>
              <w:t>16</w:t>
            </w:r>
          </w:hyperlink>
        </w:p>
        <w:p>
          <w:pPr>
            <w:pStyle w:val="Contents4"/>
            <w:rPr>
              <w:rFonts w:ascii="Calibri" w:hAnsi="Calibri" w:cs="Calibri"/>
              <w:sz w:val="22"/>
              <w:szCs w:val="22"/>
              <w:lang w:val="en-US" w:eastAsia="en-US"/>
            </w:rPr>
          </w:pPr>
          <w:r>
            <w:rPr/>
            <w:t>5.2.3.2</w:t>
          </w:r>
          <w:r>
            <w:rPr>
              <w:rFonts w:cs="Calibri" w:ascii="Calibri" w:hAnsi="Calibri"/>
              <w:sz w:val="22"/>
              <w:szCs w:val="22"/>
              <w:lang w:val="en-US" w:eastAsia="en-US"/>
            </w:rPr>
            <w:tab/>
          </w:r>
          <w:r>
            <w:rPr/>
            <w:t>Mobile Terminated Location Request (MT-LR)</w:t>
            <w:tab/>
          </w:r>
          <w:hyperlink w:anchor="__RefHeading___Toc399247547">
            <w:r>
              <w:rPr>
                <w:rStyle w:val="IndexLink"/>
              </w:rPr>
              <w:t>17</w:t>
            </w:r>
          </w:hyperlink>
        </w:p>
        <w:p>
          <w:pPr>
            <w:pStyle w:val="Contents4"/>
            <w:rPr>
              <w:rFonts w:ascii="Calibri" w:hAnsi="Calibri" w:cs="Calibri"/>
              <w:sz w:val="22"/>
              <w:szCs w:val="22"/>
              <w:lang w:val="en-US" w:eastAsia="en-US"/>
            </w:rPr>
          </w:pPr>
          <w:r>
            <w:rPr/>
            <w:t>5.2.3.3</w:t>
          </w:r>
          <w:r>
            <w:rPr>
              <w:rFonts w:cs="Calibri" w:ascii="Calibri" w:hAnsi="Calibri"/>
              <w:sz w:val="22"/>
              <w:szCs w:val="22"/>
              <w:lang w:val="en-US" w:eastAsia="en-US"/>
            </w:rPr>
            <w:tab/>
          </w:r>
          <w:r>
            <w:rPr/>
            <w:t>Network Induced Location Request (NI-LR)</w:t>
            <w:tab/>
          </w:r>
          <w:hyperlink w:anchor="__RefHeading___Toc399247548">
            <w:r>
              <w:rPr>
                <w:rStyle w:val="IndexLink"/>
              </w:rPr>
              <w:t>19</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Ga record transfer flows</w:t>
            <w:tab/>
          </w:r>
          <w:hyperlink w:anchor="__RefHeading___Toc399247549">
            <w:r>
              <w:rPr>
                <w:rStyle w:val="IndexLink"/>
              </w:rPr>
              <w:t>19</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B</w:t>
          </w:r>
          <w:r>
            <w:rPr>
              <w:vertAlign w:val="subscript"/>
            </w:rPr>
            <w:t>L</w:t>
          </w:r>
          <w:r>
            <w:rPr/>
            <w:t xml:space="preserve"> CDR file transfer</w:t>
            <w:tab/>
          </w:r>
          <w:hyperlink w:anchor="__RefHeading___Toc399247550">
            <w:r>
              <w:rPr>
                <w:rStyle w:val="IndexLink"/>
              </w:rPr>
              <w:t>20</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LCS online charging scenarios</w:t>
            <w:tab/>
          </w:r>
          <w:hyperlink w:anchor="__RefHeading___Toc399247551">
            <w:r>
              <w:rPr>
                <w:rStyle w:val="IndexLink"/>
              </w:rPr>
              <w:t>20</w:t>
            </w:r>
          </w:hyperlink>
        </w:p>
        <w:p>
          <w:pPr>
            <w:pStyle w:val="Contents3"/>
            <w:rPr>
              <w:rFonts w:ascii="Calibri" w:hAnsi="Calibri" w:cs="Calibri"/>
              <w:sz w:val="22"/>
              <w:szCs w:val="22"/>
              <w:lang w:val="en-US" w:eastAsia="en-US"/>
            </w:rPr>
          </w:pPr>
          <w:r>
            <w:rPr/>
            <w:t>5.3.0</w:t>
          </w:r>
          <w:r>
            <w:rPr>
              <w:rFonts w:cs="Calibri" w:ascii="Calibri" w:hAnsi="Calibri"/>
              <w:sz w:val="22"/>
              <w:szCs w:val="22"/>
              <w:lang w:val="en-US" w:eastAsia="en-US"/>
            </w:rPr>
            <w:tab/>
          </w:r>
          <w:r>
            <w:rPr/>
            <w:t>General</w:t>
            <w:tab/>
          </w:r>
          <w:hyperlink w:anchor="__RefHeading___Toc399247552">
            <w:r>
              <w:rPr>
                <w:rStyle w:val="IndexLink"/>
              </w:rPr>
              <w:t>20</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Basic principles</w:t>
            <w:tab/>
          </w:r>
          <w:hyperlink w:anchor="__RefHeading___Toc399247553">
            <w:r>
              <w:rPr>
                <w:rStyle w:val="IndexLink"/>
              </w:rPr>
              <w:t>20</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Ro message flows</w:t>
            <w:tab/>
          </w:r>
          <w:hyperlink w:anchor="__RefHeading___Toc399247554">
            <w:r>
              <w:rPr>
                <w:rStyle w:val="IndexLink"/>
              </w:rPr>
              <w:t>21</w:t>
            </w:r>
          </w:hyperlink>
        </w:p>
        <w:p>
          <w:pPr>
            <w:pStyle w:val="Contents4"/>
            <w:rPr>
              <w:rFonts w:ascii="Calibri" w:hAnsi="Calibri" w:cs="Calibri"/>
              <w:sz w:val="22"/>
              <w:szCs w:val="22"/>
              <w:lang w:val="en-US" w:eastAsia="en-US"/>
            </w:rPr>
          </w:pPr>
          <w:r>
            <w:rPr/>
            <w:t>5.3.2.0</w:t>
          </w:r>
          <w:r>
            <w:rPr>
              <w:rFonts w:cs="Calibri" w:ascii="Calibri" w:hAnsi="Calibri"/>
              <w:sz w:val="22"/>
              <w:szCs w:val="22"/>
              <w:lang w:val="en-US" w:eastAsia="en-US"/>
            </w:rPr>
            <w:tab/>
          </w:r>
          <w:r>
            <w:rPr/>
            <w:t>General</w:t>
            <w:tab/>
          </w:r>
          <w:hyperlink w:anchor="__RefHeading___Toc399247555">
            <w:r>
              <w:rPr>
                <w:rStyle w:val="IndexLink"/>
              </w:rPr>
              <w:t>21</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Mobile Originated Location Request (MO-LR)</w:t>
            <w:tab/>
          </w:r>
          <w:hyperlink w:anchor="__RefHeading___Toc399247556">
            <w:r>
              <w:rPr>
                <w:rStyle w:val="IndexLink"/>
              </w:rPr>
              <w:t>21</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Mobile Terminated Location Request (MT-LR)</w:t>
            <w:tab/>
          </w:r>
          <w:hyperlink w:anchor="__RefHeading___Toc399247557">
            <w:r>
              <w:rPr>
                <w:rStyle w:val="IndexLink"/>
              </w:rPr>
              <w:t>22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Definition of charging information</w:t>
            <w:tab/>
          </w:r>
          <w:hyperlink w:anchor="__RefHeading___Toc399247558">
            <w:r>
              <w:rPr>
                <w:rStyle w:val="IndexLink"/>
              </w:rPr>
              <w:t>23</w:t>
            </w:r>
          </w:hyperlink>
        </w:p>
        <w:p>
          <w:pPr>
            <w:pStyle w:val="Contents2"/>
            <w:rPr>
              <w:rFonts w:ascii="Calibri" w:hAnsi="Calibri" w:cs="Calibri"/>
              <w:sz w:val="22"/>
              <w:szCs w:val="22"/>
              <w:lang w:val="en-US" w:eastAsia="en-US"/>
            </w:rPr>
          </w:pPr>
          <w:r>
            <w:rPr/>
            <w:t>6.0</w:t>
          </w:r>
          <w:r>
            <w:rPr>
              <w:rFonts w:cs="Calibri" w:ascii="Calibri" w:hAnsi="Calibri"/>
              <w:sz w:val="22"/>
              <w:szCs w:val="22"/>
              <w:lang w:val="en-US" w:eastAsia="en-US"/>
            </w:rPr>
            <w:tab/>
          </w:r>
          <w:r>
            <w:rPr/>
            <w:t>General</w:t>
            <w:tab/>
          </w:r>
          <w:hyperlink w:anchor="__RefHeading___Toc399247559">
            <w:r>
              <w:rPr>
                <w:rStyle w:val="IndexLink"/>
              </w:rPr>
              <w:t>23</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Data description for LCS offline charging</w:t>
            <w:tab/>
          </w:r>
          <w:hyperlink w:anchor="__RefHeading___Toc399247560">
            <w:r>
              <w:rPr>
                <w:rStyle w:val="IndexLink"/>
              </w:rPr>
              <w:t>23</w:t>
            </w:r>
          </w:hyperlink>
        </w:p>
        <w:p>
          <w:pPr>
            <w:pStyle w:val="Contents3"/>
            <w:rPr>
              <w:rFonts w:ascii="Calibri" w:hAnsi="Calibri" w:cs="Calibri"/>
              <w:sz w:val="22"/>
              <w:szCs w:val="22"/>
              <w:lang w:val="fr-FR" w:eastAsia="en-US"/>
            </w:rPr>
          </w:pPr>
          <w:r>
            <w:rPr>
              <w:lang w:val="fr-FR" w:eastAsia="en-US"/>
            </w:rPr>
            <w:t>6.1.0</w:t>
          </w:r>
          <w:r>
            <w:rPr>
              <w:rFonts w:cs="Calibri" w:ascii="Calibri" w:hAnsi="Calibri"/>
              <w:sz w:val="22"/>
              <w:szCs w:val="22"/>
              <w:lang w:val="fr-FR" w:eastAsia="en-US"/>
            </w:rPr>
            <w:tab/>
          </w:r>
          <w:r>
            <w:rPr>
              <w:lang w:val="fr-FR" w:eastAsia="en-US"/>
            </w:rPr>
            <w:t>Introduction</w:t>
            <w:tab/>
          </w:r>
          <w:hyperlink w:anchor="__RefHeading___Toc399247561">
            <w:r>
              <w:rPr>
                <w:rStyle w:val="IndexLink"/>
                <w:lang w:val="fr-FR" w:eastAsia="en-US"/>
              </w:rPr>
              <w:t>23</w:t>
            </w:r>
          </w:hyperlink>
        </w:p>
        <w:p>
          <w:pPr>
            <w:pStyle w:val="Contents3"/>
            <w:rPr>
              <w:rFonts w:ascii="Calibri" w:hAnsi="Calibri" w:cs="Calibri"/>
              <w:sz w:val="22"/>
              <w:szCs w:val="22"/>
              <w:lang w:val="fr-FR" w:eastAsia="en-US"/>
            </w:rPr>
          </w:pPr>
          <w:r>
            <w:rPr>
              <w:lang w:val="fr-FR" w:eastAsia="en-US"/>
            </w:rPr>
            <w:t>6.1.1</w:t>
          </w:r>
          <w:r>
            <w:rPr>
              <w:rFonts w:cs="Calibri" w:ascii="Calibri" w:hAnsi="Calibri"/>
              <w:sz w:val="22"/>
              <w:szCs w:val="22"/>
              <w:lang w:val="fr-FR" w:eastAsia="en-US"/>
            </w:rPr>
            <w:tab/>
          </w:r>
          <w:r>
            <w:rPr>
              <w:lang w:val="fr-FR" w:eastAsia="en-US"/>
            </w:rPr>
            <w:t>Rf message contents</w:t>
            <w:tab/>
          </w:r>
          <w:hyperlink w:anchor="__RefHeading___Toc399247562">
            <w:r>
              <w:rPr>
                <w:rStyle w:val="IndexLink"/>
                <w:lang w:val="fr-FR" w:eastAsia="en-US"/>
              </w:rPr>
              <w:t>23</w:t>
            </w:r>
          </w:hyperlink>
        </w:p>
        <w:p>
          <w:pPr>
            <w:pStyle w:val="Contents3"/>
            <w:rPr>
              <w:rFonts w:ascii="Calibri" w:hAnsi="Calibri" w:cs="Calibri"/>
              <w:sz w:val="22"/>
              <w:szCs w:val="22"/>
              <w:lang w:val="fr-FR" w:eastAsia="en-US"/>
            </w:rPr>
          </w:pPr>
          <w:r>
            <w:rPr>
              <w:lang w:val="fr-FR" w:eastAsia="en-US"/>
            </w:rPr>
            <w:t>6.1.2</w:t>
          </w:r>
          <w:r>
            <w:rPr>
              <w:rFonts w:cs="Calibri" w:ascii="Calibri" w:hAnsi="Calibri"/>
              <w:sz w:val="22"/>
              <w:szCs w:val="22"/>
              <w:lang w:val="fr-FR" w:eastAsia="en-US"/>
            </w:rPr>
            <w:tab/>
          </w:r>
          <w:r>
            <w:rPr>
              <w:lang w:val="fr-FR" w:eastAsia="en-US"/>
            </w:rPr>
            <w:t>Ga message contents</w:t>
            <w:tab/>
          </w:r>
          <w:hyperlink w:anchor="__RefHeading___Toc399247563">
            <w:r>
              <w:rPr>
                <w:rStyle w:val="IndexLink"/>
                <w:lang w:val="fr-FR" w:eastAsia="en-US"/>
              </w:rPr>
              <w:t>23</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CDR description on the B</w:t>
          </w:r>
          <w:r>
            <w:rPr>
              <w:vertAlign w:val="subscript"/>
            </w:rPr>
            <w:t>L</w:t>
          </w:r>
          <w:r>
            <w:rPr/>
            <w:t xml:space="preserve"> interface</w:t>
            <w:tab/>
          </w:r>
          <w:hyperlink w:anchor="__RefHeading___Toc399247564">
            <w:r>
              <w:rPr>
                <w:rStyle w:val="IndexLink"/>
              </w:rPr>
              <w:t>24</w:t>
            </w:r>
          </w:hyperlink>
        </w:p>
        <w:p>
          <w:pPr>
            <w:pStyle w:val="Contents4"/>
            <w:rPr>
              <w:rFonts w:ascii="Calibri" w:hAnsi="Calibri" w:cs="Calibri"/>
              <w:sz w:val="22"/>
              <w:szCs w:val="22"/>
              <w:lang w:val="en-US" w:eastAsia="en-US"/>
            </w:rPr>
          </w:pPr>
          <w:r>
            <w:rPr/>
            <w:t>6.1.3.0</w:t>
          </w:r>
          <w:r>
            <w:rPr>
              <w:rFonts w:cs="Calibri" w:ascii="Calibri" w:hAnsi="Calibri"/>
              <w:sz w:val="22"/>
              <w:szCs w:val="22"/>
              <w:lang w:val="en-US" w:eastAsia="en-US"/>
            </w:rPr>
            <w:tab/>
          </w:r>
          <w:r>
            <w:rPr/>
            <w:t>Introduction</w:t>
            <w:tab/>
          </w:r>
          <w:hyperlink w:anchor="__RefHeading___Toc399247565">
            <w:r>
              <w:rPr>
                <w:rStyle w:val="IndexLink"/>
              </w:rPr>
              <w:t>24</w:t>
            </w:r>
          </w:hyperlink>
        </w:p>
        <w:p>
          <w:pPr>
            <w:pStyle w:val="Contents4"/>
            <w:rPr>
              <w:rFonts w:ascii="Calibri" w:hAnsi="Calibri" w:cs="Calibri"/>
              <w:sz w:val="22"/>
              <w:szCs w:val="22"/>
              <w:lang w:val="en-US" w:eastAsia="en-US"/>
            </w:rPr>
          </w:pPr>
          <w:r>
            <w:rPr/>
            <w:t>6.1.3.1</w:t>
          </w:r>
          <w:r>
            <w:rPr>
              <w:rFonts w:cs="Calibri" w:ascii="Calibri" w:hAnsi="Calibri"/>
              <w:sz w:val="22"/>
              <w:szCs w:val="22"/>
              <w:lang w:val="en-US" w:eastAsia="en-US"/>
            </w:rPr>
            <w:tab/>
          </w:r>
          <w:r>
            <w:rPr/>
            <w:t>LCS records for Mobile Originated Location Request (LCS</w:t>
            <w:noBreakHyphen/>
            <w:t>GMO</w:t>
            <w:noBreakHyphen/>
            <w:t>CDR)</w:t>
            <w:tab/>
          </w:r>
          <w:hyperlink w:anchor="__RefHeading___Toc399247566">
            <w:r>
              <w:rPr>
                <w:rStyle w:val="IndexLink"/>
              </w:rPr>
              <w:t>24</w:t>
            </w:r>
          </w:hyperlink>
        </w:p>
        <w:p>
          <w:pPr>
            <w:pStyle w:val="Contents3"/>
            <w:rPr>
              <w:rFonts w:ascii="Calibri" w:hAnsi="Calibri" w:cs="Calibri"/>
              <w:sz w:val="22"/>
              <w:szCs w:val="22"/>
              <w:lang w:val="en-US" w:eastAsia="en-US"/>
            </w:rPr>
          </w:pPr>
          <w:r>
            <w:rPr/>
            <w:t>6.1.3.2</w:t>
          </w:r>
          <w:r>
            <w:rPr>
              <w:rFonts w:cs="Calibri" w:ascii="Calibri" w:hAnsi="Calibri"/>
              <w:sz w:val="22"/>
              <w:szCs w:val="22"/>
              <w:lang w:val="en-US" w:eastAsia="en-US"/>
            </w:rPr>
            <w:tab/>
          </w:r>
          <w:r>
            <w:rPr/>
            <w:t>LCS records for Mobile Terminated Location Request (MT-LR)</w:t>
            <w:tab/>
          </w:r>
          <w:hyperlink w:anchor="__RefHeading___Toc399247567">
            <w:r>
              <w:rPr>
                <w:rStyle w:val="IndexLink"/>
              </w:rPr>
              <w:t>25</w:t>
            </w:r>
          </w:hyperlink>
        </w:p>
        <w:p>
          <w:pPr>
            <w:pStyle w:val="Contents4"/>
            <w:rPr>
              <w:rFonts w:ascii="Calibri" w:hAnsi="Calibri" w:cs="Calibri"/>
              <w:sz w:val="22"/>
              <w:szCs w:val="22"/>
              <w:lang w:val="en-US" w:eastAsia="en-US"/>
            </w:rPr>
          </w:pPr>
          <w:r>
            <w:rPr/>
            <w:t>6.1.3.2.1</w:t>
          </w:r>
          <w:r>
            <w:rPr>
              <w:rFonts w:cs="Calibri" w:ascii="Calibri" w:hAnsi="Calibri"/>
              <w:sz w:val="22"/>
              <w:szCs w:val="22"/>
              <w:lang w:val="en-US" w:eastAsia="en-US"/>
            </w:rPr>
            <w:tab/>
          </w:r>
          <w:r>
            <w:rPr/>
            <w:t>LCS records for Requesting GMLC (LCS-RGMT-CDR)</w:t>
            <w:tab/>
          </w:r>
          <w:hyperlink w:anchor="__RefHeading___Toc399247568">
            <w:r>
              <w:rPr>
                <w:rStyle w:val="IndexLink"/>
              </w:rPr>
              <w:t>25</w:t>
            </w:r>
          </w:hyperlink>
        </w:p>
        <w:p>
          <w:pPr>
            <w:pStyle w:val="Contents4"/>
            <w:rPr>
              <w:rFonts w:ascii="Calibri" w:hAnsi="Calibri" w:cs="Calibri"/>
              <w:sz w:val="22"/>
              <w:szCs w:val="22"/>
              <w:lang w:val="en-US" w:eastAsia="en-US"/>
            </w:rPr>
          </w:pPr>
          <w:r>
            <w:rPr/>
            <w:t>6.1.3.2.2</w:t>
          </w:r>
          <w:r>
            <w:rPr>
              <w:rFonts w:cs="Calibri" w:ascii="Calibri" w:hAnsi="Calibri"/>
              <w:sz w:val="22"/>
              <w:szCs w:val="22"/>
              <w:lang w:val="en-US" w:eastAsia="en-US"/>
            </w:rPr>
            <w:tab/>
          </w:r>
          <w:r>
            <w:rPr/>
            <w:t>LCS records for Home GMLC (LCS-HGMT-CDR)</w:t>
            <w:tab/>
          </w:r>
          <w:hyperlink w:anchor="__RefHeading___Toc399247569">
            <w:r>
              <w:rPr>
                <w:rStyle w:val="IndexLink"/>
              </w:rPr>
              <w:t>25</w:t>
            </w:r>
          </w:hyperlink>
        </w:p>
        <w:p>
          <w:pPr>
            <w:pStyle w:val="Contents4"/>
            <w:rPr>
              <w:rFonts w:ascii="Calibri" w:hAnsi="Calibri" w:cs="Calibri"/>
              <w:sz w:val="22"/>
              <w:szCs w:val="22"/>
              <w:lang w:val="en-US" w:eastAsia="en-US"/>
            </w:rPr>
          </w:pPr>
          <w:r>
            <w:rPr/>
            <w:t>6.1.3.2.3</w:t>
          </w:r>
          <w:r>
            <w:rPr>
              <w:rFonts w:cs="Calibri" w:ascii="Calibri" w:hAnsi="Calibri"/>
              <w:sz w:val="22"/>
              <w:szCs w:val="22"/>
              <w:lang w:val="en-US" w:eastAsia="en-US"/>
            </w:rPr>
            <w:tab/>
          </w:r>
          <w:r>
            <w:rPr/>
            <w:t>LCS records for Visited GMLC (LCS-VGMT-CDR)</w:t>
            <w:tab/>
          </w:r>
          <w:hyperlink w:anchor="__RefHeading___Toc399247570">
            <w:r>
              <w:rPr>
                <w:rStyle w:val="IndexLink"/>
              </w:rPr>
              <w:t>26</w:t>
            </w:r>
          </w:hyperlink>
        </w:p>
        <w:p>
          <w:pPr>
            <w:pStyle w:val="Contents4"/>
            <w:rPr>
              <w:rFonts w:ascii="Calibri" w:hAnsi="Calibri" w:cs="Calibri"/>
              <w:sz w:val="22"/>
              <w:szCs w:val="22"/>
              <w:lang w:val="en-US" w:eastAsia="en-US"/>
            </w:rPr>
          </w:pPr>
          <w:r>
            <w:rPr/>
            <w:t>6.1.3.3</w:t>
          </w:r>
          <w:r>
            <w:rPr>
              <w:rFonts w:cs="Calibri" w:ascii="Calibri" w:hAnsi="Calibri"/>
              <w:sz w:val="22"/>
              <w:szCs w:val="22"/>
              <w:lang w:val="en-US" w:eastAsia="en-US"/>
            </w:rPr>
            <w:tab/>
          </w:r>
          <w:r>
            <w:rPr/>
            <w:t>LCS Records for Network Initiated Location Request (LCS</w:t>
            <w:noBreakHyphen/>
            <w:t>GNI</w:t>
            <w:noBreakHyphen/>
            <w:t>CDR)</w:t>
            <w:tab/>
          </w:r>
          <w:hyperlink w:anchor="__RefHeading___Toc399247571">
            <w:r>
              <w:rPr>
                <w:rStyle w:val="IndexLink"/>
              </w:rPr>
              <w:t>26</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Data description for LCS online charging</w:t>
            <w:tab/>
          </w:r>
          <w:hyperlink w:anchor="__RefHeading___Toc399247572">
            <w:r>
              <w:rPr>
                <w:rStyle w:val="IndexLink"/>
              </w:rPr>
              <w:t>27</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Ro message contents</w:t>
            <w:tab/>
          </w:r>
          <w:hyperlink w:anchor="__RefHeading___Toc399247573">
            <w:r>
              <w:rPr>
                <w:rStyle w:val="IndexLink"/>
              </w:rPr>
              <w:t>27</w:t>
            </w:r>
          </w:hyperlink>
        </w:p>
        <w:p>
          <w:pPr>
            <w:pStyle w:val="Contents4"/>
            <w:rPr>
              <w:rFonts w:ascii="Calibri" w:hAnsi="Calibri" w:cs="Calibri"/>
              <w:sz w:val="22"/>
              <w:szCs w:val="22"/>
              <w:lang w:val="en-US" w:eastAsia="en-US"/>
            </w:rPr>
          </w:pPr>
          <w:r>
            <w:rPr/>
            <w:t>6.2.1.0</w:t>
          </w:r>
          <w:r>
            <w:rPr>
              <w:rFonts w:cs="Calibri" w:ascii="Calibri" w:hAnsi="Calibri"/>
              <w:sz w:val="22"/>
              <w:szCs w:val="22"/>
              <w:lang w:val="en-US" w:eastAsia="en-US"/>
            </w:rPr>
            <w:tab/>
          </w:r>
          <w:r>
            <w:rPr/>
            <w:t>General</w:t>
            <w:tab/>
          </w:r>
          <w:hyperlink w:anchor="__RefHeading___Toc399247574">
            <w:r>
              <w:rPr>
                <w:rStyle w:val="IndexLink"/>
              </w:rPr>
              <w:t>27</w:t>
            </w:r>
          </w:hyperlink>
        </w:p>
        <w:p>
          <w:pPr>
            <w:pStyle w:val="Contents4"/>
            <w:rPr>
              <w:rFonts w:ascii="Calibri" w:hAnsi="Calibri" w:cs="Calibri"/>
              <w:sz w:val="22"/>
              <w:szCs w:val="22"/>
              <w:lang w:val="en-US" w:eastAsia="en-US"/>
            </w:rPr>
          </w:pPr>
          <w:r>
            <w:rPr/>
            <w:t>6.2.1.1</w:t>
          </w:r>
          <w:r>
            <w:rPr>
              <w:rFonts w:cs="Calibri" w:ascii="Calibri" w:hAnsi="Calibri"/>
              <w:sz w:val="22"/>
              <w:szCs w:val="22"/>
              <w:lang w:val="en-US" w:eastAsia="en-US"/>
            </w:rPr>
            <w:tab/>
          </w:r>
          <w:r>
            <w:rPr>
              <w:i/>
            </w:rPr>
            <w:t>Debit / Reserve Units Request</w:t>
          </w:r>
          <w:r>
            <w:rPr/>
            <w:t xml:space="preserve"> message</w:t>
            <w:tab/>
          </w:r>
          <w:hyperlink w:anchor="__RefHeading___Toc399247575">
            <w:r>
              <w:rPr>
                <w:rStyle w:val="IndexLink"/>
              </w:rPr>
              <w:t>27</w:t>
            </w:r>
          </w:hyperlink>
        </w:p>
        <w:p>
          <w:pPr>
            <w:pStyle w:val="Contents4"/>
            <w:rPr>
              <w:rFonts w:ascii="Calibri" w:hAnsi="Calibri" w:cs="Calibri"/>
              <w:sz w:val="22"/>
              <w:szCs w:val="22"/>
              <w:lang w:val="en-US" w:eastAsia="en-US"/>
            </w:rPr>
          </w:pPr>
          <w:r>
            <w:rPr/>
            <w:t>6.2.1.2</w:t>
          </w:r>
          <w:r>
            <w:rPr>
              <w:rFonts w:cs="Calibri" w:ascii="Calibri" w:hAnsi="Calibri"/>
              <w:sz w:val="22"/>
              <w:szCs w:val="22"/>
              <w:lang w:val="en-US" w:eastAsia="en-US"/>
            </w:rPr>
            <w:tab/>
          </w:r>
          <w:r>
            <w:rPr>
              <w:i/>
            </w:rPr>
            <w:t>Debit  / Reserve Units Response</w:t>
          </w:r>
          <w:r>
            <w:rPr/>
            <w:t xml:space="preserve"> message</w:t>
            <w:tab/>
          </w:r>
          <w:hyperlink w:anchor="__RefHeading___Toc399247576">
            <w:r>
              <w:rPr>
                <w:rStyle w:val="IndexLink"/>
              </w:rPr>
              <w:t>28</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LCS charging specific parameters</w:t>
            <w:tab/>
          </w:r>
          <w:hyperlink w:anchor="__RefHeading___Toc399247577">
            <w:r>
              <w:rPr>
                <w:rStyle w:val="IndexLink"/>
              </w:rPr>
              <w:t>28</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Definition of LCS charging information</w:t>
            <w:tab/>
          </w:r>
          <w:hyperlink w:anchor="__RefHeading___Toc399247578">
            <w:r>
              <w:rPr>
                <w:rStyle w:val="IndexLink"/>
              </w:rPr>
              <w:t>28</w:t>
            </w:r>
          </w:hyperlink>
        </w:p>
        <w:p>
          <w:pPr>
            <w:pStyle w:val="Contents4"/>
            <w:rPr>
              <w:rFonts w:ascii="Calibri" w:hAnsi="Calibri" w:cs="Calibri"/>
              <w:sz w:val="22"/>
              <w:szCs w:val="22"/>
              <w:lang w:val="en-US" w:eastAsia="en-US"/>
            </w:rPr>
          </w:pPr>
          <w:r>
            <w:rPr/>
            <w:t>6.3.1.0</w:t>
          </w:r>
          <w:r>
            <w:rPr>
              <w:rFonts w:cs="Calibri" w:ascii="Calibri" w:hAnsi="Calibri"/>
              <w:sz w:val="22"/>
              <w:szCs w:val="22"/>
              <w:lang w:val="en-US" w:eastAsia="en-US"/>
            </w:rPr>
            <w:tab/>
          </w:r>
          <w:r>
            <w:rPr/>
            <w:t>General</w:t>
            <w:tab/>
          </w:r>
          <w:hyperlink w:anchor="__RefHeading___Toc399247579">
            <w:r>
              <w:rPr>
                <w:rStyle w:val="IndexLink"/>
              </w:rPr>
              <w:t>28</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t>LCS charging information assignment for Service Information</w:t>
            <w:tab/>
          </w:r>
          <w:hyperlink w:anchor="__RefHeading___Toc399247580">
            <w:r>
              <w:rPr>
                <w:rStyle w:val="IndexLink"/>
              </w:rPr>
              <w:t>28</w:t>
            </w:r>
          </w:hyperlink>
        </w:p>
        <w:p>
          <w:pPr>
            <w:pStyle w:val="Contents4"/>
            <w:rPr>
              <w:rFonts w:ascii="Calibri" w:hAnsi="Calibri" w:cs="Calibri"/>
              <w:sz w:val="22"/>
              <w:szCs w:val="22"/>
              <w:lang w:val="en-US" w:eastAsia="en-US"/>
            </w:rPr>
          </w:pPr>
          <w:r>
            <w:rPr/>
            <w:t>6.3.1.2</w:t>
          </w:r>
          <w:r>
            <w:rPr>
              <w:rFonts w:cs="Calibri" w:ascii="Calibri" w:hAnsi="Calibri"/>
              <w:sz w:val="22"/>
              <w:szCs w:val="22"/>
              <w:lang w:val="en-US" w:eastAsia="en-US"/>
            </w:rPr>
            <w:tab/>
          </w:r>
          <w:r>
            <w:rPr/>
            <w:t>Definition of the LCS Information</w:t>
            <w:tab/>
          </w:r>
          <w:hyperlink w:anchor="__RefHeading___Toc399247581">
            <w:r>
              <w:rPr>
                <w:rStyle w:val="IndexLink"/>
              </w:rPr>
              <w:t>28</w:t>
            </w:r>
          </w:hyperlink>
        </w:p>
        <w:p>
          <w:pPr>
            <w:pStyle w:val="Contents8"/>
            <w:rPr>
              <w:rFonts w:ascii="Calibri" w:hAnsi="Calibri" w:cs="Calibri"/>
              <w:b w:val="false"/>
              <w:b w:val="false"/>
              <w:szCs w:val="22"/>
              <w:lang w:val="en-US" w:eastAsia="en-US"/>
            </w:rPr>
          </w:pPr>
          <w:r>
            <w:rPr/>
            <w:t>Annex A (informative):</w:t>
            <w:tab/>
            <w:t>Bibliography</w:t>
            <w:tab/>
          </w:r>
          <w:hyperlink w:anchor="__RefHeading___Toc399247582">
            <w:r>
              <w:rPr>
                <w:rStyle w:val="IndexLink"/>
              </w:rPr>
              <w:t>30</w:t>
            </w:r>
          </w:hyperlink>
        </w:p>
        <w:p>
          <w:pPr>
            <w:pStyle w:val="Contents8"/>
            <w:rPr>
              <w:rFonts w:ascii="Calibri" w:hAnsi="Calibri" w:cs="Calibri"/>
              <w:szCs w:val="22"/>
              <w:lang w:val="en-US" w:eastAsia="en-US"/>
            </w:rPr>
          </w:pPr>
          <w:r>
            <w:rPr>
              <w:b w:val="false"/>
            </w:rPr>
            <w:t>Annex B (informative):</w:t>
            <w:tab/>
            <w:t>Change history</w:t>
            <w:tab/>
          </w:r>
          <w:hyperlink w:anchor="__RefHeading___Toc399247583">
            <w:r>
              <w:rPr>
                <w:rStyle w:val="IndexLink"/>
                <w:b w:val="false"/>
              </w:rPr>
              <w:t>31</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39924752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399247529"/>
      <w:bookmarkEnd w:id="8"/>
      <w:r>
        <w:rPr/>
        <w:t>1</w:t>
        <w:tab/>
        <w:t>Scope</w:t>
      </w:r>
    </w:p>
    <w:p>
      <w:pPr>
        <w:pStyle w:val="Normal"/>
        <w:rPr/>
      </w:pPr>
      <w:r>
        <w:rPr/>
        <w:t>The present document is part of a series of Technical Specifications (TSs) that specify charging functionality and charging management in GSM/UMTS networks. The GSM/UMTS core network charging architecture and principles are specified in TS 32.240 [</w:t>
      </w:r>
      <w:r>
        <w:fldChar w:fldCharType="begin"/>
      </w:r>
      <w:r>
        <w:rPr>
          <w:lang w:val="en-US" w:eastAsia="en-US"/>
        </w:rPr>
        <w:instrText xml:space="preserve"> ref_ts32240 </w:instrText>
      </w:r>
      <w:r>
        <w:rPr>
          <w:lang w:val="en-US" w:eastAsia="en-US"/>
        </w:rPr>
      </w:r>
      <w:r>
        <w:rPr>
          <w:lang w:val="en-US" w:eastAsia="en-US"/>
        </w:rPr>
        <w:fldChar w:fldCharType="separate"/>
      </w:r>
      <w:r>
        <w:rPr>
          <w:lang w:val="en-US" w:eastAsia="en-US"/>
        </w:rPr>
        <w:t>1</w:t>
      </w:r>
      <w:r>
        <w:rPr>
          <w:lang w:val="en-US" w:eastAsia="en-US"/>
        </w:rPr>
      </w:r>
      <w:r>
        <w:rPr>
          <w:lang w:val="en-US" w:eastAsia="en-US"/>
        </w:rPr>
        <w:fldChar w:fldCharType="end"/>
      </w:r>
      <w:r>
        <w:rPr/>
        <w:t>], which provides an umbrella for other charging management documents that specify</w:t>
      </w:r>
    </w:p>
    <w:p>
      <w:pPr>
        <w:pStyle w:val="B1"/>
        <w:rPr/>
      </w:pPr>
      <w:r>
        <w:rPr/>
        <w:t>-</w:t>
        <w:tab/>
        <w:t>the content of the CDRs per domain and subsystem (offline charging);</w:t>
      </w:r>
    </w:p>
    <w:p>
      <w:pPr>
        <w:pStyle w:val="B1"/>
        <w:rPr/>
      </w:pPr>
      <w:r>
        <w:rPr/>
        <w:t>-</w:t>
        <w:tab/>
        <w:t>the content of real-time charging events per domain / subsystem (online charging);</w:t>
      </w:r>
    </w:p>
    <w:p>
      <w:pPr>
        <w:pStyle w:val="B1"/>
        <w:rPr/>
      </w:pPr>
      <w:r>
        <w:rPr/>
        <w:t>-</w:t>
        <w:tab/>
        <w:t>the functionality of online and offline charging for those domains and subsystems;</w:t>
      </w:r>
    </w:p>
    <w:p>
      <w:pPr>
        <w:pStyle w:val="B1"/>
        <w:rPr/>
      </w:pPr>
      <w:r>
        <w:rPr/>
        <w:t>-</w:t>
        <w:tab/>
        <w:t>the interfaces that are used in the charging framework to transfer the charging information (i.e. CDRs or charging events).</w:t>
      </w:r>
    </w:p>
    <w:p>
      <w:pPr>
        <w:pStyle w:val="Normal"/>
        <w:rPr/>
      </w:pPr>
      <w:r>
        <w:rPr/>
        <w:t>The complete document structure for these TSs is defined in TS 32.240 [</w:t>
      </w:r>
      <w:r>
        <w:fldChar w:fldCharType="begin"/>
      </w:r>
      <w:r>
        <w:rPr>
          <w:lang w:val="en-US" w:eastAsia="en-US"/>
        </w:rPr>
        <w:instrText xml:space="preserve"> ref_ts32240 </w:instrText>
      </w:r>
      <w:r>
        <w:rPr>
          <w:lang w:val="en-US" w:eastAsia="en-US"/>
        </w:rPr>
      </w:r>
      <w:r>
        <w:rPr>
          <w:lang w:val="en-US" w:eastAsia="en-US"/>
        </w:rPr>
        <w:fldChar w:fldCharType="separate"/>
      </w:r>
      <w:r>
        <w:rPr>
          <w:lang w:val="en-US" w:eastAsia="en-US"/>
        </w:rPr>
        <w:t>1</w:t>
      </w:r>
      <w:r>
        <w:rPr>
          <w:lang w:val="en-US" w:eastAsia="en-US"/>
        </w:rPr>
      </w:r>
      <w:r>
        <w:rPr>
          <w:lang w:val="en-US" w:eastAsia="en-US"/>
        </w:rPr>
        <w:fldChar w:fldCharType="end"/>
      </w:r>
      <w:r>
        <w:rPr/>
        <w:t>].</w:t>
      </w:r>
    </w:p>
    <w:p>
      <w:pPr>
        <w:pStyle w:val="Normal"/>
        <w:rPr/>
      </w:pPr>
      <w:r>
        <w:rPr/>
        <w:t>The present document specifies the LCS Offline and Online Charging description for the LCS domain, based on the functional stage 2 description of the LCS in TS 23.071 [201]. This charging description includes the offline and online charging architecture and scenarios specific to the LCS, as well as the mapping of the common 3GPP architecture specified in TS 32.240 [1] onto the LCS domain. It further specifies the structure and content of the CDRs for offline charging and the charging events for online charging. The present document is related to other 3GPP charging TSs as follows:</w:t>
      </w:r>
    </w:p>
    <w:p>
      <w:pPr>
        <w:pStyle w:val="B1"/>
        <w:rPr/>
      </w:pPr>
      <w:r>
        <w:rPr/>
        <w:t>-</w:t>
        <w:tab/>
        <w:t>The common 3GPP charging architecture is specified in TS 32.240 [1];</w:t>
      </w:r>
    </w:p>
    <w:p>
      <w:pPr>
        <w:pStyle w:val="B1"/>
        <w:rPr/>
      </w:pPr>
      <w:r>
        <w:rPr/>
        <w:t>-</w:t>
        <w:tab/>
        <w:t>The parameters, abstract syntax and encoding rules for these CDR types are specified in TS 32.298 [51].</w:t>
      </w:r>
    </w:p>
    <w:p>
      <w:pPr>
        <w:pStyle w:val="B1"/>
        <w:rPr/>
      </w:pPr>
      <w:r>
        <w:rPr/>
        <w:t>-</w:t>
        <w:tab/>
        <w:t>A transaction based mechanism for the transfer of CDRs within the network is specified in TS 32.295 [54].</w:t>
      </w:r>
    </w:p>
    <w:p>
      <w:pPr>
        <w:pStyle w:val="B1"/>
        <w:rPr/>
      </w:pPr>
      <w:r>
        <w:rPr/>
        <w:t>-</w:t>
        <w:tab/>
        <w:t>The file based mechanism used to transfer the CDRs from the network to the operator’s billing domain (e.g. the billing system or a mediation device) is specified in TS 32.297 [52].</w:t>
      </w:r>
    </w:p>
    <w:p>
      <w:pPr>
        <w:pStyle w:val="B1"/>
        <w:rPr/>
      </w:pPr>
      <w:r>
        <w:rPr/>
        <w:t>-</w:t>
        <w:tab/>
        <w:t>The 3GPP Diameter application that is used for LCS domain offline and online charging is specified in TS 32.299 [50].</w:t>
      </w:r>
    </w:p>
    <w:p>
      <w:pPr>
        <w:pStyle w:val="Normal"/>
        <w:rPr/>
      </w:pPr>
      <w:r>
        <w:rPr/>
        <w:t>All terms, definitions and abbreviations, used in the present document, that are common across 3GPP TSs, are defined in TR 21.905 [100]. Those that are common across charging management in GSM/UMTS domains, services, or subsystems are provided in the umbrella document TS 32.240 [1] and are copied into clause 3 of the present document for ease of reading. Finally, those items that are specific to the present document are defined exclusively in the present document.</w:t>
      </w:r>
    </w:p>
    <w:p>
      <w:pPr>
        <w:pStyle w:val="Normal"/>
        <w:rPr/>
      </w:pPr>
      <w:r>
        <w:rPr/>
        <w:t>Furthermore, requirements that govern the charging work are specified in TS 22.115 [101].</w:t>
      </w:r>
      <w:r>
        <w:br w:type="page"/>
      </w:r>
    </w:p>
    <w:p>
      <w:pPr>
        <w:pStyle w:val="Heading1"/>
        <w:ind w:left="1134" w:hanging="1134"/>
        <w:rPr/>
      </w:pPr>
      <w:bookmarkStart w:id="9" w:name="__RefHeading___Toc399247530"/>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32.240: "Telecommunication management; Charging management; Charging architecture and principles".</w:t>
      </w:r>
    </w:p>
    <w:p>
      <w:pPr>
        <w:pStyle w:val="EX"/>
        <w:rPr/>
      </w:pPr>
      <w:r>
        <w:rPr/>
        <w:t>[2] - [9]</w:t>
        <w:tab/>
        <w:t>Void.</w:t>
      </w:r>
    </w:p>
    <w:p>
      <w:pPr>
        <w:pStyle w:val="EX"/>
        <w:rPr/>
      </w:pPr>
      <w:r>
        <w:rPr/>
        <w:t>[10]</w:t>
        <w:tab/>
        <w:t>3GPP TS 32.250: "Telecommunication management; Charging management; Circuit Switched (CS) domain charging".</w:t>
      </w:r>
    </w:p>
    <w:p>
      <w:pPr>
        <w:pStyle w:val="EX"/>
        <w:rPr/>
      </w:pPr>
      <w:r>
        <w:rPr/>
        <w:t>[11] - [19]</w:t>
        <w:tab/>
        <w:t>Void.</w:t>
      </w:r>
    </w:p>
    <w:p>
      <w:pPr>
        <w:pStyle w:val="EX"/>
        <w:rPr/>
      </w:pPr>
      <w:r>
        <w:rPr>
          <w:lang w:eastAsia="de-DE"/>
        </w:rPr>
        <w:t>[20]</w:t>
        <w:tab/>
        <w:t>3GPP TS 32.260: "Telecommunication management; Charging management; IP Multimedia Subsystem (IMS) charging".</w:t>
      </w:r>
    </w:p>
    <w:p>
      <w:pPr>
        <w:pStyle w:val="EX"/>
        <w:rPr>
          <w:lang w:eastAsia="de-DE"/>
        </w:rPr>
      </w:pPr>
      <w:r>
        <w:rPr/>
        <w:t>[21] - [29]</w:t>
        <w:tab/>
        <w:t>Void.</w:t>
      </w:r>
    </w:p>
    <w:p>
      <w:pPr>
        <w:pStyle w:val="EX"/>
        <w:rPr>
          <w:lang w:eastAsia="de-DE"/>
        </w:rPr>
      </w:pPr>
      <w:r>
        <w:rPr>
          <w:lang w:eastAsia="de-DE"/>
        </w:rPr>
        <w:t>[30]</w:t>
        <w:tab/>
        <w:t>3GPP TS 32.270: "Telecommunication management; Charging management; Multimedia Messaging Service (MMS) charging".</w:t>
      </w:r>
    </w:p>
    <w:p>
      <w:pPr>
        <w:pStyle w:val="EX"/>
        <w:rPr/>
      </w:pPr>
      <w:r>
        <w:rPr>
          <w:color w:val="000000"/>
        </w:rPr>
        <w:t>[31] - [49]</w:t>
        <w:tab/>
        <w:t>Void</w:t>
      </w:r>
    </w:p>
    <w:p>
      <w:pPr>
        <w:pStyle w:val="EX"/>
        <w:rPr/>
      </w:pPr>
      <w:r>
        <w:rPr/>
        <w:t>[50]</w:t>
        <w:tab/>
        <w:t>3GPP TS 32.299: "Telecommunication management; Charging management; Diameter charging application".</w:t>
      </w:r>
    </w:p>
    <w:p>
      <w:pPr>
        <w:pStyle w:val="EX"/>
        <w:rPr/>
      </w:pPr>
      <w:r>
        <w:rPr/>
        <w:t>[51]</w:t>
        <w:tab/>
        <w:t>3GPP TS 32.298: "Telecommunication management; Charging management; Charging Data Record (CDR) encoding rules description".</w:t>
      </w:r>
    </w:p>
    <w:p>
      <w:pPr>
        <w:pStyle w:val="EX"/>
        <w:rPr/>
      </w:pPr>
      <w:r>
        <w:rPr/>
        <w:t>[52]</w:t>
        <w:tab/>
        <w:t>3GPP TS 32.297: "Telecommunication management; Charging management; Charging Data Record (CDR) file format and transfer".</w:t>
      </w:r>
    </w:p>
    <w:p>
      <w:pPr>
        <w:pStyle w:val="EX"/>
        <w:rPr>
          <w:color w:val="000000"/>
        </w:rPr>
      </w:pPr>
      <w:r>
        <w:rPr>
          <w:color w:val="000000"/>
        </w:rPr>
        <w:t>[53]</w:t>
        <w:tab/>
        <w:t>3GPP TS 32.296: "Telecommunication management; Charging management; Online Charging System (OCS) applications and interfaces".</w:t>
      </w:r>
    </w:p>
    <w:p>
      <w:pPr>
        <w:pStyle w:val="EX"/>
        <w:rPr/>
      </w:pPr>
      <w:r>
        <w:rPr>
          <w:color w:val="000000"/>
        </w:rPr>
        <w:t>[54]</w:t>
        <w:tab/>
        <w:t>3GPP TS 32.295: "Telecommunication management; Charging management; Charging Data Record (CDR) transfer".</w:t>
      </w:r>
    </w:p>
    <w:p>
      <w:pPr>
        <w:pStyle w:val="EX"/>
        <w:rPr/>
      </w:pPr>
      <w:r>
        <w:rPr>
          <w:color w:val="000000"/>
        </w:rPr>
        <w:t>[55] - [99]</w:t>
        <w:tab/>
        <w:t>Void.</w:t>
      </w:r>
    </w:p>
    <w:p>
      <w:pPr>
        <w:pStyle w:val="EX"/>
        <w:rPr/>
      </w:pPr>
      <w:r>
        <w:rPr/>
        <w:t>[100]</w:t>
        <w:tab/>
        <w:t>3GPP TR 21.905: "Vocabulary for 3GPP Specifications".</w:t>
      </w:r>
    </w:p>
    <w:p>
      <w:pPr>
        <w:pStyle w:val="EX"/>
        <w:ind w:left="0" w:firstLine="284"/>
        <w:rPr/>
      </w:pPr>
      <w:r>
        <w:rPr/>
        <w:t xml:space="preserve">[101] </w:t>
        <w:tab/>
        <w:tab/>
        <w:tab/>
        <w:tab/>
        <w:t>3GPP TS 22.115: "Service aspects; Charging and billing".</w:t>
      </w:r>
    </w:p>
    <w:p>
      <w:pPr>
        <w:pStyle w:val="EX"/>
        <w:ind w:left="0" w:firstLine="284"/>
        <w:rPr/>
      </w:pPr>
      <w:r>
        <w:rPr/>
        <w:t>[102] - [199]</w:t>
        <w:tab/>
        <w:tab/>
        <w:t>Void.</w:t>
      </w:r>
    </w:p>
    <w:p>
      <w:pPr>
        <w:pStyle w:val="EX"/>
        <w:rPr/>
      </w:pPr>
      <w:r>
        <w:rPr/>
        <w:t>[200]</w:t>
        <w:tab/>
        <w:t>Void.</w:t>
      </w:r>
    </w:p>
    <w:p>
      <w:pPr>
        <w:pStyle w:val="EX"/>
        <w:rPr/>
      </w:pPr>
      <w:r>
        <w:rPr/>
        <w:t>[201]</w:t>
        <w:tab/>
        <w:t>3GPP TS 23.271: "Functional stage 2 description of Location Services (LCS)".</w:t>
      </w:r>
    </w:p>
    <w:p>
      <w:pPr>
        <w:pStyle w:val="EX"/>
        <w:rPr/>
      </w:pPr>
      <w:r>
        <w:rPr/>
        <w:t>[202]</w:t>
        <w:tab/>
        <w:t>Void.</w:t>
      </w:r>
    </w:p>
    <w:p>
      <w:pPr>
        <w:pStyle w:val="EX"/>
        <w:rPr/>
      </w:pPr>
      <w:r>
        <w:rPr/>
        <w:t>[203]</w:t>
        <w:tab/>
        <w:t>3GPP TS 25.305: "Stage 2 functional specification of User Equipment (UE) positioning in UTRAN".</w:t>
      </w:r>
    </w:p>
    <w:p>
      <w:pPr>
        <w:pStyle w:val="EX"/>
        <w:rPr/>
      </w:pPr>
      <w:r>
        <w:rPr/>
        <w:t>[204]</w:t>
        <w:tab/>
        <w:t>3GPP TS 43.059: "Functional stage 2 description of Location Services (LCS) in GERAN".</w:t>
      </w:r>
    </w:p>
    <w:p>
      <w:pPr>
        <w:pStyle w:val="EX"/>
        <w:rPr/>
      </w:pPr>
      <w:r>
        <w:rPr/>
        <w:t xml:space="preserve">[205] </w:t>
        <w:tab/>
        <w:t>3GPP TS 24.002: "</w:t>
      </w:r>
      <w:r>
        <w:rPr>
          <w:color w:val="444444"/>
        </w:rPr>
        <w:t>GSM - UMTS Public Land Mobile Network (PLMN) Access Reference Configuration".</w:t>
      </w:r>
    </w:p>
    <w:p>
      <w:pPr>
        <w:pStyle w:val="EX"/>
        <w:rPr>
          <w:lang w:eastAsia="de-DE"/>
        </w:rPr>
      </w:pPr>
      <w:r>
        <w:rPr/>
        <w:t>[206] - [299]</w:t>
        <w:tab/>
        <w:t>Void.</w:t>
      </w:r>
    </w:p>
    <w:p>
      <w:pPr>
        <w:pStyle w:val="EX"/>
        <w:widowControl w:val="false"/>
        <w:rPr/>
      </w:pPr>
      <w:r>
        <w:rPr>
          <w:color w:val="000000"/>
        </w:rPr>
        <w:t>[301] - [399]</w:t>
        <w:tab/>
        <w:t>Void.</w:t>
      </w:r>
    </w:p>
    <w:p>
      <w:pPr>
        <w:pStyle w:val="EX"/>
        <w:rPr>
          <w:color w:val="000000"/>
        </w:rPr>
      </w:pPr>
      <w:r>
        <w:rPr>
          <w:color w:val="000000"/>
        </w:rPr>
        <w:t>[400]</w:t>
        <w:tab/>
        <w:t>Void.</w:t>
      </w:r>
    </w:p>
    <w:p>
      <w:pPr>
        <w:pStyle w:val="EX"/>
        <w:rPr>
          <w:color w:val="000000"/>
        </w:rPr>
      </w:pPr>
      <w:r>
        <w:rPr>
          <w:color w:val="000000"/>
        </w:rPr>
        <w:t>[401]</w:t>
        <w:tab/>
        <w:t>Void.</w:t>
      </w:r>
    </w:p>
    <w:p>
      <w:pPr>
        <w:pStyle w:val="EX"/>
        <w:rPr/>
      </w:pPr>
      <w:r>
        <w:rPr/>
        <w:t>[402]</w:t>
        <w:tab/>
        <w:t>IETF RFC 4006 (2005): "Diameter Credit-Control Application".</w:t>
      </w:r>
    </w:p>
    <w:p>
      <w:pPr>
        <w:pStyle w:val="Heading1"/>
        <w:ind w:left="1134" w:hanging="1134"/>
        <w:rPr/>
      </w:pPr>
      <w:bookmarkStart w:id="10" w:name="__RefHeading___Toc399247531"/>
      <w:bookmarkEnd w:id="10"/>
      <w:r>
        <w:rPr/>
        <w:t>3</w:t>
        <w:tab/>
        <w:t>Definitions, symbols and abbreviations</w:t>
      </w:r>
    </w:p>
    <w:p>
      <w:pPr>
        <w:pStyle w:val="Heading2"/>
        <w:rPr/>
      </w:pPr>
      <w:bookmarkStart w:id="11" w:name="__RefHeading___Toc399247532"/>
      <w:bookmarkEnd w:id="11"/>
      <w:r>
        <w:rPr/>
        <w:t>3.1</w:t>
        <w:tab/>
        <w:t>Definitions</w:t>
      </w:r>
    </w:p>
    <w:p>
      <w:pPr>
        <w:pStyle w:val="Normal"/>
        <w:rPr/>
      </w:pPr>
      <w:r>
        <w:rPr/>
        <w:t>For the purposes of the present document, the terms and definitions defined in TR 21.905 [100] and TS 32.240 [1], and the following apply:</w:t>
      </w:r>
    </w:p>
    <w:p>
      <w:pPr>
        <w:pStyle w:val="Normal"/>
        <w:widowControl w:val="false"/>
        <w:rPr/>
      </w:pPr>
      <w:r>
        <w:rPr>
          <w:b/>
        </w:rPr>
        <w:t>accounting:</w:t>
      </w:r>
      <w:r>
        <w:rPr/>
        <w:t xml:space="preserve"> process of apportioning charges between the Home Environment, Serving Network and Subscriber.</w:t>
      </w:r>
    </w:p>
    <w:p>
      <w:pPr>
        <w:pStyle w:val="Normal"/>
        <w:widowControl w:val="false"/>
        <w:rPr/>
      </w:pPr>
      <w:r>
        <w:rPr>
          <w:b/>
        </w:rPr>
        <w:t>billing:</w:t>
      </w:r>
      <w:r>
        <w:rPr/>
        <w:t xml:space="preserve"> function whereby CDRs generated by the charging function(s) are transformed into bills requiring payment.</w:t>
      </w:r>
    </w:p>
    <w:p>
      <w:pPr>
        <w:pStyle w:val="Normal"/>
        <w:rPr>
          <w:b/>
          <w:b/>
        </w:rPr>
      </w:pPr>
      <w:r>
        <w:rPr>
          <w:b/>
        </w:rPr>
        <w:t>Billing Domain (BD):</w:t>
      </w:r>
      <w:r>
        <w:rPr/>
        <w:t xml:space="preserve"> part of the operator network, which is outside the telecommunications network, that receives and processes CDR files from the  network charging functions. It includes functions that can provide billing mediation and billing or other (e.g. statistical) end applications. It is only applicable to offline charging (see "Online Charging System" for equivalent functionality in online charging).</w:t>
      </w:r>
    </w:p>
    <w:p>
      <w:pPr>
        <w:pStyle w:val="Normal"/>
        <w:widowControl w:val="false"/>
        <w:rPr/>
      </w:pPr>
      <w:r>
        <w:rPr>
          <w:b/>
        </w:rPr>
        <w:t xml:space="preserve">chargeable event: </w:t>
      </w:r>
      <w:r>
        <w:rPr/>
        <w:t>activity utilizing telecommunications network resources and related services for:</w:t>
      </w:r>
    </w:p>
    <w:p>
      <w:pPr>
        <w:pStyle w:val="B1"/>
        <w:rPr/>
      </w:pPr>
      <w:r>
        <w:rPr/>
        <w:t>-</w:t>
        <w:tab/>
        <w:t>user to user communication (e.g. a single call, a data communication session or a short message); or</w:t>
      </w:r>
    </w:p>
    <w:p>
      <w:pPr>
        <w:pStyle w:val="B1"/>
        <w:rPr/>
      </w:pPr>
      <w:r>
        <w:rPr/>
        <w:t>-</w:t>
        <w:tab/>
        <w:t>user to network communication (e.g. service profile administration); or</w:t>
      </w:r>
    </w:p>
    <w:p>
      <w:pPr>
        <w:pStyle w:val="B1"/>
        <w:rPr/>
      </w:pPr>
      <w:r>
        <w:rPr/>
        <w:t>-</w:t>
        <w:tab/>
        <w:t>inter-network communication (e.g. transferring calls, signalling, or short messages); or</w:t>
      </w:r>
    </w:p>
    <w:p>
      <w:pPr>
        <w:pStyle w:val="B1"/>
        <w:rPr/>
      </w:pPr>
      <w:r>
        <w:rPr/>
        <w:t>-</w:t>
        <w:tab/>
        <w:t>mobility (e.g. roaming or inter-system handover); and</w:t>
      </w:r>
    </w:p>
    <w:p>
      <w:pPr>
        <w:pStyle w:val="B1"/>
        <w:rPr/>
      </w:pPr>
      <w:r>
        <w:rPr/>
        <w:t>-</w:t>
        <w:tab/>
        <w:t>that the network operator may want to charge for.</w:t>
      </w:r>
    </w:p>
    <w:p>
      <w:pPr>
        <w:pStyle w:val="Normal"/>
        <w:widowControl w:val="false"/>
        <w:rPr/>
      </w:pPr>
      <w:r>
        <w:rPr/>
        <w:t>As a minimum, a chargeable event characterises the resource / service usage and indicates the identity of the involved end user(s).</w:t>
      </w:r>
    </w:p>
    <w:p>
      <w:pPr>
        <w:pStyle w:val="Normal"/>
        <w:widowControl w:val="false"/>
        <w:rPr/>
      </w:pPr>
      <w:r>
        <w:rPr>
          <w:b/>
        </w:rPr>
        <w:t>charging:</w:t>
      </w:r>
      <w:r>
        <w:rPr/>
        <w:t xml:space="preserve"> a function within the telecommunications network and the associated OCS/BD components whereby information related to a chargeable event is collected, formatted, transferred and evaluated in order to make it possible to determine usage for which the charged party may be billed.</w:t>
      </w:r>
    </w:p>
    <w:p>
      <w:pPr>
        <w:pStyle w:val="Normal"/>
        <w:rPr/>
      </w:pPr>
      <w:r>
        <w:rPr>
          <w:b/>
          <w:bCs/>
        </w:rPr>
        <w:t>Charging Data Record</w:t>
      </w:r>
      <w:r>
        <w:rPr>
          <w:b/>
        </w:rPr>
        <w:t xml:space="preserve"> (CDR)</w:t>
      </w:r>
      <w:r>
        <w:rPr>
          <w:b/>
          <w:bCs/>
        </w:rPr>
        <w:t>:</w:t>
      </w:r>
      <w:r>
        <w:rPr/>
        <w:t xml:space="preserve"> a formatted collection of information about a chargeable event (e.g. time of call set-up, duration of the call, amount of data transferred, etc) for use in billing and accounting. For each party to be charged for parts of or all charges of a chargeable event a separate CDR shall be generated, i.e. more than one CDR may be generated for a single chargeable event, e.g. because of its long duration, or because more than one charged party is to be charged.</w:t>
      </w:r>
    </w:p>
    <w:p>
      <w:pPr>
        <w:pStyle w:val="Normal"/>
        <w:widowControl w:val="false"/>
        <w:spacing w:before="0" w:after="120"/>
        <w:rPr>
          <w:b/>
          <w:b/>
        </w:rPr>
      </w:pPr>
      <w:r>
        <w:rPr>
          <w:b/>
        </w:rPr>
        <w:t>charging event:</w:t>
      </w:r>
      <w:r>
        <w:rPr>
          <w:bCs/>
        </w:rPr>
        <w:t xml:space="preserve"> a set of charging information forwarded by the CTF towards the CDF (offline charging) or towards the OCS (online charging). Each charging event matches exactly one chargeable event.</w:t>
      </w:r>
    </w:p>
    <w:p>
      <w:pPr>
        <w:pStyle w:val="Normal"/>
        <w:rPr/>
      </w:pPr>
      <w:r>
        <w:rPr>
          <w:b/>
          <w:bCs/>
        </w:rPr>
        <w:t xml:space="preserve">charging function: </w:t>
      </w:r>
      <w:r>
        <w:rPr/>
        <w:t>entity inside the network domain, subsystem or service that is involved in charging for that domain, subsystem or service.</w:t>
      </w:r>
    </w:p>
    <w:p>
      <w:pPr>
        <w:pStyle w:val="Normal"/>
        <w:widowControl w:val="false"/>
        <w:spacing w:before="0" w:after="120"/>
        <w:rPr/>
      </w:pPr>
      <w:r>
        <w:rPr>
          <w:b/>
        </w:rPr>
        <w:t>circuit switched domain:</w:t>
      </w:r>
      <w:r>
        <w:rPr/>
        <w:t xml:space="preserve"> domain within GSM / UMTS in which information is transferred in circuit switched mode.</w:t>
      </w:r>
    </w:p>
    <w:p>
      <w:pPr>
        <w:pStyle w:val="Normal"/>
        <w:rPr>
          <w:bCs/>
        </w:rPr>
      </w:pPr>
      <w:r>
        <w:rPr>
          <w:b/>
        </w:rPr>
        <w:t>Credit-Control:</w:t>
      </w:r>
      <w:r>
        <w:rPr>
          <w:bCs/>
        </w:rPr>
        <w:t xml:space="preserve"> </w:t>
      </w:r>
      <w:r>
        <w:rPr/>
        <w:t>mechanism which directly interacts in real-time with an account and controls or monitors the charges, related to the service usage. Credit-Control is a process of: checking if credit is available, credit reservation, deduction of credit from the end user account when service is completed and refunding of reserved credit not used.</w:t>
      </w:r>
    </w:p>
    <w:p>
      <w:pPr>
        <w:pStyle w:val="Normal"/>
        <w:rPr/>
      </w:pPr>
      <w:r>
        <w:rPr>
          <w:b/>
        </w:rPr>
        <w:t xml:space="preserve">domain: </w:t>
      </w:r>
      <w:r>
        <w:rPr/>
        <w:t>part of a communication network that provides network resources using a certain bearer technology.</w:t>
      </w:r>
    </w:p>
    <w:p>
      <w:pPr>
        <w:pStyle w:val="Normal"/>
        <w:rPr/>
      </w:pPr>
      <w:r>
        <w:rPr>
          <w:b/>
          <w:color w:val="000000"/>
        </w:rPr>
        <w:t>Fully Qualified Partial CDR (FQPC):</w:t>
      </w:r>
      <w:r>
        <w:rPr>
          <w:bCs/>
          <w:color w:val="000000"/>
        </w:rPr>
        <w:t xml:space="preserve"> </w:t>
      </w:r>
      <w:r>
        <w:rPr>
          <w:color w:val="000000"/>
        </w:rPr>
        <w:t>partial CDR that contains a complete set of the fields specified in the present document. This includes all the mandatory and conditional fields as well as those fields that the PLMN operator has provisioned to be included in the CDR. The first Partial CDR shall be a Fully qualified Partial CDR.</w:t>
      </w:r>
    </w:p>
    <w:p>
      <w:pPr>
        <w:pStyle w:val="Normal"/>
        <w:rPr/>
      </w:pPr>
      <w:r>
        <w:rPr>
          <w:b/>
        </w:rPr>
        <w:t>LCS Client:</w:t>
      </w:r>
      <w:r>
        <w:rPr/>
        <w:t xml:space="preserve"> software and/or hardware entity that interacts with a LCS Server for the purpose of obtaining location information for one or more Mobile Stations</w:t>
        <w:br/>
        <w:t>LCS Clients subscribe to LCS in order to obtain location information. LCS Clients may or may not interact with human users. The LCS Client is responsible for formatting and presenting data and managing the user interface (dialogue). The LCS Client may reside in the Mobile Station (MS).</w:t>
      </w:r>
    </w:p>
    <w:p>
      <w:pPr>
        <w:pStyle w:val="Normal"/>
        <w:rPr/>
      </w:pPr>
      <w:r>
        <w:rPr>
          <w:b/>
          <w:color w:val="000000"/>
        </w:rPr>
        <w:t>LCS Server:</w:t>
      </w:r>
      <w:r>
        <w:rPr>
          <w:color w:val="000000"/>
        </w:rPr>
        <w:t xml:space="preserve"> software and/or hardware entity offering LCS capabilities. The LCS Server accepts requests, services requests, and sends back responses to the received requests</w:t>
        <w:br/>
        <w:t>The LCS server consists of LCS components, which are distributed to one or more PLMN and/or service provider.</w:t>
      </w:r>
    </w:p>
    <w:p>
      <w:pPr>
        <w:pStyle w:val="Normal"/>
        <w:rPr/>
      </w:pPr>
      <w:r>
        <w:rPr>
          <w:b/>
        </w:rPr>
        <w:t>Location Based Service (LBS):</w:t>
      </w:r>
      <w:r>
        <w:rPr/>
        <w:t xml:space="preserve"> service provided either by teleoperator or a 3</w:t>
      </w:r>
      <w:r>
        <w:rPr>
          <w:vertAlign w:val="superscript"/>
        </w:rPr>
        <w:t>rd</w:t>
      </w:r>
      <w:r>
        <w:rPr/>
        <w:t xml:space="preserve"> party service provider that utilizes the available location information of the terminal</w:t>
        <w:br/>
        <w:t>Location Application offers the User Interface for the service. LBS is either a pull or a push type of service (see Location Dependent Services and Location Independent Services). In ETSI/GSM documentation of SoLSA, LBS is called "Location Related Service". ETSI and/or 3GPP -wide terminology harmonization is expected here.</w:t>
      </w:r>
    </w:p>
    <w:p>
      <w:pPr>
        <w:pStyle w:val="Normal"/>
        <w:rPr/>
      </w:pPr>
      <w:r>
        <w:rPr>
          <w:b/>
          <w:color w:val="000000"/>
        </w:rPr>
        <w:t>location estimate:</w:t>
      </w:r>
      <w:r>
        <w:rPr>
          <w:color w:val="000000"/>
        </w:rPr>
        <w:t xml:space="preserve"> geographic location of an UE and/or a valid Mobile Equipment (ME), expressed in latitude and longitude data</w:t>
        <w:br/>
        <w:t>The Location Estimate shall be represented in a well-defined universal format. Translation from this universal format to another geographic location system may be supported, although the details are considered outside the scope of the primitive services.</w:t>
      </w:r>
    </w:p>
    <w:p>
      <w:pPr>
        <w:pStyle w:val="Normal"/>
        <w:rPr>
          <w:b/>
          <w:b/>
        </w:rPr>
      </w:pPr>
      <w:r>
        <w:rPr>
          <w:b/>
        </w:rPr>
        <w:t>middle tier TS:</w:t>
      </w:r>
      <w:r>
        <w:rPr>
          <w:bCs/>
        </w:rPr>
        <w:t xml:space="preserve"> used for the 3GPP charging TSs that specify the domain / subsystem / service specific, online and offline, charging functionality. These are all the TSs in the numbering range from TS 32.250 to TS 32.279, e.g. TS 32.250 [10] for the CS domain, or TS 32.270 [30] for the MMS service. Currently, there is only one "tier 1" TS in 3GPP, which is TS 32.240 [1] that specifies the charging architecture and principles. Finally, there are a number of top tier TSs in the 32.29x numbering range ([50] ff) that specify common charging aspects such as parameter definitions, encoding rules, the common billing domain interface or common charging applications.</w:t>
      </w:r>
    </w:p>
    <w:p>
      <w:pPr>
        <w:pStyle w:val="Normal"/>
        <w:rPr/>
      </w:pPr>
      <w:r>
        <w:rPr>
          <w:b/>
        </w:rPr>
        <w:t xml:space="preserve">offline charging: </w:t>
      </w:r>
      <w:r>
        <w:rPr/>
        <w:t xml:space="preserve">charging mechanism where charging information </w:t>
      </w:r>
      <w:r>
        <w:rPr>
          <w:b/>
        </w:rPr>
        <w:t>does not</w:t>
      </w:r>
      <w:r>
        <w:rPr/>
        <w:t xml:space="preserve"> affect, in real-time, the service rendered.</w:t>
      </w:r>
    </w:p>
    <w:p>
      <w:pPr>
        <w:pStyle w:val="Normal"/>
        <w:rPr/>
      </w:pPr>
      <w:r>
        <w:rPr>
          <w:b/>
        </w:rPr>
        <w:t>online charging:</w:t>
      </w:r>
      <w:r>
        <w:rPr/>
        <w:t xml:space="preserve"> charging mechanism where charging information can affect, in real-time, the service rendered and therefore a direct interaction of the charging mechanism with bearer/session/service control is required.</w:t>
      </w:r>
    </w:p>
    <w:p>
      <w:pPr>
        <w:pStyle w:val="Normal"/>
        <w:rPr/>
      </w:pPr>
      <w:r>
        <w:rPr>
          <w:b/>
          <w:bCs/>
        </w:rPr>
        <w:t>Online Charging System (OCS):</w:t>
      </w:r>
      <w:r>
        <w:rPr/>
        <w:t xml:space="preserve"> </w:t>
      </w:r>
      <w:r>
        <w:rPr>
          <w:color w:val="000000"/>
        </w:rPr>
        <w:t>the entity that performs real-time credit control.</w:t>
        <w:br/>
        <w:t>Its functionality includes transaction handling, rating, online correlation and management of subscriber account balances.</w:t>
      </w:r>
    </w:p>
    <w:p>
      <w:pPr>
        <w:pStyle w:val="Normal"/>
        <w:rPr/>
      </w:pPr>
      <w:r>
        <w:rPr>
          <w:b/>
        </w:rPr>
        <w:t>packet switched domain:</w:t>
      </w:r>
      <w:r>
        <w:rPr/>
        <w:t xml:space="preserve"> domain within GSM / UMTS in which data is transferred in packet switched mode. Corresponds to the term "GPRS".</w:t>
      </w:r>
    </w:p>
    <w:p>
      <w:pPr>
        <w:pStyle w:val="Normal"/>
        <w:rPr/>
      </w:pPr>
      <w:r>
        <w:rPr>
          <w:b/>
        </w:rPr>
        <w:t xml:space="preserve">partial CDR: </w:t>
      </w:r>
      <w:r>
        <w:rPr/>
        <w:t xml:space="preserve">CDR that provides information on part of a subscriber session. A long session may be covered by several partial CDRs. Two formats are considered for Partial CDRs. One that contains all of the specified fields </w:t>
      </w:r>
      <w:r>
        <w:rPr>
          <w:iCs/>
        </w:rPr>
        <w:t>(FQPC)</w:t>
      </w:r>
      <w:r>
        <w:rPr/>
        <w:t xml:space="preserve">; the second has a reduced format </w:t>
      </w:r>
      <w:r>
        <w:rPr>
          <w:iCs/>
        </w:rPr>
        <w:t>(RPC)</w:t>
      </w:r>
      <w:r>
        <w:rPr/>
        <w:t>.</w:t>
      </w:r>
    </w:p>
    <w:p>
      <w:pPr>
        <w:pStyle w:val="Normal"/>
        <w:rPr/>
      </w:pPr>
      <w:r>
        <w:rPr>
          <w:b/>
        </w:rPr>
        <w:t>Positioning method (/locating method):</w:t>
      </w:r>
      <w:r>
        <w:rPr/>
        <w:t xml:space="preserve"> method or technical solution, which is used to get an estimate of the target mobile's geographical location</w:t>
      </w:r>
    </w:p>
    <w:p>
      <w:pPr>
        <w:pStyle w:val="EX"/>
        <w:rPr/>
      </w:pPr>
      <w:r>
        <w:rPr/>
        <w:t>EXAMPLE:</w:t>
        <w:tab/>
        <w:t xml:space="preserve">Positioning methods based on radio cell coverage, GPS or Assisted GPS methods, which are based on the Time-Of-Arrival (TOA) algorithm, and OTDOA or E-OTD methods, which are based on the Time-Difference-Of-Arrival (TDOA) algorithm. </w:t>
        <w:br/>
        <w:t>The positioning methods are further described in UTRAN Stage 2, TS 25.305 [203] and GERAN Stage 2, TS 43.059 [204].</w:t>
      </w:r>
    </w:p>
    <w:p>
      <w:pPr>
        <w:pStyle w:val="Normal"/>
        <w:rPr/>
      </w:pPr>
      <w:r>
        <w:rPr>
          <w:b/>
          <w:color w:val="000000"/>
        </w:rPr>
        <w:t>target UE:</w:t>
      </w:r>
      <w:r>
        <w:rPr>
          <w:color w:val="000000"/>
        </w:rPr>
        <w:t xml:space="preserve"> UE being positioned</w:t>
      </w:r>
    </w:p>
    <w:p>
      <w:pPr>
        <w:pStyle w:val="Normal"/>
        <w:rPr/>
      </w:pPr>
      <w:r>
        <w:rPr>
          <w:b/>
          <w:color w:val="000000"/>
        </w:rPr>
        <w:t>user:</w:t>
      </w:r>
      <w:r>
        <w:rPr>
          <w:bCs/>
          <w:color w:val="000000"/>
        </w:rPr>
        <w:t xml:space="preserve"> </w:t>
      </w:r>
      <w:r>
        <w:rPr/>
        <w:t xml:space="preserve">an entity, not part of the 3GPP System, that uses </w:t>
      </w:r>
      <w:r>
        <w:rPr>
          <w:bCs/>
          <w:color w:val="000000"/>
        </w:rPr>
        <w:t>network resources by means of a subscription. The user may or may not be identical to the subscriber holding that subscription.</w:t>
      </w:r>
    </w:p>
    <w:p>
      <w:pPr>
        <w:pStyle w:val="Normal"/>
        <w:rPr/>
      </w:pPr>
      <w:r>
        <w:rPr>
          <w:b/>
          <w:color w:val="000000"/>
        </w:rPr>
        <w:t>User Equipment (UE):</w:t>
      </w:r>
      <w:r>
        <w:rPr>
          <w:color w:val="000000"/>
        </w:rPr>
        <w:t xml:space="preserve"> </w:t>
      </w:r>
      <w:r>
        <w:rPr/>
        <w:t xml:space="preserve">a device allowing a user access to network services. For the purpose of 3GPP specifications the interface between the UE and the network is the radio interface. A User Equipment can be subdivided into a number of domains, the domains being separated by reference points. Currently defined domains are the USIM and ME Domains. The ME Domain can further be subdivided into several components showing the connectivity between multiple functional groups. These groups can be implemented in one or more hardware devices. An example of such a connectivity is the TE – MT interface. Further, an occurrence of a User Equipment is an MS for GSM as defined in TS 24.002 [205]. </w:t>
      </w:r>
    </w:p>
    <w:p>
      <w:pPr>
        <w:pStyle w:val="Heading2"/>
        <w:rPr/>
      </w:pPr>
      <w:bookmarkStart w:id="12" w:name="__RefHeading___Toc399247533"/>
      <w:bookmarkEnd w:id="12"/>
      <w:r>
        <w:rPr/>
        <w:t>3.2</w:t>
        <w:tab/>
        <w:t>Symbols</w:t>
      </w:r>
    </w:p>
    <w:p>
      <w:pPr>
        <w:pStyle w:val="Normal"/>
        <w:rPr/>
      </w:pPr>
      <w:r>
        <w:rPr/>
        <w:t>For the purposes of the present document, the following symbols apply:</w:t>
      </w:r>
    </w:p>
    <w:p>
      <w:pPr>
        <w:pStyle w:val="EW"/>
        <w:rPr/>
      </w:pPr>
      <w:r>
        <w:rPr/>
        <w:t>Bl</w:t>
        <w:tab/>
        <w:t xml:space="preserve">Reference point for the CDR file transfer from the GMLC CGF to the BD, </w:t>
      </w:r>
    </w:p>
    <w:p>
      <w:pPr>
        <w:pStyle w:val="EX"/>
        <w:rPr/>
      </w:pPr>
      <w:r>
        <w:rPr/>
        <w:t>Lr</w:t>
        <w:tab/>
        <w:t>Interface between Gateway MLCs</w:t>
      </w:r>
    </w:p>
    <w:p>
      <w:pPr>
        <w:pStyle w:val="Heading2"/>
        <w:rPr/>
      </w:pPr>
      <w:bookmarkStart w:id="13" w:name="__RefHeading___Toc399247534"/>
      <w:bookmarkEnd w:id="13"/>
      <w:r>
        <w:rPr/>
        <w:t>3.3</w:t>
        <w:tab/>
        <w:t>Abbreviations</w:t>
      </w:r>
    </w:p>
    <w:p>
      <w:pPr>
        <w:pStyle w:val="Normal"/>
        <w:rPr/>
      </w:pPr>
      <w:r>
        <w:rPr/>
        <w:t>For the purposes of the present document, the abbreviations defined in TR 21.905 [100], TS 23.271 [20] and TS 32.240 [1], and the following apply:</w:t>
      </w:r>
    </w:p>
    <w:p>
      <w:pPr>
        <w:pStyle w:val="EW"/>
        <w:rPr/>
      </w:pPr>
      <w:r>
        <w:rPr/>
        <w:t>3G</w:t>
        <w:tab/>
        <w:t>3</w:t>
      </w:r>
      <w:r>
        <w:rPr>
          <w:position w:val="6"/>
          <w:sz w:val="16"/>
          <w:szCs w:val="16"/>
        </w:rPr>
        <w:t>rd</w:t>
      </w:r>
      <w:r>
        <w:rPr/>
        <w:t xml:space="preserve"> Generation</w:t>
      </w:r>
    </w:p>
    <w:p>
      <w:pPr>
        <w:pStyle w:val="EW"/>
        <w:rPr/>
      </w:pPr>
      <w:r>
        <w:rPr/>
        <w:t>3GPP</w:t>
        <w:tab/>
        <w:t>3</w:t>
      </w:r>
      <w:r>
        <w:rPr>
          <w:vertAlign w:val="superscript"/>
        </w:rPr>
        <w:t>rd</w:t>
      </w:r>
      <w:r>
        <w:rPr/>
        <w:t xml:space="preserve"> Generation Partnership Project</w:t>
      </w:r>
    </w:p>
    <w:p>
      <w:pPr>
        <w:pStyle w:val="EW"/>
        <w:rPr/>
      </w:pPr>
      <w:r>
        <w:rPr/>
        <w:t>AVP</w:t>
        <w:tab/>
        <w:t>Attribute Value Pair</w:t>
      </w:r>
    </w:p>
    <w:p>
      <w:pPr>
        <w:pStyle w:val="EW"/>
        <w:rPr/>
      </w:pPr>
      <w:r>
        <w:rPr/>
        <w:t>BD</w:t>
        <w:tab/>
        <w:t>Billing Domain</w:t>
      </w:r>
    </w:p>
    <w:p>
      <w:pPr>
        <w:pStyle w:val="EW"/>
        <w:rPr/>
      </w:pPr>
      <w:r>
        <w:rPr/>
        <w:t>CCA</w:t>
        <w:tab/>
        <w:t>Credit-Control-Answer</w:t>
      </w:r>
    </w:p>
    <w:p>
      <w:pPr>
        <w:pStyle w:val="EW"/>
        <w:rPr/>
      </w:pPr>
      <w:r>
        <w:rPr/>
        <w:t>CCR</w:t>
        <w:tab/>
        <w:t>Credit-Control-Request</w:t>
      </w:r>
    </w:p>
    <w:p>
      <w:pPr>
        <w:pStyle w:val="EW"/>
        <w:rPr/>
      </w:pPr>
      <w:r>
        <w:rPr/>
        <w:t>CDF</w:t>
        <w:tab/>
        <w:t>Charging Data Function</w:t>
      </w:r>
    </w:p>
    <w:p>
      <w:pPr>
        <w:pStyle w:val="EW"/>
        <w:rPr/>
      </w:pPr>
      <w:r>
        <w:rPr/>
        <w:t>CDR</w:t>
        <w:tab/>
        <w:t>Charging Data Records</w:t>
      </w:r>
    </w:p>
    <w:p>
      <w:pPr>
        <w:pStyle w:val="EW"/>
        <w:rPr/>
      </w:pPr>
      <w:r>
        <w:rPr/>
        <w:t>CGF</w:t>
        <w:tab/>
        <w:t>Charging Gateway Function</w:t>
      </w:r>
    </w:p>
    <w:p>
      <w:pPr>
        <w:pStyle w:val="EW"/>
        <w:rPr/>
      </w:pPr>
      <w:r>
        <w:rPr/>
        <w:t>CS</w:t>
        <w:tab/>
        <w:t>Circuit-Switched</w:t>
      </w:r>
    </w:p>
    <w:p>
      <w:pPr>
        <w:pStyle w:val="EW"/>
        <w:rPr/>
      </w:pPr>
      <w:r>
        <w:rPr/>
        <w:t>CTF</w:t>
        <w:tab/>
        <w:t>Charging Trigger Function</w:t>
      </w:r>
    </w:p>
    <w:p>
      <w:pPr>
        <w:pStyle w:val="EW"/>
        <w:rPr/>
      </w:pPr>
      <w:r>
        <w:rPr/>
        <w:t>DCCA</w:t>
        <w:tab/>
        <w:t>Diameter Credit-Control Application</w:t>
      </w:r>
    </w:p>
    <w:p>
      <w:pPr>
        <w:pStyle w:val="EW"/>
        <w:rPr/>
      </w:pPr>
      <w:r>
        <w:rPr/>
        <w:t>ECUR</w:t>
        <w:tab/>
        <w:t>Event Charging with Unit Reservation</w:t>
      </w:r>
    </w:p>
    <w:p>
      <w:pPr>
        <w:pStyle w:val="EW"/>
        <w:rPr/>
      </w:pPr>
      <w:r>
        <w:rPr/>
        <w:t>FTAM</w:t>
        <w:tab/>
        <w:t>File Transfer, Access and Management</w:t>
      </w:r>
    </w:p>
    <w:p>
      <w:pPr>
        <w:pStyle w:val="EW"/>
        <w:rPr/>
      </w:pPr>
      <w:r>
        <w:rPr/>
        <w:t>GERAN</w:t>
        <w:tab/>
        <w:t>GSM EDGE Radio Access Network</w:t>
      </w:r>
    </w:p>
    <w:p>
      <w:pPr>
        <w:pStyle w:val="EW"/>
        <w:rPr/>
      </w:pPr>
      <w:r>
        <w:rPr/>
        <w:t>GGSN</w:t>
        <w:tab/>
        <w:t>Gateway GPRS Support Node</w:t>
      </w:r>
    </w:p>
    <w:p>
      <w:pPr>
        <w:pStyle w:val="EW"/>
        <w:rPr/>
      </w:pPr>
      <w:r>
        <w:rPr/>
        <w:t>GMLC</w:t>
        <w:tab/>
        <w:t>Gateway MLC</w:t>
      </w:r>
    </w:p>
    <w:p>
      <w:pPr>
        <w:pStyle w:val="EW"/>
        <w:rPr/>
      </w:pPr>
      <w:r>
        <w:rPr/>
        <w:t>GPRS</w:t>
        <w:tab/>
        <w:t>General Packet Radio Service</w:t>
      </w:r>
    </w:p>
    <w:p>
      <w:pPr>
        <w:pStyle w:val="EW"/>
        <w:rPr/>
      </w:pPr>
      <w:r>
        <w:rPr/>
        <w:t>GSM</w:t>
        <w:tab/>
        <w:t>Global System for Mobile communication</w:t>
      </w:r>
    </w:p>
    <w:p>
      <w:pPr>
        <w:pStyle w:val="EW"/>
        <w:rPr/>
      </w:pPr>
      <w:r>
        <w:rPr/>
        <w:t>gsmSCF</w:t>
        <w:tab/>
        <w:t>GSM Service Control Function</w:t>
      </w:r>
    </w:p>
    <w:p>
      <w:pPr>
        <w:pStyle w:val="EW"/>
        <w:rPr/>
      </w:pPr>
      <w:r>
        <w:rPr/>
        <w:t>H-GMLC</w:t>
        <w:tab/>
        <w:t>Home GMLC</w:t>
      </w:r>
    </w:p>
    <w:p>
      <w:pPr>
        <w:pStyle w:val="EW"/>
        <w:rPr/>
      </w:pPr>
      <w:r>
        <w:rPr/>
        <w:t>HLR</w:t>
        <w:tab/>
        <w:t>Home Location Register</w:t>
      </w:r>
    </w:p>
    <w:p>
      <w:pPr>
        <w:pStyle w:val="EW"/>
        <w:rPr/>
      </w:pPr>
      <w:r>
        <w:rPr/>
        <w:t>HPLMN</w:t>
        <w:tab/>
        <w:t>Home PLMN</w:t>
      </w:r>
    </w:p>
    <w:p>
      <w:pPr>
        <w:pStyle w:val="EW"/>
        <w:rPr/>
      </w:pPr>
      <w:r>
        <w:rPr/>
        <w:t>HSS</w:t>
        <w:tab/>
        <w:t>Home Subscriber Server</w:t>
      </w:r>
    </w:p>
    <w:p>
      <w:pPr>
        <w:pStyle w:val="EW"/>
        <w:rPr/>
      </w:pPr>
      <w:r>
        <w:rPr/>
        <w:t>IE</w:t>
        <w:tab/>
        <w:t xml:space="preserve">Information Element </w:t>
      </w:r>
    </w:p>
    <w:p>
      <w:pPr>
        <w:pStyle w:val="EW"/>
        <w:rPr/>
      </w:pPr>
      <w:r>
        <w:rPr/>
        <w:t>IEC</w:t>
        <w:tab/>
        <w:t>Immediate Event Charging</w:t>
      </w:r>
    </w:p>
    <w:p>
      <w:pPr>
        <w:pStyle w:val="EW"/>
        <w:rPr/>
      </w:pPr>
      <w:r>
        <w:rPr/>
        <w:t>IETF</w:t>
        <w:tab/>
        <w:t>Internet Engineering Task Force</w:t>
      </w:r>
    </w:p>
    <w:p>
      <w:pPr>
        <w:pStyle w:val="EW"/>
        <w:rPr/>
      </w:pPr>
      <w:r>
        <w:rPr/>
        <w:t>IMS</w:t>
        <w:tab/>
        <w:t>IP Multimedia Subsystem</w:t>
      </w:r>
    </w:p>
    <w:p>
      <w:pPr>
        <w:pStyle w:val="EW"/>
        <w:rPr/>
      </w:pPr>
      <w:r>
        <w:rPr/>
        <w:t>IMSI</w:t>
        <w:tab/>
        <w:t>International Mobile Subscriber Identity</w:t>
      </w:r>
    </w:p>
    <w:p>
      <w:pPr>
        <w:pStyle w:val="EW"/>
        <w:rPr/>
      </w:pPr>
      <w:r>
        <w:rPr/>
        <w:t>IP</w:t>
        <w:tab/>
        <w:t>Internet Protocol</w:t>
      </w:r>
    </w:p>
    <w:p>
      <w:pPr>
        <w:pStyle w:val="EW"/>
        <w:rPr/>
      </w:pPr>
      <w:r>
        <w:rPr/>
        <w:t>ITU-T</w:t>
        <w:tab/>
        <w:t>International Telecommunication Union - Telecommunications standardization sector</w:t>
      </w:r>
    </w:p>
    <w:p>
      <w:pPr>
        <w:pStyle w:val="EW"/>
        <w:rPr/>
      </w:pPr>
      <w:r>
        <w:rPr/>
        <w:t>LCS</w:t>
        <w:tab/>
        <w:t>LoCation Service</w:t>
      </w:r>
    </w:p>
    <w:p>
      <w:pPr>
        <w:pStyle w:val="EW"/>
        <w:rPr/>
      </w:pPr>
      <w:r>
        <w:rPr/>
        <w:t>MAP</w:t>
        <w:tab/>
        <w:t>Mobile Application Part</w:t>
      </w:r>
    </w:p>
    <w:p>
      <w:pPr>
        <w:pStyle w:val="EW"/>
        <w:rPr/>
      </w:pPr>
      <w:r>
        <w:rPr/>
        <w:t>ME</w:t>
        <w:tab/>
        <w:t>Mobile Equipment</w:t>
      </w:r>
    </w:p>
    <w:p>
      <w:pPr>
        <w:pStyle w:val="EW"/>
        <w:rPr/>
      </w:pPr>
      <w:r>
        <w:rPr/>
        <w:t>MO</w:t>
        <w:tab/>
        <w:t>Mobile Originated</w:t>
      </w:r>
    </w:p>
    <w:p>
      <w:pPr>
        <w:pStyle w:val="EW"/>
        <w:rPr/>
      </w:pPr>
      <w:r>
        <w:rPr/>
        <w:t>MO-LR</w:t>
        <w:tab/>
        <w:t>Mobile Originated Location Request</w:t>
      </w:r>
    </w:p>
    <w:p>
      <w:pPr>
        <w:pStyle w:val="EW"/>
        <w:rPr/>
      </w:pPr>
      <w:r>
        <w:rPr/>
        <w:t>MS</w:t>
        <w:tab/>
        <w:t>Mobile Station</w:t>
      </w:r>
    </w:p>
    <w:p>
      <w:pPr>
        <w:pStyle w:val="EW"/>
        <w:rPr/>
      </w:pPr>
      <w:r>
        <w:rPr/>
        <w:t>MSISDN</w:t>
        <w:tab/>
        <w:t>Mobile Station Integrated Services Data Network</w:t>
      </w:r>
    </w:p>
    <w:p>
      <w:pPr>
        <w:pStyle w:val="EW"/>
        <w:rPr/>
      </w:pPr>
      <w:r>
        <w:rPr/>
        <w:t>MT</w:t>
        <w:tab/>
        <w:t>Mobile Terminated</w:t>
      </w:r>
    </w:p>
    <w:p>
      <w:pPr>
        <w:pStyle w:val="EW"/>
        <w:rPr/>
      </w:pPr>
      <w:r>
        <w:rPr/>
        <w:t>MT-LR</w:t>
        <w:tab/>
        <w:t>Mobile Terminated Location Request</w:t>
      </w:r>
    </w:p>
    <w:p>
      <w:pPr>
        <w:pStyle w:val="EW"/>
        <w:rPr/>
      </w:pPr>
      <w:r>
        <w:rPr/>
        <w:t>NI-LR</w:t>
        <w:tab/>
        <w:t>Network Induced Location Request</w:t>
      </w:r>
    </w:p>
    <w:p>
      <w:pPr>
        <w:pStyle w:val="EW"/>
        <w:rPr/>
      </w:pPr>
      <w:r>
        <w:rPr/>
        <w:t>OCS</w:t>
        <w:tab/>
        <w:t>Online Charging System</w:t>
      </w:r>
    </w:p>
    <w:p>
      <w:pPr>
        <w:pStyle w:val="EW"/>
        <w:rPr/>
      </w:pPr>
      <w:r>
        <w:rPr/>
        <w:t>PLMN</w:t>
        <w:tab/>
        <w:t>Public Land Mobile Network</w:t>
      </w:r>
    </w:p>
    <w:p>
      <w:pPr>
        <w:pStyle w:val="EW"/>
        <w:rPr/>
      </w:pPr>
      <w:r>
        <w:rPr/>
        <w:t>PMD</w:t>
        <w:tab/>
        <w:t>Pseudonym Mediation Device functionality</w:t>
      </w:r>
    </w:p>
    <w:p>
      <w:pPr>
        <w:pStyle w:val="EW"/>
        <w:rPr/>
      </w:pPr>
      <w:r>
        <w:rPr/>
        <w:t>PPR</w:t>
        <w:tab/>
        <w:t>Privacy Profile Register</w:t>
      </w:r>
    </w:p>
    <w:p>
      <w:pPr>
        <w:pStyle w:val="EW"/>
        <w:rPr/>
      </w:pPr>
      <w:r>
        <w:rPr/>
        <w:t>PS</w:t>
        <w:tab/>
        <w:t>Packet Switched</w:t>
      </w:r>
    </w:p>
    <w:p>
      <w:pPr>
        <w:pStyle w:val="EW"/>
        <w:rPr/>
      </w:pPr>
      <w:r>
        <w:rPr/>
        <w:t>RAN</w:t>
        <w:tab/>
        <w:t>Radio Access Network</w:t>
      </w:r>
    </w:p>
    <w:p>
      <w:pPr>
        <w:pStyle w:val="EW"/>
        <w:rPr/>
      </w:pPr>
      <w:r>
        <w:rPr/>
        <w:t>R-GMLC</w:t>
        <w:tab/>
        <w:t>Requesting GMLC</w:t>
      </w:r>
    </w:p>
    <w:p>
      <w:pPr>
        <w:pStyle w:val="EW"/>
        <w:rPr/>
      </w:pPr>
      <w:r>
        <w:rPr/>
        <w:t>RPC</w:t>
        <w:tab/>
        <w:t>Reduced Partial CDR</w:t>
      </w:r>
    </w:p>
    <w:p>
      <w:pPr>
        <w:pStyle w:val="EW"/>
        <w:rPr/>
      </w:pPr>
      <w:r>
        <w:rPr/>
        <w:t>SGSN</w:t>
        <w:tab/>
        <w:t>Serving GPRS Support Node</w:t>
      </w:r>
    </w:p>
    <w:p>
      <w:pPr>
        <w:pStyle w:val="EW"/>
        <w:rPr/>
      </w:pPr>
      <w:r>
        <w:rPr/>
        <w:t>TR</w:t>
        <w:tab/>
        <w:t>Technical Report</w:t>
      </w:r>
    </w:p>
    <w:p>
      <w:pPr>
        <w:pStyle w:val="EW"/>
        <w:rPr/>
      </w:pPr>
      <w:r>
        <w:rPr/>
        <w:t>TS</w:t>
        <w:tab/>
        <w:t>Technical Specification</w:t>
      </w:r>
    </w:p>
    <w:p>
      <w:pPr>
        <w:pStyle w:val="EW"/>
        <w:rPr/>
      </w:pPr>
      <w:r>
        <w:rPr/>
        <w:t>UE</w:t>
        <w:tab/>
        <w:t>User Equipment</w:t>
      </w:r>
    </w:p>
    <w:p>
      <w:pPr>
        <w:pStyle w:val="EW"/>
        <w:rPr/>
      </w:pPr>
      <w:r>
        <w:rPr/>
        <w:t>UMTS</w:t>
        <w:tab/>
        <w:t xml:space="preserve">Universal Mobile Telecommunications System </w:t>
      </w:r>
    </w:p>
    <w:p>
      <w:pPr>
        <w:pStyle w:val="EW"/>
        <w:rPr/>
      </w:pPr>
      <w:r>
        <w:rPr/>
        <w:t>USIM</w:t>
        <w:tab/>
        <w:t>User Service Identity Module</w:t>
      </w:r>
    </w:p>
    <w:p>
      <w:pPr>
        <w:pStyle w:val="EW"/>
        <w:rPr/>
      </w:pPr>
      <w:r>
        <w:rPr/>
        <w:t>UTRAN</w:t>
        <w:tab/>
        <w:t>Universal Terrestrial Radio Access Network</w:t>
      </w:r>
    </w:p>
    <w:p>
      <w:pPr>
        <w:pStyle w:val="EW"/>
        <w:rPr/>
      </w:pPr>
      <w:r>
        <w:rPr/>
        <w:t>V-GMLC</w:t>
        <w:tab/>
        <w:t>Visited GMLC</w:t>
      </w:r>
    </w:p>
    <w:p>
      <w:pPr>
        <w:pStyle w:val="EX"/>
        <w:rPr/>
      </w:pPr>
      <w:r>
        <w:rPr/>
        <w:t>VPLMN</w:t>
        <w:tab/>
        <w:t>Visited PLMN</w:t>
      </w:r>
      <w:r>
        <w:br w:type="page"/>
      </w:r>
    </w:p>
    <w:p>
      <w:pPr>
        <w:pStyle w:val="Heading1"/>
        <w:ind w:left="1134" w:hanging="1134"/>
        <w:rPr/>
      </w:pPr>
      <w:bookmarkStart w:id="14" w:name="__RefHeading___Toc399247535"/>
      <w:bookmarkEnd w:id="14"/>
      <w:r>
        <w:rPr/>
        <w:t>4</w:t>
        <w:tab/>
        <w:t>Architecture considerations</w:t>
      </w:r>
    </w:p>
    <w:p>
      <w:pPr>
        <w:pStyle w:val="Heading2"/>
        <w:rPr/>
      </w:pPr>
      <w:bookmarkStart w:id="15" w:name="__RefHeading___Toc399247536"/>
      <w:bookmarkEnd w:id="15"/>
      <w:r>
        <w:rPr/>
        <w:t>4.1</w:t>
        <w:tab/>
        <w:t>High level LCS architecture</w:t>
      </w:r>
    </w:p>
    <w:p>
      <w:pPr>
        <w:pStyle w:val="Normal"/>
        <w:rPr/>
      </w:pPr>
      <w:r>
        <w:rPr/>
        <w:t>Figure 4.1.1 depicts the logical LCS architecture, as described inTS 23.271 [201].</w:t>
      </w:r>
    </w:p>
    <w:p>
      <w:pPr>
        <w:pStyle w:val="TH"/>
        <w:rPr/>
      </w:pPr>
      <w:bookmarkStart w:id="16" w:name="_1135078073"/>
      <w:bookmarkStart w:id="17" w:name="_1133269262"/>
      <w:bookmarkStart w:id="18" w:name="_1131950642"/>
      <w:bookmarkStart w:id="19" w:name="_1131452974"/>
      <w:bookmarkEnd w:id="16"/>
      <w:bookmarkEnd w:id="17"/>
      <w:bookmarkEnd w:id="18"/>
      <w:bookmarkEnd w:id="19"/>
      <w:r>
        <w:rPr/>
        <w:object w:dxaOrig="8281" w:dyaOrig="4696">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14.05pt;height:234.8pt" filled="f" o:ole="">
            <v:imagedata r:id="rId7" o:title=""/>
          </v:shape>
          <o:OLEObject Type="Embed" ProgID="" ShapeID="ole_rId6" DrawAspect="Content" ObjectID="_1792282051" r:id="rId6"/>
        </w:object>
      </w:r>
    </w:p>
    <w:p>
      <w:pPr>
        <w:pStyle w:val="TF"/>
        <w:rPr/>
      </w:pPr>
      <w:r>
        <w:rPr/>
        <w:t>Figure 4.1.1: LCS logical architecture with inter-GMLC [Lr] interface</w:t>
      </w:r>
    </w:p>
    <w:p>
      <w:pPr>
        <w:pStyle w:val="B1"/>
        <w:ind w:left="0" w:hanging="0"/>
        <w:rPr/>
      </w:pPr>
      <w:r>
        <w:rPr/>
        <w:t>As can be seen in figure 4.1.1, the following LCS elements are relevant for charging:</w:t>
      </w:r>
    </w:p>
    <w:p>
      <w:pPr>
        <w:pStyle w:val="B1"/>
        <w:rPr/>
      </w:pPr>
      <w:r>
        <w:rPr/>
        <w:t>- V-GMLC,</w:t>
      </w:r>
    </w:p>
    <w:p>
      <w:pPr>
        <w:pStyle w:val="B1"/>
        <w:rPr/>
      </w:pPr>
      <w:r>
        <w:rPr/>
        <w:t>- H-GMLC,</w:t>
      </w:r>
    </w:p>
    <w:p>
      <w:pPr>
        <w:pStyle w:val="B1"/>
        <w:rPr/>
      </w:pPr>
      <w:r>
        <w:rPr/>
        <w:t>- R-GMLC.</w:t>
      </w:r>
    </w:p>
    <w:p>
      <w:pPr>
        <w:pStyle w:val="EditorsNote"/>
        <w:rPr/>
      </w:pPr>
      <w:r>
        <w:rPr/>
        <w:t>Editor's note: Add a statement stating that the SGSN and the MSC have also a role in the LCS Charging and that the associated LCS Charging functionality is described in TS 32.250 and TS 32.251</w:t>
      </w:r>
      <w:r>
        <w:br w:type="page"/>
      </w:r>
    </w:p>
    <w:p>
      <w:pPr>
        <w:pStyle w:val="Heading2"/>
        <w:rPr/>
      </w:pPr>
      <w:bookmarkStart w:id="20" w:name="__RefHeading___Toc399247537"/>
      <w:bookmarkEnd w:id="20"/>
      <w:r>
        <w:rPr/>
        <w:t>4.2</w:t>
        <w:tab/>
        <w:t>LCS offline charging architecture</w:t>
      </w:r>
    </w:p>
    <w:p>
      <w:pPr>
        <w:pStyle w:val="Normal"/>
        <w:rPr/>
      </w:pPr>
      <w:r>
        <w:rPr/>
        <w:t>As described in TS 32.240 [1], the CTF (an integrated component in each charging relevant NE) generates charging events and forwards them to the CDF. The CDF, in turn, generates CDRs which are then transferred to the CGF. Finally, the CGF creates CDR files and forwards them to the Billing Domain.</w:t>
      </w:r>
    </w:p>
    <w:p>
      <w:pPr>
        <w:pStyle w:val="Normal"/>
        <w:rPr/>
      </w:pPr>
      <w:r>
        <w:rPr>
          <w:color w:val="000000"/>
        </w:rPr>
        <w:t>In LCS, all charging functions (</w:t>
      </w:r>
      <w:r>
        <w:rPr/>
        <w:t>CTF</w:t>
      </w:r>
      <w:r>
        <w:rPr>
          <w:color w:val="000000"/>
        </w:rPr>
        <w:t xml:space="preserve">, </w:t>
      </w:r>
      <w:r>
        <w:rPr/>
        <w:t>CDF</w:t>
      </w:r>
      <w:r>
        <w:rPr>
          <w:color w:val="000000"/>
        </w:rPr>
        <w:t xml:space="preserve"> and </w:t>
      </w:r>
      <w:r>
        <w:rPr/>
        <w:t>CGF</w:t>
      </w:r>
      <w:r>
        <w:rPr>
          <w:color w:val="000000"/>
        </w:rPr>
        <w:t xml:space="preserve">) reside within the </w:t>
      </w:r>
      <w:r>
        <w:rPr/>
        <w:t>LCS R/S</w:t>
      </w:r>
      <w:r>
        <w:rPr>
          <w:color w:val="000000"/>
        </w:rPr>
        <w:t xml:space="preserve">. I.e. the </w:t>
      </w:r>
      <w:r>
        <w:rPr/>
        <w:t>GMLC</w:t>
      </w:r>
      <w:r>
        <w:rPr>
          <w:color w:val="000000"/>
        </w:rPr>
        <w:t xml:space="preserve"> is connected directly to the Billing Domain via the </w:t>
      </w:r>
      <w:r>
        <w:rPr/>
        <w:t>Bl</w:t>
      </w:r>
      <w:r>
        <w:rPr>
          <w:color w:val="000000"/>
        </w:rPr>
        <w:t xml:space="preserve"> interface. Bl is the LCS specific variant of the common Bx interface. This architecture implies that there exists no separate </w:t>
      </w:r>
      <w:r>
        <w:rPr/>
        <w:t>CDF</w:t>
      </w:r>
      <w:r>
        <w:rPr>
          <w:color w:val="000000"/>
        </w:rPr>
        <w:t xml:space="preserve"> and </w:t>
      </w:r>
      <w:r>
        <w:rPr/>
        <w:t>CGF</w:t>
      </w:r>
      <w:r>
        <w:rPr>
          <w:color w:val="000000"/>
        </w:rPr>
        <w:t xml:space="preserve"> for LCS, i.e. no corresponding open interfaces between any such functions, within the </w:t>
      </w:r>
      <w:r>
        <w:rPr/>
        <w:t>3GPP</w:t>
      </w:r>
      <w:r>
        <w:rPr>
          <w:color w:val="000000"/>
        </w:rPr>
        <w:t xml:space="preserve"> standards.</w:t>
      </w:r>
    </w:p>
    <w:p>
      <w:pPr>
        <w:pStyle w:val="Normal"/>
        <w:rPr/>
      </w:pPr>
      <w:r>
        <w:rPr>
          <w:color w:val="000000"/>
        </w:rPr>
        <w:t xml:space="preserve">Figure 4.2.1 depicts the mapping of the </w:t>
      </w:r>
      <w:r>
        <w:rPr/>
        <w:t>3GPP</w:t>
      </w:r>
      <w:r>
        <w:rPr>
          <w:color w:val="000000"/>
        </w:rPr>
        <w:t xml:space="preserve"> common charging architecture, as laid down in TS 32.240 [1], onto the </w:t>
      </w:r>
      <w:r>
        <w:rPr/>
        <w:t>LCS</w:t>
      </w:r>
      <w:r>
        <w:rPr>
          <w:color w:val="000000"/>
        </w:rPr>
        <w:t>.</w:t>
      </w:r>
    </w:p>
    <w:p>
      <w:pPr>
        <w:pStyle w:val="EditorsNote"/>
        <w:rPr/>
      </w:pPr>
      <w:r>
        <w:rPr/>
        <w:t>Editor's note: A clarification for the LCS offline charging reference point is in discussion</w:t>
      </w:r>
    </w:p>
    <w:p>
      <w:pPr>
        <w:pStyle w:val="TH"/>
        <w:rPr/>
      </w:pPr>
      <w:bookmarkStart w:id="21" w:name="_1137831697"/>
      <w:bookmarkStart w:id="22" w:name="_1137831595"/>
      <w:bookmarkStart w:id="23" w:name="_1137831565"/>
      <w:bookmarkStart w:id="24" w:name="_1133696675"/>
      <w:bookmarkStart w:id="25" w:name="_1131950654"/>
      <w:bookmarkStart w:id="26" w:name="_1131452978"/>
      <w:bookmarkEnd w:id="21"/>
      <w:bookmarkEnd w:id="22"/>
      <w:bookmarkEnd w:id="23"/>
      <w:bookmarkEnd w:id="24"/>
      <w:bookmarkEnd w:id="25"/>
      <w:bookmarkEnd w:id="26"/>
      <w:r>
        <w:rPr/>
        <w:object w:dxaOrig="6345" w:dyaOrig="12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16.9pt;height:54.8pt" filled="f" o:ole="">
            <v:imagedata r:id="rId9" o:title=""/>
          </v:shape>
          <o:OLEObject Type="Embed" ProgID="" ShapeID="ole_rId8" DrawAspect="Content" ObjectID="_1744906365" r:id="rId8"/>
        </w:object>
      </w:r>
    </w:p>
    <w:p>
      <w:pPr>
        <w:pStyle w:val="TF"/>
        <w:rPr/>
      </w:pPr>
      <w:r>
        <w:rPr/>
        <w:t>Figure 4.2.1: LCS offline charging architecture</w:t>
      </w:r>
    </w:p>
    <w:p>
      <w:pPr>
        <w:pStyle w:val="Normal"/>
        <w:rPr/>
      </w:pPr>
      <w:r>
        <w:rPr>
          <w:color w:val="000000"/>
        </w:rPr>
        <w:t xml:space="preserve">In addition to the standard approach depicted in figure 4.2.1, vendors may choose to implement separate </w:t>
      </w:r>
      <w:r>
        <w:rPr/>
        <w:t>CDF</w:t>
      </w:r>
      <w:r>
        <w:rPr>
          <w:color w:val="000000"/>
        </w:rPr>
        <w:t xml:space="preserve"> and </w:t>
      </w:r>
      <w:r>
        <w:rPr/>
        <w:t>CGF</w:t>
      </w:r>
      <w:r>
        <w:rPr>
          <w:color w:val="000000"/>
        </w:rPr>
        <w:t xml:space="preserve"> for LCS. In that case, the interfaces between these functions should comply with the definition of the Rf and Ga interfaces (TS 32.299 [50] and TS 32.295 [54], respectively) as much as possible.</w:t>
      </w:r>
    </w:p>
    <w:p>
      <w:pPr>
        <w:pStyle w:val="Heading2"/>
        <w:rPr/>
      </w:pPr>
      <w:bookmarkStart w:id="27" w:name="__RefHeading___Toc399247538"/>
      <w:bookmarkEnd w:id="27"/>
      <w:r>
        <w:rPr/>
        <w:t>4.3</w:t>
        <w:tab/>
        <w:t>LCS online charging architecture</w:t>
      </w:r>
    </w:p>
    <w:p>
      <w:pPr>
        <w:pStyle w:val="Normal"/>
        <w:rPr/>
      </w:pPr>
      <w:r>
        <w:rPr/>
        <w:t xml:space="preserve">LCS online charging is based on GMLC functionality that is further specified in the present document. For online charging, the GMLC utilises the Ro interface and application towards the OCS as specified in TS 32.299 [50]. </w:t>
      </w:r>
      <w:r>
        <w:rPr>
          <w:color w:val="000000"/>
        </w:rPr>
        <w:t>The Ro reference point covers all online charging functionality required for LCS.</w:t>
      </w:r>
    </w:p>
    <w:p>
      <w:pPr>
        <w:pStyle w:val="Normal"/>
        <w:rPr/>
      </w:pPr>
      <w:r>
        <w:rPr/>
        <w:t>The LCS online charging architecture is depicted in figure 4.3.1.</w:t>
      </w:r>
    </w:p>
    <w:p>
      <w:pPr>
        <w:pStyle w:val="TH"/>
        <w:rPr/>
      </w:pPr>
      <w:r>
        <w:rPr/>
        <w:object w:dxaOrig="11424" w:dyaOrig="3226">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9.2pt;height:111.25pt" filled="f" o:ole="">
            <v:imagedata r:id="rId11" o:title=""/>
          </v:shape>
          <o:OLEObject Type="Embed" ProgID="" ShapeID="ole_rId10" DrawAspect="Content" ObjectID="_1429835183" r:id="rId10"/>
        </w:object>
      </w:r>
      <w:r>
        <w:rPr/>
        <w:t>Figure 4.3.1: LCS online charging architecture</w:t>
      </w:r>
    </w:p>
    <w:p>
      <w:pPr>
        <w:pStyle w:val="Normal"/>
        <w:rPr/>
      </w:pPr>
      <w:r>
        <w:rPr/>
        <w:t>Details on the interfaces and functions can be found in TS 32.240 [1] for the general architecture components, TS 32.296 [53] for the OCS, and TS 32.299 [50] for the Ro application.</w:t>
      </w:r>
      <w:r>
        <w:br w:type="page"/>
      </w:r>
    </w:p>
    <w:p>
      <w:pPr>
        <w:pStyle w:val="Heading1"/>
        <w:ind w:left="1134" w:hanging="1134"/>
        <w:rPr/>
      </w:pPr>
      <w:bookmarkStart w:id="28" w:name="__RefHeading___Toc399247539"/>
      <w:bookmarkEnd w:id="28"/>
      <w:r>
        <w:rPr/>
        <w:t>5</w:t>
        <w:tab/>
        <w:t>LCS charging principles and scenarios</w:t>
      </w:r>
    </w:p>
    <w:p>
      <w:pPr>
        <w:pStyle w:val="EditorsNote"/>
        <w:rPr/>
      </w:pPr>
      <w:r>
        <w:rPr/>
        <w:t>Editor's note: Include a brief introduction statement saying that this clause contains the CDR and charging event types and their trigger conditions.</w:t>
      </w:r>
    </w:p>
    <w:p>
      <w:pPr>
        <w:pStyle w:val="Heading2"/>
        <w:rPr/>
      </w:pPr>
      <w:bookmarkStart w:id="29" w:name="__RefHeading___Toc399247540"/>
      <w:bookmarkEnd w:id="29"/>
      <w:r>
        <w:rPr/>
        <w:t>5.1</w:t>
        <w:tab/>
        <w:t>LCS charging principles</w:t>
      </w:r>
    </w:p>
    <w:p>
      <w:pPr>
        <w:pStyle w:val="Normal"/>
        <w:rPr/>
      </w:pPr>
      <w:r>
        <w:rPr/>
        <w:t>Charging information in the Service domain for LCS is collected for inter-operator charging purpose by the GMLC. The basic principle is that a network requesting location information may be charged by the network that provides the location information.</w:t>
      </w:r>
    </w:p>
    <w:p>
      <w:pPr>
        <w:pStyle w:val="Normal"/>
        <w:rPr/>
      </w:pPr>
      <w:r>
        <w:rPr/>
        <w:t>The GMLC shall collect the following charging information:</w:t>
      </w:r>
    </w:p>
    <w:p>
      <w:pPr>
        <w:pStyle w:val="B1"/>
        <w:rPr/>
      </w:pPr>
      <w:r>
        <w:rPr/>
        <w:t>-</w:t>
        <w:tab/>
        <w:t>Identity of the mobile subscriber to be located and of the entity requesting the location;</w:t>
      </w:r>
    </w:p>
    <w:p>
      <w:pPr>
        <w:pStyle w:val="B1"/>
        <w:rPr/>
      </w:pPr>
      <w:r>
        <w:rPr/>
        <w:t>-</w:t>
        <w:tab/>
        <w:t>Identity of the GMLC or PLMN serving the LCS Client;</w:t>
      </w:r>
    </w:p>
    <w:p>
      <w:pPr>
        <w:pStyle w:val="B1"/>
        <w:rPr/>
      </w:pPr>
      <w:r>
        <w:rPr/>
        <w:t>-</w:t>
        <w:tab/>
        <w:t>QoS Requested/Delivered: the charging information shall describe the quality of the location requested and delivered to the LCS client;</w:t>
      </w:r>
    </w:p>
    <w:p>
      <w:pPr>
        <w:pStyle w:val="B1"/>
        <w:rPr/>
      </w:pPr>
      <w:r>
        <w:rPr/>
        <w:t>-</w:t>
        <w:tab/>
        <w:t>Request Timestamp: the charging information shall record the date and time the location procedure was requested by the LCS client;</w:t>
      </w:r>
    </w:p>
    <w:p>
      <w:pPr>
        <w:pStyle w:val="B1"/>
        <w:rPr/>
      </w:pPr>
      <w:r>
        <w:rPr/>
        <w:t>-</w:t>
        <w:tab/>
        <w:t>Location services requested: the charging information shall describe the service types for which the LCS client is allowed to locate the particular UE;</w:t>
      </w:r>
    </w:p>
    <w:p>
      <w:pPr>
        <w:pStyle w:val="B1"/>
        <w:rPr/>
      </w:pPr>
      <w:r>
        <w:rPr/>
        <w:t>-</w:t>
        <w:tab/>
        <w:t>Usage of continuous/periodic tracking;</w:t>
      </w:r>
    </w:p>
    <w:p>
      <w:pPr>
        <w:pStyle w:val="B1"/>
        <w:rPr/>
      </w:pPr>
      <w:r>
        <w:rPr/>
        <w:t>-</w:t>
        <w:tab/>
        <w:t>Charging for Location Based Services (LBS): the charging information shall describe the service specific information in addition to the above location resource information.</w:t>
      </w:r>
    </w:p>
    <w:p>
      <w:pPr>
        <w:pStyle w:val="Normal"/>
        <w:keepNext w:val="true"/>
        <w:rPr/>
      </w:pPr>
      <w:r>
        <w:rPr/>
        <w:t>The information listed above is captured for use cases in relation to:</w:t>
      </w:r>
    </w:p>
    <w:p>
      <w:pPr>
        <w:pStyle w:val="B1"/>
        <w:rPr/>
      </w:pPr>
      <w:r>
        <w:rPr/>
        <w:t>-</w:t>
        <w:tab/>
        <w:t>Mobile Originated Location Request;</w:t>
      </w:r>
    </w:p>
    <w:p>
      <w:pPr>
        <w:pStyle w:val="B1"/>
        <w:rPr/>
      </w:pPr>
      <w:r>
        <w:rPr/>
        <w:t>-</w:t>
        <w:tab/>
        <w:t>Mobile Terminated Location Request;</w:t>
      </w:r>
    </w:p>
    <w:p>
      <w:pPr>
        <w:pStyle w:val="B1"/>
        <w:rPr/>
      </w:pPr>
      <w:r>
        <w:rPr/>
        <w:t>-</w:t>
        <w:tab/>
        <w:t>Network Induced Location Request;</w:t>
      </w:r>
    </w:p>
    <w:p>
      <w:pPr>
        <w:pStyle w:val="Normal"/>
        <w:rPr/>
      </w:pPr>
      <w:r>
        <w:rPr/>
        <w:t>Refer to TS 23.271 [201] for further details on the above LCS transactions.</w:t>
      </w:r>
      <w:r>
        <w:br w:type="page"/>
      </w:r>
    </w:p>
    <w:p>
      <w:pPr>
        <w:pStyle w:val="Heading2"/>
        <w:rPr/>
      </w:pPr>
      <w:bookmarkStart w:id="30" w:name="__RefHeading___Toc399247541"/>
      <w:bookmarkEnd w:id="30"/>
      <w:r>
        <w:rPr/>
        <w:t>5.2</w:t>
        <w:tab/>
        <w:t>LCS offline charging scenarios</w:t>
      </w:r>
    </w:p>
    <w:p>
      <w:pPr>
        <w:pStyle w:val="Heading3"/>
        <w:rPr/>
      </w:pPr>
      <w:bookmarkStart w:id="31" w:name="__RefHeading___Toc399247542"/>
      <w:bookmarkEnd w:id="31"/>
      <w:r>
        <w:rPr/>
        <w:t>5.2.1</w:t>
        <w:tab/>
        <w:t>Basic principles</w:t>
      </w:r>
    </w:p>
    <w:p>
      <w:pPr>
        <w:pStyle w:val="EditorsNote"/>
        <w:rPr/>
      </w:pPr>
      <w:r>
        <w:rPr/>
        <w:t>Editor's note: TBD.</w:t>
      </w:r>
    </w:p>
    <w:p>
      <w:pPr>
        <w:pStyle w:val="Heading3"/>
        <w:rPr/>
      </w:pPr>
      <w:bookmarkStart w:id="32" w:name="__RefHeading___Toc399247543"/>
      <w:bookmarkEnd w:id="32"/>
      <w:r>
        <w:rPr/>
        <w:t>5.2.2</w:t>
        <w:tab/>
        <w:t>Rf message flows</w:t>
      </w:r>
    </w:p>
    <w:p>
      <w:pPr>
        <w:pStyle w:val="Normal"/>
        <w:rPr/>
      </w:pPr>
      <w:r>
        <w:rPr/>
        <w:t>Not applicable, as the separation of the CTF and CDF is not in the scope of the LCS charging standards. Refer to clause 4.2 for further information.</w:t>
      </w:r>
    </w:p>
    <w:p>
      <w:pPr>
        <w:pStyle w:val="NO"/>
        <w:rPr/>
      </w:pPr>
      <w:r>
        <w:rPr>
          <w:color w:val="000000"/>
        </w:rPr>
        <w:t xml:space="preserve">NOTE: </w:t>
        <w:tab/>
      </w:r>
      <w:r>
        <w:rPr/>
        <w:t>Vendors may nevertheless implement a separate CTF and CDF for LCS charging. In this case, it is recommended that the approach chosen conforms to the principles and protocol applications specified in TS 32.299 [50].</w:t>
      </w:r>
    </w:p>
    <w:p>
      <w:pPr>
        <w:pStyle w:val="Heading3"/>
        <w:rPr/>
      </w:pPr>
      <w:bookmarkStart w:id="33" w:name="__RefHeading___Toc399247544"/>
      <w:bookmarkEnd w:id="33"/>
      <w:r>
        <w:rPr/>
        <w:t>5.2.3</w:t>
        <w:tab/>
        <w:t>CDR Generation</w:t>
      </w:r>
    </w:p>
    <w:p>
      <w:pPr>
        <w:pStyle w:val="Heading4"/>
        <w:ind w:left="1418" w:hanging="1418"/>
        <w:rPr/>
      </w:pPr>
      <w:bookmarkStart w:id="34" w:name="__RefHeading___Toc399247545"/>
      <w:bookmarkEnd w:id="34"/>
      <w:r>
        <w:rPr/>
        <w:t>5.2.3.0</w:t>
        <w:tab/>
        <w:t>Introduction</w:t>
      </w:r>
    </w:p>
    <w:p>
      <w:pPr>
        <w:pStyle w:val="EditorsNote"/>
        <w:rPr/>
      </w:pPr>
      <w:r>
        <w:rPr/>
        <w:t>Editor's note: This clause shall also include the triggers of the CDR generation, the CDR types</w:t>
      </w:r>
    </w:p>
    <w:p>
      <w:pPr>
        <w:pStyle w:val="Normal"/>
        <w:rPr/>
      </w:pPr>
      <w:r>
        <w:rPr/>
        <w:t>The flows described in the present document specify the charging communications between the GMLC and the billing function for different charging scenarios. The LCS related messages associated with these charging scenarios are shown primarily for general information and to illustrate the charging triggers.</w:t>
      </w:r>
    </w:p>
    <w:p>
      <w:pPr>
        <w:pStyle w:val="Normal"/>
        <w:rPr/>
      </w:pPr>
      <w:r>
        <w:rPr/>
        <w:t>For the purpose of these examples, the following assumptions have been made:</w:t>
      </w:r>
    </w:p>
    <w:p>
      <w:pPr>
        <w:pStyle w:val="B1"/>
        <w:rPr/>
      </w:pPr>
      <w:r>
        <w:rPr/>
        <w:t>-</w:t>
        <w:tab/>
        <w:t>that the RAN location procedures are not depicted;</w:t>
      </w:r>
    </w:p>
    <w:p>
      <w:pPr>
        <w:pStyle w:val="B1"/>
        <w:rPr/>
      </w:pPr>
      <w:r>
        <w:rPr/>
        <w:t>-</w:t>
        <w:tab/>
        <w:t>that the CS and PS location procedures are not distinguished;</w:t>
      </w:r>
    </w:p>
    <w:p>
      <w:pPr>
        <w:pStyle w:val="B1"/>
        <w:rPr/>
      </w:pPr>
      <w:r>
        <w:rPr/>
        <w:t>-</w:t>
        <w:tab/>
        <w:t>that the LCS client has no privacy override capability;</w:t>
      </w:r>
    </w:p>
    <w:p>
      <w:pPr>
        <w:pStyle w:val="B1"/>
        <w:rPr/>
      </w:pPr>
      <w:r>
        <w:rPr/>
        <w:t>-</w:t>
        <w:tab/>
        <w:t>that the LCS charging procedures in the CS and the PS domains are not depicted</w:t>
      </w:r>
    </w:p>
    <w:p>
      <w:pPr>
        <w:pStyle w:val="Heading4"/>
        <w:ind w:left="1418" w:hanging="1418"/>
        <w:rPr/>
      </w:pPr>
      <w:bookmarkStart w:id="35" w:name="__RefHeading___Toc399247546"/>
      <w:bookmarkEnd w:id="35"/>
      <w:r>
        <w:rPr/>
        <w:t>5.2.3.1</w:t>
        <w:tab/>
        <w:t>Mobile Originated Location Request (MO-LR)</w:t>
      </w:r>
    </w:p>
    <w:p>
      <w:pPr>
        <w:pStyle w:val="Normal"/>
        <w:keepNext w:val="true"/>
        <w:rPr/>
      </w:pPr>
      <w:r>
        <w:rPr/>
        <w:t>MO-LR allows the UE to obtain its own geographical location or have its location information transferred to another LCS client. In this procedure, the R-GMLC, H-GMLC and V-GMLC are the same as no privacy checking is performed.</w:t>
      </w:r>
    </w:p>
    <w:p>
      <w:pPr>
        <w:pStyle w:val="Normal"/>
        <w:keepNext w:val="true"/>
        <w:rPr/>
      </w:pPr>
      <w:r>
        <w:rPr/>
        <w:t>Figure 5.2.3.1.1 illustrates a MO-LR that allows a UE to request its own location.</w:t>
      </w:r>
    </w:p>
    <w:p>
      <w:pPr>
        <w:pStyle w:val="TH"/>
        <w:rPr/>
      </w:pPr>
      <w:bookmarkStart w:id="36" w:name="_1141813169"/>
      <w:bookmarkStart w:id="37" w:name="_1139208631"/>
      <w:bookmarkStart w:id="38" w:name="_1139208493"/>
      <w:bookmarkStart w:id="39" w:name="_1139208103"/>
      <w:bookmarkEnd w:id="36"/>
      <w:bookmarkEnd w:id="37"/>
      <w:bookmarkEnd w:id="38"/>
      <w:bookmarkEnd w:id="39"/>
      <w:r>
        <w:rPr/>
        <w:object w:dxaOrig="13737" w:dyaOrig="930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18.25pt;height:343.15pt" filled="f" o:ole="">
            <v:imagedata r:id="rId13" o:title=""/>
          </v:shape>
          <o:OLEObject Type="Embed" ProgID="" ShapeID="ole_rId12" DrawAspect="Content" ObjectID="_1488078039" r:id="rId12"/>
        </w:object>
      </w:r>
    </w:p>
    <w:p>
      <w:pPr>
        <w:pStyle w:val="TF"/>
        <w:rPr/>
      </w:pPr>
      <w:r>
        <w:rPr/>
        <w:t>Figure 5.2.3.1.1: Record trigger overview for MO-LR</w:t>
      </w:r>
    </w:p>
    <w:p>
      <w:pPr>
        <w:pStyle w:val="B1"/>
        <w:rPr/>
      </w:pPr>
      <w:r>
        <w:rPr/>
        <w:t>1)</w:t>
        <w:tab/>
        <w:t>The MSC (or SGSN) receives a Location Service Invoke from the UE.</w:t>
      </w:r>
    </w:p>
    <w:p>
      <w:pPr>
        <w:pStyle w:val="B1"/>
        <w:rPr/>
      </w:pPr>
      <w:r>
        <w:rPr/>
        <w:t>2)</w:t>
        <w:tab/>
        <w:t>The MSC (or SGSN) forwards the Location result to the GMLC by sending a MAP Subscriber Location Report.</w:t>
      </w:r>
    </w:p>
    <w:p>
      <w:pPr>
        <w:pStyle w:val="B1"/>
        <w:rPr/>
      </w:pPr>
      <w:r>
        <w:rPr/>
        <w:t>3)</w:t>
        <w:tab/>
        <w:t>The GMLC transfers the location information to the LCS client.</w:t>
      </w:r>
    </w:p>
    <w:p>
      <w:pPr>
        <w:pStyle w:val="B1"/>
        <w:rPr/>
      </w:pPr>
      <w:r>
        <w:rPr/>
        <w:t>4)</w:t>
        <w:tab/>
        <w:t>The LCS Client sends to the GMLC the Location Information ack message  signalling the result.</w:t>
      </w:r>
    </w:p>
    <w:p>
      <w:pPr>
        <w:pStyle w:val="B1"/>
        <w:rPr/>
      </w:pPr>
      <w:r>
        <w:rPr/>
        <w:t>5)</w:t>
        <w:tab/>
        <w:t>The GMLC acknowledges the MAP Subscriber Location Report and the associated MO-LR CDR is processed as specified in TS 32.297 [52].</w:t>
      </w:r>
    </w:p>
    <w:p>
      <w:pPr>
        <w:pStyle w:val="B1"/>
        <w:rPr/>
      </w:pPr>
      <w:r>
        <w:rPr/>
        <w:t>6)</w:t>
        <w:tab/>
        <w:t>The MSC (or SGSN) returns a Service Response message to the UE carrying any location estimate requested by the UE.</w:t>
      </w:r>
    </w:p>
    <w:p>
      <w:pPr>
        <w:pStyle w:val="EW"/>
        <w:rPr/>
      </w:pPr>
      <w:r>
        <w:rPr/>
      </w:r>
    </w:p>
    <w:p>
      <w:pPr>
        <w:pStyle w:val="Normal"/>
        <w:rPr/>
      </w:pPr>
      <w:r>
        <mc:AlternateContent>
          <mc:Choice Requires="wps">
            <w:drawing>
              <wp:anchor behindDoc="0" distT="0" distB="0" distL="114935" distR="114935" simplePos="0" locked="0" layoutInCell="0" allowOverlap="1" relativeHeight="111">
                <wp:simplePos x="0" y="0"/>
                <wp:positionH relativeFrom="column">
                  <wp:posOffset>3780790</wp:posOffset>
                </wp:positionH>
                <wp:positionV relativeFrom="paragraph">
                  <wp:posOffset>1381760</wp:posOffset>
                </wp:positionV>
                <wp:extent cx="2749550" cy="138430"/>
                <wp:effectExtent l="0" t="0" r="0" b="0"/>
                <wp:wrapNone/>
                <wp:docPr id="14" name=""/>
                <a:graphic xmlns:a="http://schemas.openxmlformats.org/drawingml/2006/main">
                  <a:graphicData uri="http://schemas.microsoft.com/office/word/2010/wordprocessingShape">
                    <wps:wsp>
                      <wps:cNvSpPr/>
                      <wps:spPr>
                        <a:xfrm>
                          <a:off x="0" y="0"/>
                          <a:ext cx="2749680" cy="13860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297.7pt;margin-top:108.8pt;width:216.45pt;height:10.85pt;mso-wrap-style:none;v-text-anchor:middle">
                <v:fill o:detectmouseclick="t" on="false"/>
                <v:stroke color="#3465a4" joinstyle="round" endcap="flat"/>
                <w10:wrap type="none"/>
              </v:rect>
            </w:pict>
          </mc:Fallback>
        </mc:AlternateContent>
        <mc:AlternateContent>
          <mc:Choice Requires="wps">
            <w:drawing>
              <wp:anchor behindDoc="0" distT="0" distB="0" distL="114935" distR="114300" simplePos="0" locked="0" layoutInCell="0" allowOverlap="1" relativeHeight="112">
                <wp:simplePos x="0" y="0"/>
                <wp:positionH relativeFrom="column">
                  <wp:posOffset>3760470</wp:posOffset>
                </wp:positionH>
                <wp:positionV relativeFrom="paragraph">
                  <wp:posOffset>137795</wp:posOffset>
                </wp:positionV>
                <wp:extent cx="2747645" cy="138430"/>
                <wp:effectExtent l="635" t="0" r="0" b="0"/>
                <wp:wrapNone/>
                <wp:docPr id="15" name=""/>
                <a:graphic xmlns:a="http://schemas.openxmlformats.org/drawingml/2006/main">
                  <a:graphicData uri="http://schemas.microsoft.com/office/word/2010/wordprocessingShape">
                    <wps:wsp>
                      <wps:cNvSpPr/>
                      <wps:spPr>
                        <a:xfrm>
                          <a:off x="0" y="0"/>
                          <a:ext cx="2747520" cy="13860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296.1pt;margin-top:10.85pt;width:216.3pt;height:10.85pt;mso-wrap-style:none;v-text-anchor:middle">
                <v:fill o:detectmouseclick="t" on="false"/>
                <v:stroke color="#3465a4" joinstyle="round" endcap="flat"/>
                <w10:wrap type="none"/>
              </v:rect>
            </w:pict>
          </mc:Fallback>
        </mc:AlternateContent>
        <mc:AlternateContent>
          <mc:Choice Requires="wps">
            <w:drawing>
              <wp:anchor behindDoc="0" distT="0" distB="0" distL="114935" distR="114300" simplePos="0" locked="0" layoutInCell="0" allowOverlap="1" relativeHeight="113">
                <wp:simplePos x="0" y="0"/>
                <wp:positionH relativeFrom="column">
                  <wp:posOffset>4723765</wp:posOffset>
                </wp:positionH>
                <wp:positionV relativeFrom="paragraph">
                  <wp:posOffset>58420</wp:posOffset>
                </wp:positionV>
                <wp:extent cx="1908175" cy="290830"/>
                <wp:effectExtent l="635" t="0" r="0" b="0"/>
                <wp:wrapNone/>
                <wp:docPr id="16" name=""/>
                <a:graphic xmlns:a="http://schemas.openxmlformats.org/drawingml/2006/main">
                  <a:graphicData uri="http://schemas.microsoft.com/office/word/2010/wordprocessingShape">
                    <wps:wsp>
                      <wps:cNvSpPr/>
                      <wps:spPr>
                        <a:xfrm>
                          <a:off x="0" y="0"/>
                          <a:ext cx="1908000" cy="29088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371.95pt;margin-top:4.6pt;width:150.2pt;height:22.85pt;mso-wrap-style:none;v-text-anchor:middle">
                <v:fill o:detectmouseclick="t" on="false"/>
                <v:stroke color="#3465a4" joinstyle="round" endcap="flat"/>
                <w10:wrap type="none"/>
              </v:rect>
            </w:pict>
          </mc:Fallback>
        </mc:AlternateContent>
        <mc:AlternateContent>
          <mc:Choice Requires="wps">
            <w:drawing>
              <wp:anchor behindDoc="0" distT="0" distB="0" distL="114935" distR="114300" simplePos="0" locked="0" layoutInCell="0" allowOverlap="1" relativeHeight="114">
                <wp:simplePos x="0" y="0"/>
                <wp:positionH relativeFrom="column">
                  <wp:posOffset>3796030</wp:posOffset>
                </wp:positionH>
                <wp:positionV relativeFrom="paragraph">
                  <wp:posOffset>1677035</wp:posOffset>
                </wp:positionV>
                <wp:extent cx="2747645" cy="139700"/>
                <wp:effectExtent l="635" t="0" r="0" b="0"/>
                <wp:wrapNone/>
                <wp:docPr id="17" name=""/>
                <a:graphic xmlns:a="http://schemas.openxmlformats.org/drawingml/2006/main">
                  <a:graphicData uri="http://schemas.microsoft.com/office/word/2010/wordprocessingShape">
                    <wps:wsp>
                      <wps:cNvSpPr/>
                      <wps:spPr>
                        <a:xfrm>
                          <a:off x="0" y="0"/>
                          <a:ext cx="2747520" cy="13968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298.9pt;margin-top:132.05pt;width:216.3pt;height:10.95pt;mso-wrap-style:none;v-text-anchor:middle">
                <v:fill o:detectmouseclick="t" on="false"/>
                <v:stroke color="#3465a4" joinstyle="round" endcap="flat"/>
                <w10:wrap type="none"/>
              </v:rect>
            </w:pict>
          </mc:Fallback>
        </mc:AlternateContent>
        <mc:AlternateContent>
          <mc:Choice Requires="wps">
            <w:drawing>
              <wp:anchor behindDoc="0" distT="0" distB="0" distL="114935" distR="114300" simplePos="0" locked="0" layoutInCell="0" allowOverlap="1" relativeHeight="115">
                <wp:simplePos x="0" y="0"/>
                <wp:positionH relativeFrom="column">
                  <wp:posOffset>3760470</wp:posOffset>
                </wp:positionH>
                <wp:positionV relativeFrom="paragraph">
                  <wp:posOffset>38735</wp:posOffset>
                </wp:positionV>
                <wp:extent cx="2353945" cy="207010"/>
                <wp:effectExtent l="635" t="0" r="0" b="0"/>
                <wp:wrapNone/>
                <wp:docPr id="18" name=""/>
                <a:graphic xmlns:a="http://schemas.openxmlformats.org/drawingml/2006/main">
                  <a:graphicData uri="http://schemas.microsoft.com/office/word/2010/wordprocessingShape">
                    <wps:wsp>
                      <wps:cNvSpPr/>
                      <wps:spPr>
                        <a:xfrm>
                          <a:off x="0" y="0"/>
                          <a:ext cx="2354040" cy="20700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296.1pt;margin-top:3.05pt;width:185.3pt;height:16.25pt;mso-wrap-style:none;v-text-anchor:middle">
                <v:fill o:detectmouseclick="t" on="false"/>
                <v:stroke color="#3465a4" joinstyle="round" endcap="flat"/>
                <w10:wrap type="none"/>
              </v:rect>
            </w:pict>
          </mc:Fallback>
        </mc:AlternateContent>
      </w:r>
      <w:r>
        <w:rPr/>
        <w:t>The record trigger associated to the MO-LR is called 'LCS GMLC Mobile Originated' (LCS-GMO)</w:t>
      </w:r>
    </w:p>
    <w:p>
      <w:pPr>
        <w:pStyle w:val="Heading4"/>
        <w:ind w:left="1418" w:hanging="1418"/>
        <w:rPr/>
      </w:pPr>
      <w:bookmarkStart w:id="40" w:name="__RefHeading___Toc399247547"/>
      <w:bookmarkEnd w:id="40"/>
      <w:r>
        <w:rPr/>
        <w:t>5.2.3.2</w:t>
        <w:tab/>
        <w:t>Mobile Terminated Location Request (MT-LR)</w:t>
      </w:r>
    </w:p>
    <w:p>
      <w:pPr>
        <w:pStyle w:val="Normal"/>
        <w:keepNext w:val="true"/>
        <w:rPr/>
      </w:pPr>
      <w:r>
        <w:rPr/>
        <w:t>MT-LR allows an external LCS client to ask for the location of a mobile subscriber (target UE). Figure 5.2.3.2.1 illustrates a MT-LR scenario:</w:t>
      </w:r>
    </w:p>
    <w:p>
      <w:pPr>
        <w:pStyle w:val="TH"/>
        <w:rPr/>
      </w:pPr>
      <w:r>
        <w:rPr/>
        <w:object w:dxaOrig="8232" w:dyaOrig="10906">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11.65pt;height:545.85pt" filled="f" o:ole="">
            <v:imagedata r:id="rId15" o:title=""/>
          </v:shape>
          <o:OLEObject Type="Embed" ProgID="" ShapeID="ole_rId14" DrawAspect="Content" ObjectID="_1242863474" r:id="rId14"/>
        </w:object>
      </w:r>
    </w:p>
    <w:p>
      <w:pPr>
        <w:pStyle w:val="Normal"/>
        <w:rPr/>
      </w:pPr>
      <w:r>
        <w:rPr/>
      </w:r>
    </w:p>
    <w:p>
      <w:pPr>
        <w:pStyle w:val="TF"/>
        <w:rPr/>
      </w:pPr>
      <w:r>
        <w:rPr/>
        <w:t>Figure 5.2.3.2.1: Record trigger overview for MT-LR</w:t>
      </w:r>
    </w:p>
    <w:p>
      <w:pPr>
        <w:pStyle w:val="B1"/>
        <w:rPr/>
      </w:pPr>
      <w:r>
        <w:rPr/>
        <w:t>1.</w:t>
        <w:tab/>
        <w:t>The external LCS client requests the location of a target UE from the R-GMLC.</w:t>
      </w:r>
    </w:p>
    <w:p>
      <w:pPr>
        <w:pStyle w:val="B1"/>
        <w:rPr/>
      </w:pPr>
      <w:r>
        <w:rPr/>
        <w:t>2.</w:t>
        <w:tab/>
        <w:t xml:space="preserve">The R-GMLC requests the H-GMLC address by sending  a MAP Send Routing Info for LCS message to the home HLR/HSS of the target UE to be located. </w:t>
      </w:r>
    </w:p>
    <w:p>
      <w:pPr>
        <w:pStyle w:val="B1"/>
        <w:rPr/>
      </w:pPr>
      <w:r>
        <w:rPr/>
        <w:t>3.</w:t>
        <w:tab/>
        <w:t>The HLR/HSS returns a MAP Send Routing Info for LCS ack message that contains the H-GMLC address</w:t>
      </w:r>
    </w:p>
    <w:p>
      <w:pPr>
        <w:pStyle w:val="B1"/>
        <w:rPr/>
      </w:pPr>
      <w:r>
        <w:rPr/>
        <w:t>4.</w:t>
        <w:tab/>
        <w:t>The R-GMLC forwards the Location Service Request to the H-GMLC.</w:t>
      </w:r>
    </w:p>
    <w:p>
      <w:pPr>
        <w:pStyle w:val="B1"/>
        <w:rPr/>
      </w:pPr>
      <w:r>
        <w:rPr/>
        <w:t>5.</w:t>
        <w:tab/>
        <w:t>After performing privacy check, the H-GMLC requests the V-GMLC address by sending  a MAP Send Routing Info for LCS message to the home HLR/HSS.</w:t>
      </w:r>
    </w:p>
    <w:p>
      <w:pPr>
        <w:pStyle w:val="B1"/>
        <w:rPr/>
      </w:pPr>
      <w:r>
        <w:rPr/>
        <w:t>6.</w:t>
        <w:tab/>
        <w:t>The HLR/HSS returns a MAP Send Routing Info for LCS ack message that contains the V-GMLC address.</w:t>
      </w:r>
    </w:p>
    <w:p>
      <w:pPr>
        <w:pStyle w:val="B1"/>
        <w:rPr/>
      </w:pPr>
      <w:r>
        <w:rPr/>
        <w:t>7.</w:t>
        <w:tab/>
        <w:t>The H-GMLC forwards the Location Service Request to the V-GMLC.</w:t>
      </w:r>
    </w:p>
    <w:p>
      <w:pPr>
        <w:pStyle w:val="B1"/>
        <w:rPr/>
      </w:pPr>
      <w:r>
        <w:rPr/>
        <w:t>8.</w:t>
        <w:tab/>
        <w:t>The V-GMLC forwards the Location request to the MSC or SGSN by sending a MAP Provider Subscriber Location Report.</w:t>
      </w:r>
    </w:p>
    <w:p>
      <w:pPr>
        <w:pStyle w:val="B1"/>
        <w:rPr/>
      </w:pPr>
      <w:r>
        <w:rPr/>
        <w:t>9.</w:t>
        <w:tab/>
        <w:t>After either a CS-MT-LR or PS-MT-LR was processed, the MSC or SGSN sends the acknowledgement of the MAP Provider Subscriber Location Report.</w:t>
      </w:r>
    </w:p>
    <w:p>
      <w:pPr>
        <w:pStyle w:val="B1"/>
        <w:ind w:left="568" w:hanging="1"/>
        <w:rPr/>
      </w:pPr>
      <w:r>
        <w:rPr/>
        <w:t>The associated LCS VGMT CDR is processed as specified in TS 32.297 [52].</w:t>
      </w:r>
    </w:p>
    <w:p>
      <w:pPr>
        <w:pStyle w:val="B1"/>
        <w:rPr/>
      </w:pPr>
      <w:r>
        <w:rPr/>
        <w:t>10.</w:t>
        <w:tab/>
        <w:t>The V-GMLC sends the location service response to the H-GMLC. After the H-GMLC has performed privacy check, the associated LCS HGMT CDR is processed as specified in TS 32.297 [52].</w:t>
      </w:r>
    </w:p>
    <w:p>
      <w:pPr>
        <w:pStyle w:val="B1"/>
        <w:rPr/>
      </w:pPr>
      <w:r>
        <w:rPr/>
        <w:t>11.</w:t>
        <w:tab/>
        <w:t>The H-GMLC sends the location service response to the R-GMLC and the associated LCS RGMT CDR is processed as specified in TS 32.297 [52].</w:t>
      </w:r>
    </w:p>
    <w:p>
      <w:pPr>
        <w:pStyle w:val="B1"/>
        <w:rPr/>
      </w:pPr>
      <w:r>
        <w:rPr/>
        <w:t>12.</w:t>
        <w:tab/>
        <w:t>The R-GMLC returns a Service Response message to the LCS client carrying any location estimate requested by the LCS client.</w:t>
      </w:r>
    </w:p>
    <w:p>
      <w:pPr>
        <w:pStyle w:val="Normal"/>
        <w:rPr/>
      </w:pPr>
      <w:r>
        <w:rPr/>
      </w:r>
      <w:r>
        <w:br w:type="page"/>
      </w:r>
    </w:p>
    <w:p>
      <w:pPr>
        <w:pStyle w:val="Heading4"/>
        <w:ind w:left="1418" w:hanging="1418"/>
        <w:rPr/>
      </w:pPr>
      <w:bookmarkStart w:id="41" w:name="__RefHeading___Toc399247548"/>
      <w:bookmarkEnd w:id="41"/>
      <w:r>
        <w:rPr/>
        <w:t>5.2.3.3</w:t>
        <w:tab/>
        <w:t>Network Induced Location Request (NI-LR)</w:t>
      </w:r>
    </w:p>
    <w:p>
      <w:pPr>
        <w:pStyle w:val="Normal"/>
        <w:keepNext w:val="true"/>
        <w:keepLines/>
        <w:jc w:val="both"/>
        <w:rPr/>
      </w:pPr>
      <w:r>
        <w:rPr/>
        <w:t xml:space="preserve">NI-LR allows positioning for an emergency service call. </w:t>
      </w:r>
      <w:r>
        <w:rPr>
          <w:lang w:val="fr-FR"/>
        </w:rPr>
        <w:t xml:space="preserve">Figure 5.2.3.3.1 illustrates a NI-LR scenario: </w:t>
      </w:r>
    </w:p>
    <w:p>
      <w:pPr>
        <w:pStyle w:val="TH"/>
        <w:rPr/>
      </w:pPr>
      <w:bookmarkStart w:id="42" w:name="_1141813985"/>
      <w:bookmarkStart w:id="43" w:name="_1141813885"/>
      <w:bookmarkStart w:id="44" w:name="_1139045798"/>
      <w:bookmarkStart w:id="45" w:name="_1139045434"/>
      <w:bookmarkStart w:id="46" w:name="_1138450647"/>
      <w:bookmarkStart w:id="47" w:name="_1138450590"/>
      <w:bookmarkStart w:id="48" w:name="_1138450548"/>
      <w:bookmarkStart w:id="49" w:name="_1138446268"/>
      <w:bookmarkStart w:id="50" w:name="_1138445761"/>
      <w:bookmarkStart w:id="51" w:name="_1138445385"/>
      <w:bookmarkEnd w:id="42"/>
      <w:bookmarkEnd w:id="43"/>
      <w:bookmarkEnd w:id="44"/>
      <w:bookmarkEnd w:id="45"/>
      <w:bookmarkEnd w:id="46"/>
      <w:bookmarkEnd w:id="47"/>
      <w:bookmarkEnd w:id="48"/>
      <w:bookmarkEnd w:id="49"/>
      <w:bookmarkEnd w:id="50"/>
      <w:bookmarkEnd w:id="51"/>
      <w:r>
        <w:rPr/>
        <w:object w:dxaOrig="13737" w:dyaOrig="930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18.25pt;height:343.15pt" filled="f" o:ole="">
            <v:imagedata r:id="rId17" o:title=""/>
          </v:shape>
          <o:OLEObject Type="Embed" ProgID="" ShapeID="ole_rId16" DrawAspect="Content" ObjectID="_661086617" r:id="rId16"/>
        </w:object>
      </w:r>
    </w:p>
    <w:p>
      <w:pPr>
        <w:pStyle w:val="TF"/>
        <w:rPr/>
      </w:pPr>
      <w:r>
        <w:rPr/>
        <w:t>Figure 5.2.3.3.1: Record trigger overview for NI-LR</w:t>
      </w:r>
    </w:p>
    <w:p>
      <w:pPr>
        <w:pStyle w:val="B1"/>
        <w:rPr/>
      </w:pPr>
      <w:r>
        <w:rPr/>
        <w:t>1.</w:t>
        <w:tab/>
        <w:t>An emergency call procedure is initiated between the UE and the LCS client.</w:t>
      </w:r>
    </w:p>
    <w:p>
      <w:pPr>
        <w:pStyle w:val="B1"/>
        <w:rPr/>
      </w:pPr>
      <w:r>
        <w:rPr/>
        <w:t>2.</w:t>
        <w:tab/>
        <w:t>Positioning procedures are instigated.</w:t>
      </w:r>
    </w:p>
    <w:p>
      <w:pPr>
        <w:pStyle w:val="B1"/>
        <w:rPr/>
      </w:pPr>
      <w:r>
        <w:rPr/>
        <w:t>3.</w:t>
        <w:tab/>
        <w:t>The MSC (or SGSN) forwards the Location request to the GMLC by sending a MAP Subscriber Location Report.</w:t>
      </w:r>
    </w:p>
    <w:p>
      <w:pPr>
        <w:pStyle w:val="B1"/>
        <w:rPr/>
      </w:pPr>
      <w:r>
        <w:rPr/>
        <w:t>4.</w:t>
        <w:tab/>
        <w:t>The GMLC acknowledges the MAP Subscriber Location Report.</w:t>
      </w:r>
    </w:p>
    <w:p>
      <w:pPr>
        <w:pStyle w:val="B1"/>
        <w:rPr/>
      </w:pPr>
      <w:r>
        <w:rPr/>
        <w:t>5.</w:t>
        <w:tab/>
        <w:t>The GMLC transfers the location information to the LCS client and the associated LCS-GNI-CDR is processed as specified in TS 32.297 [52].</w:t>
      </w:r>
    </w:p>
    <w:p>
      <w:pPr>
        <w:pStyle w:val="B1"/>
        <w:rPr/>
      </w:pPr>
      <w:r>
        <w:rPr/>
        <w:t>6.</w:t>
        <w:tab/>
        <w:t>At some later time, the</w:t>
      </w:r>
      <w:r>
        <w:rPr>
          <w:sz w:val="24"/>
        </w:rPr>
        <w:t xml:space="preserve"> </w:t>
      </w:r>
      <w:r>
        <w:rPr/>
        <w:t>emergency services call is released.</w:t>
      </w:r>
    </w:p>
    <w:p>
      <w:pPr>
        <w:pStyle w:val="Heading3"/>
        <w:rPr/>
      </w:pPr>
      <w:bookmarkStart w:id="52" w:name="__RefHeading___Toc399247549"/>
      <w:bookmarkEnd w:id="52"/>
      <w:r>
        <w:rPr/>
        <w:t>5.2.4</w:t>
        <w:tab/>
        <w:t>Ga record transfer flows</w:t>
      </w:r>
    </w:p>
    <w:p>
      <w:pPr>
        <w:pStyle w:val="Normal"/>
        <w:rPr/>
      </w:pPr>
      <w:r>
        <w:rPr/>
        <w:t xml:space="preserve">Not applicable, as the separation of the CDF and CGF is not in the scope of the LCS charging standards. </w:t>
        <w:br/>
        <w:t>Refer to clause 4.2 for further information.</w:t>
      </w:r>
    </w:p>
    <w:p>
      <w:pPr>
        <w:pStyle w:val="NO"/>
        <w:rPr/>
      </w:pPr>
      <w:r>
        <w:rPr/>
        <w:t>NOTE:</w:t>
        <w:tab/>
        <w:t xml:space="preserve">Vendors may nevertheless implement a separate CDF and CGF for LCS charging. </w:t>
        <w:br/>
        <w:t>In this case, it is recommended that the approach chosen conforms to the principles and protocol applications specified in TS 32.295 [54].</w:t>
      </w:r>
    </w:p>
    <w:p>
      <w:pPr>
        <w:pStyle w:val="Heading3"/>
        <w:rPr/>
      </w:pPr>
      <w:bookmarkStart w:id="53" w:name="__RefHeading___Toc399247550"/>
      <w:bookmarkEnd w:id="53"/>
      <w:r>
        <w:rPr/>
        <w:t>5.2.5</w:t>
        <w:tab/>
        <w:t>B</w:t>
      </w:r>
      <w:r>
        <w:rPr>
          <w:szCs w:val="28"/>
          <w:vertAlign w:val="subscript"/>
        </w:rPr>
        <w:t>L</w:t>
      </w:r>
      <w:r>
        <w:rPr/>
        <w:t xml:space="preserve"> CDR file transfer</w:t>
      </w:r>
    </w:p>
    <w:p>
      <w:pPr>
        <w:pStyle w:val="EW"/>
        <w:ind w:left="0" w:hanging="0"/>
        <w:rPr/>
      </w:pPr>
      <w:r>
        <w:rPr/>
        <w:t xml:space="preserve">The integrated CGF of the GMLC transfers the CDR files to the BD as described in TS 32.297 [52]. In LCS, both fully qualified partial CDRs (FQPC) and reduced partial CDRs (RPC), as specified in TS 32.240 [1] may be supported on the Bl interface. In line with TS 32.240 [1], the support of FQPCs is mandatory, the support of RPCs is optional. </w:t>
        <w:br/>
        <w:t>For further details on the Bl protocol application refer to TS 32.297 [52].</w:t>
      </w:r>
    </w:p>
    <w:p>
      <w:pPr>
        <w:pStyle w:val="Heading2"/>
        <w:rPr/>
      </w:pPr>
      <w:bookmarkStart w:id="54" w:name="__RefHeading___Toc399247551"/>
      <w:bookmarkEnd w:id="54"/>
      <w:r>
        <w:rPr/>
        <w:t>5.3</w:t>
        <w:tab/>
        <w:t>LCS online charging scenarios</w:t>
      </w:r>
    </w:p>
    <w:p>
      <w:pPr>
        <w:pStyle w:val="Heading3"/>
        <w:rPr/>
      </w:pPr>
      <w:bookmarkStart w:id="55" w:name="__RefHeading___Toc399247552"/>
      <w:bookmarkEnd w:id="55"/>
      <w:r>
        <w:rPr/>
        <w:t>5.3.0</w:t>
        <w:tab/>
        <w:t>General</w:t>
      </w:r>
    </w:p>
    <w:p>
      <w:pPr>
        <w:pStyle w:val="Normal"/>
        <w:rPr/>
      </w:pPr>
      <w:r>
        <w:rPr/>
        <w:t xml:space="preserve">LCS online charging  uses the </w:t>
      </w:r>
      <w:r>
        <w:rPr>
          <w:lang w:val="en-US" w:eastAsia="en-US"/>
        </w:rPr>
        <w:t xml:space="preserve">Debit / Reserve Units operation </w:t>
      </w:r>
      <w:r>
        <w:rPr/>
        <w:t xml:space="preserve">as specified in TS 32.299 [50]. </w:t>
      </w:r>
    </w:p>
    <w:p>
      <w:pPr>
        <w:pStyle w:val="Heading3"/>
        <w:rPr/>
      </w:pPr>
      <w:bookmarkStart w:id="56" w:name="__RefHeading___Toc399247553"/>
      <w:bookmarkEnd w:id="56"/>
      <w:r>
        <w:rPr/>
        <w:t>5.3.1</w:t>
        <w:tab/>
        <w:t>Basic principles</w:t>
      </w:r>
    </w:p>
    <w:p>
      <w:pPr>
        <w:pStyle w:val="Normal"/>
        <w:rPr/>
      </w:pPr>
      <w:r>
        <w:rPr/>
        <w:t>Two cases for LCS online charging are distinguished:</w:t>
      </w:r>
    </w:p>
    <w:p>
      <w:pPr>
        <w:pStyle w:val="B1"/>
        <w:rPr/>
      </w:pPr>
      <w:r>
        <w:rPr/>
        <w:t>-</w:t>
        <w:tab/>
        <w:t>Immediate Event Charging (IEC); and</w:t>
      </w:r>
    </w:p>
    <w:p>
      <w:pPr>
        <w:pStyle w:val="B1"/>
        <w:rPr/>
      </w:pPr>
      <w:r>
        <w:rPr/>
        <w:t>-</w:t>
        <w:tab/>
      </w:r>
      <w:r>
        <w:rPr>
          <w:caps/>
        </w:rPr>
        <w:t>e</w:t>
      </w:r>
      <w:r>
        <w:rPr/>
        <w:t xml:space="preserve">vent </w:t>
      </w:r>
      <w:r>
        <w:rPr>
          <w:caps/>
        </w:rPr>
        <w:t>c</w:t>
      </w:r>
      <w:r>
        <w:rPr/>
        <w:t xml:space="preserve">harging with </w:t>
      </w:r>
      <w:r>
        <w:rPr>
          <w:caps/>
        </w:rPr>
        <w:t>u</w:t>
      </w:r>
      <w:r>
        <w:rPr/>
        <w:t xml:space="preserve">nit </w:t>
      </w:r>
      <w:r>
        <w:rPr>
          <w:caps/>
        </w:rPr>
        <w:t>r</w:t>
      </w:r>
      <w:r>
        <w:rPr/>
        <w:t>eservation (ECUR).</w:t>
      </w:r>
    </w:p>
    <w:p>
      <w:pPr>
        <w:pStyle w:val="Normal"/>
        <w:rPr/>
      </w:pPr>
      <w:r>
        <w:rPr/>
        <w:t>In the case of IEC, granting units to the GMLC is performed in a single operation that also includes the deduction of the corresponding monetary units from the subscriber's account. The charging process is controlled by the corresponding credit control request which is sent for a given credit control event.</w:t>
      </w:r>
    </w:p>
    <w:p>
      <w:pPr>
        <w:pStyle w:val="Normal"/>
        <w:rPr/>
      </w:pPr>
      <w:r>
        <w:rPr/>
        <w:t>In contrast, ECUR also includes the process of requesting, reserving units and  releasing and returning unused units. The deduction of the corresponding monetary units then occurs upon conclusion of the ECUR transaction. In this case, the credit control request is used to control the credit control session.</w:t>
      </w:r>
    </w:p>
    <w:p>
      <w:pPr>
        <w:pStyle w:val="Normal"/>
        <w:rPr/>
      </w:pPr>
      <w:r>
        <w:rPr/>
        <w:t xml:space="preserve">The GMLC may apply either IEC, where </w:t>
      </w:r>
      <w:r>
        <w:rPr>
          <w:lang w:val="en-US" w:eastAsia="en-US"/>
        </w:rPr>
        <w:t>Debit / Reserve Units Request[</w:t>
      </w:r>
      <w:r>
        <w:rPr/>
        <w:t xml:space="preserve"> </w:t>
      </w:r>
      <w:r>
        <w:rPr>
          <w:caps/>
        </w:rPr>
        <w:t>e</w:t>
      </w:r>
      <w:r>
        <w:rPr/>
        <w:t xml:space="preserve">vent] messages are generated, or ECUR, using </w:t>
      </w:r>
      <w:r>
        <w:rPr>
          <w:lang w:val="en-US" w:eastAsia="en-US"/>
        </w:rPr>
        <w:t>Debit / Reserve Units</w:t>
      </w:r>
      <w:r>
        <w:rPr/>
        <w:t xml:space="preserve">  Request[ Initial, Update and Termina e]t. The decision whether to apply IEC or ECUR is based on the service and/or operator's policy.</w:t>
      </w:r>
    </w:p>
    <w:p>
      <w:pPr>
        <w:pStyle w:val="Heading3"/>
        <w:rPr/>
      </w:pPr>
      <w:bookmarkStart w:id="57" w:name="__RefHeading___Toc399247554"/>
      <w:bookmarkEnd w:id="57"/>
      <w:r>
        <w:rPr/>
        <w:t>5.3.2</w:t>
        <w:tab/>
        <w:t>R</w:t>
      </w:r>
      <w:r>
        <w:rPr>
          <w:szCs w:val="28"/>
        </w:rPr>
        <w:t>o</w:t>
      </w:r>
      <w:r>
        <w:rPr/>
        <w:t xml:space="preserve"> message flows</w:t>
      </w:r>
    </w:p>
    <w:p>
      <w:pPr>
        <w:pStyle w:val="Heading4"/>
        <w:ind w:left="1418" w:hanging="1418"/>
        <w:rPr/>
      </w:pPr>
      <w:bookmarkStart w:id="58" w:name="__RefHeading___Toc399247555"/>
      <w:bookmarkEnd w:id="58"/>
      <w:r>
        <w:rPr/>
        <w:t>5.3.2.0</w:t>
        <w:tab/>
        <w:t>General</w:t>
      </w:r>
    </w:p>
    <w:p>
      <w:pPr>
        <w:pStyle w:val="Normal"/>
        <w:keepNext w:val="true"/>
        <w:rPr/>
      </w:pPr>
      <w:r>
        <w:rPr/>
        <w:t xml:space="preserve">The message flows described in the present document specify the charging communications between the GMLC and the Online Charging System (OCS) for different charging scenarios. The LCS messages associated with these charging scenarios are shown primarily for general information and to illustrate the charging triggers that are also used for LCS offline charging. </w:t>
      </w:r>
    </w:p>
    <w:p>
      <w:pPr>
        <w:pStyle w:val="Heading4"/>
        <w:ind w:left="1418" w:hanging="1418"/>
        <w:rPr/>
      </w:pPr>
      <w:bookmarkStart w:id="59" w:name="__RefHeading___Toc399247556"/>
      <w:bookmarkEnd w:id="59"/>
      <w:r>
        <w:rPr/>
        <w:t>5.3.2.1</w:t>
        <w:tab/>
        <w:t>Mobile Originated Location Request (MO-LR)</w:t>
      </w:r>
    </w:p>
    <w:p>
      <w:pPr>
        <w:pStyle w:val="Normal"/>
        <w:keepNext w:val="true"/>
        <w:rPr/>
      </w:pPr>
      <w:r>
        <w:rPr/>
        <w:t xml:space="preserve">Figure 5.3.2.1.1 shows the Debit Units operation that are required between GMLC and OCS during the MO-LR. In this scenario the UE is the party to charge for the Location Request. </w:t>
      </w:r>
    </w:p>
    <w:p>
      <w:pPr>
        <w:pStyle w:val="TH"/>
        <w:rPr/>
      </w:pPr>
      <w:r>
        <w:rPr/>
        <w:object w:dxaOrig="11497" w:dyaOrig="5412">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47.8pt;height:211.05pt" filled="f" o:ole="">
            <v:imagedata r:id="rId19" o:title=""/>
          </v:shape>
          <o:OLEObject Type="Embed" ProgID="" ShapeID="ole_rId18" DrawAspect="Content" ObjectID="_1194696855" r:id="rId18"/>
        </w:object>
      </w:r>
    </w:p>
    <w:p>
      <w:pPr>
        <w:pStyle w:val="TF"/>
        <w:rPr/>
      </w:pPr>
      <w:r>
        <w:rPr/>
        <w:t>Figure 5.3.2.1.1: LCS online charging scenario for MO-LR</w:t>
      </w:r>
    </w:p>
    <w:p>
      <w:pPr>
        <w:pStyle w:val="Normal"/>
        <w:rPr/>
      </w:pPr>
      <w:r>
        <w:rPr/>
      </w:r>
    </w:p>
    <w:p>
      <w:pPr>
        <w:pStyle w:val="Heading4"/>
        <w:ind w:left="1418" w:hanging="1418"/>
        <w:rPr/>
      </w:pPr>
      <w:bookmarkStart w:id="60" w:name="__RefHeading___Toc399247557"/>
      <w:bookmarkEnd w:id="60"/>
      <w:r>
        <w:rPr/>
        <w:t>5.3.2.2</w:t>
        <w:tab/>
        <w:t>Mobile Terminated Location Request (MT-LR)</w:t>
      </w:r>
    </w:p>
    <w:p>
      <w:pPr>
        <w:pStyle w:val="Normal"/>
        <w:keepNext w:val="true"/>
        <w:rPr/>
      </w:pPr>
      <w:r>
        <w:rPr/>
        <w:t xml:space="preserve">Figure 5.3.2.2.1 shows the Debit Units operation that are required between GMLC and OCS during the MT-LR .  </w:t>
      </w:r>
    </w:p>
    <w:p>
      <w:pPr>
        <w:pStyle w:val="TH"/>
        <w:rPr/>
      </w:pPr>
      <w:r>
        <w:rPr/>
        <w:object w:dxaOrig="17662" w:dyaOrig="9296">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687.9pt;height:362.5pt" filled="f" o:ole="">
            <v:imagedata r:id="rId21" o:title=""/>
          </v:shape>
          <o:OLEObject Type="Embed" ProgID="" ShapeID="ole_rId20" DrawAspect="Content" ObjectID="_2018817077" r:id="rId20"/>
        </w:object>
      </w:r>
    </w:p>
    <w:p>
      <w:pPr>
        <w:pStyle w:val="TF"/>
        <w:rPr/>
      </w:pPr>
      <w:r>
        <w:rPr/>
        <w:t>Figure 5.3.2.2.1: LCS online charging scenario for MT-LR</w:t>
      </w:r>
    </w:p>
    <w:p>
      <w:pPr>
        <w:pStyle w:val="Normal"/>
        <w:rPr/>
      </w:pPr>
      <w:r>
        <w:rPr/>
      </w:r>
      <w:r>
        <w:br w:type="page"/>
      </w:r>
    </w:p>
    <w:p>
      <w:pPr>
        <w:pStyle w:val="Heading1"/>
        <w:ind w:left="1134" w:hanging="1134"/>
        <w:rPr/>
      </w:pPr>
      <w:bookmarkStart w:id="61" w:name="__RefHeading___Toc399247558"/>
      <w:bookmarkEnd w:id="61"/>
      <w:r>
        <w:rPr/>
        <w:t>6</w:t>
        <w:tab/>
        <w:t>Definition of charging information</w:t>
      </w:r>
    </w:p>
    <w:p>
      <w:pPr>
        <w:pStyle w:val="Heading2"/>
        <w:rPr/>
      </w:pPr>
      <w:bookmarkStart w:id="62" w:name="__RefHeading___Toc399247559"/>
      <w:bookmarkEnd w:id="62"/>
      <w:r>
        <w:rPr/>
        <w:t>6.0</w:t>
        <w:tab/>
        <w:t>General</w:t>
      </w:r>
    </w:p>
    <w:p>
      <w:pPr>
        <w:pStyle w:val="Normal"/>
        <w:keepNext w:val="true"/>
        <w:keepLines/>
        <w:rPr/>
      </w:pPr>
      <w:r>
        <w:rPr/>
        <w:t>This clause provides Stage 3 specifications of the CDR type and content in line with the CDR type definitions provided in clause 5.2.3 and Diameter Credit-Control messages for LCS</w:t>
      </w:r>
    </w:p>
    <w:p>
      <w:pPr>
        <w:pStyle w:val="Heading2"/>
        <w:rPr/>
      </w:pPr>
      <w:bookmarkStart w:id="63" w:name="__RefHeading___Toc399247560"/>
      <w:bookmarkEnd w:id="63"/>
      <w:r>
        <w:rPr/>
        <w:t>6.1</w:t>
        <w:tab/>
        <w:t>Data description for LCS offline charging</w:t>
      </w:r>
    </w:p>
    <w:p>
      <w:pPr>
        <w:pStyle w:val="Heading3"/>
        <w:rPr/>
      </w:pPr>
      <w:bookmarkStart w:id="64" w:name="__RefHeading___Toc399247561"/>
      <w:bookmarkEnd w:id="64"/>
      <w:r>
        <w:rPr/>
        <w:t>6.1.0</w:t>
        <w:tab/>
        <w:t>Introduction</w:t>
      </w:r>
    </w:p>
    <w:p>
      <w:pPr>
        <w:pStyle w:val="Normal"/>
        <w:rPr/>
      </w:pPr>
      <w:r>
        <w:rPr/>
        <w:t>Dedicated types of CDRs can be generated for LCS by the GMLC. The content of each CDR type is defined in one of the tables that are part of this clause. For each CDR type the parameter definition includes the parameter name, description and category.</w:t>
      </w:r>
    </w:p>
    <w:p>
      <w:pPr>
        <w:pStyle w:val="Normal"/>
        <w:rPr/>
      </w:pPr>
      <w:r>
        <w:rPr/>
        <w:t>The GMLC's CGF shall be able to provide the CDRs at the Billing System interface in the format and encoding described in the present document. In LCS, both fully qualified partial CDRs (FQPC) and reduced partial CDRs (RPC), as specified in TS 32.240 [1] may be supported on the Bl interface. In line with TS 32.240 [1], the support of FQPCs is mandatory, the support of RPCs is optional.</w:t>
      </w:r>
    </w:p>
    <w:p>
      <w:pPr>
        <w:pStyle w:val="Heading3"/>
        <w:rPr/>
      </w:pPr>
      <w:bookmarkStart w:id="65" w:name="__RefHeading___Toc399247562"/>
      <w:r>
        <w:rPr/>
        <w:t>6.1.1</w:t>
        <w:tab/>
        <w:t>R</w:t>
      </w:r>
      <w:r>
        <w:rPr>
          <w:szCs w:val="28"/>
          <w:lang w:eastAsia="zh-CN"/>
        </w:rPr>
        <w:t>f</w:t>
      </w:r>
      <w:r>
        <w:rPr/>
        <w:t xml:space="preserve"> message contents</w:t>
      </w:r>
      <w:bookmarkEnd w:id="65"/>
      <w:r>
        <w:rPr/>
        <w:t xml:space="preserve"> </w:t>
      </w:r>
    </w:p>
    <w:p>
      <w:pPr>
        <w:pStyle w:val="Normal"/>
        <w:rPr/>
      </w:pPr>
      <w:r>
        <w:rPr/>
        <w:t>Not applicable. Refer to clause 5.2.2 for further information.</w:t>
      </w:r>
    </w:p>
    <w:p>
      <w:pPr>
        <w:pStyle w:val="Heading3"/>
        <w:rPr/>
      </w:pPr>
      <w:bookmarkStart w:id="66" w:name="__RefHeading___Toc399247563"/>
      <w:bookmarkEnd w:id="66"/>
      <w:r>
        <w:rPr/>
        <w:t>6.1.2</w:t>
        <w:tab/>
        <w:t>Ga message contents</w:t>
      </w:r>
    </w:p>
    <w:p>
      <w:pPr>
        <w:pStyle w:val="Normal"/>
        <w:rPr/>
      </w:pPr>
      <w:r>
        <w:rPr/>
        <w:t>Not applicable. Refer to clause 5.2.3 for further information.</w:t>
      </w:r>
    </w:p>
    <w:p>
      <w:pPr>
        <w:pStyle w:val="Heading3"/>
        <w:rPr/>
      </w:pPr>
      <w:bookmarkStart w:id="67" w:name="__RefHeading___Toc399247564"/>
      <w:bookmarkEnd w:id="67"/>
      <w:r>
        <w:rPr/>
        <w:t>6.1.3</w:t>
        <w:tab/>
        <w:t>CDR description on the B</w:t>
      </w:r>
      <w:r>
        <w:rPr>
          <w:szCs w:val="28"/>
          <w:vertAlign w:val="subscript"/>
        </w:rPr>
        <w:t>L</w:t>
      </w:r>
      <w:r>
        <w:rPr/>
        <w:t xml:space="preserve"> interface</w:t>
      </w:r>
    </w:p>
    <w:p>
      <w:pPr>
        <w:pStyle w:val="Heading4"/>
        <w:ind w:left="1418" w:hanging="1418"/>
        <w:rPr/>
      </w:pPr>
      <w:bookmarkStart w:id="68" w:name="__RefHeading___Toc399247565"/>
      <w:bookmarkEnd w:id="68"/>
      <w:r>
        <w:rPr/>
        <w:t>6.1.3.0</w:t>
        <w:tab/>
        <w:t>Introduction</w:t>
      </w:r>
    </w:p>
    <w:p>
      <w:pPr>
        <w:pStyle w:val="Normal"/>
        <w:rPr/>
      </w:pPr>
      <w:r>
        <w:rPr/>
        <w:t>This clause provides stage 3 specifications of the CDR type and content for the 3GPP LCS domain. For each of the CDR types, a parameter table, which gives a short description of the parameters, is provided. T</w:t>
      </w:r>
      <w:r>
        <w:rPr>
          <w:lang w:bidi="ar-IQ"/>
        </w:rPr>
        <w:t>he c</w:t>
      </w:r>
      <w:r>
        <w:rPr/>
        <w:t>ategory in the tables are used according to the charging data configuration defined in clause 5.4 of TS 32.240 [1]</w:t>
        <w:br/>
        <w:t>The detailed specification of the CDR parameters and their encoding is contained in TS 32.298 [51], while TS 32.297 [52] specify the details of the CDR file transfer to the BD.</w:t>
      </w:r>
    </w:p>
    <w:p>
      <w:pPr>
        <w:pStyle w:val="Heading4"/>
        <w:ind w:left="1418" w:hanging="1418"/>
        <w:rPr/>
      </w:pPr>
      <w:bookmarkStart w:id="69" w:name="__RefHeading___Toc399247566"/>
      <w:bookmarkEnd w:id="69"/>
      <w:r>
        <w:rPr/>
        <w:t>6.1.3.1</w:t>
        <w:tab/>
        <w:t>LCS records for Mobile Originated Location Request (LCS</w:t>
        <w:noBreakHyphen/>
        <w:t>GMO</w:t>
        <w:noBreakHyphen/>
        <w:t>CDR)</w:t>
      </w:r>
    </w:p>
    <w:p>
      <w:pPr>
        <w:pStyle w:val="Normal"/>
        <w:rPr/>
      </w:pPr>
      <w:r>
        <w:rPr/>
        <w:t xml:space="preserve">If enabled, a LCS GMLC Mobile Originated Charging Data Record (LCS-GMO-CDR) shall be produced for each MO-LR performed via the GMLC. </w:t>
        <w:br/>
        <w:t>The fields in the record are specified in table 6.1.3.1.1, which provides a brief description of each field.</w:t>
      </w:r>
    </w:p>
    <w:p>
      <w:pPr>
        <w:pStyle w:val="TH"/>
        <w:rPr/>
      </w:pPr>
      <w:r>
        <w:rPr/>
        <w:t>Table 6.1.3.1.1: LCS GMLC Mobile Originated CDR (LCS-GMO-CDR)</w:t>
      </w:r>
    </w:p>
    <w:tbl>
      <w:tblPr>
        <w:tblW w:w="5000" w:type="pct"/>
        <w:jc w:val="center"/>
        <w:tblInd w:w="0" w:type="dxa"/>
        <w:tblLayout w:type="fixed"/>
        <w:tblCellMar>
          <w:top w:w="0" w:type="dxa"/>
          <w:left w:w="28" w:type="dxa"/>
          <w:bottom w:w="0" w:type="dxa"/>
          <w:right w:w="28" w:type="dxa"/>
        </w:tblCellMar>
      </w:tblPr>
      <w:tblGrid>
        <w:gridCol w:w="2847"/>
        <w:gridCol w:w="846"/>
        <w:gridCol w:w="5945"/>
      </w:tblGrid>
      <w:tr>
        <w:trPr>
          <w:cantSplit w:val="true"/>
        </w:trPr>
        <w:tc>
          <w:tcPr>
            <w:tcW w:w="2847"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t>Field</w:t>
            </w:r>
          </w:p>
        </w:tc>
        <w:tc>
          <w:tcPr>
            <w:tcW w:w="846"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t>Category</w:t>
            </w:r>
          </w:p>
        </w:tc>
        <w:tc>
          <w:tcPr>
            <w:tcW w:w="5945"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t>Description</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Record Type</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LCS GMLC Mobile Originated Record</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Recording Entity</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The E.164 address of this GMLC</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LCS Client Type</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The type of the LCS client that invoked the LR, if available.</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LCS Client Identity</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Further identification of the LCS client, if available.</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Served IMSI</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The IMSI of the subscriber that requests the location.</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Served MSISDN</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The primary MSISDN of the subscriber that requests the location.</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Serving Entity</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 xml:space="preserve">The E.164 address of the serving MSC (in case of CS-MO-LR) or SGSN (in case of PS-MO-LR) </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Location Estimate</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szCs w:val="18"/>
                <w:vertAlign w:val="subscript"/>
              </w:rPr>
              <w:t>c</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The location estimate for the subscriber if contained in geographic position and the LR was successful.</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Positioning Data</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The positioning method used or attempted, if available.</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User Error</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The Location Service type of error if any failure happened</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Provider Error</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szCs w:val="18"/>
                <w:vertAlign w:val="subscript"/>
              </w:rPr>
              <w:t>c</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The protocol related type of error if any failure happened</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Record Time Stamp</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rFonts w:eastAsia="Arial"/>
              </w:rPr>
              <w:t xml:space="preserve"> </w:t>
            </w:r>
            <w:r>
              <w:rPr/>
              <w:t>O</w:t>
            </w:r>
            <w:r>
              <w:rPr>
                <w:b/>
                <w:vertAlign w:val="subscript"/>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Time of generation of the CDR</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Local Record Sequence Number</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rFonts w:eastAsia="Arial"/>
              </w:rPr>
              <w:t xml:space="preserve"> </w:t>
            </w:r>
            <w:r>
              <w:rPr/>
              <w:t>O</w:t>
            </w:r>
            <w:r>
              <w:rPr>
                <w:b/>
                <w:vertAlign w:val="subscript"/>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Consecutive record number created by this node. The number is allocated sequentially including all CDR types.</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Record extensions</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szCs w:val="18"/>
                <w:vertAlign w:val="subscript"/>
              </w:rPr>
              <w:t>c</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A set of network/manufacturer specific extensions to the record. Conditioned upon the existence of an extension.</w:t>
            </w:r>
          </w:p>
        </w:tc>
      </w:tr>
    </w:tbl>
    <w:p>
      <w:pPr>
        <w:pStyle w:val="Normal"/>
        <w:rPr/>
      </w:pPr>
      <w:r>
        <w:rPr/>
      </w:r>
    </w:p>
    <w:p>
      <w:pPr>
        <w:pStyle w:val="Heading3"/>
        <w:rPr>
          <w:sz w:val="24"/>
        </w:rPr>
      </w:pPr>
      <w:bookmarkStart w:id="70" w:name="__RefHeading___Toc399247567"/>
      <w:bookmarkEnd w:id="70"/>
      <w:r>
        <w:rPr>
          <w:sz w:val="24"/>
        </w:rPr>
        <w:t>6.1.3.2</w:t>
        <w:tab/>
        <w:t>LCS records for Mobile Terminated Location Request (MT-LR)</w:t>
      </w:r>
    </w:p>
    <w:p>
      <w:pPr>
        <w:pStyle w:val="Heading4"/>
        <w:ind w:left="1418" w:hanging="1418"/>
        <w:rPr/>
      </w:pPr>
      <w:bookmarkStart w:id="71" w:name="__RefHeading___Toc399247568"/>
      <w:bookmarkEnd w:id="71"/>
      <w:r>
        <w:rPr/>
        <w:t>6.1.3.2.1</w:t>
        <w:tab/>
        <w:t>LCS records for Requesting GMLC (LCS-RGMT-CDR)</w:t>
      </w:r>
    </w:p>
    <w:p>
      <w:pPr>
        <w:pStyle w:val="Normal"/>
        <w:keepNext w:val="true"/>
        <w:rPr/>
      </w:pPr>
      <w:r>
        <w:rPr/>
        <w:t xml:space="preserve">If enabled, a LCS Requesting GMLC Mobile Terminated Charging Data Record (LCS-RGMT-CDR) shall be produced for each MT-LR is performed via the R-GMLC. </w:t>
        <w:br/>
        <w:t>The fields in the record are specified in table 6.1.3.2.1.1, which provides a brief description of each field.</w:t>
      </w:r>
    </w:p>
    <w:p>
      <w:pPr>
        <w:pStyle w:val="TH"/>
        <w:rPr/>
      </w:pPr>
      <w:r>
        <w:rPr/>
        <w:t>Table 6.1.3.2.1.1: LCS Requesting GMLC Mobile Terminated CDR (LCS-RGMT-CDR)</w:t>
      </w:r>
    </w:p>
    <w:tbl>
      <w:tblPr>
        <w:tblW w:w="5000" w:type="pct"/>
        <w:jc w:val="center"/>
        <w:tblInd w:w="0" w:type="dxa"/>
        <w:tblLayout w:type="fixed"/>
        <w:tblCellMar>
          <w:top w:w="0" w:type="dxa"/>
          <w:left w:w="28" w:type="dxa"/>
          <w:bottom w:w="0" w:type="dxa"/>
          <w:right w:w="28" w:type="dxa"/>
        </w:tblCellMar>
      </w:tblPr>
      <w:tblGrid>
        <w:gridCol w:w="2847"/>
        <w:gridCol w:w="846"/>
        <w:gridCol w:w="5945"/>
      </w:tblGrid>
      <w:tr>
        <w:trPr>
          <w:cantSplit w:val="true"/>
        </w:trPr>
        <w:tc>
          <w:tcPr>
            <w:tcW w:w="2847"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t>Field</w:t>
            </w:r>
          </w:p>
        </w:tc>
        <w:tc>
          <w:tcPr>
            <w:tcW w:w="846"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t>Category</w:t>
            </w:r>
          </w:p>
        </w:tc>
        <w:tc>
          <w:tcPr>
            <w:tcW w:w="5945"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t>Description</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Record Type</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LCS Requesting GMLC Mobile Terminated Record</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Recording Entity</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The E.164 address of this GMLC</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Home GMLC Identity</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If available, the IP address of the HGMLC involved in the location request</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LCS Client Type</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The type of the LCS client that invoked the LR, if available.</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LCS Client Identity</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Further identification of the LCS client, if available.</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Target IMSI</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The IMSI of the targeted LCS subscriber</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Target MSISDN</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The primary MSISDN of the targeted subscriber.</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Location Type</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The type of location information being requested.</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LCS Priority</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Priority of the LR, if available</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Result Code</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 xml:space="preserve">The result code that indicate the result of the request or individual positioning </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Record Time Stamp</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Time of generation of the CDR</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Local Record Sequence Number</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Consecutive record number created by this node. The number is allocated sequentially including all CDR types.</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Record extensions</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szCs w:val="18"/>
                <w:vertAlign w:val="subscript"/>
              </w:rPr>
              <w:t>c</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A set of network/manufacturer specific extensions to the record. Conditioned upon the existence of an extension.</w:t>
            </w:r>
          </w:p>
        </w:tc>
      </w:tr>
    </w:tbl>
    <w:p>
      <w:pPr>
        <w:pStyle w:val="Normal"/>
        <w:rPr/>
      </w:pPr>
      <w:r>
        <w:rPr/>
      </w:r>
    </w:p>
    <w:p>
      <w:pPr>
        <w:pStyle w:val="Heading4"/>
        <w:ind w:left="1418" w:hanging="1418"/>
        <w:rPr/>
      </w:pPr>
      <w:bookmarkStart w:id="72" w:name="__RefHeading___Toc399247569"/>
      <w:bookmarkEnd w:id="72"/>
      <w:r>
        <w:rPr/>
        <w:t>6.1.3.2.2</w:t>
        <w:tab/>
        <w:t>LCS records for Home GMLC (LCS-HGMT-CDR)</w:t>
      </w:r>
    </w:p>
    <w:p>
      <w:pPr>
        <w:pStyle w:val="Normal"/>
        <w:keepNext w:val="true"/>
        <w:rPr/>
      </w:pPr>
      <w:r>
        <w:rPr/>
        <w:t xml:space="preserve">If enabled, a LCS Home GMLC Mobile Terminated Charging Data Record (LCS-HGMT-CDR) shall be produced for each MT-LR is performed via the H-GMLC. </w:t>
        <w:br/>
        <w:t>The fields in the record are specified in table 6.1.3.2.2.1, which provides a brief description of each field.</w:t>
      </w:r>
    </w:p>
    <w:p>
      <w:pPr>
        <w:pStyle w:val="TH"/>
        <w:rPr/>
      </w:pPr>
      <w:r>
        <w:rPr/>
        <w:t>Table 6.1.3.2.2.1: LCS Home GMLC Mobile Terminated CDR (LCS-HGMT-CDR)</w:t>
      </w:r>
    </w:p>
    <w:tbl>
      <w:tblPr>
        <w:tblW w:w="5000" w:type="pct"/>
        <w:jc w:val="center"/>
        <w:tblInd w:w="0" w:type="dxa"/>
        <w:tblLayout w:type="fixed"/>
        <w:tblCellMar>
          <w:top w:w="0" w:type="dxa"/>
          <w:left w:w="28" w:type="dxa"/>
          <w:bottom w:w="0" w:type="dxa"/>
          <w:right w:w="28" w:type="dxa"/>
        </w:tblCellMar>
      </w:tblPr>
      <w:tblGrid>
        <w:gridCol w:w="2705"/>
        <w:gridCol w:w="986"/>
        <w:gridCol w:w="5947"/>
      </w:tblGrid>
      <w:tr>
        <w:trPr>
          <w:cantSplit w:val="true"/>
        </w:trPr>
        <w:tc>
          <w:tcPr>
            <w:tcW w:w="2705"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t>Field</w:t>
            </w:r>
          </w:p>
        </w:tc>
        <w:tc>
          <w:tcPr>
            <w:tcW w:w="986"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t>Category</w:t>
            </w:r>
          </w:p>
        </w:tc>
        <w:tc>
          <w:tcPr>
            <w:tcW w:w="5947"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t>Description</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Record Type</w:t>
            </w:r>
          </w:p>
        </w:tc>
        <w:tc>
          <w:tcPr>
            <w:tcW w:w="98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5947" w:type="dxa"/>
            <w:tcBorders>
              <w:top w:val="single" w:sz="6" w:space="0" w:color="000000"/>
              <w:left w:val="single" w:sz="6" w:space="0" w:color="000000"/>
              <w:bottom w:val="single" w:sz="6" w:space="0" w:color="000000"/>
              <w:right w:val="single" w:sz="6" w:space="0" w:color="000000"/>
            </w:tcBorders>
          </w:tcPr>
          <w:p>
            <w:pPr>
              <w:pStyle w:val="TAL"/>
              <w:rPr/>
            </w:pPr>
            <w:r>
              <w:rPr/>
              <w:t>LCS Home GMLC Mobile Terminated Record</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Recording Entity</w:t>
            </w:r>
          </w:p>
        </w:tc>
        <w:tc>
          <w:tcPr>
            <w:tcW w:w="98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5947" w:type="dxa"/>
            <w:tcBorders>
              <w:top w:val="single" w:sz="6" w:space="0" w:color="000000"/>
              <w:left w:val="single" w:sz="6" w:space="0" w:color="000000"/>
              <w:bottom w:val="single" w:sz="6" w:space="0" w:color="000000"/>
              <w:right w:val="single" w:sz="6" w:space="0" w:color="000000"/>
            </w:tcBorders>
          </w:tcPr>
          <w:p>
            <w:pPr>
              <w:pStyle w:val="TAL"/>
              <w:rPr/>
            </w:pPr>
            <w:r>
              <w:rPr/>
              <w:t>The E.164 address of this GMLC</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Requesting GMLC Identity</w:t>
            </w:r>
          </w:p>
        </w:tc>
        <w:tc>
          <w:tcPr>
            <w:tcW w:w="98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947" w:type="dxa"/>
            <w:tcBorders>
              <w:top w:val="single" w:sz="6" w:space="0" w:color="000000"/>
              <w:left w:val="single" w:sz="6" w:space="0" w:color="000000"/>
              <w:bottom w:val="single" w:sz="6" w:space="0" w:color="000000"/>
              <w:right w:val="single" w:sz="6" w:space="0" w:color="000000"/>
            </w:tcBorders>
          </w:tcPr>
          <w:p>
            <w:pPr>
              <w:pStyle w:val="TAL"/>
              <w:rPr/>
            </w:pPr>
            <w:r>
              <w:rPr/>
              <w:t>If available, the IP address of the RGMLC involved in the location request</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Visited GMLC Identity</w:t>
            </w:r>
          </w:p>
        </w:tc>
        <w:tc>
          <w:tcPr>
            <w:tcW w:w="98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947" w:type="dxa"/>
            <w:tcBorders>
              <w:top w:val="single" w:sz="6" w:space="0" w:color="000000"/>
              <w:left w:val="single" w:sz="6" w:space="0" w:color="000000"/>
              <w:bottom w:val="single" w:sz="6" w:space="0" w:color="000000"/>
              <w:right w:val="single" w:sz="6" w:space="0" w:color="000000"/>
            </w:tcBorders>
          </w:tcPr>
          <w:p>
            <w:pPr>
              <w:pStyle w:val="TAL"/>
              <w:rPr/>
            </w:pPr>
            <w:r>
              <w:rPr/>
              <w:t>If available, the IP address of the VGMLC involved in the location request</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Serving Network Identity</w:t>
            </w:r>
          </w:p>
        </w:tc>
        <w:tc>
          <w:tcPr>
            <w:tcW w:w="98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c</w:t>
            </w:r>
          </w:p>
        </w:tc>
        <w:tc>
          <w:tcPr>
            <w:tcW w:w="5947" w:type="dxa"/>
            <w:tcBorders>
              <w:top w:val="single" w:sz="6" w:space="0" w:color="000000"/>
              <w:left w:val="single" w:sz="6" w:space="0" w:color="000000"/>
              <w:bottom w:val="single" w:sz="6" w:space="0" w:color="000000"/>
              <w:right w:val="single" w:sz="6" w:space="0" w:color="000000"/>
            </w:tcBorders>
          </w:tcPr>
          <w:p>
            <w:pPr>
              <w:pStyle w:val="TAL"/>
              <w:rPr/>
            </w:pPr>
            <w:r>
              <w:rPr/>
              <w:t>MCC and MNC of the serving network used during this record, if available.</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LCS Client Type</w:t>
            </w:r>
          </w:p>
        </w:tc>
        <w:tc>
          <w:tcPr>
            <w:tcW w:w="98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947" w:type="dxa"/>
            <w:tcBorders>
              <w:top w:val="single" w:sz="6" w:space="0" w:color="000000"/>
              <w:left w:val="single" w:sz="6" w:space="0" w:color="000000"/>
              <w:bottom w:val="single" w:sz="6" w:space="0" w:color="000000"/>
              <w:right w:val="single" w:sz="6" w:space="0" w:color="000000"/>
            </w:tcBorders>
          </w:tcPr>
          <w:p>
            <w:pPr>
              <w:pStyle w:val="TAL"/>
              <w:rPr/>
            </w:pPr>
            <w:r>
              <w:rPr/>
              <w:t>The type of the LCS client that invoked the LR, if available.</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LCS Client Identity</w:t>
            </w:r>
          </w:p>
        </w:tc>
        <w:tc>
          <w:tcPr>
            <w:tcW w:w="98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947" w:type="dxa"/>
            <w:tcBorders>
              <w:top w:val="single" w:sz="6" w:space="0" w:color="000000"/>
              <w:left w:val="single" w:sz="6" w:space="0" w:color="000000"/>
              <w:bottom w:val="single" w:sz="6" w:space="0" w:color="000000"/>
              <w:right w:val="single" w:sz="6" w:space="0" w:color="000000"/>
            </w:tcBorders>
          </w:tcPr>
          <w:p>
            <w:pPr>
              <w:pStyle w:val="TAL"/>
              <w:rPr/>
            </w:pPr>
            <w:r>
              <w:rPr/>
              <w:t>Further identification of the LCS client, if available.</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Target IMSI</w:t>
            </w:r>
          </w:p>
        </w:tc>
        <w:tc>
          <w:tcPr>
            <w:tcW w:w="98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5947" w:type="dxa"/>
            <w:tcBorders>
              <w:top w:val="single" w:sz="6" w:space="0" w:color="000000"/>
              <w:left w:val="single" w:sz="6" w:space="0" w:color="000000"/>
              <w:bottom w:val="single" w:sz="6" w:space="0" w:color="000000"/>
              <w:right w:val="single" w:sz="6" w:space="0" w:color="000000"/>
            </w:tcBorders>
          </w:tcPr>
          <w:p>
            <w:pPr>
              <w:pStyle w:val="TAL"/>
              <w:rPr/>
            </w:pPr>
            <w:r>
              <w:rPr/>
              <w:t>The IMSI of the targeted LCS subscriber</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Target MSISDN</w:t>
            </w:r>
          </w:p>
        </w:tc>
        <w:tc>
          <w:tcPr>
            <w:tcW w:w="98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594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The primary MSISDN of the targeted subscriber.</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Location Type</w:t>
            </w:r>
          </w:p>
        </w:tc>
        <w:tc>
          <w:tcPr>
            <w:tcW w:w="98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5947" w:type="dxa"/>
            <w:tcBorders>
              <w:top w:val="single" w:sz="6" w:space="0" w:color="000000"/>
              <w:left w:val="single" w:sz="6" w:space="0" w:color="000000"/>
              <w:bottom w:val="single" w:sz="6" w:space="0" w:color="000000"/>
              <w:right w:val="single" w:sz="6" w:space="0" w:color="000000"/>
            </w:tcBorders>
          </w:tcPr>
          <w:p>
            <w:pPr>
              <w:pStyle w:val="TAL"/>
              <w:rPr/>
            </w:pPr>
            <w:r>
              <w:rPr/>
              <w:t>The type of location information being requested.</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LCS Priority</w:t>
            </w:r>
          </w:p>
        </w:tc>
        <w:tc>
          <w:tcPr>
            <w:tcW w:w="98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947" w:type="dxa"/>
            <w:tcBorders>
              <w:top w:val="single" w:sz="6" w:space="0" w:color="000000"/>
              <w:left w:val="single" w:sz="6" w:space="0" w:color="000000"/>
              <w:bottom w:val="single" w:sz="6" w:space="0" w:color="000000"/>
              <w:right w:val="single" w:sz="6" w:space="0" w:color="000000"/>
            </w:tcBorders>
          </w:tcPr>
          <w:p>
            <w:pPr>
              <w:pStyle w:val="TAL"/>
              <w:rPr/>
            </w:pPr>
            <w:r>
              <w:rPr/>
              <w:t>Priority of the LR, if available</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Result Code</w:t>
            </w:r>
          </w:p>
        </w:tc>
        <w:tc>
          <w:tcPr>
            <w:tcW w:w="98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5947" w:type="dxa"/>
            <w:tcBorders>
              <w:top w:val="single" w:sz="6" w:space="0" w:color="000000"/>
              <w:left w:val="single" w:sz="6" w:space="0" w:color="000000"/>
              <w:bottom w:val="single" w:sz="6" w:space="0" w:color="000000"/>
              <w:right w:val="single" w:sz="6" w:space="0" w:color="000000"/>
            </w:tcBorders>
          </w:tcPr>
          <w:p>
            <w:pPr>
              <w:pStyle w:val="TAL"/>
              <w:rPr/>
            </w:pPr>
            <w:r>
              <w:rPr/>
              <w:t xml:space="preserve">The result code that indicate the result of the request or individual positioning </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Record Time Stamp</w:t>
            </w:r>
          </w:p>
        </w:tc>
        <w:tc>
          <w:tcPr>
            <w:tcW w:w="98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5947" w:type="dxa"/>
            <w:tcBorders>
              <w:top w:val="single" w:sz="6" w:space="0" w:color="000000"/>
              <w:left w:val="single" w:sz="6" w:space="0" w:color="000000"/>
              <w:bottom w:val="single" w:sz="6" w:space="0" w:color="000000"/>
              <w:right w:val="single" w:sz="6" w:space="0" w:color="000000"/>
            </w:tcBorders>
          </w:tcPr>
          <w:p>
            <w:pPr>
              <w:pStyle w:val="TAL"/>
              <w:rPr/>
            </w:pPr>
            <w:r>
              <w:rPr/>
              <w:t>Time of generation of the CDR</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Local Record Sequence Number</w:t>
            </w:r>
          </w:p>
        </w:tc>
        <w:tc>
          <w:tcPr>
            <w:tcW w:w="98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5947" w:type="dxa"/>
            <w:tcBorders>
              <w:top w:val="single" w:sz="6" w:space="0" w:color="000000"/>
              <w:left w:val="single" w:sz="6" w:space="0" w:color="000000"/>
              <w:bottom w:val="single" w:sz="6" w:space="0" w:color="000000"/>
              <w:right w:val="single" w:sz="6" w:space="0" w:color="000000"/>
            </w:tcBorders>
          </w:tcPr>
          <w:p>
            <w:pPr>
              <w:pStyle w:val="TAL"/>
              <w:rPr/>
            </w:pPr>
            <w:r>
              <w:rPr/>
              <w:t>Consecutive record number created by this node. The number is allocated sequentially including all CDR types.</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Record extensions</w:t>
            </w:r>
          </w:p>
        </w:tc>
        <w:tc>
          <w:tcPr>
            <w:tcW w:w="98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szCs w:val="18"/>
                <w:vertAlign w:val="subscript"/>
              </w:rPr>
              <w:t>c</w:t>
            </w:r>
          </w:p>
        </w:tc>
        <w:tc>
          <w:tcPr>
            <w:tcW w:w="5947" w:type="dxa"/>
            <w:tcBorders>
              <w:top w:val="single" w:sz="6" w:space="0" w:color="000000"/>
              <w:left w:val="single" w:sz="6" w:space="0" w:color="000000"/>
              <w:bottom w:val="single" w:sz="6" w:space="0" w:color="000000"/>
              <w:right w:val="single" w:sz="6" w:space="0" w:color="000000"/>
            </w:tcBorders>
          </w:tcPr>
          <w:p>
            <w:pPr>
              <w:pStyle w:val="TAL"/>
              <w:rPr/>
            </w:pPr>
            <w:r>
              <w:rPr/>
              <w:t>A set of network/manufacturer specific extensions to the record. Conditioned upon the existence of an extension.</w:t>
            </w:r>
          </w:p>
        </w:tc>
      </w:tr>
    </w:tbl>
    <w:p>
      <w:pPr>
        <w:pStyle w:val="Normal"/>
        <w:rPr/>
      </w:pPr>
      <w:r>
        <w:rPr/>
      </w:r>
    </w:p>
    <w:p>
      <w:pPr>
        <w:pStyle w:val="Heading4"/>
        <w:ind w:left="1418" w:hanging="1418"/>
        <w:rPr/>
      </w:pPr>
      <w:bookmarkStart w:id="73" w:name="__RefHeading___Toc399247570"/>
      <w:bookmarkEnd w:id="73"/>
      <w:r>
        <w:rPr/>
        <w:t>6.1.3.2.3</w:t>
        <w:tab/>
        <w:t>LCS records for Visited GMLC (LCS-VGMT-CDR)</w:t>
      </w:r>
    </w:p>
    <w:p>
      <w:pPr>
        <w:pStyle w:val="Normal"/>
        <w:keepNext w:val="true"/>
        <w:rPr/>
      </w:pPr>
      <w:r>
        <w:rPr/>
        <w:t xml:space="preserve">If enabled, a LCS Visited GMLC Mobile Terminated Charging Data Record (LCS-VGMT-CDR) shall be produced for each MT-LR is performed via the V-GMLC. </w:t>
        <w:br/>
        <w:t>The fields in the record are specified in table 6.1.3.2.3.1, which provides a brief description of each field.</w:t>
      </w:r>
    </w:p>
    <w:p>
      <w:pPr>
        <w:pStyle w:val="TH"/>
        <w:rPr/>
      </w:pPr>
      <w:r>
        <w:rPr/>
        <w:t>Table 6.1.3.2.3.1: LCS Visited GMLC Mobile Terminated CDR (LCS-VGMT-CDR)</w:t>
      </w:r>
    </w:p>
    <w:tbl>
      <w:tblPr>
        <w:tblW w:w="5000" w:type="pct"/>
        <w:jc w:val="center"/>
        <w:tblInd w:w="0" w:type="dxa"/>
        <w:tblLayout w:type="fixed"/>
        <w:tblCellMar>
          <w:top w:w="0" w:type="dxa"/>
          <w:left w:w="28" w:type="dxa"/>
          <w:bottom w:w="0" w:type="dxa"/>
          <w:right w:w="28" w:type="dxa"/>
        </w:tblCellMar>
      </w:tblPr>
      <w:tblGrid>
        <w:gridCol w:w="2705"/>
        <w:gridCol w:w="988"/>
        <w:gridCol w:w="5945"/>
      </w:tblGrid>
      <w:tr>
        <w:trPr>
          <w:cantSplit w:val="true"/>
        </w:trPr>
        <w:tc>
          <w:tcPr>
            <w:tcW w:w="2705"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t>Field</w:t>
            </w:r>
          </w:p>
        </w:tc>
        <w:tc>
          <w:tcPr>
            <w:tcW w:w="988"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t>Category</w:t>
            </w:r>
          </w:p>
        </w:tc>
        <w:tc>
          <w:tcPr>
            <w:tcW w:w="5945"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t>Description</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Record Type</w:t>
            </w:r>
          </w:p>
        </w:tc>
        <w:tc>
          <w:tcPr>
            <w:tcW w:w="988"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LCS Visited GMLC Mobile Terminated Record</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Recording Entity</w:t>
            </w:r>
          </w:p>
        </w:tc>
        <w:tc>
          <w:tcPr>
            <w:tcW w:w="988"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The E.164 address of this GMLC</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Home GMLC Identity</w:t>
            </w:r>
          </w:p>
        </w:tc>
        <w:tc>
          <w:tcPr>
            <w:tcW w:w="988"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If available, the IP address of the HGMLC involved in the location request</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LCS Client Type</w:t>
            </w:r>
          </w:p>
        </w:tc>
        <w:tc>
          <w:tcPr>
            <w:tcW w:w="988"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The type of the LCS client that invoked the LR, if available.</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LCS Client Identity</w:t>
            </w:r>
          </w:p>
        </w:tc>
        <w:tc>
          <w:tcPr>
            <w:tcW w:w="988"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Further identification of the LCS client, if available.</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Target IMSI</w:t>
            </w:r>
          </w:p>
        </w:tc>
        <w:tc>
          <w:tcPr>
            <w:tcW w:w="988"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The IMSI of the targeted LCS subscriber</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Target MSISDN</w:t>
            </w:r>
          </w:p>
        </w:tc>
        <w:tc>
          <w:tcPr>
            <w:tcW w:w="988"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The primary MSISDN of the targeted subscriber.</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Location Type</w:t>
            </w:r>
          </w:p>
        </w:tc>
        <w:tc>
          <w:tcPr>
            <w:tcW w:w="988"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The type of location information being requested.</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LCS Priority</w:t>
            </w:r>
          </w:p>
        </w:tc>
        <w:tc>
          <w:tcPr>
            <w:tcW w:w="988"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Priority of the LR, if available</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Result Code</w:t>
            </w:r>
          </w:p>
        </w:tc>
        <w:tc>
          <w:tcPr>
            <w:tcW w:w="988"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 xml:space="preserve">The result code that indicate the result of the request or individual positioning </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Record Time Stamp</w:t>
            </w:r>
          </w:p>
        </w:tc>
        <w:tc>
          <w:tcPr>
            <w:tcW w:w="988"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Time of generation of the CDR</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Local Record Sequence Number</w:t>
            </w:r>
          </w:p>
        </w:tc>
        <w:tc>
          <w:tcPr>
            <w:tcW w:w="988"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Consecutive record number created by this node. The number is allocated sequentially including all CDR types.</w:t>
            </w:r>
          </w:p>
        </w:tc>
      </w:tr>
      <w:tr>
        <w:trPr>
          <w:cantSplit w:val="true"/>
        </w:trPr>
        <w:tc>
          <w:tcPr>
            <w:tcW w:w="2705" w:type="dxa"/>
            <w:tcBorders>
              <w:top w:val="single" w:sz="6" w:space="0" w:color="000000"/>
              <w:left w:val="single" w:sz="6" w:space="0" w:color="000000"/>
              <w:bottom w:val="single" w:sz="6" w:space="0" w:color="000000"/>
              <w:right w:val="single" w:sz="6" w:space="0" w:color="000000"/>
            </w:tcBorders>
          </w:tcPr>
          <w:p>
            <w:pPr>
              <w:pStyle w:val="TAL"/>
              <w:rPr/>
            </w:pPr>
            <w:r>
              <w:rPr/>
              <w:t>Record extensions</w:t>
            </w:r>
          </w:p>
        </w:tc>
        <w:tc>
          <w:tcPr>
            <w:tcW w:w="988"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szCs w:val="18"/>
                <w:vertAlign w:val="subscript"/>
              </w:rPr>
              <w:t>c</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A set of network/manufacturer specific extensions to the record. Conditioned upon the existence of an extension.</w:t>
            </w:r>
          </w:p>
        </w:tc>
      </w:tr>
    </w:tbl>
    <w:p>
      <w:pPr>
        <w:pStyle w:val="Normal"/>
        <w:rPr/>
      </w:pPr>
      <w:r>
        <w:rPr/>
      </w:r>
    </w:p>
    <w:p>
      <w:pPr>
        <w:pStyle w:val="Heading4"/>
        <w:ind w:left="1418" w:hanging="1418"/>
        <w:rPr/>
      </w:pPr>
      <w:bookmarkStart w:id="74" w:name="__RefHeading___Toc399247571"/>
      <w:bookmarkEnd w:id="74"/>
      <w:r>
        <w:rPr/>
        <w:t>6.1.3.3</w:t>
        <w:tab/>
        <w:t>LCS Records for Network Initiated Location Request (LCS</w:t>
        <w:noBreakHyphen/>
        <w:t>GNI</w:t>
        <w:noBreakHyphen/>
        <w:t>CDR)</w:t>
      </w:r>
    </w:p>
    <w:p>
      <w:pPr>
        <w:pStyle w:val="Normal"/>
        <w:keepNext w:val="true"/>
        <w:rPr/>
      </w:pPr>
      <w:r>
        <w:rPr/>
        <w:t xml:space="preserve">If enabled, a LCS GMLC Network Induced Charging Data Record (LCS-GNI-CDR) shall be produced for each NI-LR performed via the GMLC. </w:t>
        <w:br/>
        <w:t>The fields in the record are specified in table 6.1.3.3.1, which provides a brief description of each field.</w:t>
      </w:r>
    </w:p>
    <w:p>
      <w:pPr>
        <w:pStyle w:val="TH"/>
        <w:rPr/>
      </w:pPr>
      <w:r>
        <w:rPr/>
        <w:t>Table 6.1.3.3.1: LCS GMLC Network Induced CDR (LCS-GNI-CDR)</w:t>
      </w:r>
    </w:p>
    <w:tbl>
      <w:tblPr>
        <w:tblW w:w="5000" w:type="pct"/>
        <w:jc w:val="center"/>
        <w:tblInd w:w="0" w:type="dxa"/>
        <w:tblLayout w:type="fixed"/>
        <w:tblCellMar>
          <w:top w:w="0" w:type="dxa"/>
          <w:left w:w="28" w:type="dxa"/>
          <w:bottom w:w="0" w:type="dxa"/>
          <w:right w:w="28" w:type="dxa"/>
        </w:tblCellMar>
      </w:tblPr>
      <w:tblGrid>
        <w:gridCol w:w="2847"/>
        <w:gridCol w:w="846"/>
        <w:gridCol w:w="5945"/>
      </w:tblGrid>
      <w:tr>
        <w:trPr>
          <w:cantSplit w:val="true"/>
        </w:trPr>
        <w:tc>
          <w:tcPr>
            <w:tcW w:w="2847"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t>Field</w:t>
            </w:r>
          </w:p>
        </w:tc>
        <w:tc>
          <w:tcPr>
            <w:tcW w:w="846"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t>Category</w:t>
            </w:r>
          </w:p>
        </w:tc>
        <w:tc>
          <w:tcPr>
            <w:tcW w:w="5945"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t>Description</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Record Type</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LCS GMLC Network Induced Record</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Recording Entity</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The E.164 address of this GMLC</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LCS Client Type</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The type of the LCS client that invoked the LR, if available.</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LCS Client Identity</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Further identification of the LCS client, if available.</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Served IMSI</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The IMSI of the subscriber that requests the location.</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Served MSISDN</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The primary MSISDN of the subscriber that requests the location.</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Serving Entity</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 xml:space="preserve">The E.164 address of the serving MSC (in case of CS-NI-LR) or SGSN (in case of PS-NI-LR) </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Result Code</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 xml:space="preserve">The result code that indicate the result of the request or individual positioning </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Record Time Stamp</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Time of generation of the CDR</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Local Record Sequence Number</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Consecutive record number created by this node. The number is allocated sequentially including all CDR types.</w:t>
            </w:r>
          </w:p>
        </w:tc>
      </w:tr>
      <w:tr>
        <w:trPr>
          <w:cantSplit w:val="true"/>
        </w:trPr>
        <w:tc>
          <w:tcPr>
            <w:tcW w:w="2847" w:type="dxa"/>
            <w:tcBorders>
              <w:top w:val="single" w:sz="6" w:space="0" w:color="000000"/>
              <w:left w:val="single" w:sz="6" w:space="0" w:color="000000"/>
              <w:bottom w:val="single" w:sz="6" w:space="0" w:color="000000"/>
              <w:right w:val="single" w:sz="6" w:space="0" w:color="000000"/>
            </w:tcBorders>
          </w:tcPr>
          <w:p>
            <w:pPr>
              <w:pStyle w:val="TAL"/>
              <w:rPr/>
            </w:pPr>
            <w:r>
              <w:rPr/>
              <w:t>Record extensions</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szCs w:val="18"/>
                <w:vertAlign w:val="subscript"/>
              </w:rPr>
              <w:t>c</w:t>
            </w:r>
          </w:p>
        </w:tc>
        <w:tc>
          <w:tcPr>
            <w:tcW w:w="5945" w:type="dxa"/>
            <w:tcBorders>
              <w:top w:val="single" w:sz="6" w:space="0" w:color="000000"/>
              <w:left w:val="single" w:sz="6" w:space="0" w:color="000000"/>
              <w:bottom w:val="single" w:sz="6" w:space="0" w:color="000000"/>
              <w:right w:val="single" w:sz="6" w:space="0" w:color="000000"/>
            </w:tcBorders>
          </w:tcPr>
          <w:p>
            <w:pPr>
              <w:pStyle w:val="TAL"/>
              <w:rPr/>
            </w:pPr>
            <w:r>
              <w:rPr/>
              <w:t>A set of network/manufacturer specific extensions to the record. Conditioned upon the existence of an extension.</w:t>
            </w:r>
          </w:p>
        </w:tc>
      </w:tr>
    </w:tbl>
    <w:p>
      <w:pPr>
        <w:pStyle w:val="Normal"/>
        <w:rPr/>
      </w:pPr>
      <w:r>
        <w:rPr/>
      </w:r>
      <w:r>
        <w:br w:type="page"/>
      </w:r>
    </w:p>
    <w:p>
      <w:pPr>
        <w:pStyle w:val="Heading2"/>
        <w:rPr/>
      </w:pPr>
      <w:bookmarkStart w:id="75" w:name="__RefHeading___Toc399247572"/>
      <w:bookmarkEnd w:id="75"/>
      <w:r>
        <w:rPr/>
        <w:t>6.2</w:t>
        <w:tab/>
        <w:t>Data description for LCS online charging</w:t>
      </w:r>
    </w:p>
    <w:p>
      <w:pPr>
        <w:pStyle w:val="Heading3"/>
        <w:rPr/>
      </w:pPr>
      <w:bookmarkStart w:id="76" w:name="__RefHeading___Toc399247573"/>
      <w:bookmarkEnd w:id="76"/>
      <w:r>
        <w:rPr/>
        <w:t>6.2.1</w:t>
        <w:tab/>
        <w:t>R</w:t>
      </w:r>
      <w:r>
        <w:rPr>
          <w:szCs w:val="28"/>
        </w:rPr>
        <w:t>o</w:t>
      </w:r>
      <w:r>
        <w:rPr/>
        <w:t xml:space="preserve"> message contents</w:t>
      </w:r>
    </w:p>
    <w:p>
      <w:pPr>
        <w:pStyle w:val="Heading4"/>
        <w:ind w:left="1418" w:hanging="1418"/>
        <w:rPr/>
      </w:pPr>
      <w:bookmarkStart w:id="77" w:name="__RefHeading___Toc399247574"/>
      <w:bookmarkEnd w:id="77"/>
      <w:r>
        <w:rPr/>
        <w:t>6.2.1.0</w:t>
        <w:tab/>
        <w:t>General</w:t>
      </w:r>
    </w:p>
    <w:p>
      <w:pPr>
        <w:pStyle w:val="Normal"/>
        <w:rPr/>
      </w:pPr>
      <w:r>
        <w:rPr/>
        <w:t xml:space="preserve">The </w:t>
      </w:r>
      <w:r>
        <w:rPr>
          <w:i/>
        </w:rPr>
        <w:t>Debit Units / Reserve Units</w:t>
      </w:r>
      <w:r>
        <w:rPr/>
        <w:t xml:space="preserve"> operation for the "interim interrogation" and "final interrogation" reports the actual number of "units" that were used, from what was previously reserved. This determines the actual amount debited from the subscriber's account.</w:t>
      </w:r>
    </w:p>
    <w:p>
      <w:pPr>
        <w:pStyle w:val="Normal"/>
        <w:rPr/>
      </w:pPr>
      <w:r>
        <w:rPr/>
        <w:t>Table 6.2.1.0.1 describes the use of these messages for online charging.</w:t>
      </w:r>
    </w:p>
    <w:p>
      <w:pPr>
        <w:pStyle w:val="TH"/>
        <w:numPr>
          <w:ilvl w:val="0"/>
          <w:numId w:val="0"/>
        </w:numPr>
        <w:outlineLvl w:val="0"/>
        <w:rPr/>
      </w:pPr>
      <w:r>
        <w:rPr/>
        <w:t>Table 6.2.1.0.1: Online charging messages reference table</w:t>
      </w:r>
    </w:p>
    <w:tbl>
      <w:tblPr>
        <w:tblW w:w="4372" w:type="dxa"/>
        <w:jc w:val="center"/>
        <w:tblInd w:w="0" w:type="dxa"/>
        <w:tblLayout w:type="fixed"/>
        <w:tblCellMar>
          <w:top w:w="0" w:type="dxa"/>
          <w:left w:w="28" w:type="dxa"/>
          <w:bottom w:w="0" w:type="dxa"/>
          <w:right w:w="28" w:type="dxa"/>
        </w:tblCellMar>
      </w:tblPr>
      <w:tblGrid>
        <w:gridCol w:w="2668"/>
        <w:gridCol w:w="667"/>
        <w:gridCol w:w="1037"/>
      </w:tblGrid>
      <w:tr>
        <w:trPr/>
        <w:tc>
          <w:tcPr>
            <w:tcW w:w="2668"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rPr>
            </w:pPr>
            <w:r>
              <w:rPr>
                <w:rFonts w:eastAsia="MS Mincho;ＭＳ 明朝"/>
              </w:rPr>
              <w:t>Message</w:t>
            </w:r>
          </w:p>
        </w:tc>
        <w:tc>
          <w:tcPr>
            <w:tcW w:w="667"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rPr>
            </w:pPr>
            <w:r>
              <w:rPr>
                <w:rFonts w:eastAsia="MS Mincho;ＭＳ 明朝"/>
              </w:rPr>
              <w:t>Source</w:t>
            </w:r>
          </w:p>
        </w:tc>
        <w:tc>
          <w:tcPr>
            <w:tcW w:w="1037"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rPr>
            </w:pPr>
            <w:r>
              <w:rPr>
                <w:rFonts w:eastAsia="MS Mincho;ＭＳ 明朝"/>
              </w:rPr>
              <w:t>Destination</w:t>
            </w:r>
          </w:p>
        </w:tc>
      </w:tr>
      <w:tr>
        <w:trPr/>
        <w:tc>
          <w:tcPr>
            <w:tcW w:w="2668" w:type="dxa"/>
            <w:tcBorders>
              <w:top w:val="single" w:sz="4" w:space="0" w:color="000000"/>
              <w:left w:val="single" w:sz="4" w:space="0" w:color="000000"/>
              <w:bottom w:val="single" w:sz="4" w:space="0" w:color="000000"/>
              <w:right w:val="single" w:sz="4" w:space="0" w:color="000000"/>
            </w:tcBorders>
          </w:tcPr>
          <w:p>
            <w:pPr>
              <w:pStyle w:val="TAL"/>
              <w:rPr>
                <w:i/>
                <w:i/>
              </w:rPr>
            </w:pPr>
            <w:r>
              <w:rPr>
                <w:i/>
              </w:rPr>
              <w:t>Debit / Reserve Units Request</w:t>
            </w:r>
          </w:p>
        </w:tc>
        <w:tc>
          <w:tcPr>
            <w:tcW w:w="6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GMLC</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OCS</w:t>
            </w:r>
          </w:p>
        </w:tc>
      </w:tr>
      <w:tr>
        <w:trPr/>
        <w:tc>
          <w:tcPr>
            <w:tcW w:w="2668" w:type="dxa"/>
            <w:tcBorders>
              <w:top w:val="single" w:sz="4" w:space="0" w:color="000000"/>
              <w:left w:val="single" w:sz="4" w:space="0" w:color="000000"/>
              <w:bottom w:val="single" w:sz="4" w:space="0" w:color="000000"/>
              <w:right w:val="single" w:sz="4" w:space="0" w:color="000000"/>
            </w:tcBorders>
          </w:tcPr>
          <w:p>
            <w:pPr>
              <w:pStyle w:val="TAL"/>
              <w:rPr/>
            </w:pPr>
            <w:r>
              <w:rPr>
                <w:i/>
              </w:rPr>
              <w:t>Debit  / Reserve Units Response</w:t>
            </w:r>
          </w:p>
        </w:tc>
        <w:tc>
          <w:tcPr>
            <w:tcW w:w="6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OCS</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GMLC</w:t>
            </w:r>
          </w:p>
        </w:tc>
      </w:tr>
    </w:tbl>
    <w:p>
      <w:pPr>
        <w:pStyle w:val="Normal"/>
        <w:rPr/>
      </w:pPr>
      <w:r>
        <w:rPr/>
      </w:r>
    </w:p>
    <w:p>
      <w:pPr>
        <w:pStyle w:val="Normal"/>
        <w:keepNext w:val="true"/>
        <w:rPr/>
      </w:pPr>
      <w:r>
        <w:rPr/>
        <w:t>This clause describes the different Information Elements (IE) used in the Debit / Reserve Units messages and the charging data configuration defined in clause 5.4 of TS 32.240 [1].</w:t>
      </w:r>
    </w:p>
    <w:p>
      <w:pPr>
        <w:pStyle w:val="Heading4"/>
        <w:ind w:left="1418" w:hanging="1418"/>
        <w:rPr/>
      </w:pPr>
      <w:bookmarkStart w:id="78" w:name="__RefHeading___Toc399247575"/>
      <w:bookmarkEnd w:id="78"/>
      <w:r>
        <w:rPr/>
        <w:t>6.2.1.1</w:t>
        <w:tab/>
      </w:r>
      <w:r>
        <w:rPr>
          <w:i/>
        </w:rPr>
        <w:t>Debit / Reserve Units Request</w:t>
      </w:r>
      <w:r>
        <w:rPr/>
        <w:t xml:space="preserve"> message</w:t>
      </w:r>
    </w:p>
    <w:p>
      <w:pPr>
        <w:pStyle w:val="Normal"/>
        <w:keepNext w:val="true"/>
        <w:rPr/>
      </w:pPr>
      <w:r>
        <w:rPr/>
        <w:t xml:space="preserve">Table 6.2.1.1.1 illustrates the basic structure of a </w:t>
      </w:r>
      <w:r>
        <w:rPr>
          <w:i/>
        </w:rPr>
        <w:t>Debit / Reserve Units Request</w:t>
      </w:r>
      <w:r>
        <w:rPr/>
        <w:t xml:space="preserve"> message from GMLC as used for LCS online charging.</w:t>
      </w:r>
    </w:p>
    <w:p>
      <w:pPr>
        <w:pStyle w:val="TH"/>
        <w:numPr>
          <w:ilvl w:val="0"/>
          <w:numId w:val="0"/>
        </w:numPr>
        <w:outlineLvl w:val="0"/>
        <w:rPr/>
      </w:pPr>
      <w:r>
        <w:rPr/>
        <w:t xml:space="preserve">Table 6.2.1.1.1: </w:t>
      </w:r>
      <w:r>
        <w:rPr>
          <w:i/>
        </w:rPr>
        <w:t>Debit / Reserve Units Request</w:t>
      </w:r>
      <w:r>
        <w:rPr>
          <w:rFonts w:eastAsia="MS Mincho;ＭＳ 明朝"/>
        </w:rPr>
        <w:t xml:space="preserve"> message contents for LCS</w:t>
      </w:r>
    </w:p>
    <w:tbl>
      <w:tblPr>
        <w:tblW w:w="5000" w:type="pct"/>
        <w:jc w:val="center"/>
        <w:tblInd w:w="0" w:type="dxa"/>
        <w:tblLayout w:type="fixed"/>
        <w:tblCellMar>
          <w:top w:w="0" w:type="dxa"/>
          <w:left w:w="28" w:type="dxa"/>
          <w:bottom w:w="0" w:type="dxa"/>
          <w:right w:w="107" w:type="dxa"/>
        </w:tblCellMar>
      </w:tblPr>
      <w:tblGrid>
        <w:gridCol w:w="2699"/>
        <w:gridCol w:w="1044"/>
        <w:gridCol w:w="5895"/>
      </w:tblGrid>
      <w:tr>
        <w:trPr>
          <w:tblHeader w:val="true"/>
          <w:cantSplit w:val="true"/>
        </w:trPr>
        <w:tc>
          <w:tcPr>
            <w:tcW w:w="269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Element</w:t>
            </w:r>
          </w:p>
        </w:tc>
        <w:tc>
          <w:tcPr>
            <w:tcW w:w="104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Category</w:t>
            </w:r>
          </w:p>
        </w:tc>
        <w:tc>
          <w:tcPr>
            <w:tcW w:w="589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269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color w:val="000000"/>
              </w:rPr>
              <w:t>Session Identifier</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sz w:val="16"/>
              </w:rPr>
              <w:t>M</w:t>
            </w:r>
          </w:p>
        </w:tc>
        <w:tc>
          <w:tcPr>
            <w:tcW w:w="589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 w:val="16"/>
                <w:szCs w:val="16"/>
              </w:rPr>
              <w:t>Described in TS 32.299 [50]</w:t>
            </w:r>
          </w:p>
        </w:tc>
      </w:tr>
      <w:tr>
        <w:trPr>
          <w:cantSplit w:val="true"/>
        </w:trPr>
        <w:tc>
          <w:tcPr>
            <w:tcW w:w="269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color w:val="000000"/>
              </w:rPr>
              <w:t>Originator Host</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sz w:val="16"/>
              </w:rPr>
              <w:t>M</w:t>
            </w:r>
          </w:p>
        </w:tc>
        <w:tc>
          <w:tcPr>
            <w:tcW w:w="589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 w:val="16"/>
                <w:szCs w:val="16"/>
              </w:rPr>
              <w:t>Described in TS 32.299 [50]</w:t>
            </w:r>
          </w:p>
        </w:tc>
      </w:tr>
      <w:tr>
        <w:trPr>
          <w:cantSplit w:val="true"/>
        </w:trPr>
        <w:tc>
          <w:tcPr>
            <w:tcW w:w="269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color w:val="000000"/>
              </w:rPr>
              <w:t>Originator Domain</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sz w:val="16"/>
              </w:rPr>
              <w:t>M</w:t>
            </w:r>
          </w:p>
        </w:tc>
        <w:tc>
          <w:tcPr>
            <w:tcW w:w="589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 w:val="16"/>
                <w:szCs w:val="16"/>
              </w:rPr>
              <w:t>Described in TS 32.299 [50]</w:t>
            </w:r>
          </w:p>
        </w:tc>
      </w:tr>
      <w:tr>
        <w:trPr>
          <w:cantSplit w:val="true"/>
        </w:trPr>
        <w:tc>
          <w:tcPr>
            <w:tcW w:w="269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color w:val="000000"/>
              </w:rPr>
              <w:t>Destination Domain</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sz w:val="16"/>
              </w:rPr>
              <w:t>M</w:t>
            </w:r>
          </w:p>
        </w:tc>
        <w:tc>
          <w:tcPr>
            <w:tcW w:w="589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 w:val="16"/>
                <w:szCs w:val="16"/>
              </w:rPr>
              <w:t>Described in TS 32.299 [50]</w:t>
            </w:r>
          </w:p>
        </w:tc>
      </w:tr>
      <w:tr>
        <w:trPr>
          <w:cantSplit w:val="true"/>
        </w:trPr>
        <w:tc>
          <w:tcPr>
            <w:tcW w:w="269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color w:val="000000"/>
              </w:rPr>
              <w:t>Operation Identifier</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sz w:val="16"/>
              </w:rPr>
              <w:t>M</w:t>
            </w:r>
          </w:p>
        </w:tc>
        <w:tc>
          <w:tcPr>
            <w:tcW w:w="589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 w:val="16"/>
                <w:szCs w:val="16"/>
              </w:rPr>
              <w:t>Described in TS 32.299 [50]</w:t>
            </w:r>
          </w:p>
        </w:tc>
      </w:tr>
      <w:tr>
        <w:trPr>
          <w:cantSplit w:val="true"/>
        </w:trPr>
        <w:tc>
          <w:tcPr>
            <w:tcW w:w="269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rPr>
            </w:pPr>
            <w:r>
              <w:rPr>
                <w:rFonts w:eastAsia="MS Mincho;ＭＳ 明朝"/>
                <w:color w:val="000000"/>
              </w:rPr>
              <w:t>Operation Token</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sz w:val="16"/>
              </w:rPr>
            </w:pPr>
            <w:r>
              <w:rPr>
                <w:sz w:val="16"/>
              </w:rPr>
              <w:t>M</w:t>
            </w:r>
          </w:p>
        </w:tc>
        <w:tc>
          <w:tcPr>
            <w:tcW w:w="589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Described in TS 32.299 [50]</w:t>
            </w:r>
          </w:p>
        </w:tc>
      </w:tr>
      <w:tr>
        <w:trPr>
          <w:cantSplit w:val="true"/>
        </w:trPr>
        <w:tc>
          <w:tcPr>
            <w:tcW w:w="269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rPr>
            </w:pPr>
            <w:r>
              <w:rPr>
                <w:rFonts w:eastAsia="MS Mincho;ＭＳ 明朝"/>
              </w:rPr>
              <w:t>Operation Type</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sz w:val="16"/>
              </w:rPr>
            </w:pPr>
            <w:r>
              <w:rPr>
                <w:sz w:val="16"/>
              </w:rPr>
              <w:t>M</w:t>
            </w:r>
          </w:p>
        </w:tc>
        <w:tc>
          <w:tcPr>
            <w:tcW w:w="589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Described in TS 32.299 [50]</w:t>
            </w:r>
          </w:p>
        </w:tc>
      </w:tr>
      <w:tr>
        <w:trPr>
          <w:cantSplit w:val="true"/>
        </w:trPr>
        <w:tc>
          <w:tcPr>
            <w:tcW w:w="269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rPr>
            </w:pPr>
            <w:r>
              <w:rPr>
                <w:rFonts w:eastAsia="MS Mincho;ＭＳ 明朝"/>
              </w:rPr>
              <w:t>Operation Number</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sz w:val="16"/>
              </w:rPr>
            </w:pPr>
            <w:r>
              <w:rPr>
                <w:sz w:val="16"/>
              </w:rPr>
              <w:t>M</w:t>
            </w:r>
          </w:p>
        </w:tc>
        <w:tc>
          <w:tcPr>
            <w:tcW w:w="589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Described in TS 32.299 [50]</w:t>
            </w:r>
          </w:p>
        </w:tc>
      </w:tr>
      <w:tr>
        <w:trPr>
          <w:cantSplit w:val="true"/>
        </w:trPr>
        <w:tc>
          <w:tcPr>
            <w:tcW w:w="269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Destination Host</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sz w:val="16"/>
              </w:rPr>
              <w:t>O</w:t>
            </w:r>
            <w:r>
              <w:rPr>
                <w:sz w:val="16"/>
                <w:vertAlign w:val="subscript"/>
              </w:rPr>
              <w:t>c</w:t>
            </w:r>
          </w:p>
        </w:tc>
        <w:tc>
          <w:tcPr>
            <w:tcW w:w="589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 w:val="16"/>
                <w:szCs w:val="16"/>
              </w:rPr>
              <w:t>Described in TS 32.299 [50]</w:t>
            </w:r>
          </w:p>
        </w:tc>
      </w:tr>
      <w:tr>
        <w:trPr>
          <w:cantSplit w:val="true"/>
        </w:trPr>
        <w:tc>
          <w:tcPr>
            <w:tcW w:w="269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User Name</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sz w:val="16"/>
              </w:rPr>
              <w:t>O</w:t>
            </w:r>
            <w:r>
              <w:rPr>
                <w:sz w:val="16"/>
                <w:vertAlign w:val="subscript"/>
              </w:rPr>
              <w:t>c</w:t>
            </w:r>
          </w:p>
        </w:tc>
        <w:tc>
          <w:tcPr>
            <w:tcW w:w="589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 w:val="16"/>
                <w:szCs w:val="16"/>
              </w:rPr>
              <w:t>Described in TS 32.299 [50]</w:t>
            </w:r>
          </w:p>
        </w:tc>
      </w:tr>
      <w:tr>
        <w:trPr>
          <w:cantSplit w:val="true"/>
        </w:trPr>
        <w:tc>
          <w:tcPr>
            <w:tcW w:w="269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Origination State</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sz w:val="16"/>
              </w:rPr>
              <w:t>O</w:t>
            </w:r>
            <w:r>
              <w:rPr>
                <w:sz w:val="16"/>
                <w:vertAlign w:val="subscript"/>
              </w:rPr>
              <w:t>c</w:t>
            </w:r>
          </w:p>
        </w:tc>
        <w:tc>
          <w:tcPr>
            <w:tcW w:w="589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 w:val="16"/>
                <w:szCs w:val="16"/>
              </w:rPr>
              <w:t>Described in TS 32.299 [50]</w:t>
            </w:r>
          </w:p>
        </w:tc>
      </w:tr>
      <w:tr>
        <w:trPr>
          <w:cantSplit w:val="true"/>
        </w:trPr>
        <w:tc>
          <w:tcPr>
            <w:tcW w:w="269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Origination Timestamp</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sz w:val="16"/>
              </w:rPr>
              <w:t>O</w:t>
            </w:r>
            <w:r>
              <w:rPr>
                <w:sz w:val="16"/>
                <w:vertAlign w:val="subscript"/>
              </w:rPr>
              <w:t>c</w:t>
            </w:r>
          </w:p>
        </w:tc>
        <w:tc>
          <w:tcPr>
            <w:tcW w:w="589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 w:val="16"/>
                <w:szCs w:val="16"/>
              </w:rPr>
              <w:t>Described in TS 32.299 [50]</w:t>
            </w:r>
          </w:p>
        </w:tc>
      </w:tr>
      <w:tr>
        <w:trPr>
          <w:cantSplit w:val="true"/>
        </w:trPr>
        <w:tc>
          <w:tcPr>
            <w:tcW w:w="269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Subscriber Identifier</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sz w:val="16"/>
              </w:rPr>
              <w:t>O</w:t>
            </w:r>
            <w:r>
              <w:rPr>
                <w:sz w:val="16"/>
                <w:vertAlign w:val="subscript"/>
              </w:rPr>
              <w:t>M</w:t>
            </w:r>
          </w:p>
        </w:tc>
        <w:tc>
          <w:tcPr>
            <w:tcW w:w="589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 w:val="16"/>
                <w:szCs w:val="16"/>
              </w:rPr>
              <w:t>Described in TS 32.299 [50]</w:t>
            </w:r>
          </w:p>
        </w:tc>
      </w:tr>
      <w:tr>
        <w:trPr>
          <w:cantSplit w:val="true"/>
        </w:trPr>
        <w:tc>
          <w:tcPr>
            <w:tcW w:w="2699" w:type="dxa"/>
            <w:tcBorders>
              <w:top w:val="single" w:sz="6" w:space="0" w:color="000000"/>
              <w:left w:val="single" w:sz="6" w:space="0" w:color="000000"/>
              <w:bottom w:val="single" w:sz="6" w:space="0" w:color="000000"/>
              <w:right w:val="single" w:sz="6" w:space="0" w:color="000000"/>
            </w:tcBorders>
          </w:tcPr>
          <w:p>
            <w:pPr>
              <w:pStyle w:val="TAL"/>
              <w:rPr/>
            </w:pPr>
            <w:r>
              <w:rPr/>
              <w:t>Termination Cause</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sz w:val="16"/>
              </w:rPr>
            </w:pPr>
            <w:r>
              <w:rPr>
                <w:sz w:val="16"/>
              </w:rPr>
              <w:t>O</w:t>
            </w:r>
            <w:r>
              <w:rPr>
                <w:sz w:val="16"/>
                <w:vertAlign w:val="subscript"/>
              </w:rPr>
              <w:t>c</w:t>
            </w:r>
          </w:p>
        </w:tc>
        <w:tc>
          <w:tcPr>
            <w:tcW w:w="589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 w:val="16"/>
                <w:szCs w:val="16"/>
              </w:rPr>
              <w:t>Described in TS 32.299 [50]</w:t>
            </w:r>
          </w:p>
        </w:tc>
      </w:tr>
      <w:tr>
        <w:trPr>
          <w:cantSplit w:val="true"/>
        </w:trPr>
        <w:tc>
          <w:tcPr>
            <w:tcW w:w="2699" w:type="dxa"/>
            <w:tcBorders>
              <w:top w:val="single" w:sz="6" w:space="0" w:color="000000"/>
              <w:left w:val="single" w:sz="6" w:space="0" w:color="000000"/>
              <w:bottom w:val="single" w:sz="6" w:space="0" w:color="000000"/>
              <w:right w:val="single" w:sz="6" w:space="0" w:color="000000"/>
            </w:tcBorders>
          </w:tcPr>
          <w:p>
            <w:pPr>
              <w:pStyle w:val="TAL"/>
              <w:rPr>
                <w:rFonts w:cs="Arial"/>
              </w:rPr>
            </w:pPr>
            <w:r>
              <w:rPr/>
              <w:t>Requested Action</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sz w:val="16"/>
              </w:rPr>
              <w:t>O</w:t>
            </w:r>
            <w:r>
              <w:rPr>
                <w:sz w:val="16"/>
                <w:vertAlign w:val="subscript"/>
              </w:rPr>
              <w:t>c</w:t>
            </w:r>
          </w:p>
        </w:tc>
        <w:tc>
          <w:tcPr>
            <w:tcW w:w="589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 w:val="16"/>
                <w:szCs w:val="16"/>
              </w:rPr>
              <w:t>Described in TS 32.299 [50]</w:t>
            </w:r>
          </w:p>
        </w:tc>
      </w:tr>
      <w:tr>
        <w:trPr>
          <w:cantSplit w:val="true"/>
        </w:trPr>
        <w:tc>
          <w:tcPr>
            <w:tcW w:w="269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rPr>
            </w:pPr>
            <w:r>
              <w:rPr>
                <w:rFonts w:eastAsia="MS Mincho;ＭＳ 明朝"/>
                <w:color w:val="000000"/>
              </w:rPr>
              <w:t>Multiple Operation</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sz w:val="16"/>
              </w:rPr>
            </w:pPr>
            <w:r>
              <w:rPr>
                <w:sz w:val="16"/>
              </w:rPr>
              <w:t>O</w:t>
            </w:r>
            <w:r>
              <w:rPr>
                <w:sz w:val="16"/>
                <w:vertAlign w:val="subscript"/>
              </w:rPr>
              <w:t>M</w:t>
            </w:r>
          </w:p>
        </w:tc>
        <w:tc>
          <w:tcPr>
            <w:tcW w:w="589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 w:val="16"/>
                <w:szCs w:val="16"/>
              </w:rPr>
              <w:t>Described in TS 32.299 [50]</w:t>
            </w:r>
          </w:p>
        </w:tc>
      </w:tr>
      <w:tr>
        <w:trPr>
          <w:cantSplit w:val="true"/>
        </w:trPr>
        <w:tc>
          <w:tcPr>
            <w:tcW w:w="269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rPr>
            </w:pPr>
            <w:r>
              <w:rPr>
                <w:rFonts w:eastAsia="MS Mincho;ＭＳ 明朝"/>
                <w:color w:val="000000"/>
              </w:rPr>
              <w:t>Multiple Unit Operation</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sz w:val="16"/>
              </w:rPr>
            </w:pPr>
            <w:r>
              <w:rPr>
                <w:sz w:val="16"/>
              </w:rPr>
              <w:t>O</w:t>
            </w:r>
            <w:r>
              <w:rPr>
                <w:sz w:val="16"/>
                <w:vertAlign w:val="subscript"/>
              </w:rPr>
              <w:t>C</w:t>
            </w:r>
          </w:p>
        </w:tc>
        <w:tc>
          <w:tcPr>
            <w:tcW w:w="589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 w:val="16"/>
                <w:szCs w:val="16"/>
              </w:rPr>
              <w:t>Described in TS 32.299 [50]</w:t>
            </w:r>
          </w:p>
        </w:tc>
      </w:tr>
      <w:tr>
        <w:trPr>
          <w:cantSplit w:val="true"/>
        </w:trPr>
        <w:tc>
          <w:tcPr>
            <w:tcW w:w="269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rPr>
            </w:pPr>
            <w:r>
              <w:rPr>
                <w:rFonts w:eastAsia="MS Mincho;ＭＳ 明朝"/>
                <w:color w:val="000000"/>
              </w:rPr>
              <w:t>Subscriber Equipment Number</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sz w:val="16"/>
              </w:rPr>
            </w:pPr>
            <w:r>
              <w:rPr>
                <w:sz w:val="16"/>
              </w:rPr>
              <w:t>O</w:t>
            </w:r>
            <w:r>
              <w:rPr>
                <w:sz w:val="16"/>
                <w:vertAlign w:val="subscript"/>
              </w:rPr>
              <w:t>c</w:t>
            </w:r>
          </w:p>
        </w:tc>
        <w:tc>
          <w:tcPr>
            <w:tcW w:w="589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 w:val="16"/>
                <w:szCs w:val="16"/>
              </w:rPr>
              <w:t>Described in TS 32.299 [50]</w:t>
            </w:r>
          </w:p>
        </w:tc>
      </w:tr>
      <w:tr>
        <w:trPr>
          <w:cantSplit w:val="true"/>
        </w:trPr>
        <w:tc>
          <w:tcPr>
            <w:tcW w:w="2699" w:type="dxa"/>
            <w:tcBorders>
              <w:top w:val="single" w:sz="6" w:space="0" w:color="000000"/>
              <w:left w:val="single" w:sz="6" w:space="0" w:color="000000"/>
              <w:bottom w:val="single" w:sz="6" w:space="0" w:color="000000"/>
              <w:right w:val="single" w:sz="6" w:space="0" w:color="000000"/>
            </w:tcBorders>
          </w:tcPr>
          <w:p>
            <w:pPr>
              <w:pStyle w:val="TAL"/>
              <w:rPr/>
            </w:pPr>
            <w:r>
              <w:rPr>
                <w:rFonts w:eastAsia="Arial" w:cs="Arial"/>
              </w:rPr>
              <w:t xml:space="preserve"> </w:t>
            </w:r>
            <w:r>
              <w:rPr>
                <w:rFonts w:cs="Arial"/>
              </w:rPr>
              <w:t>Service Information</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sz w:val="16"/>
              </w:rPr>
              <w:t>O</w:t>
            </w:r>
            <w:r>
              <w:rPr>
                <w:sz w:val="16"/>
                <w:vertAlign w:val="subscript"/>
              </w:rPr>
              <w:t>c</w:t>
            </w:r>
          </w:p>
        </w:tc>
        <w:tc>
          <w:tcPr>
            <w:tcW w:w="589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Holds the LCS service specific parameters. It is further described in the table below</w:t>
            </w:r>
          </w:p>
        </w:tc>
      </w:tr>
    </w:tbl>
    <w:p>
      <w:pPr>
        <w:pStyle w:val="Normal"/>
        <w:rPr/>
      </w:pPr>
      <w:r>
        <w:rPr/>
      </w:r>
    </w:p>
    <w:p>
      <w:pPr>
        <w:pStyle w:val="NO"/>
        <w:rPr/>
      </w:pPr>
      <w:r>
        <w:rPr/>
        <w:t>NOTE:</w:t>
        <w:tab/>
        <w:t>A full description and the detailed use of the Information Elements for GMLC and for each CCR request type (initial/update/termination/event) is specified in TS 32.299 [50].</w:t>
      </w:r>
    </w:p>
    <w:p>
      <w:pPr>
        <w:pStyle w:val="Heading4"/>
        <w:ind w:left="1418" w:hanging="1418"/>
        <w:rPr/>
      </w:pPr>
      <w:bookmarkStart w:id="79" w:name="__RefHeading___Toc399247576"/>
      <w:bookmarkEnd w:id="79"/>
      <w:r>
        <w:rPr/>
        <w:t>6.2.1.2</w:t>
        <w:tab/>
      </w:r>
      <w:r>
        <w:rPr>
          <w:i/>
        </w:rPr>
        <w:t>Debit  / Reserve Units Response</w:t>
      </w:r>
      <w:r>
        <w:rPr/>
        <w:t xml:space="preserve"> message</w:t>
      </w:r>
    </w:p>
    <w:p>
      <w:pPr>
        <w:pStyle w:val="Normal"/>
        <w:keepNext w:val="true"/>
        <w:rPr/>
      </w:pPr>
      <w:r>
        <w:rPr/>
        <w:t xml:space="preserve">Table 6.2.1.2.1 illustrates the basic structure of a </w:t>
      </w:r>
      <w:r>
        <w:rPr>
          <w:i/>
        </w:rPr>
        <w:t>Debit  / Reserve Units Response</w:t>
      </w:r>
      <w:r>
        <w:rPr/>
        <w:t xml:space="preserve"> message as used for LCS charging. This message is always used by the OCS as specified below, independent of the receiving GMLC and the </w:t>
      </w:r>
      <w:r>
        <w:rPr>
          <w:i/>
        </w:rPr>
        <w:t>Debit / Reserve Units Request</w:t>
      </w:r>
      <w:r>
        <w:rPr/>
        <w:t xml:space="preserve"> type that is being replied to.</w:t>
      </w:r>
    </w:p>
    <w:p>
      <w:pPr>
        <w:pStyle w:val="TH"/>
        <w:numPr>
          <w:ilvl w:val="0"/>
          <w:numId w:val="0"/>
        </w:numPr>
        <w:outlineLvl w:val="0"/>
        <w:rPr/>
      </w:pPr>
      <w:r>
        <w:rPr/>
        <w:t xml:space="preserve">Table 6.2.1.2.1: </w:t>
      </w:r>
      <w:r>
        <w:rPr>
          <w:i/>
        </w:rPr>
        <w:t>Debit  / Reserve Units Response</w:t>
      </w:r>
      <w:r>
        <w:rPr>
          <w:rFonts w:eastAsia="MS Mincho;ＭＳ 明朝"/>
        </w:rPr>
        <w:t xml:space="preserve"> message contents for LCS</w:t>
      </w:r>
    </w:p>
    <w:tbl>
      <w:tblPr>
        <w:tblW w:w="5000" w:type="pct"/>
        <w:jc w:val="center"/>
        <w:tblInd w:w="0" w:type="dxa"/>
        <w:tblLayout w:type="fixed"/>
        <w:tblCellMar>
          <w:top w:w="0" w:type="dxa"/>
          <w:left w:w="28" w:type="dxa"/>
          <w:bottom w:w="0" w:type="dxa"/>
          <w:right w:w="107" w:type="dxa"/>
        </w:tblCellMar>
      </w:tblPr>
      <w:tblGrid>
        <w:gridCol w:w="2769"/>
        <w:gridCol w:w="1044"/>
        <w:gridCol w:w="5825"/>
      </w:tblGrid>
      <w:tr>
        <w:trPr>
          <w:tblHeader w:val="true"/>
          <w:cantSplit w:val="true"/>
        </w:trPr>
        <w:tc>
          <w:tcPr>
            <w:tcW w:w="276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AVP</w:t>
            </w:r>
          </w:p>
        </w:tc>
        <w:tc>
          <w:tcPr>
            <w:tcW w:w="104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Category</w:t>
            </w:r>
          </w:p>
        </w:tc>
        <w:tc>
          <w:tcPr>
            <w:tcW w:w="582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276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color w:val="000000"/>
              </w:rPr>
              <w:t>Session Identifier</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sz w:val="16"/>
              </w:rPr>
              <w:t>M</w:t>
            </w:r>
          </w:p>
        </w:tc>
        <w:tc>
          <w:tcPr>
            <w:tcW w:w="58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Described in TS 32.299 [50]</w:t>
            </w:r>
          </w:p>
        </w:tc>
      </w:tr>
      <w:tr>
        <w:trPr>
          <w:cantSplit w:val="true"/>
        </w:trPr>
        <w:tc>
          <w:tcPr>
            <w:tcW w:w="276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color w:val="000000"/>
              </w:rPr>
              <w:t>Operation Result</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sz w:val="16"/>
              </w:rPr>
            </w:pPr>
            <w:r>
              <w:rPr>
                <w:sz w:val="16"/>
              </w:rPr>
              <w:t>M</w:t>
            </w:r>
          </w:p>
        </w:tc>
        <w:tc>
          <w:tcPr>
            <w:tcW w:w="58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Described in TS 32.299 [50]</w:t>
            </w:r>
          </w:p>
        </w:tc>
      </w:tr>
      <w:tr>
        <w:trPr>
          <w:cantSplit w:val="true"/>
        </w:trPr>
        <w:tc>
          <w:tcPr>
            <w:tcW w:w="276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color w:val="000000"/>
              </w:rPr>
              <w:t>Originator Host</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sz w:val="16"/>
              </w:rPr>
              <w:t>M</w:t>
            </w:r>
          </w:p>
        </w:tc>
        <w:tc>
          <w:tcPr>
            <w:tcW w:w="58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Described in TS 32.299 [50]</w:t>
            </w:r>
          </w:p>
        </w:tc>
      </w:tr>
      <w:tr>
        <w:trPr>
          <w:cantSplit w:val="true"/>
        </w:trPr>
        <w:tc>
          <w:tcPr>
            <w:tcW w:w="276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color w:val="000000"/>
              </w:rPr>
              <w:t>Originator Domain</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sz w:val="16"/>
              </w:rPr>
              <w:t>M</w:t>
            </w:r>
          </w:p>
        </w:tc>
        <w:tc>
          <w:tcPr>
            <w:tcW w:w="58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Described in TS 32.299 [50]</w:t>
            </w:r>
          </w:p>
        </w:tc>
      </w:tr>
      <w:tr>
        <w:trPr>
          <w:cantSplit w:val="true"/>
        </w:trPr>
        <w:tc>
          <w:tcPr>
            <w:tcW w:w="276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color w:val="000000"/>
              </w:rPr>
              <w:t>Operation Identifier</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sz w:val="16"/>
              </w:rPr>
              <w:t>M</w:t>
            </w:r>
          </w:p>
        </w:tc>
        <w:tc>
          <w:tcPr>
            <w:tcW w:w="58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Described in TS 32.299 [50]</w:t>
            </w:r>
          </w:p>
        </w:tc>
      </w:tr>
      <w:tr>
        <w:trPr>
          <w:cantSplit w:val="true"/>
        </w:trPr>
        <w:tc>
          <w:tcPr>
            <w:tcW w:w="276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Operation Type</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sz w:val="16"/>
              </w:rPr>
            </w:pPr>
            <w:r>
              <w:rPr>
                <w:sz w:val="16"/>
              </w:rPr>
              <w:t>M</w:t>
            </w:r>
          </w:p>
        </w:tc>
        <w:tc>
          <w:tcPr>
            <w:tcW w:w="58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Described in TS 32.299 [50]</w:t>
            </w:r>
          </w:p>
        </w:tc>
      </w:tr>
      <w:tr>
        <w:trPr>
          <w:cantSplit w:val="true"/>
        </w:trPr>
        <w:tc>
          <w:tcPr>
            <w:tcW w:w="276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Operation Number</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sz w:val="16"/>
              </w:rPr>
            </w:pPr>
            <w:r>
              <w:rPr>
                <w:sz w:val="16"/>
              </w:rPr>
              <w:t>M</w:t>
            </w:r>
          </w:p>
        </w:tc>
        <w:tc>
          <w:tcPr>
            <w:tcW w:w="58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Described in TS 32.299 [50]</w:t>
            </w:r>
          </w:p>
        </w:tc>
      </w:tr>
      <w:tr>
        <w:trPr>
          <w:cantSplit w:val="true"/>
        </w:trPr>
        <w:tc>
          <w:tcPr>
            <w:tcW w:w="276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User-Name</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sz w:val="16"/>
              </w:rPr>
              <w:t>O</w:t>
            </w:r>
            <w:r>
              <w:rPr>
                <w:sz w:val="16"/>
                <w:vertAlign w:val="subscript"/>
              </w:rPr>
              <w:t>c</w:t>
            </w:r>
          </w:p>
        </w:tc>
        <w:tc>
          <w:tcPr>
            <w:tcW w:w="582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Cs w:val="18"/>
              </w:rPr>
              <w:t>Described in TS 32.299 [50]</w:t>
            </w:r>
          </w:p>
        </w:tc>
      </w:tr>
      <w:tr>
        <w:trPr>
          <w:cantSplit w:val="true"/>
        </w:trPr>
        <w:tc>
          <w:tcPr>
            <w:tcW w:w="276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Origin-State-Id</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sz w:val="16"/>
              </w:rPr>
              <w:t>O</w:t>
            </w:r>
            <w:r>
              <w:rPr>
                <w:sz w:val="16"/>
                <w:vertAlign w:val="subscript"/>
              </w:rPr>
              <w:t>c</w:t>
            </w:r>
          </w:p>
        </w:tc>
        <w:tc>
          <w:tcPr>
            <w:tcW w:w="582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Cs w:val="18"/>
              </w:rPr>
              <w:t>Described in TS 32.299 [50]</w:t>
            </w:r>
          </w:p>
        </w:tc>
      </w:tr>
      <w:tr>
        <w:trPr>
          <w:cantSplit w:val="true"/>
        </w:trPr>
        <w:tc>
          <w:tcPr>
            <w:tcW w:w="276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Event-Timestamp</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sz w:val="16"/>
              </w:rPr>
              <w:t>O</w:t>
            </w:r>
            <w:r>
              <w:rPr>
                <w:sz w:val="16"/>
                <w:vertAlign w:val="subscript"/>
              </w:rPr>
              <w:t>c</w:t>
            </w:r>
          </w:p>
        </w:tc>
        <w:tc>
          <w:tcPr>
            <w:tcW w:w="582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Cs w:val="18"/>
              </w:rPr>
              <w:t>Described in TS 32.299 [50]</w:t>
            </w:r>
          </w:p>
        </w:tc>
      </w:tr>
      <w:tr>
        <w:trPr>
          <w:cantSplit w:val="true"/>
        </w:trPr>
        <w:tc>
          <w:tcPr>
            <w:tcW w:w="276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lang w:val="en-US" w:eastAsia="en-US"/>
              </w:rPr>
              <w:t>Operation Failover</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sz w:val="16"/>
              </w:rPr>
            </w:pPr>
            <w:r>
              <w:rPr>
                <w:sz w:val="16"/>
              </w:rPr>
              <w:t>O</w:t>
            </w:r>
            <w:r>
              <w:rPr>
                <w:sz w:val="16"/>
                <w:vertAlign w:val="subscript"/>
              </w:rPr>
              <w:t>c</w:t>
            </w:r>
          </w:p>
        </w:tc>
        <w:tc>
          <w:tcPr>
            <w:tcW w:w="582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Cs w:val="18"/>
              </w:rPr>
              <w:t>Described in TS 32.299 [50]</w:t>
            </w:r>
          </w:p>
        </w:tc>
      </w:tr>
      <w:tr>
        <w:trPr>
          <w:cantSplit w:val="true"/>
        </w:trPr>
        <w:tc>
          <w:tcPr>
            <w:tcW w:w="276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lang w:val="en-US" w:eastAsia="en-US"/>
              </w:rPr>
            </w:pPr>
            <w:r>
              <w:rPr>
                <w:rFonts w:eastAsia="MS Mincho;ＭＳ 明朝"/>
                <w:color w:val="000000"/>
                <w:lang w:val="en-US" w:eastAsia="en-US"/>
              </w:rPr>
              <w:t>Multiple Unit Operation</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sz w:val="16"/>
              </w:rPr>
            </w:pPr>
            <w:r>
              <w:rPr>
                <w:sz w:val="16"/>
              </w:rPr>
              <w:t>O</w:t>
            </w:r>
            <w:r>
              <w:rPr>
                <w:sz w:val="16"/>
                <w:vertAlign w:val="subscript"/>
              </w:rPr>
              <w:t>c</w:t>
            </w:r>
          </w:p>
        </w:tc>
        <w:tc>
          <w:tcPr>
            <w:tcW w:w="582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Cs w:val="18"/>
              </w:rPr>
              <w:t>Described in TS 32.299 [50]</w:t>
            </w:r>
          </w:p>
        </w:tc>
      </w:tr>
      <w:tr>
        <w:trPr>
          <w:cantSplit w:val="true"/>
        </w:trPr>
        <w:tc>
          <w:tcPr>
            <w:tcW w:w="276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lang w:val="en-US" w:eastAsia="en-US"/>
              </w:rPr>
              <w:t>Operation Failure Action</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sz w:val="16"/>
              </w:rPr>
              <w:t>O</w:t>
            </w:r>
            <w:r>
              <w:rPr>
                <w:sz w:val="16"/>
                <w:vertAlign w:val="subscript"/>
              </w:rPr>
              <w:t>c</w:t>
            </w:r>
          </w:p>
        </w:tc>
        <w:tc>
          <w:tcPr>
            <w:tcW w:w="582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Cs w:val="18"/>
              </w:rPr>
              <w:t>Described in TS 32.299 [50]</w:t>
            </w:r>
          </w:p>
        </w:tc>
      </w:tr>
      <w:tr>
        <w:trPr>
          <w:cantSplit w:val="true"/>
        </w:trPr>
        <w:tc>
          <w:tcPr>
            <w:tcW w:w="2769" w:type="dxa"/>
            <w:tcBorders>
              <w:top w:val="single" w:sz="6" w:space="0" w:color="000000"/>
              <w:left w:val="single" w:sz="6" w:space="0" w:color="000000"/>
              <w:bottom w:val="single" w:sz="6" w:space="0" w:color="000000"/>
              <w:right w:val="single" w:sz="6" w:space="0" w:color="000000"/>
            </w:tcBorders>
          </w:tcPr>
          <w:p>
            <w:pPr>
              <w:pStyle w:val="TAL"/>
              <w:rPr/>
            </w:pPr>
            <w:r>
              <w:rPr/>
              <w:t>Operation Event Failure Action</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sz w:val="16"/>
              </w:rPr>
            </w:pPr>
            <w:r>
              <w:rPr>
                <w:sz w:val="16"/>
              </w:rPr>
              <w:t>O</w:t>
            </w:r>
            <w:r>
              <w:rPr>
                <w:sz w:val="16"/>
                <w:vertAlign w:val="subscript"/>
              </w:rPr>
              <w:t>c</w:t>
            </w:r>
          </w:p>
        </w:tc>
        <w:tc>
          <w:tcPr>
            <w:tcW w:w="582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Cs w:val="18"/>
              </w:rPr>
              <w:t>Described in TS 32.299 [50]</w:t>
            </w:r>
          </w:p>
        </w:tc>
      </w:tr>
      <w:tr>
        <w:trPr>
          <w:cantSplit w:val="true"/>
        </w:trPr>
        <w:tc>
          <w:tcPr>
            <w:tcW w:w="276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US" w:eastAsia="en-US"/>
              </w:rPr>
            </w:pPr>
            <w:r>
              <w:rPr>
                <w:rFonts w:eastAsia="MS Mincho;ＭＳ 明朝"/>
                <w:lang w:val="en-US" w:eastAsia="en-US"/>
              </w:rPr>
              <w:t>Redirection Host</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sz w:val="16"/>
              </w:rPr>
            </w:pPr>
            <w:r>
              <w:rPr>
                <w:sz w:val="16"/>
              </w:rPr>
              <w:t>O</w:t>
            </w:r>
            <w:r>
              <w:rPr>
                <w:sz w:val="16"/>
                <w:vertAlign w:val="subscript"/>
              </w:rPr>
              <w:t>c</w:t>
            </w:r>
          </w:p>
        </w:tc>
        <w:tc>
          <w:tcPr>
            <w:tcW w:w="582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Cs w:val="18"/>
              </w:rPr>
              <w:t>Described in TS 32.299 [50]</w:t>
            </w:r>
          </w:p>
        </w:tc>
      </w:tr>
      <w:tr>
        <w:trPr>
          <w:cantSplit w:val="true"/>
        </w:trPr>
        <w:tc>
          <w:tcPr>
            <w:tcW w:w="276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US" w:eastAsia="en-US"/>
              </w:rPr>
            </w:pPr>
            <w:r>
              <w:rPr>
                <w:rFonts w:eastAsia="MS Mincho;ＭＳ 明朝"/>
                <w:lang w:val="en-US" w:eastAsia="en-US"/>
              </w:rPr>
              <w:t>Redirection Host Usage</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sz w:val="16"/>
              </w:rPr>
            </w:pPr>
            <w:r>
              <w:rPr>
                <w:sz w:val="16"/>
              </w:rPr>
              <w:t>O</w:t>
            </w:r>
            <w:r>
              <w:rPr>
                <w:sz w:val="16"/>
                <w:vertAlign w:val="subscript"/>
              </w:rPr>
              <w:t>c</w:t>
            </w:r>
          </w:p>
        </w:tc>
        <w:tc>
          <w:tcPr>
            <w:tcW w:w="582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Cs w:val="18"/>
              </w:rPr>
              <w:t>Described in TS 32.299 [50]</w:t>
            </w:r>
          </w:p>
        </w:tc>
      </w:tr>
      <w:tr>
        <w:trPr>
          <w:cantSplit w:val="true"/>
        </w:trPr>
        <w:tc>
          <w:tcPr>
            <w:tcW w:w="276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US" w:eastAsia="en-US"/>
              </w:rPr>
            </w:pPr>
            <w:r>
              <w:rPr>
                <w:rFonts w:eastAsia="MS Mincho;ＭＳ 明朝"/>
                <w:lang w:val="en-US" w:eastAsia="en-US"/>
              </w:rPr>
              <w:t>Redirection Cache Time</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sz w:val="16"/>
              </w:rPr>
            </w:pPr>
            <w:r>
              <w:rPr>
                <w:sz w:val="16"/>
              </w:rPr>
              <w:t>O</w:t>
            </w:r>
            <w:r>
              <w:rPr>
                <w:sz w:val="16"/>
                <w:vertAlign w:val="subscript"/>
              </w:rPr>
              <w:t>c</w:t>
            </w:r>
          </w:p>
        </w:tc>
        <w:tc>
          <w:tcPr>
            <w:tcW w:w="582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Cs w:val="18"/>
              </w:rPr>
              <w:t>Described in TS 32.299 [50]</w:t>
            </w:r>
          </w:p>
        </w:tc>
      </w:tr>
      <w:tr>
        <w:trPr>
          <w:cantSplit w:val="true"/>
        </w:trPr>
        <w:tc>
          <w:tcPr>
            <w:tcW w:w="2769" w:type="dxa"/>
            <w:tcBorders>
              <w:top w:val="single" w:sz="6" w:space="0" w:color="000000"/>
              <w:left w:val="single" w:sz="6" w:space="0" w:color="000000"/>
              <w:bottom w:val="single" w:sz="6" w:space="0" w:color="000000"/>
              <w:right w:val="single" w:sz="6" w:space="0" w:color="000000"/>
            </w:tcBorders>
          </w:tcPr>
          <w:p>
            <w:pPr>
              <w:pStyle w:val="TAL"/>
              <w:rPr/>
            </w:pPr>
            <w:r>
              <w:rPr/>
              <w:t>Service Information</w:t>
            </w:r>
          </w:p>
        </w:tc>
        <w:tc>
          <w:tcPr>
            <w:tcW w:w="1044" w:type="dxa"/>
            <w:tcBorders>
              <w:top w:val="single" w:sz="6" w:space="0" w:color="000000"/>
              <w:left w:val="single" w:sz="6" w:space="0" w:color="000000"/>
              <w:bottom w:val="single" w:sz="6" w:space="0" w:color="000000"/>
              <w:right w:val="single" w:sz="6" w:space="0" w:color="000000"/>
            </w:tcBorders>
          </w:tcPr>
          <w:p>
            <w:pPr>
              <w:pStyle w:val="TAL"/>
              <w:jc w:val="center"/>
              <w:rPr>
                <w:sz w:val="16"/>
              </w:rPr>
            </w:pPr>
            <w:r>
              <w:rPr>
                <w:szCs w:val="18"/>
              </w:rPr>
              <w:t>O</w:t>
            </w:r>
            <w:r>
              <w:rPr>
                <w:szCs w:val="18"/>
                <w:vertAlign w:val="subscript"/>
              </w:rPr>
              <w:t>C</w:t>
            </w:r>
          </w:p>
        </w:tc>
        <w:tc>
          <w:tcPr>
            <w:tcW w:w="5825" w:type="dxa"/>
            <w:tcBorders>
              <w:top w:val="single" w:sz="6" w:space="0" w:color="000000"/>
              <w:left w:val="single" w:sz="6" w:space="0" w:color="000000"/>
              <w:bottom w:val="single" w:sz="6" w:space="0" w:color="000000"/>
              <w:right w:val="single" w:sz="6" w:space="0" w:color="000000"/>
            </w:tcBorders>
          </w:tcPr>
          <w:p>
            <w:pPr>
              <w:pStyle w:val="TAL"/>
              <w:rPr/>
            </w:pPr>
            <w:r>
              <w:rPr>
                <w:szCs w:val="18"/>
              </w:rPr>
              <w:t xml:space="preserve">This field holds additional 3GPP service specific parameter. </w:t>
            </w:r>
            <w:r>
              <w:rPr>
                <w:rFonts w:cs="Arial"/>
                <w:szCs w:val="18"/>
              </w:rPr>
              <w:t>It is further described in the table below</w:t>
            </w:r>
          </w:p>
        </w:tc>
      </w:tr>
    </w:tbl>
    <w:p>
      <w:pPr>
        <w:pStyle w:val="Normal"/>
        <w:rPr/>
      </w:pPr>
      <w:r>
        <w:rPr/>
      </w:r>
    </w:p>
    <w:p>
      <w:pPr>
        <w:pStyle w:val="Normal"/>
        <w:rPr/>
      </w:pPr>
      <w:r>
        <w:rPr/>
      </w:r>
    </w:p>
    <w:p>
      <w:pPr>
        <w:pStyle w:val="Heading2"/>
        <w:rPr/>
      </w:pPr>
      <w:bookmarkStart w:id="80" w:name="__RefHeading___Toc399247577"/>
      <w:bookmarkEnd w:id="80"/>
      <w:r>
        <w:rPr/>
        <w:t>6.3</w:t>
        <w:tab/>
        <w:t>LCS charging specific parameters</w:t>
      </w:r>
    </w:p>
    <w:p>
      <w:pPr>
        <w:pStyle w:val="Heading3"/>
        <w:ind w:left="1140" w:hanging="1140"/>
        <w:rPr/>
      </w:pPr>
      <w:bookmarkStart w:id="81" w:name="__RefHeading___Toc399247578"/>
      <w:bookmarkEnd w:id="81"/>
      <w:r>
        <w:rPr/>
        <w:t>6.3.1</w:t>
        <w:tab/>
        <w:t>Definition of LCS charging information</w:t>
      </w:r>
    </w:p>
    <w:p>
      <w:pPr>
        <w:pStyle w:val="Heading4"/>
        <w:tabs>
          <w:tab w:val="clear" w:pos="284"/>
          <w:tab w:val="left" w:pos="1425" w:leader="none"/>
        </w:tabs>
        <w:ind w:left="1425" w:hanging="1425"/>
        <w:rPr/>
      </w:pPr>
      <w:bookmarkStart w:id="82" w:name="__RefHeading___Toc399247579"/>
      <w:bookmarkEnd w:id="82"/>
      <w:r>
        <w:rPr/>
        <w:t>6.3.1.0</w:t>
        <w:tab/>
        <w:t>General</w:t>
      </w:r>
    </w:p>
    <w:p>
      <w:pPr>
        <w:pStyle w:val="Normal"/>
        <w:rPr/>
      </w:pPr>
      <w:r>
        <w:rPr/>
        <w:t>The LCS Information parameter used for LCS charging is provided in the Service Information parameter.</w:t>
      </w:r>
    </w:p>
    <w:p>
      <w:pPr>
        <w:pStyle w:val="Heading4"/>
        <w:tabs>
          <w:tab w:val="clear" w:pos="284"/>
          <w:tab w:val="left" w:pos="1425" w:leader="none"/>
        </w:tabs>
        <w:ind w:left="1425" w:hanging="1425"/>
        <w:rPr/>
      </w:pPr>
      <w:bookmarkStart w:id="83" w:name="__RefHeading___Toc399247580"/>
      <w:bookmarkEnd w:id="83"/>
      <w:r>
        <w:rPr/>
        <w:t>6.3.1.1</w:t>
        <w:tab/>
        <w:t>LCS charging information assignment for Service Information</w:t>
      </w:r>
    </w:p>
    <w:p>
      <w:pPr>
        <w:pStyle w:val="Normal"/>
        <w:keepNext w:val="true"/>
        <w:rPr/>
      </w:pPr>
      <w:r>
        <w:rPr/>
        <w:t xml:space="preserve">The components in the Service Information that are use for LCS charging can be found in Table 6.3.1.1. </w:t>
      </w:r>
    </w:p>
    <w:p>
      <w:pPr>
        <w:pStyle w:val="TH"/>
        <w:rPr/>
      </w:pPr>
      <w:r>
        <w:rPr>
          <w:rFonts w:eastAsia="MS Mincho;ＭＳ 明朝"/>
        </w:rPr>
        <w:t>Table 6.3.1.1.1: Service Information</w:t>
      </w:r>
      <w:r>
        <w:rPr/>
        <w:t xml:space="preserve"> used for LCS Charging</w:t>
      </w:r>
    </w:p>
    <w:tbl>
      <w:tblPr>
        <w:tblW w:w="8506" w:type="dxa"/>
        <w:jc w:val="center"/>
        <w:tblInd w:w="0" w:type="dxa"/>
        <w:tblLayout w:type="fixed"/>
        <w:tblCellMar>
          <w:top w:w="0" w:type="dxa"/>
          <w:left w:w="28" w:type="dxa"/>
          <w:bottom w:w="0" w:type="dxa"/>
          <w:right w:w="28" w:type="dxa"/>
        </w:tblCellMar>
      </w:tblPr>
      <w:tblGrid>
        <w:gridCol w:w="1941"/>
        <w:gridCol w:w="837"/>
        <w:gridCol w:w="5728"/>
      </w:tblGrid>
      <w:tr>
        <w:trPr>
          <w:cantSplit w:val="true"/>
        </w:trPr>
        <w:tc>
          <w:tcPr>
            <w:tcW w:w="194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Element</w:t>
            </w:r>
          </w:p>
        </w:tc>
        <w:tc>
          <w:tcPr>
            <w:tcW w:w="837"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rPr>
            </w:pPr>
            <w:r>
              <w:rPr>
                <w:szCs w:val="18"/>
              </w:rPr>
              <w:t>Category</w:t>
            </w:r>
          </w:p>
        </w:tc>
        <w:tc>
          <w:tcPr>
            <w:tcW w:w="572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t>Service Information</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M</w:t>
            </w:r>
          </w:p>
        </w:tc>
        <w:tc>
          <w:tcPr>
            <w:tcW w:w="5728" w:type="dxa"/>
            <w:tcBorders>
              <w:top w:val="single" w:sz="4" w:space="0" w:color="000000"/>
              <w:left w:val="single" w:sz="4" w:space="0" w:color="000000"/>
              <w:bottom w:val="single" w:sz="4" w:space="0" w:color="000000"/>
              <w:right w:val="single" w:sz="4" w:space="0" w:color="000000"/>
            </w:tcBorders>
          </w:tcPr>
          <w:p>
            <w:pPr>
              <w:pStyle w:val="TAL"/>
              <w:rPr/>
            </w:pPr>
            <w:r>
              <w:rPr/>
              <w:t>A set of fields hold the 3GPP specific parameter</w:t>
              <w:br/>
              <w:t xml:space="preserve"> as defined in TS 32.299 [50]. </w:t>
            </w:r>
          </w:p>
        </w:tc>
      </w:tr>
      <w:tr>
        <w:trPr>
          <w:cantSplit w:val="true"/>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b/>
              <w:t>Subscriber Identifier</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M</w:t>
            </w:r>
          </w:p>
        </w:tc>
        <w:tc>
          <w:tcPr>
            <w:tcW w:w="5728" w:type="dxa"/>
            <w:tcBorders>
              <w:top w:val="single" w:sz="4" w:space="0" w:color="000000"/>
              <w:left w:val="single" w:sz="4" w:space="0" w:color="000000"/>
              <w:bottom w:val="single" w:sz="4" w:space="0" w:color="000000"/>
              <w:right w:val="single" w:sz="4" w:space="0" w:color="000000"/>
            </w:tcBorders>
          </w:tcPr>
          <w:p>
            <w:pPr>
              <w:pStyle w:val="TAL"/>
              <w:rPr/>
            </w:pPr>
            <w:r>
              <w:rPr/>
              <w:t>Used as defined in TS 32.260 [20].</w:t>
            </w:r>
          </w:p>
        </w:tc>
      </w:tr>
      <w:tr>
        <w:trPr>
          <w:cantSplit w:val="true"/>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tab/>
              <w:t>LCS Information</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M</w:t>
            </w:r>
          </w:p>
        </w:tc>
        <w:tc>
          <w:tcPr>
            <w:tcW w:w="5728"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a set of MMTel services with theirs specific parameters. </w:t>
              <w:br/>
              <w:t>The details are defined in clause 6.3.1.2.</w:t>
            </w:r>
          </w:p>
        </w:tc>
      </w:tr>
    </w:tbl>
    <w:p>
      <w:pPr>
        <w:pStyle w:val="Normal"/>
        <w:rPr>
          <w:rFonts w:eastAsia="MS Mincho;ＭＳ 明朝"/>
        </w:rPr>
      </w:pPr>
      <w:r>
        <w:rPr>
          <w:rFonts w:eastAsia="MS Mincho;ＭＳ 明朝"/>
        </w:rPr>
      </w:r>
    </w:p>
    <w:p>
      <w:pPr>
        <w:pStyle w:val="Heading4"/>
        <w:ind w:left="1418" w:hanging="1418"/>
        <w:rPr/>
      </w:pPr>
      <w:bookmarkStart w:id="84" w:name="__RefHeading___Toc399247581"/>
      <w:bookmarkEnd w:id="84"/>
      <w:r>
        <w:rPr/>
        <w:t>6.3.1.2</w:t>
        <w:tab/>
        <w:t>Definition of the LCS Information</w:t>
      </w:r>
    </w:p>
    <w:p>
      <w:pPr>
        <w:pStyle w:val="Normal"/>
        <w:rPr/>
      </w:pPr>
      <w:r>
        <w:rPr/>
        <w:t xml:space="preserve">LCS specific charging information is provided within the LCS Information, and the detailed structure of the LCS Information can be found in table 6.3.1.2.1. </w:t>
      </w:r>
    </w:p>
    <w:p>
      <w:pPr>
        <w:pStyle w:val="TH"/>
        <w:rPr/>
      </w:pPr>
      <w:r>
        <w:rPr/>
        <w:t>Table 6.3.1.2.1: Structure of the LCS Information</w:t>
      </w:r>
    </w:p>
    <w:tbl>
      <w:tblPr>
        <w:tblW w:w="9441" w:type="dxa"/>
        <w:jc w:val="center"/>
        <w:tblInd w:w="0" w:type="dxa"/>
        <w:tblLayout w:type="fixed"/>
        <w:tblCellMar>
          <w:top w:w="0" w:type="dxa"/>
          <w:left w:w="28" w:type="dxa"/>
          <w:bottom w:w="0" w:type="dxa"/>
          <w:right w:w="107" w:type="dxa"/>
        </w:tblCellMar>
      </w:tblPr>
      <w:tblGrid>
        <w:gridCol w:w="1876"/>
        <w:gridCol w:w="916"/>
        <w:gridCol w:w="6649"/>
      </w:tblGrid>
      <w:tr>
        <w:trPr>
          <w:cantSplit w:val="true"/>
        </w:trPr>
        <w:tc>
          <w:tcPr>
            <w:tcW w:w="1876" w:type="dxa"/>
            <w:tcBorders>
              <w:top w:val="single" w:sz="6" w:space="0" w:color="000000"/>
              <w:left w:val="single" w:sz="6" w:space="0" w:color="000000"/>
              <w:bottom w:val="single" w:sz="6" w:space="0" w:color="000000"/>
              <w:right w:val="single" w:sz="6" w:space="0" w:color="000000"/>
            </w:tcBorders>
            <w:shd w:fill="D9D9D9" w:val="clear"/>
          </w:tcPr>
          <w:p>
            <w:pPr>
              <w:pStyle w:val="TAH"/>
              <w:rPr>
                <w:rFonts w:cs="Arial"/>
                <w:szCs w:val="18"/>
              </w:rPr>
            </w:pPr>
            <w:r>
              <w:rPr/>
              <w:t>Information Element</w:t>
            </w:r>
          </w:p>
        </w:tc>
        <w:tc>
          <w:tcPr>
            <w:tcW w:w="916" w:type="dxa"/>
            <w:tcBorders>
              <w:top w:val="single" w:sz="6" w:space="0" w:color="000000"/>
              <w:left w:val="single" w:sz="6" w:space="0" w:color="000000"/>
              <w:bottom w:val="single" w:sz="6" w:space="0" w:color="000000"/>
              <w:right w:val="single" w:sz="6" w:space="0" w:color="000000"/>
            </w:tcBorders>
            <w:shd w:fill="D9D9D9" w:val="clear"/>
          </w:tcPr>
          <w:p>
            <w:pPr>
              <w:pStyle w:val="TAH"/>
              <w:rPr>
                <w:szCs w:val="18"/>
              </w:rPr>
            </w:pPr>
            <w:r>
              <w:rPr>
                <w:szCs w:val="18"/>
              </w:rPr>
              <w:t>Category</w:t>
            </w:r>
          </w:p>
        </w:tc>
        <w:tc>
          <w:tcPr>
            <w:tcW w:w="6649"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t>Description</w:t>
            </w:r>
          </w:p>
        </w:tc>
      </w:tr>
      <w:tr>
        <w:trPr>
          <w:cantSplit w:val="true"/>
        </w:trPr>
        <w:tc>
          <w:tcPr>
            <w:tcW w:w="1876"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LCS Client ID</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6649" w:type="dxa"/>
            <w:tcBorders>
              <w:top w:val="single" w:sz="6" w:space="0" w:color="000000"/>
              <w:left w:val="single" w:sz="6" w:space="0" w:color="000000"/>
              <w:bottom w:val="single" w:sz="6" w:space="0" w:color="000000"/>
              <w:right w:val="single" w:sz="6" w:space="0" w:color="000000"/>
            </w:tcBorders>
          </w:tcPr>
          <w:p>
            <w:pPr>
              <w:pStyle w:val="TAL"/>
              <w:rPr/>
            </w:pPr>
            <w:r>
              <w:rPr/>
              <w:t>This field holds the ID of the LCS client that invoked the LR, if available.</w:t>
            </w:r>
          </w:p>
        </w:tc>
      </w:tr>
      <w:tr>
        <w:trPr>
          <w:cantSplit w:val="true"/>
        </w:trPr>
        <w:tc>
          <w:tcPr>
            <w:tcW w:w="1876" w:type="dxa"/>
            <w:tcBorders>
              <w:top w:val="single" w:sz="6" w:space="0" w:color="000000"/>
              <w:left w:val="single" w:sz="6" w:space="0" w:color="000000"/>
              <w:bottom w:val="single" w:sz="6" w:space="0" w:color="000000"/>
              <w:right w:val="single" w:sz="6" w:space="0" w:color="000000"/>
            </w:tcBorders>
          </w:tcPr>
          <w:p>
            <w:pPr>
              <w:pStyle w:val="TAL"/>
              <w:rPr/>
            </w:pPr>
            <w:r>
              <w:rPr/>
              <w:t>Location Type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6649" w:type="dxa"/>
            <w:tcBorders>
              <w:top w:val="single" w:sz="6" w:space="0" w:color="000000"/>
              <w:left w:val="single" w:sz="6" w:space="0" w:color="000000"/>
              <w:bottom w:val="single" w:sz="6" w:space="0" w:color="000000"/>
              <w:right w:val="single" w:sz="6" w:space="0" w:color="000000"/>
            </w:tcBorders>
          </w:tcPr>
          <w:p>
            <w:pPr>
              <w:pStyle w:val="TAL"/>
              <w:rPr/>
            </w:pPr>
            <w:r>
              <w:rPr/>
              <w:t>This field holds the type of location information being requested in case of MT-LR.</w:t>
            </w:r>
          </w:p>
        </w:tc>
      </w:tr>
      <w:tr>
        <w:trPr>
          <w:cantSplit w:val="true"/>
        </w:trPr>
        <w:tc>
          <w:tcPr>
            <w:tcW w:w="1876" w:type="dxa"/>
            <w:tcBorders>
              <w:top w:val="single" w:sz="6" w:space="0" w:color="000000"/>
              <w:left w:val="single" w:sz="6" w:space="0" w:color="000000"/>
              <w:bottom w:val="single" w:sz="6" w:space="0" w:color="000000"/>
              <w:right w:val="single" w:sz="6" w:space="0" w:color="000000"/>
            </w:tcBorders>
          </w:tcPr>
          <w:p>
            <w:pPr>
              <w:pStyle w:val="TAL"/>
              <w:rPr/>
            </w:pPr>
            <w:r>
              <w:rPr/>
              <w:t>Location Estimate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664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 xml:space="preserve">This field denotes the location of an MS in universal coordinates and </w:t>
              <w:br/>
              <w:t>the accuracy of the estimate upon succesful MO-LR.</w:t>
            </w:r>
          </w:p>
        </w:tc>
      </w:tr>
      <w:tr>
        <w:trPr>
          <w:cantSplit w:val="true"/>
        </w:trPr>
        <w:tc>
          <w:tcPr>
            <w:tcW w:w="1876" w:type="dxa"/>
            <w:tcBorders>
              <w:top w:val="single" w:sz="6" w:space="0" w:color="000000"/>
              <w:left w:val="single" w:sz="6" w:space="0" w:color="000000"/>
              <w:bottom w:val="single" w:sz="6" w:space="0" w:color="000000"/>
              <w:right w:val="single" w:sz="6" w:space="0" w:color="000000"/>
            </w:tcBorders>
          </w:tcPr>
          <w:p>
            <w:pPr>
              <w:pStyle w:val="TAL"/>
              <w:rPr/>
            </w:pPr>
            <w:r>
              <w:rPr/>
              <w:t>Positioning Data</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Oc</w:t>
            </w:r>
          </w:p>
        </w:tc>
        <w:tc>
          <w:tcPr>
            <w:tcW w:w="6649"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 xml:space="preserve">This field indicates the positioning method that was attempted </w:t>
              <w:br/>
              <w:t>to determine the location estimate for MO-LR, if available.</w:t>
            </w:r>
          </w:p>
        </w:tc>
      </w:tr>
    </w:tbl>
    <w:p>
      <w:pPr>
        <w:pStyle w:val="Normal"/>
        <w:rPr/>
      </w:pPr>
      <w:r>
        <w:rPr/>
      </w:r>
      <w:r>
        <w:br w:type="page"/>
      </w:r>
    </w:p>
    <w:p>
      <w:pPr>
        <w:pStyle w:val="Heading8"/>
        <w:ind w:left="0" w:hanging="0"/>
        <w:rPr/>
      </w:pPr>
      <w:bookmarkStart w:id="85" w:name="__RefHeading___Toc399247582"/>
      <w:bookmarkEnd w:id="85"/>
      <w:r>
        <w:rPr/>
        <w:t>Annex A (informative):</w:t>
        <w:br/>
        <w:t>Bibliography</w:t>
      </w:r>
    </w:p>
    <w:p>
      <w:pPr>
        <w:pStyle w:val="Normal"/>
        <w:rPr/>
      </w:pPr>
      <w:r>
        <w:rPr>
          <w:lang w:bidi="ar-IQ"/>
        </w:rPr>
        <w:t xml:space="preserve">This Annex is a placeholder for </w:t>
      </w:r>
      <w:r>
        <w:rPr/>
        <w:t>documents which are not explicitly cited in this specification.</w:t>
      </w:r>
      <w:r>
        <w:br w:type="page"/>
      </w:r>
    </w:p>
    <w:p>
      <w:pPr>
        <w:pStyle w:val="Heading8"/>
        <w:ind w:left="0" w:hanging="0"/>
        <w:rPr/>
      </w:pPr>
      <w:bookmarkStart w:id="86" w:name="__RefHeading___Toc399247583"/>
      <w:bookmarkEnd w:id="86"/>
      <w:r>
        <w:rPr/>
        <w:t>Annex B (informative):</w:t>
        <w:br/>
        <w:t>Change history</w:t>
      </w:r>
    </w:p>
    <w:tbl>
      <w:tblPr>
        <w:tblW w:w="5050" w:type="pct"/>
        <w:jc w:val="left"/>
        <w:tblInd w:w="-47" w:type="dxa"/>
        <w:tblLayout w:type="fixed"/>
        <w:tblCellMar>
          <w:top w:w="0" w:type="dxa"/>
          <w:left w:w="40" w:type="dxa"/>
          <w:bottom w:w="0" w:type="dxa"/>
          <w:right w:w="40" w:type="dxa"/>
        </w:tblCellMar>
      </w:tblPr>
      <w:tblGrid>
        <w:gridCol w:w="819"/>
        <w:gridCol w:w="588"/>
        <w:gridCol w:w="948"/>
        <w:gridCol w:w="450"/>
        <w:gridCol w:w="375"/>
        <w:gridCol w:w="4813"/>
        <w:gridCol w:w="479"/>
        <w:gridCol w:w="640"/>
        <w:gridCol w:w="622"/>
      </w:tblGrid>
      <w:tr>
        <w:trPr>
          <w:cantSplit w:val="true"/>
        </w:trPr>
        <w:tc>
          <w:tcPr>
            <w:tcW w:w="9734"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1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8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4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1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47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64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2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2003</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SA_21</w:t>
            </w:r>
          </w:p>
        </w:tc>
        <w:tc>
          <w:tcPr>
            <w:tcW w:w="94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SP-030411</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Submitted to TSG SA#21 for Information</w:t>
            </w:r>
          </w:p>
        </w:tc>
        <w:tc>
          <w:tcPr>
            <w:tcW w:w="4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w:t>
            </w:r>
          </w:p>
        </w:tc>
      </w:tr>
      <w:tr>
        <w:trPr/>
        <w:tc>
          <w:tcPr>
            <w:tcW w:w="8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SA_26</w:t>
            </w:r>
          </w:p>
        </w:tc>
        <w:tc>
          <w:tcPr>
            <w:tcW w:w="94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SP-040781</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Submitted to TSG SA#26 for Approval</w:t>
            </w:r>
          </w:p>
        </w:tc>
        <w:tc>
          <w:tcPr>
            <w:tcW w:w="4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r>
      <w:tr>
        <w:trPr/>
        <w:tc>
          <w:tcPr>
            <w:tcW w:w="8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2005</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w:t>
            </w:r>
            <w:r>
              <w:rPr>
                <w:rFonts w:cs="Arial"/>
                <w:bCs/>
                <w:sz w:val="16"/>
                <w:szCs w:val="16"/>
              </w:rPr>
              <w:t>A</w:t>
            </w:r>
            <w:r>
              <w:rPr>
                <w:sz w:val="16"/>
                <w:szCs w:val="16"/>
              </w:rPr>
              <w:t>_28</w:t>
            </w:r>
          </w:p>
        </w:tc>
        <w:tc>
          <w:tcPr>
            <w:tcW w:w="94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SP-050278</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0001</w:t>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1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Add peer GMLC Identification and network ID to LCS CDRs</w:t>
            </w:r>
          </w:p>
        </w:tc>
        <w:tc>
          <w:tcPr>
            <w:tcW w:w="47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C</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6.0.0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6.1.0</w:t>
            </w:r>
          </w:p>
        </w:tc>
      </w:tr>
      <w:tr>
        <w:trPr/>
        <w:tc>
          <w:tcPr>
            <w:tcW w:w="8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2005</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w:t>
            </w:r>
            <w:r>
              <w:rPr>
                <w:rFonts w:cs="Arial"/>
                <w:bCs/>
                <w:sz w:val="16"/>
                <w:szCs w:val="16"/>
              </w:rPr>
              <w:t>A</w:t>
            </w:r>
            <w:r>
              <w:rPr>
                <w:sz w:val="16"/>
                <w:szCs w:val="16"/>
              </w:rPr>
              <w:t>_28</w:t>
            </w:r>
          </w:p>
        </w:tc>
        <w:tc>
          <w:tcPr>
            <w:tcW w:w="94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SP-050278</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0002</w:t>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1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Correction to scope</w:t>
            </w:r>
          </w:p>
        </w:tc>
        <w:tc>
          <w:tcPr>
            <w:tcW w:w="47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F</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6.0.0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6.1.0</w:t>
            </w:r>
          </w:p>
        </w:tc>
      </w:tr>
      <w:tr>
        <w:trPr/>
        <w:tc>
          <w:tcPr>
            <w:tcW w:w="8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2005</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w:t>
            </w:r>
            <w:r>
              <w:rPr>
                <w:rFonts w:cs="Arial"/>
                <w:bCs/>
                <w:sz w:val="16"/>
                <w:szCs w:val="16"/>
              </w:rPr>
              <w:t>A</w:t>
            </w:r>
            <w:r>
              <w:rPr>
                <w:sz w:val="16"/>
                <w:szCs w:val="16"/>
              </w:rPr>
              <w:t>_28</w:t>
            </w:r>
          </w:p>
        </w:tc>
        <w:tc>
          <w:tcPr>
            <w:tcW w:w="94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SP-050278</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0003</w:t>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1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Correction to references</w:t>
            </w:r>
          </w:p>
        </w:tc>
        <w:tc>
          <w:tcPr>
            <w:tcW w:w="47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F</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6.0.0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6.1.0</w:t>
            </w:r>
          </w:p>
        </w:tc>
      </w:tr>
      <w:tr>
        <w:trPr/>
        <w:tc>
          <w:tcPr>
            <w:tcW w:w="8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2005</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SA_29</w:t>
            </w:r>
          </w:p>
        </w:tc>
        <w:tc>
          <w:tcPr>
            <w:tcW w:w="94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SP-050622</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0004</w:t>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w:t>
            </w:r>
          </w:p>
        </w:tc>
        <w:tc>
          <w:tcPr>
            <w:tcW w:w="481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Correct GMLC address used in LCS CDRs</w:t>
            </w:r>
          </w:p>
        </w:tc>
        <w:tc>
          <w:tcPr>
            <w:tcW w:w="47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F</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6.1.0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6.2.0</w:t>
            </w:r>
          </w:p>
        </w:tc>
      </w:tr>
      <w:tr>
        <w:trPr>
          <w:trHeight w:val="63" w:hRule="atLeast"/>
        </w:trPr>
        <w:tc>
          <w:tcPr>
            <w:tcW w:w="8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2007</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rPr>
              <w:t>SA_36</w:t>
            </w:r>
          </w:p>
        </w:tc>
        <w:tc>
          <w:tcPr>
            <w:tcW w:w="94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eastAsia="MS Mincho;ＭＳ 明朝" w:cs="Arial"/>
                <w:color w:val="000000"/>
                <w:sz w:val="16"/>
                <w:szCs w:val="16"/>
                <w:lang w:eastAsia="zh-CN"/>
              </w:rPr>
              <w:t>Automatic upgrade to Rel-7 (no CR) at freeze of Rel-7.</w:t>
            </w:r>
          </w:p>
        </w:tc>
        <w:tc>
          <w:tcPr>
            <w:tcW w:w="4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eastAsia="MS Mincho;ＭＳ 明朝"/>
                <w:color w:val="000000"/>
                <w:sz w:val="16"/>
                <w:szCs w:val="16"/>
                <w:lang w:eastAsia="zh-TW" w:bidi="en-US"/>
              </w:rPr>
              <w:t>6.2.0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sz w:val="16"/>
              </w:rPr>
              <w:t>7.0.0</w:t>
            </w:r>
          </w:p>
        </w:tc>
      </w:tr>
      <w:tr>
        <w:trPr/>
        <w:tc>
          <w:tcPr>
            <w:tcW w:w="8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SA_42</w:t>
            </w:r>
          </w:p>
        </w:tc>
        <w:tc>
          <w:tcPr>
            <w:tcW w:w="94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SP-080841</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1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eastAsia="MS Mincho;ＭＳ 明朝"/>
                <w:color w:val="000000"/>
                <w:sz w:val="16"/>
                <w:szCs w:val="16"/>
                <w:lang w:eastAsia="zh-TW" w:bidi="en-US"/>
              </w:rPr>
            </w:pPr>
            <w:r>
              <w:rPr>
                <w:rFonts w:eastAsia="MS Mincho;ＭＳ 明朝"/>
                <w:color w:val="000000"/>
                <w:sz w:val="16"/>
                <w:szCs w:val="16"/>
                <w:lang w:eastAsia="zh-TW" w:bidi="en-US"/>
              </w:rPr>
              <w:t>Correction on Multiple Service indication and parameter</w:t>
            </w:r>
          </w:p>
        </w:tc>
        <w:tc>
          <w:tcPr>
            <w:tcW w:w="47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eastAsia="MS Mincho;ＭＳ 明朝"/>
                <w:color w:val="000000"/>
                <w:sz w:val="16"/>
                <w:szCs w:val="16"/>
                <w:lang w:eastAsia="zh-TW" w:bidi="en-US"/>
              </w:rPr>
            </w:pPr>
            <w:r>
              <w:rPr>
                <w:rFonts w:eastAsia="MS Mincho;ＭＳ 明朝"/>
                <w:color w:val="000000"/>
                <w:sz w:val="16"/>
                <w:szCs w:val="16"/>
                <w:lang w:eastAsia="zh-TW" w:bidi="en-US"/>
              </w:rPr>
              <w:t>F</w:t>
            </w:r>
          </w:p>
        </w:tc>
        <w:tc>
          <w:tcPr>
            <w:tcW w:w="64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eastAsia="MS Mincho;ＭＳ 明朝"/>
                <w:color w:val="000000"/>
                <w:sz w:val="16"/>
                <w:szCs w:val="16"/>
                <w:lang w:eastAsia="zh-TW" w:bidi="en-US"/>
              </w:rPr>
            </w:pPr>
            <w:r>
              <w:rPr>
                <w:rFonts w:eastAsia="MS Mincho;ＭＳ 明朝"/>
                <w:color w:val="000000"/>
                <w:sz w:val="16"/>
                <w:szCs w:val="16"/>
                <w:lang w:eastAsia="zh-TW" w:bidi="en-US"/>
              </w:rPr>
              <w:t>7.0.0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7.1.0</w:t>
            </w:r>
          </w:p>
        </w:tc>
      </w:tr>
      <w:tr>
        <w:trPr/>
        <w:tc>
          <w:tcPr>
            <w:tcW w:w="81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Dec 2008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SA_42</w:t>
            </w:r>
          </w:p>
        </w:tc>
        <w:tc>
          <w:tcPr>
            <w:tcW w:w="94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1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47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7.1.0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r>
      <w:tr>
        <w:trPr/>
        <w:tc>
          <w:tcPr>
            <w:tcW w:w="8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2009</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1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sz w:val="16"/>
                <w:szCs w:val="16"/>
              </w:rPr>
              <w:t>Update to Rel-9 version (MCC)</w:t>
            </w:r>
          </w:p>
        </w:tc>
        <w:tc>
          <w:tcPr>
            <w:tcW w:w="47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rPr>
            </w:pPr>
            <w:r>
              <w:rPr>
                <w:rFonts w:cs="Arial"/>
                <w:color w:val="000000"/>
                <w:sz w:val="16"/>
                <w:szCs w:val="16"/>
              </w:rPr>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8.0.0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9.0.0</w:t>
            </w:r>
          </w:p>
        </w:tc>
      </w:tr>
      <w:tr>
        <w:trPr/>
        <w:tc>
          <w:tcPr>
            <w:tcW w:w="8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2010</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SA_50</w:t>
            </w:r>
          </w:p>
        </w:tc>
        <w:tc>
          <w:tcPr>
            <w:tcW w:w="9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SP-100759</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0006</w:t>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8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Change the Title of Clause 6.1.1 to "Rf message contents"</w:t>
            </w:r>
          </w:p>
        </w:tc>
        <w:tc>
          <w:tcPr>
            <w:tcW w:w="4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9.0.0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10.0.0</w:t>
            </w:r>
          </w:p>
        </w:tc>
      </w:tr>
      <w:tr>
        <w:trPr/>
        <w:tc>
          <w:tcPr>
            <w:tcW w:w="81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Jun 2012</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SA_56</w:t>
            </w:r>
          </w:p>
        </w:tc>
        <w:tc>
          <w:tcPr>
            <w:tcW w:w="9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SP-120361</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0012</w:t>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481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 of Location Information field in LCS Charging</w:t>
            </w:r>
          </w:p>
        </w:tc>
        <w:tc>
          <w:tcPr>
            <w:tcW w:w="4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10.0.0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10.1.0</w:t>
            </w:r>
          </w:p>
        </w:tc>
      </w:tr>
      <w:tr>
        <w:trPr/>
        <w:tc>
          <w:tcPr>
            <w:tcW w:w="8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2012-09</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Rel-11 version (MCC)</w:t>
            </w:r>
          </w:p>
        </w:tc>
        <w:tc>
          <w:tcPr>
            <w:tcW w:w="4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10.1.0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11.0.0</w:t>
            </w:r>
          </w:p>
        </w:tc>
      </w:tr>
      <w:tr>
        <w:trPr/>
        <w:tc>
          <w:tcPr>
            <w:tcW w:w="8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2013-03</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SA_59</w:t>
            </w:r>
          </w:p>
        </w:tc>
        <w:tc>
          <w:tcPr>
            <w:tcW w:w="9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SP-130054</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0013</w:t>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invalid reference to LCS offline charging architecture</w:t>
            </w:r>
          </w:p>
        </w:tc>
        <w:tc>
          <w:tcPr>
            <w:tcW w:w="4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11.0.0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11.1.0</w:t>
            </w:r>
          </w:p>
        </w:tc>
      </w:tr>
      <w:tr>
        <w:trPr/>
        <w:tc>
          <w:tcPr>
            <w:tcW w:w="81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2013-03</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4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8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changes on CDR tables (MCC)</w:t>
            </w:r>
          </w:p>
        </w:tc>
        <w:tc>
          <w:tcPr>
            <w:tcW w:w="47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11.1.1</w:t>
            </w:r>
          </w:p>
        </w:tc>
      </w:tr>
      <w:tr>
        <w:trPr/>
        <w:tc>
          <w:tcPr>
            <w:tcW w:w="8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2014-07</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Rapporteur/MCC: General editorial changes and clean-up.</w:t>
            </w:r>
          </w:p>
        </w:tc>
        <w:tc>
          <w:tcPr>
            <w:tcW w:w="47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11.1.2</w:t>
            </w:r>
          </w:p>
        </w:tc>
      </w:tr>
      <w:tr>
        <w:trPr/>
        <w:tc>
          <w:tcPr>
            <w:tcW w:w="8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2014-09</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SA_65</w:t>
            </w:r>
          </w:p>
        </w:tc>
        <w:tc>
          <w:tcPr>
            <w:tcW w:w="9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SP-140564</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0014</w:t>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for alignment between charging specifications</w:t>
            </w:r>
          </w:p>
        </w:tc>
        <w:tc>
          <w:tcPr>
            <w:tcW w:w="4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12.0.0</w:t>
            </w:r>
          </w:p>
        </w:tc>
      </w:tr>
      <w:tr>
        <w:trPr/>
        <w:tc>
          <w:tcPr>
            <w:tcW w:w="81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2014-12</w:t>
            </w:r>
          </w:p>
        </w:tc>
        <w:tc>
          <w:tcPr>
            <w:tcW w:w="588"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SA_66</w:t>
            </w:r>
          </w:p>
        </w:tc>
        <w:tc>
          <w:tcPr>
            <w:tcW w:w="9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SP-140804</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0015</w:t>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Additional corrections for removal of I-WLAN solution</w:t>
            </w:r>
          </w:p>
        </w:tc>
        <w:tc>
          <w:tcPr>
            <w:tcW w:w="4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64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12.0.0</w:t>
            </w:r>
          </w:p>
        </w:tc>
        <w:tc>
          <w:tcPr>
            <w:tcW w:w="622"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12.1.0</w:t>
            </w:r>
          </w:p>
        </w:tc>
      </w:tr>
      <w:tr>
        <w:trPr/>
        <w:tc>
          <w:tcPr>
            <w:tcW w:w="81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88"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SP-140805</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0016</w:t>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on definition for parameter category</w:t>
            </w:r>
          </w:p>
        </w:tc>
        <w:tc>
          <w:tcPr>
            <w:tcW w:w="4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64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22"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8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2016-01</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4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8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Rel-13 (MCC)</w:t>
            </w:r>
          </w:p>
        </w:tc>
        <w:tc>
          <w:tcPr>
            <w:tcW w:w="47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12.1.0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SP-170138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0018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C</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Remove reference to RFC 3588</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rPr>
            </w:pPr>
            <w:r>
              <w:rPr>
                <w:b/>
                <w:sz w:val="16"/>
                <w:szCs w:val="16"/>
              </w:rPr>
              <w:t>16.0.0</w:t>
            </w:r>
          </w:p>
        </w:tc>
      </w:tr>
    </w:tbl>
    <w:p>
      <w:pPr>
        <w:pStyle w:val="Normal"/>
        <w:rPr>
          <w:rFonts w:ascii="Arial" w:hAnsi="Arial" w:cs="Arial"/>
          <w:sz w:val="16"/>
        </w:rPr>
      </w:pPr>
      <w:r>
        <w:rPr>
          <w:rFonts w:cs="Arial" w:ascii="Arial" w:hAnsi="Arial"/>
          <w:sz w:val="16"/>
        </w:rPr>
      </w:r>
    </w:p>
    <w:p>
      <w:pPr>
        <w:pStyle w:val="Normal"/>
        <w:spacing w:before="0" w:after="180"/>
        <w:rPr>
          <w:rFonts w:ascii="Arial" w:hAnsi="Arial" w:cs="Arial"/>
          <w:sz w:val="16"/>
        </w:rPr>
      </w:pPr>
      <w:r>
        <w:rPr>
          <w:rFonts w:cs="Arial" w:ascii="Arial" w:hAnsi="Arial"/>
          <w:sz w:val="16"/>
        </w:rPr>
      </w:r>
    </w:p>
    <w:sectPr>
      <w:headerReference w:type="default" r:id="rId22"/>
      <w:footerReference w:type="default" r:id="rId23"/>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0">
              <wp:simplePos x="0" y="0"/>
              <wp:positionH relativeFrom="page">
                <wp:posOffset>4624070</wp:posOffset>
              </wp:positionH>
              <wp:positionV relativeFrom="paragraph">
                <wp:posOffset>32385</wp:posOffset>
              </wp:positionV>
              <wp:extent cx="1818640" cy="131445"/>
              <wp:effectExtent l="0" t="0" r="0" b="0"/>
              <wp:wrapSquare wrapText="largest"/>
              <wp:docPr id="19"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32.271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2.55pt;mso-position-vertical-relative:text;margin-left:364.1pt;mso-position-horizontal-relative:page">
              <v:fill opacity="0f"/>
              <v:textbox inset="0in,0in,0in,0in">
                <w:txbxContent>
                  <w:p>
                    <w:pPr>
                      <w:pStyle w:val="Header"/>
                      <w:widowControl/>
                      <w:rPr/>
                    </w:pPr>
                    <w:r>
                      <w:fldChar w:fldCharType="begin"/>
                    </w:r>
                    <w:r>
                      <w:rPr/>
                      <w:instrText xml:space="preserve"> STYLEREF ZA </w:instrText>
                    </w:r>
                    <w:r>
                      <w:rPr/>
                    </w:r>
                    <w:r>
                      <w:rPr/>
                      <w:fldChar w:fldCharType="separate"/>
                    </w:r>
                    <w:r>
                      <w:rPr/>
                      <w:t>3GPP TS 32.271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0">
              <wp:simplePos x="0" y="0"/>
              <wp:positionH relativeFrom="margin">
                <wp:align>center</wp:align>
              </wp:positionH>
              <wp:positionV relativeFrom="paragraph">
                <wp:posOffset>635</wp:posOffset>
              </wp:positionV>
              <wp:extent cx="127635"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0">
              <wp:simplePos x="0" y="0"/>
              <wp:positionH relativeFrom="margin">
                <wp:align>left</wp:align>
              </wp:positionH>
              <wp:positionV relativeFrom="paragraph">
                <wp:posOffset>635</wp:posOffset>
              </wp:positionV>
              <wp:extent cx="591820" cy="131445"/>
              <wp:effectExtent l="0" t="0" r="0" b="0"/>
              <wp:wrapSquare wrapText="largest"/>
              <wp:docPr id="21"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z w:val="16"/>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16z0">
    <w:name w:val="WW8NumSt16z0"/>
    <w:qFormat/>
    <w:rPr>
      <w:rFonts w:ascii="Symbol" w:hAnsi="Symbol" w:cs="Symbol"/>
    </w:rPr>
  </w:style>
  <w:style w:type="character" w:styleId="WW8NumSt16z1">
    <w:name w:val="WW8NumSt16z1"/>
    <w:qFormat/>
    <w:rPr>
      <w:rFonts w:ascii="Courier New" w:hAnsi="Courier New" w:cs="Courier New"/>
    </w:rPr>
  </w:style>
  <w:style w:type="character" w:styleId="WW8NumSt16z2">
    <w:name w:val="WW8NumSt16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NOChar">
    <w:name w:val="NO Char"/>
    <w:qFormat/>
    <w:rPr>
      <w:lang w:val="en-GB" w:bidi="ar-SA"/>
    </w:rPr>
  </w:style>
  <w:style w:type="character" w:styleId="EditorsNoteENChar">
    <w:name w:val="Editor's Note;EN Char"/>
    <w:qFormat/>
    <w:rPr>
      <w:color w:val="FF0000"/>
      <w:lang w:val="en-GB" w:bidi="ar-SA"/>
    </w:rPr>
  </w:style>
  <w:style w:type="character" w:styleId="THChar">
    <w:name w:val="TH Char"/>
    <w:qFormat/>
    <w:rPr>
      <w:rFonts w:ascii="Arial" w:hAnsi="Arial" w:cs="Arial"/>
      <w:b/>
      <w:lang w:val="en-GB" w:bidi="ar-SA"/>
    </w:rPr>
  </w:style>
  <w:style w:type="character" w:styleId="TALChar1">
    <w:name w:val="TAL Char1"/>
    <w:qFormat/>
    <w:rPr>
      <w:rFonts w:ascii="Arial" w:hAnsi="Arial" w:cs="Arial"/>
      <w:sz w:val="18"/>
      <w:lang w:val="en-GB" w:bidi="ar-SA"/>
    </w:rPr>
  </w:style>
  <w:style w:type="character" w:styleId="EXCar">
    <w:name w:val="EX C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NormalIndent">
    <w:name w:val="Normal Indent"/>
    <w:basedOn w:val="Normal"/>
    <w:qFormat/>
    <w:pPr>
      <w:ind w:left="708" w:hanging="0"/>
    </w:pPr>
    <w:rPr/>
  </w:style>
  <w:style w:type="paragraph" w:styleId="BodyText3">
    <w:name w:val="Body Text 3"/>
    <w:basedOn w:val="Normal"/>
    <w:qFormat/>
    <w:pPr>
      <w:spacing w:before="0" w:after="120"/>
    </w:pPr>
    <w:rPr>
      <w:sz w:val="16"/>
      <w:szCs w:val="16"/>
    </w:rPr>
  </w:style>
  <w:style w:type="paragraph" w:styleId="BalloonText">
    <w:name w:val="Balloon Text"/>
    <w:basedOn w:val="Normal"/>
    <w:qFormat/>
    <w:pPr/>
    <w:rPr>
      <w:rFonts w:ascii="Tahoma" w:hAnsi="Tahoma" w:cs="Tahoma"/>
      <w:sz w:val="16"/>
      <w:szCs w:val="16"/>
    </w:rPr>
  </w:style>
  <w:style w:type="paragraph" w:styleId="RetraitNormal3">
    <w:name w:val="RetraitNormal3"/>
    <w:basedOn w:val="Normal"/>
    <w:qFormat/>
    <w:pPr>
      <w:overflowPunct w:val="true"/>
      <w:autoSpaceDE w:val="true"/>
      <w:spacing w:before="0" w:after="0"/>
      <w:ind w:left="1560" w:hanging="0"/>
      <w:textAlignment w:val="auto"/>
    </w:pPr>
    <w:rPr>
      <w:sz w:val="24"/>
      <w:lang w:val="fr-FR"/>
    </w:rPr>
  </w:style>
  <w:style w:type="paragraph" w:styleId="E">
    <w:name w:val="E"/>
    <w:basedOn w:val="EditorsNote"/>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2020-07-09T16:06:00Z</dcterms:created>
  <dc:creator>MCC Support</dc:creator>
  <dc:description/>
  <cp:keywords>GSM UMTS LTE charging management LCS</cp:keywords>
  <dc:language>en-US</dc:language>
  <cp:lastModifiedBy>23.401_CR3602R2_(Rel-16)_5GS_Ph1, LTE_feMob-Core, </cp:lastModifiedBy>
  <cp:lastPrinted>2004-03-26T15:18:00Z</cp:lastPrinted>
  <dcterms:modified xsi:type="dcterms:W3CDTF">2020-07-09T16:06:00Z</dcterms:modified>
  <cp:revision>2</cp:revision>
  <dc:subject>Telecommunication management; Charging management; Location Services (LCS) charging (Release 16)</dc:subject>
  <dc:title>3GPP TS 32.271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114577566</vt:r8>
  </property>
  <property fmtid="{D5CDD505-2E9C-101B-9397-08002B2CF9AE}" pid="3" name="_AuthorEmail">
    <vt:lpwstr>alain.bibas@francetelecom.com</vt:lpwstr>
  </property>
  <property fmtid="{D5CDD505-2E9C-101B-9397-08002B2CF9AE}" pid="4" name="_AuthorEmailDisplayName">
    <vt:lpwstr>BIBAS Alain  FTRD/DMR/ISS</vt:lpwstr>
  </property>
  <property fmtid="{D5CDD505-2E9C-101B-9397-08002B2CF9AE}" pid="5" name="_EmailSubject">
    <vt:lpwstr/>
  </property>
  <property fmtid="{D5CDD505-2E9C-101B-9397-08002B2CF9AE}" pid="6" name="_PreviousAdHocReviewCycleID">
    <vt:r8>1433494793</vt:r8>
  </property>
  <property fmtid="{D5CDD505-2E9C-101B-9397-08002B2CF9AE}" pid="7" name="_ReviewingToolsShownOnce">
    <vt:lpwstr/>
  </property>
</Properties>
</file>