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4.wmf" ContentType="image/x-wmf"/>
  <Override PartName="/word/media/image2.png" ContentType="image/png"/>
  <Override PartName="/word/media/image3.wmf" ContentType="image/x-wmf"/>
  <Override PartName="/word/media/image5.wmf" ContentType="image/x-wmf"/>
  <Override PartName="/word/media/image10.wmf" ContentType="image/x-wmf"/>
  <Override PartName="/word/media/image6.wmf" ContentType="image/x-wmf"/>
  <Override PartName="/word/media/image11.wmf" ContentType="image/x-wmf"/>
  <Override PartName="/word/media/image7.wmf" ContentType="image/x-wmf"/>
  <Override PartName="/word/media/image12.wmf" ContentType="image/x-wmf"/>
  <Override PartName="/word/media/image8.wmf" ContentType="image/x-wmf"/>
  <Override PartName="/word/media/image9.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TS 32.290 </w:t>
                            </w:r>
                            <w:r>
                              <w:rPr>
                                <w:lang w:val="en-GB" w:eastAsia="en-US"/>
                              </w:rPr>
                              <w:t xml:space="preserve">V16.10.0 </w:t>
                            </w:r>
                            <w:r>
                              <w:rPr>
                                <w:sz w:val="32"/>
                                <w:lang w:val="en-GB" w:eastAsia="en-US"/>
                              </w:rPr>
                              <w:t>(2021-12)</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TS 32.290 </w:t>
                      </w:r>
                      <w:r>
                        <w:rPr>
                          <w:lang w:val="en-GB" w:eastAsia="en-US"/>
                        </w:rPr>
                        <w:t xml:space="preserve">V16.10.0 </w:t>
                      </w:r>
                      <w:r>
                        <w:rPr>
                          <w:sz w:val="32"/>
                          <w:lang w:val="en-GB" w:eastAsia="en-US"/>
                        </w:rPr>
                        <w:t>(2021-12)</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737995"/>
                <wp:effectExtent l="0" t="0" r="0" b="0"/>
                <wp:wrapTopAndBottom/>
                <wp:docPr id="3" name="Frame3"/>
                <a:graphic xmlns:a="http://schemas.openxmlformats.org/drawingml/2006/main">
                  <a:graphicData uri="http://schemas.microsoft.com/office/word/2010/wordprocessingShape">
                    <wps:wsp>
                      <wps:cNvSpPr txBox="1"/>
                      <wps:spPr>
                        <a:xfrm>
                          <a:off x="0" y="0"/>
                          <a:ext cx="6479540" cy="1737995"/>
                        </a:xfrm>
                        <a:prstGeom prst="rect"/>
                        <a:solidFill>
                          <a:srgbClr val="FFFFFF">
                            <a:alpha val="0"/>
                          </a:srgbClr>
                        </a:solidFill>
                      </wps:spPr>
                      <wps:txbx>
                        <w:txbxContent>
                          <w:p>
                            <w:pPr>
                              <w:pStyle w:val="ZT"/>
                              <w:rPr/>
                            </w:pPr>
                            <w:r>
                              <w:rPr/>
                              <w:t>3rd Generation Partnership Project;</w:t>
                            </w:r>
                          </w:p>
                          <w:p>
                            <w:pPr>
                              <w:pStyle w:val="ZT"/>
                              <w:rPr/>
                            </w:pPr>
                            <w:r>
                              <w:rPr/>
                              <w:t xml:space="preserve">Technical Specification Group </w:t>
                            </w:r>
                            <w:r>
                              <w:rPr>
                                <w:lang w:bidi="ar-IQ"/>
                              </w:rPr>
                              <w:t>Services and System Aspects</w:t>
                            </w:r>
                            <w:r>
                              <w:rPr/>
                              <w:t xml:space="preserve">; Telecommunication management; </w:t>
                            </w:r>
                          </w:p>
                          <w:p>
                            <w:pPr>
                              <w:pStyle w:val="ZT"/>
                              <w:rPr/>
                            </w:pPr>
                            <w:r>
                              <w:rPr/>
                              <w:t xml:space="preserve">Charging management; </w:t>
                            </w:r>
                          </w:p>
                          <w:p>
                            <w:pPr>
                              <w:pStyle w:val="ZT"/>
                              <w:rPr>
                                <w:lang w:eastAsia="zh-CN"/>
                              </w:rPr>
                            </w:pPr>
                            <w:r>
                              <w:rPr>
                                <w:lang w:eastAsia="zh-CN"/>
                              </w:rPr>
                              <w:t>5G system;</w:t>
                            </w:r>
                            <w:r>
                              <w:rPr>
                                <w:lang w:eastAsia="zh-CN"/>
                              </w:rPr>
                              <w:t xml:space="preserve"> Services, operations and procedures of </w:t>
                            </w:r>
                          </w:p>
                          <w:p>
                            <w:pPr>
                              <w:pStyle w:val="ZT"/>
                              <w:rPr/>
                            </w:pPr>
                            <w:r>
                              <w:rPr>
                                <w:lang w:eastAsia="zh-CN"/>
                              </w:rPr>
                              <w:t>charging using Service Based Interface (SBI)</w:t>
                            </w:r>
                            <w:r>
                              <w:rPr/>
                              <w:t xml:space="preserve"> </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136.85pt;mso-wrap-distance-left:0pt;mso-wrap-distance-right:0pt;mso-wrap-distance-top:0pt;mso-wrap-distance-bottom:0pt;margin-top:26.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 xml:space="preserve">Technical Specification Group </w:t>
                      </w:r>
                      <w:r>
                        <w:rPr>
                          <w:lang w:bidi="ar-IQ"/>
                        </w:rPr>
                        <w:t>Services and System Aspects</w:t>
                      </w:r>
                      <w:r>
                        <w:rPr/>
                        <w:t xml:space="preserve">; Telecommunication management; </w:t>
                      </w:r>
                    </w:p>
                    <w:p>
                      <w:pPr>
                        <w:pStyle w:val="ZT"/>
                        <w:rPr/>
                      </w:pPr>
                      <w:r>
                        <w:rPr/>
                        <w:t xml:space="preserve">Charging management; </w:t>
                      </w:r>
                    </w:p>
                    <w:p>
                      <w:pPr>
                        <w:pStyle w:val="ZT"/>
                        <w:rPr>
                          <w:lang w:eastAsia="zh-CN"/>
                        </w:rPr>
                      </w:pPr>
                      <w:r>
                        <w:rPr>
                          <w:lang w:eastAsia="zh-CN"/>
                        </w:rPr>
                        <w:t>5G system;</w:t>
                      </w:r>
                      <w:r>
                        <w:rPr>
                          <w:lang w:eastAsia="zh-CN"/>
                        </w:rPr>
                        <w:t xml:space="preserve"> Services, operations and procedures of </w:t>
                      </w:r>
                    </w:p>
                    <w:p>
                      <w:pPr>
                        <w:pStyle w:val="ZT"/>
                        <w:rPr/>
                      </w:pPr>
                      <w:r>
                        <w:rPr>
                          <w:lang w:eastAsia="zh-CN"/>
                        </w:rPr>
                        <w:t>charging using Service Based Interface (SBI)</w:t>
                      </w:r>
                      <w:r>
                        <w:rPr/>
                        <w:t xml:space="preserve"> </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color w:val="0000FF"/>
                                <w:lang w:val="en-GB" w:eastAsia="en-US"/>
                              </w:rPr>
                            </w:pPr>
                            <w:r>
                              <w:rPr>
                                <w:color w:val="0000FF"/>
                                <w:lang w:val="en-GB" w:eastAsia="en-US"/>
                              </w:rPr>
                            </w:r>
                          </w:p>
                          <w:p>
                            <w:pPr>
                              <w:pStyle w:val="ZU"/>
                              <w:tabs>
                                <w:tab w:val="clear" w:pos="284"/>
                                <w:tab w:val="right" w:pos="10206" w:leader="none"/>
                              </w:tabs>
                              <w:jc w:val="left"/>
                              <w:rPr>
                                <w:color w:val="0000FF"/>
                                <w:lang w:val="en-GB" w:eastAsia="en-US"/>
                              </w:rPr>
                            </w:pPr>
                            <w:r>
                              <w:rPr>
                                <w:color w:val="0000FF"/>
                                <w:lang w:val="en-GB" w:eastAsia="en-US"/>
                              </w:rPr>
                              <w:tab/>
                            </w:r>
                          </w:p>
                          <w:p>
                            <w:pPr>
                              <w:pStyle w:val="ZU"/>
                              <w:tabs>
                                <w:tab w:val="clear" w:pos="284"/>
                                <w:tab w:val="right" w:pos="10206" w:leader="none"/>
                              </w:tabs>
                              <w:jc w:val="left"/>
                              <w:rPr>
                                <w:lang w:val="en-GB" w:eastAsia="en-US"/>
                              </w:rPr>
                            </w:pPr>
                            <w:r>
                              <w:rPr>
                                <w:i/>
                                <w:lang w:val="en-GB" w:eastAsia="en-US"/>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rFonts w:eastAsia="Arial"/>
                                <w:i/>
                                <w:lang w:val="en-GB" w:eastAsia="en-US"/>
                              </w:rPr>
                              <w:t xml:space="preserve"> </w:t>
                            </w:r>
                            <w:r>
                              <w:rPr>
                                <w:color w:val="0000FF"/>
                                <w:lang w:val="en-GB" w:eastAsia="en-US"/>
                              </w:rPr>
                              <w:tab/>
                            </w:r>
                          </w:p>
                          <w:p>
                            <w:pPr>
                              <w:pStyle w:val="ZU"/>
                              <w:tabs>
                                <w:tab w:val="clear" w:pos="284"/>
                                <w:tab w:val="right" w:pos="10206" w:leader="none"/>
                              </w:tabs>
                              <w:jc w:val="left"/>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color w:val="0000FF"/>
                          <w:lang w:val="en-GB" w:eastAsia="en-US"/>
                        </w:rPr>
                      </w:pPr>
                      <w:r>
                        <w:rPr>
                          <w:color w:val="0000FF"/>
                          <w:lang w:val="en-GB" w:eastAsia="en-US"/>
                        </w:rPr>
                      </w:r>
                    </w:p>
                    <w:p>
                      <w:pPr>
                        <w:pStyle w:val="ZU"/>
                        <w:tabs>
                          <w:tab w:val="clear" w:pos="284"/>
                          <w:tab w:val="right" w:pos="10206" w:leader="none"/>
                        </w:tabs>
                        <w:jc w:val="left"/>
                        <w:rPr>
                          <w:color w:val="0000FF"/>
                          <w:lang w:val="en-GB" w:eastAsia="en-US"/>
                        </w:rPr>
                      </w:pPr>
                      <w:r>
                        <w:rPr>
                          <w:color w:val="0000FF"/>
                          <w:lang w:val="en-GB" w:eastAsia="en-US"/>
                        </w:rPr>
                        <w:tab/>
                      </w:r>
                    </w:p>
                    <w:p>
                      <w:pPr>
                        <w:pStyle w:val="ZU"/>
                        <w:tabs>
                          <w:tab w:val="clear" w:pos="284"/>
                          <w:tab w:val="right" w:pos="10206" w:leader="none"/>
                        </w:tabs>
                        <w:jc w:val="left"/>
                        <w:rPr>
                          <w:lang w:val="en-GB" w:eastAsia="en-US"/>
                        </w:rPr>
                      </w:pPr>
                      <w:r>
                        <w:rPr>
                          <w:i/>
                          <w:lang w:val="en-GB" w:eastAsia="en-US"/>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rFonts w:eastAsia="Arial"/>
                          <w:i/>
                          <w:lang w:val="en-GB" w:eastAsia="en-US"/>
                        </w:rPr>
                        <w:t xml:space="preserve"> </w:t>
                      </w:r>
                      <w:r>
                        <w:rPr>
                          <w:color w:val="0000FF"/>
                          <w:lang w:val="en-GB" w:eastAsia="en-US"/>
                        </w:rPr>
                        <w:tab/>
                      </w:r>
                    </w:p>
                    <w:p>
                      <w:pPr>
                        <w:pStyle w:val="ZU"/>
                        <w:tabs>
                          <w:tab w:val="clear" w:pos="284"/>
                          <w:tab w:val="right" w:pos="10206" w:leader="none"/>
                        </w:tabs>
                        <w:jc w:val="left"/>
                        <w:rPr>
                          <w:lang w:val="en-GB" w:eastAsia="en-US"/>
                        </w:rPr>
                      </w:pPr>
                      <w:r>
                        <w:rPr>
                          <w:lang w:val="en-GB" w:eastAsia="en-US"/>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79210" cy="874395"/>
                <wp:effectExtent l="0" t="0" r="0" b="0"/>
                <wp:wrapTopAndBottom/>
                <wp:docPr id="9" name="Frame5"/>
                <a:graphic xmlns:a="http://schemas.openxmlformats.org/drawingml/2006/main">
                  <a:graphicData uri="http://schemas.microsoft.com/office/word/2010/wordprocessingShape">
                    <wps:wsp>
                      <wps:cNvSpPr txBox="1"/>
                      <wps:spPr>
                        <a:xfrm>
                          <a:off x="0" y="0"/>
                          <a:ext cx="6379210" cy="874395"/>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2.3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tabs>
          <w:tab w:val="clear" w:pos="284"/>
          <w:tab w:val="left" w:pos="3450" w:leader="none"/>
        </w:tabs>
        <w:rPr/>
      </w:pPr>
      <w:bookmarkStart w:id="2" w:name="page2"/>
      <w:bookmarkEnd w:id="2"/>
      <w:r>
        <w:rPr/>
        <w:tab/>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lang w:eastAsia="zh-CN"/>
                              </w:rPr>
                            </w:pPr>
                            <w:r>
                              <w:rPr>
                                <w:rFonts w:cs="Arial" w:ascii="Arial" w:hAnsi="Arial"/>
                                <w:sz w:val="18"/>
                              </w:rPr>
                              <w:t>charging, service based interface</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lang w:eastAsia="zh-CN"/>
                        </w:rPr>
                      </w:pPr>
                      <w:r>
                        <w:rPr>
                          <w:rFonts w:cs="Arial" w:ascii="Arial" w:hAnsi="Arial"/>
                          <w:sz w:val="18"/>
                        </w:rPr>
                        <w:t>charging, service based interface</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pPr>
                            <w:r>
                              <w:rPr>
                                <w:rFonts w:cs="Arial" w:ascii="Arial" w:hAnsi="Arial"/>
                                <w:sz w:val="18"/>
                              </w:rPr>
                              <w:t>650 Route des Lucioles - Sophia Antipolis</w:t>
                            </w:r>
                          </w:p>
                          <w:p>
                            <w:pPr>
                              <w:pStyle w:val="FP"/>
                              <w:ind w:left="2835" w:right="2835" w:hanging="0"/>
                              <w:jc w:val="center"/>
                              <w:rPr>
                                <w:rFonts w:ascii="Arial" w:hAnsi="Arial" w:cs="Arial"/>
                                <w:sz w:val="18"/>
                              </w:rPr>
                            </w:pPr>
                            <w:r>
                              <w:rPr>
                                <w:rFonts w:cs="Arial" w:ascii="Arial" w:hAnsi="Arial"/>
                                <w:sz w:val="18"/>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pPr>
                      <w:r>
                        <w:rPr>
                          <w:rFonts w:cs="Arial" w:ascii="Arial" w:hAnsi="Arial"/>
                          <w:sz w:val="18"/>
                        </w:rPr>
                        <w:t>650 Route des Lucioles - Sophia Antipolis</w:t>
                      </w:r>
                    </w:p>
                    <w:p>
                      <w:pPr>
                        <w:pStyle w:val="FP"/>
                        <w:ind w:left="2835" w:right="2835" w:hanging="0"/>
                        <w:jc w:val="center"/>
                        <w:rPr>
                          <w:rFonts w:ascii="Arial" w:hAnsi="Arial" w:cs="Arial"/>
                          <w:sz w:val="18"/>
                        </w:rPr>
                      </w:pPr>
                      <w:r>
                        <w:rPr>
                          <w:rFonts w:cs="Arial" w:ascii="Arial" w:hAnsi="Arial"/>
                          <w:sz w:val="18"/>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rPr/>
      </w:pPr>
      <w:r>
        <w:rPr/>
      </w:r>
      <w:bookmarkStart w:id="3" w:name="page2"/>
      <w:bookmarkStart w:id="4" w:name="page2"/>
      <w:bookmarkEnd w:id="4"/>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2021, 3GPP Organizational Partners (ARIB, ATIS, CCSA, ETSI, TSDSI, TTA, TTC).</w:t>
                            </w:r>
                            <w:bookmarkStart w:id="5" w:name="copyrightaddon"/>
                            <w:bookmarkEnd w:id="5"/>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2021, 3GPP Organizational Partners (ARIB, ATIS, CCSA, ETSI, TSDSI, TTA, TTC).</w:t>
                      </w:r>
                      <w:bookmarkStart w:id="6" w:name="copyrightaddon"/>
                      <w:bookmarkEnd w:id="6"/>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pPr>
                      <w:r>
                        <w:rPr>
                          <w:sz w:val="18"/>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90566348">
            <w:r>
              <w:rPr>
                <w:rStyle w:val="IndexLink"/>
                <w:rFonts w:eastAsia="Times New Roman" w:cs="Times New Roman"/>
                <w:color w:val="auto"/>
                <w:sz w:val="22"/>
                <w:szCs w:val="20"/>
                <w:lang w:val="en-GB" w:eastAsia="en-US" w:bidi="ar-SA"/>
              </w:rPr>
              <w:t>5</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90566349">
            <w:r>
              <w:rPr>
                <w:rStyle w:val="IndexLink"/>
              </w:rPr>
              <w:t>6</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90566350">
            <w:r>
              <w:rPr>
                <w:rStyle w:val="IndexLink"/>
              </w:rPr>
              <w:t>6</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symbols and abbreviations</w:t>
            <w:tab/>
          </w:r>
          <w:hyperlink w:anchor="__RefHeading___Toc90566351">
            <w:r>
              <w:rPr>
                <w:rStyle w:val="IndexLink"/>
              </w:rPr>
              <w:t>7</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90566352">
            <w:r>
              <w:rPr>
                <w:rStyle w:val="IndexLink"/>
              </w:rPr>
              <w:t>7</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Symbols</w:t>
            <w:tab/>
          </w:r>
          <w:hyperlink w:anchor="__RefHeading___Toc90566353">
            <w:r>
              <w:rPr>
                <w:rStyle w:val="IndexLink"/>
              </w:rPr>
              <w:t>7</w:t>
            </w:r>
          </w:hyperlink>
        </w:p>
        <w:p>
          <w:pPr>
            <w:pStyle w:val="Contents2"/>
            <w:rPr>
              <w:rFonts w:ascii="Calibri" w:hAnsi="Calibri" w:cs="Calibri"/>
              <w:sz w:val="22"/>
              <w:szCs w:val="22"/>
              <w:lang w:val="en-US" w:eastAsia="en-US"/>
            </w:rPr>
          </w:pPr>
          <w:r>
            <w:rPr/>
            <w:t>3.3</w:t>
          </w:r>
          <w:r>
            <w:rPr>
              <w:rFonts w:cs="Calibri" w:ascii="Calibri" w:hAnsi="Calibri"/>
              <w:sz w:val="22"/>
              <w:szCs w:val="22"/>
              <w:lang w:val="en-US" w:eastAsia="en-US"/>
            </w:rPr>
            <w:tab/>
          </w:r>
          <w:r>
            <w:rPr/>
            <w:t>Abbreviations</w:t>
            <w:tab/>
          </w:r>
          <w:hyperlink w:anchor="__RefHeading___Toc90566354">
            <w:r>
              <w:rPr>
                <w:rStyle w:val="IndexLink"/>
              </w:rPr>
              <w:t>7</w:t>
            </w:r>
          </w:hyperlink>
        </w:p>
        <w:p>
          <w:pPr>
            <w:pStyle w:val="Contents1"/>
            <w:rPr>
              <w:rFonts w:ascii="Calibri" w:hAnsi="Calibri" w:cs="Calibri"/>
              <w:szCs w:val="22"/>
              <w:lang w:val="en-US" w:eastAsia="en-US"/>
            </w:rPr>
          </w:pPr>
          <w:r>
            <w:rPr/>
            <w:t>4</w:t>
          </w:r>
          <w:r>
            <w:rPr>
              <w:rFonts w:cs="Calibri" w:ascii="Calibri" w:hAnsi="Calibri"/>
              <w:szCs w:val="22"/>
            </w:rPr>
            <w:tab/>
          </w:r>
          <w:r>
            <w:rPr/>
            <w:t>Architecture</w:t>
          </w:r>
          <w:r>
            <w:rPr>
              <w:lang w:val="en-US" w:eastAsia="en-US"/>
            </w:rPr>
            <w:t xml:space="preserve"> reference model</w:t>
          </w:r>
          <w:r>
            <w:rPr/>
            <w:tab/>
          </w:r>
          <w:hyperlink w:anchor="__RefHeading___Toc90566355">
            <w:r>
              <w:rPr>
                <w:rStyle w:val="IndexLink"/>
              </w:rPr>
              <w:t>8</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General</w:t>
            <w:tab/>
          </w:r>
          <w:hyperlink w:anchor="__RefHeading___Toc90566356">
            <w:r>
              <w:rPr>
                <w:rStyle w:val="IndexLink"/>
              </w:rPr>
              <w:t>8</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Reference architecture</w:t>
            <w:tab/>
          </w:r>
          <w:hyperlink w:anchor="__RefHeading___Toc90566357">
            <w:r>
              <w:rPr>
                <w:rStyle w:val="IndexLink"/>
              </w:rPr>
              <w:t>8</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Charging function requirement</w:t>
            <w:tab/>
          </w:r>
          <w:hyperlink w:anchor="__RefHeading___Toc90566358">
            <w:r>
              <w:rPr>
                <w:rStyle w:val="IndexLink"/>
              </w:rPr>
              <w:t>8</w:t>
            </w:r>
          </w:hyperlink>
        </w:p>
        <w:p>
          <w:pPr>
            <w:pStyle w:val="Contents2"/>
            <w:rPr>
              <w:rFonts w:ascii="Calibri" w:hAnsi="Calibri" w:cs="Calibri"/>
              <w:sz w:val="22"/>
              <w:szCs w:val="22"/>
              <w:lang w:val="en-US" w:eastAsia="en-US"/>
            </w:rPr>
          </w:pPr>
          <w:r>
            <w:rPr/>
            <w:t>5.1</w:t>
          </w:r>
          <w:r>
            <w:rPr>
              <w:rFonts w:cs="Calibri" w:ascii="Calibri" w:hAnsi="Calibri"/>
              <w:sz w:val="22"/>
              <w:szCs w:val="22"/>
            </w:rPr>
            <w:tab/>
          </w:r>
          <w:r>
            <w:rPr>
              <w:lang w:val="en-US" w:eastAsia="en-US"/>
            </w:rPr>
            <w:t>Offline charging scenario</w:t>
          </w:r>
          <w:r>
            <w:rPr/>
            <w:tab/>
          </w:r>
          <w:hyperlink w:anchor="__RefHeading___Toc90566359">
            <w:r>
              <w:rPr>
                <w:rStyle w:val="IndexLink"/>
              </w:rPr>
              <w:t>8</w:t>
            </w:r>
          </w:hyperlink>
        </w:p>
        <w:p>
          <w:pPr>
            <w:pStyle w:val="Contents3"/>
            <w:rPr>
              <w:rFonts w:ascii="Calibri" w:hAnsi="Calibri" w:cs="Calibri"/>
              <w:sz w:val="22"/>
              <w:szCs w:val="22"/>
              <w:lang w:val="en-US" w:eastAsia="en-US"/>
            </w:rPr>
          </w:pPr>
          <w:r>
            <w:rPr/>
            <w:t>5.1.1</w:t>
          </w:r>
          <w:r>
            <w:rPr>
              <w:rFonts w:cs="Calibri" w:ascii="Calibri" w:hAnsi="Calibri"/>
              <w:sz w:val="22"/>
              <w:szCs w:val="22"/>
              <w:lang w:val="en-US" w:eastAsia="en-US"/>
            </w:rPr>
            <w:tab/>
          </w:r>
          <w:r>
            <w:rPr/>
            <w:t>Basic principles</w:t>
            <w:tab/>
          </w:r>
          <w:hyperlink w:anchor="__RefHeading___Toc90566360">
            <w:r>
              <w:rPr>
                <w:rStyle w:val="IndexLink"/>
              </w:rPr>
              <w:t>8</w:t>
            </w:r>
          </w:hyperlink>
        </w:p>
        <w:p>
          <w:pPr>
            <w:pStyle w:val="Contents3"/>
            <w:rPr>
              <w:rFonts w:ascii="Calibri" w:hAnsi="Calibri" w:cs="Calibri"/>
              <w:sz w:val="22"/>
              <w:szCs w:val="22"/>
              <w:lang w:val="en-US" w:eastAsia="en-US"/>
            </w:rPr>
          </w:pPr>
          <w:r>
            <w:rPr/>
            <w:t>5.1.2</w:t>
          </w:r>
          <w:r>
            <w:rPr>
              <w:rFonts w:cs="Calibri" w:ascii="Calibri" w:hAnsi="Calibri"/>
              <w:sz w:val="22"/>
              <w:szCs w:val="22"/>
              <w:lang w:val="en-US" w:eastAsia="en-US"/>
            </w:rPr>
            <w:tab/>
          </w:r>
          <w:r>
            <w:rPr/>
            <w:t>Charging scenarios</w:t>
            <w:tab/>
          </w:r>
          <w:hyperlink w:anchor="__RefHeading___Toc90566361">
            <w:r>
              <w:rPr>
                <w:rStyle w:val="IndexLink"/>
              </w:rPr>
              <w:t>8</w:t>
            </w:r>
          </w:hyperlink>
        </w:p>
        <w:p>
          <w:pPr>
            <w:pStyle w:val="Contents4"/>
            <w:rPr>
              <w:rFonts w:ascii="Calibri" w:hAnsi="Calibri" w:cs="Calibri"/>
              <w:sz w:val="22"/>
              <w:szCs w:val="22"/>
              <w:lang w:val="en-US" w:eastAsia="en-US"/>
            </w:rPr>
          </w:pPr>
          <w:r>
            <w:rPr/>
            <w:t>5.1.2.1</w:t>
          </w:r>
          <w:r>
            <w:rPr>
              <w:rFonts w:cs="Calibri" w:ascii="Calibri" w:hAnsi="Calibri"/>
              <w:sz w:val="22"/>
              <w:szCs w:val="22"/>
              <w:lang w:val="en-US" w:eastAsia="en-US"/>
            </w:rPr>
            <w:tab/>
          </w:r>
          <w:r>
            <w:rPr/>
            <w:t>Introduction</w:t>
            <w:tab/>
          </w:r>
          <w:hyperlink w:anchor="__RefHeading___Toc90566362">
            <w:r>
              <w:rPr>
                <w:rStyle w:val="IndexLink"/>
              </w:rPr>
              <w:t>8</w:t>
            </w:r>
          </w:hyperlink>
        </w:p>
        <w:p>
          <w:pPr>
            <w:pStyle w:val="Contents4"/>
            <w:rPr>
              <w:rFonts w:ascii="Calibri" w:hAnsi="Calibri" w:cs="Calibri"/>
              <w:sz w:val="22"/>
              <w:szCs w:val="22"/>
              <w:lang w:val="en-US" w:eastAsia="en-US"/>
            </w:rPr>
          </w:pPr>
          <w:r>
            <w:rPr/>
            <w:t>5.1.2.2</w:t>
          </w:r>
          <w:r>
            <w:rPr>
              <w:rFonts w:cs="Calibri" w:ascii="Calibri" w:hAnsi="Calibri"/>
              <w:sz w:val="22"/>
              <w:szCs w:val="22"/>
              <w:lang w:val="en-US" w:eastAsia="en-US"/>
            </w:rPr>
            <w:tab/>
          </w:r>
          <w:r>
            <w:rPr/>
            <w:t>Scenarios</w:t>
            <w:tab/>
          </w:r>
          <w:hyperlink w:anchor="__RefHeading___Toc90566363">
            <w:r>
              <w:rPr>
                <w:rStyle w:val="IndexLink"/>
              </w:rPr>
              <w:t>9</w:t>
            </w:r>
          </w:hyperlink>
        </w:p>
        <w:p>
          <w:pPr>
            <w:pStyle w:val="Contents5"/>
            <w:rPr>
              <w:rFonts w:ascii="Calibri" w:hAnsi="Calibri" w:cs="Calibri"/>
              <w:sz w:val="22"/>
              <w:szCs w:val="22"/>
              <w:lang w:val="en-US" w:eastAsia="en-US"/>
            </w:rPr>
          </w:pPr>
          <w:r>
            <w:rPr/>
            <w:t>5.1.2.2.1</w:t>
          </w:r>
          <w:r>
            <w:rPr>
              <w:rFonts w:cs="Calibri" w:ascii="Calibri" w:hAnsi="Calibri"/>
              <w:sz w:val="22"/>
              <w:szCs w:val="22"/>
              <w:lang w:val="en-US" w:eastAsia="en-US"/>
            </w:rPr>
            <w:tab/>
          </w:r>
          <w:r>
            <w:rPr/>
            <w:t>Event based charging</w:t>
            <w:tab/>
          </w:r>
          <w:hyperlink w:anchor="__RefHeading___Toc90566364">
            <w:r>
              <w:rPr>
                <w:rStyle w:val="IndexLink"/>
              </w:rPr>
              <w:t>9</w:t>
            </w:r>
          </w:hyperlink>
        </w:p>
        <w:p>
          <w:pPr>
            <w:pStyle w:val="Contents5"/>
            <w:rPr>
              <w:rFonts w:ascii="Calibri" w:hAnsi="Calibri" w:cs="Calibri"/>
              <w:sz w:val="22"/>
              <w:szCs w:val="22"/>
              <w:lang w:val="en-US" w:eastAsia="en-US"/>
            </w:rPr>
          </w:pPr>
          <w:r>
            <w:rPr/>
            <w:t>5.1.2.2.2</w:t>
          </w:r>
          <w:r>
            <w:rPr>
              <w:rFonts w:cs="Calibri" w:ascii="Calibri" w:hAnsi="Calibri"/>
              <w:sz w:val="22"/>
              <w:szCs w:val="22"/>
              <w:lang w:val="en-US" w:eastAsia="en-US"/>
            </w:rPr>
            <w:tab/>
          </w:r>
          <w:r>
            <w:rPr/>
            <w:t>Session based charging</w:t>
            <w:tab/>
          </w:r>
          <w:hyperlink w:anchor="__RefHeading___Toc90566365">
            <w:r>
              <w:rPr>
                <w:rStyle w:val="IndexLink"/>
              </w:rPr>
              <w:t>10</w:t>
            </w:r>
          </w:hyperlink>
        </w:p>
        <w:p>
          <w:pPr>
            <w:pStyle w:val="Contents2"/>
            <w:rPr>
              <w:rFonts w:ascii="Calibri" w:hAnsi="Calibri" w:cs="Calibri"/>
              <w:sz w:val="22"/>
              <w:szCs w:val="22"/>
              <w:lang w:val="en-US" w:eastAsia="en-US"/>
            </w:rPr>
          </w:pPr>
          <w:r>
            <w:rPr/>
            <w:t>5.2</w:t>
          </w:r>
          <w:r>
            <w:rPr>
              <w:rFonts w:cs="Calibri" w:ascii="Calibri" w:hAnsi="Calibri"/>
              <w:sz w:val="22"/>
              <w:szCs w:val="22"/>
            </w:rPr>
            <w:tab/>
          </w:r>
          <w:r>
            <w:rPr>
              <w:lang w:val="en-US" w:eastAsia="en-US"/>
            </w:rPr>
            <w:t>Online charging scenario</w:t>
          </w:r>
          <w:r>
            <w:rPr/>
            <w:tab/>
          </w:r>
          <w:hyperlink w:anchor="__RefHeading___Toc90566366">
            <w:r>
              <w:rPr>
                <w:rStyle w:val="IndexLink"/>
              </w:rPr>
              <w:t>11</w:t>
            </w:r>
          </w:hyperlink>
        </w:p>
        <w:p>
          <w:pPr>
            <w:pStyle w:val="Contents3"/>
            <w:rPr>
              <w:rFonts w:ascii="Calibri" w:hAnsi="Calibri" w:cs="Calibri"/>
              <w:sz w:val="22"/>
              <w:szCs w:val="22"/>
              <w:lang w:val="en-US" w:eastAsia="en-US"/>
            </w:rPr>
          </w:pPr>
          <w:r>
            <w:rPr/>
            <w:t>5.2.1</w:t>
          </w:r>
          <w:r>
            <w:rPr>
              <w:rFonts w:cs="Calibri" w:ascii="Calibri" w:hAnsi="Calibri"/>
              <w:sz w:val="22"/>
              <w:szCs w:val="22"/>
              <w:lang w:val="en-US" w:eastAsia="en-US"/>
            </w:rPr>
            <w:tab/>
          </w:r>
          <w:r>
            <w:rPr/>
            <w:t>Basic principles</w:t>
            <w:tab/>
          </w:r>
          <w:hyperlink w:anchor="__RefHeading___Toc90566367">
            <w:r>
              <w:rPr>
                <w:rStyle w:val="IndexLink"/>
              </w:rPr>
              <w:t>11</w:t>
            </w:r>
          </w:hyperlink>
        </w:p>
        <w:p>
          <w:pPr>
            <w:pStyle w:val="Contents3"/>
            <w:rPr>
              <w:rFonts w:ascii="Calibri" w:hAnsi="Calibri" w:cs="Calibri"/>
              <w:sz w:val="22"/>
              <w:szCs w:val="22"/>
              <w:lang w:val="en-US" w:eastAsia="en-US"/>
            </w:rPr>
          </w:pPr>
          <w:r>
            <w:rPr/>
            <w:t>5.2.2</w:t>
          </w:r>
          <w:r>
            <w:rPr>
              <w:rFonts w:cs="Calibri" w:ascii="Calibri" w:hAnsi="Calibri"/>
              <w:sz w:val="22"/>
              <w:szCs w:val="22"/>
              <w:lang w:val="en-US" w:eastAsia="en-US"/>
            </w:rPr>
            <w:tab/>
          </w:r>
          <w:r>
            <w:rPr/>
            <w:t>Charging scenarios</w:t>
            <w:tab/>
          </w:r>
          <w:hyperlink w:anchor="__RefHeading___Toc90566368">
            <w:r>
              <w:rPr>
                <w:rStyle w:val="IndexLink"/>
              </w:rPr>
              <w:t>11</w:t>
            </w:r>
          </w:hyperlink>
        </w:p>
        <w:p>
          <w:pPr>
            <w:pStyle w:val="Contents4"/>
            <w:rPr>
              <w:rFonts w:ascii="Calibri" w:hAnsi="Calibri" w:cs="Calibri"/>
              <w:sz w:val="22"/>
              <w:szCs w:val="22"/>
              <w:lang w:val="en-US" w:eastAsia="en-US"/>
            </w:rPr>
          </w:pPr>
          <w:r>
            <w:rPr/>
            <w:t>5.2.2.1</w:t>
          </w:r>
          <w:r>
            <w:rPr>
              <w:rFonts w:cs="Calibri" w:ascii="Calibri" w:hAnsi="Calibri"/>
              <w:sz w:val="22"/>
              <w:szCs w:val="22"/>
              <w:lang w:val="en-US" w:eastAsia="en-US"/>
            </w:rPr>
            <w:tab/>
          </w:r>
          <w:r>
            <w:rPr/>
            <w:t>Introduction</w:t>
            <w:tab/>
          </w:r>
          <w:hyperlink w:anchor="__RefHeading___Toc90566369">
            <w:r>
              <w:rPr>
                <w:rStyle w:val="IndexLink"/>
              </w:rPr>
              <w:t>11</w:t>
            </w:r>
          </w:hyperlink>
        </w:p>
        <w:p>
          <w:pPr>
            <w:pStyle w:val="Contents4"/>
            <w:rPr>
              <w:rFonts w:ascii="Calibri" w:hAnsi="Calibri" w:cs="Calibri"/>
              <w:sz w:val="22"/>
              <w:szCs w:val="22"/>
              <w:lang w:val="en-US" w:eastAsia="en-US"/>
            </w:rPr>
          </w:pPr>
          <w:r>
            <w:rPr/>
            <w:t>5.2.2.2</w:t>
          </w:r>
          <w:r>
            <w:rPr>
              <w:rFonts w:cs="Calibri" w:ascii="Calibri" w:hAnsi="Calibri"/>
              <w:sz w:val="22"/>
              <w:szCs w:val="22"/>
              <w:lang w:val="en-US" w:eastAsia="en-US"/>
            </w:rPr>
            <w:tab/>
          </w:r>
          <w:r>
            <w:rPr/>
            <w:t>Scenarios</w:t>
            <w:tab/>
          </w:r>
          <w:hyperlink w:anchor="__RefHeading___Toc90566370">
            <w:r>
              <w:rPr>
                <w:rStyle w:val="IndexLink"/>
              </w:rPr>
              <w:t>12</w:t>
            </w:r>
          </w:hyperlink>
        </w:p>
        <w:p>
          <w:pPr>
            <w:pStyle w:val="Contents3"/>
            <w:rPr>
              <w:rFonts w:ascii="Calibri" w:hAnsi="Calibri" w:cs="Calibri"/>
              <w:sz w:val="22"/>
              <w:szCs w:val="22"/>
              <w:lang w:val="en-US" w:eastAsia="en-US"/>
            </w:rPr>
          </w:pPr>
          <w:r>
            <w:rPr/>
            <w:t>5.2.3</w:t>
          </w:r>
          <w:r>
            <w:rPr>
              <w:rFonts w:cs="Calibri" w:ascii="Calibri" w:hAnsi="Calibri"/>
              <w:sz w:val="22"/>
              <w:szCs w:val="22"/>
            </w:rPr>
            <w:tab/>
          </w:r>
          <w:r>
            <w:rPr>
              <w:lang w:val="en-US" w:eastAsia="en-US"/>
            </w:rPr>
            <w:t>Void</w:t>
          </w:r>
          <w:r>
            <w:rPr/>
            <w:tab/>
          </w:r>
          <w:hyperlink w:anchor="__RefHeading___Toc90566371">
            <w:r>
              <w:rPr>
                <w:rStyle w:val="IndexLink"/>
              </w:rPr>
              <w:t>12</w:t>
            </w:r>
          </w:hyperlink>
        </w:p>
        <w:p>
          <w:pPr>
            <w:pStyle w:val="Contents2"/>
            <w:rPr>
              <w:rFonts w:ascii="Calibri" w:hAnsi="Calibri" w:cs="Calibri"/>
              <w:sz w:val="22"/>
              <w:szCs w:val="22"/>
              <w:lang w:val="en-US" w:eastAsia="en-US"/>
            </w:rPr>
          </w:pPr>
          <w:r>
            <w:rPr/>
            <w:t>5.3</w:t>
          </w:r>
          <w:r>
            <w:rPr>
              <w:rFonts w:cs="Calibri" w:ascii="Calibri" w:hAnsi="Calibri"/>
              <w:sz w:val="22"/>
              <w:szCs w:val="22"/>
            </w:rPr>
            <w:tab/>
          </w:r>
          <w:r>
            <w:rPr>
              <w:lang w:val="en-US" w:eastAsia="en-US"/>
            </w:rPr>
            <w:t>Converged Charging scenario</w:t>
          </w:r>
          <w:r>
            <w:rPr/>
            <w:tab/>
          </w:r>
          <w:hyperlink w:anchor="__RefHeading___Toc90566372">
            <w:r>
              <w:rPr>
                <w:rStyle w:val="IndexLink"/>
              </w:rPr>
              <w:t>12</w:t>
            </w:r>
          </w:hyperlink>
        </w:p>
        <w:p>
          <w:pPr>
            <w:pStyle w:val="Contents3"/>
            <w:rPr>
              <w:rFonts w:ascii="Calibri" w:hAnsi="Calibri" w:cs="Calibri"/>
              <w:sz w:val="22"/>
              <w:szCs w:val="22"/>
              <w:lang w:val="en-US" w:eastAsia="en-US"/>
            </w:rPr>
          </w:pPr>
          <w:r>
            <w:rPr/>
            <w:t>5.3.1</w:t>
          </w:r>
          <w:r>
            <w:rPr>
              <w:rFonts w:cs="Calibri" w:ascii="Calibri" w:hAnsi="Calibri"/>
              <w:sz w:val="22"/>
              <w:szCs w:val="22"/>
              <w:lang w:val="en-US" w:eastAsia="en-US"/>
            </w:rPr>
            <w:tab/>
          </w:r>
          <w:r>
            <w:rPr/>
            <w:t>Basic principles</w:t>
            <w:tab/>
          </w:r>
          <w:hyperlink w:anchor="__RefHeading___Toc90566373">
            <w:r>
              <w:rPr>
                <w:rStyle w:val="IndexLink"/>
              </w:rPr>
              <w:t>12</w:t>
            </w:r>
          </w:hyperlink>
        </w:p>
        <w:p>
          <w:pPr>
            <w:pStyle w:val="Contents3"/>
            <w:rPr>
              <w:rFonts w:ascii="Calibri" w:hAnsi="Calibri" w:cs="Calibri"/>
              <w:sz w:val="22"/>
              <w:szCs w:val="22"/>
              <w:lang w:val="en-US" w:eastAsia="en-US"/>
            </w:rPr>
          </w:pPr>
          <w:r>
            <w:rPr/>
            <w:t>5.3.2</w:t>
          </w:r>
          <w:r>
            <w:rPr>
              <w:rFonts w:cs="Calibri" w:ascii="Calibri" w:hAnsi="Calibri"/>
              <w:sz w:val="22"/>
              <w:szCs w:val="22"/>
              <w:lang w:val="en-US" w:eastAsia="en-US"/>
            </w:rPr>
            <w:tab/>
          </w:r>
          <w:r>
            <w:rPr/>
            <w:t>Charging scenarios</w:t>
            <w:tab/>
          </w:r>
          <w:hyperlink w:anchor="__RefHeading___Toc90566374">
            <w:r>
              <w:rPr>
                <w:rStyle w:val="IndexLink"/>
              </w:rPr>
              <w:t>12</w:t>
            </w:r>
          </w:hyperlink>
        </w:p>
        <w:p>
          <w:pPr>
            <w:pStyle w:val="Contents4"/>
            <w:rPr>
              <w:rFonts w:ascii="Calibri" w:hAnsi="Calibri" w:cs="Calibri"/>
              <w:sz w:val="22"/>
              <w:szCs w:val="22"/>
              <w:lang w:val="en-US" w:eastAsia="en-US"/>
            </w:rPr>
          </w:pPr>
          <w:r>
            <w:rPr/>
            <w:t>5.3.2.1</w:t>
          </w:r>
          <w:r>
            <w:rPr>
              <w:rFonts w:cs="Calibri" w:ascii="Calibri" w:hAnsi="Calibri"/>
              <w:sz w:val="22"/>
              <w:szCs w:val="22"/>
              <w:lang w:val="en-US" w:eastAsia="en-US"/>
            </w:rPr>
            <w:tab/>
          </w:r>
          <w:r>
            <w:rPr/>
            <w:t>Introduction</w:t>
            <w:tab/>
          </w:r>
          <w:hyperlink w:anchor="__RefHeading___Toc90566375">
            <w:r>
              <w:rPr>
                <w:rStyle w:val="IndexLink"/>
              </w:rPr>
              <w:t>12</w:t>
            </w:r>
          </w:hyperlink>
        </w:p>
        <w:p>
          <w:pPr>
            <w:pStyle w:val="Contents4"/>
            <w:rPr>
              <w:rFonts w:ascii="Calibri" w:hAnsi="Calibri" w:cs="Calibri"/>
              <w:sz w:val="22"/>
              <w:szCs w:val="22"/>
              <w:lang w:val="en-US" w:eastAsia="en-US"/>
            </w:rPr>
          </w:pPr>
          <w:r>
            <w:rPr/>
            <w:t>5.3.2.2</w:t>
          </w:r>
          <w:r>
            <w:rPr>
              <w:rFonts w:cs="Calibri" w:ascii="Calibri" w:hAnsi="Calibri"/>
              <w:sz w:val="22"/>
              <w:szCs w:val="22"/>
              <w:lang w:val="en-US" w:eastAsia="en-US"/>
            </w:rPr>
            <w:tab/>
          </w:r>
          <w:r>
            <w:rPr/>
            <w:t>Event based charging</w:t>
            <w:tab/>
          </w:r>
          <w:hyperlink w:anchor="__RefHeading___Toc90566376">
            <w:r>
              <w:rPr>
                <w:rStyle w:val="IndexLink"/>
              </w:rPr>
              <w:t>12</w:t>
            </w:r>
          </w:hyperlink>
        </w:p>
        <w:p>
          <w:pPr>
            <w:pStyle w:val="Contents4"/>
            <w:rPr>
              <w:rFonts w:ascii="Calibri" w:hAnsi="Calibri" w:cs="Calibri"/>
              <w:sz w:val="22"/>
              <w:szCs w:val="22"/>
              <w:lang w:val="en-US" w:eastAsia="en-US"/>
            </w:rPr>
          </w:pPr>
          <w:r>
            <w:rPr/>
            <w:t>5.3.2.3</w:t>
          </w:r>
          <w:r>
            <w:rPr>
              <w:rFonts w:cs="Calibri" w:ascii="Calibri" w:hAnsi="Calibri"/>
              <w:sz w:val="22"/>
              <w:szCs w:val="22"/>
              <w:lang w:val="en-US" w:eastAsia="en-US"/>
            </w:rPr>
            <w:tab/>
          </w:r>
          <w:r>
            <w:rPr/>
            <w:t>Session based charging</w:t>
            <w:tab/>
          </w:r>
          <w:hyperlink w:anchor="__RefHeading___Toc90566377">
            <w:r>
              <w:rPr>
                <w:rStyle w:val="IndexLink"/>
              </w:rPr>
              <w:t>13</w:t>
            </w:r>
          </w:hyperlink>
        </w:p>
        <w:p>
          <w:pPr>
            <w:pStyle w:val="Contents4"/>
            <w:rPr>
              <w:rFonts w:ascii="Calibri" w:hAnsi="Calibri" w:cs="Calibri"/>
              <w:sz w:val="22"/>
              <w:szCs w:val="22"/>
              <w:lang w:val="en-US" w:eastAsia="en-US"/>
            </w:rPr>
          </w:pPr>
          <w:r>
            <w:rPr/>
            <w:t>5.3.2.5</w:t>
          </w:r>
          <w:r>
            <w:rPr>
              <w:rFonts w:cs="Calibri" w:ascii="Calibri" w:hAnsi="Calibri"/>
              <w:sz w:val="22"/>
              <w:szCs w:val="22"/>
              <w:lang w:val="en-US" w:eastAsia="en-US"/>
            </w:rPr>
            <w:tab/>
          </w:r>
          <w:r>
            <w:rPr/>
            <w:t>Switch between quota managed and not quota managed</w:t>
            <w:tab/>
          </w:r>
          <w:hyperlink w:anchor="__RefHeading___Toc90566378">
            <w:r>
              <w:rPr>
                <w:rStyle w:val="IndexLink"/>
              </w:rPr>
              <w:t>23</w:t>
            </w:r>
          </w:hyperlink>
        </w:p>
        <w:p>
          <w:pPr>
            <w:pStyle w:val="Contents2"/>
            <w:rPr>
              <w:rFonts w:ascii="Calibri" w:hAnsi="Calibri" w:cs="Calibri"/>
              <w:sz w:val="22"/>
              <w:szCs w:val="22"/>
              <w:lang w:val="en-US" w:eastAsia="en-US"/>
            </w:rPr>
          </w:pPr>
          <w:r>
            <w:rPr/>
            <w:t>5.4</w:t>
          </w:r>
          <w:r>
            <w:rPr>
              <w:rFonts w:cs="Calibri" w:ascii="Calibri" w:hAnsi="Calibri"/>
              <w:sz w:val="22"/>
              <w:szCs w:val="22"/>
            </w:rPr>
            <w:tab/>
          </w:r>
          <w:r>
            <w:rPr>
              <w:lang w:val="en-US" w:eastAsia="en-US"/>
            </w:rPr>
            <w:t xml:space="preserve">Other </w:t>
          </w:r>
          <w:r>
            <w:rPr/>
            <w:t>functionalities</w:t>
            <w:tab/>
          </w:r>
          <w:hyperlink w:anchor="__RefHeading___Toc90566379">
            <w:r>
              <w:rPr>
                <w:rStyle w:val="IndexLink"/>
              </w:rPr>
              <w:t>24</w:t>
            </w:r>
          </w:hyperlink>
        </w:p>
        <w:p>
          <w:pPr>
            <w:pStyle w:val="Contents3"/>
            <w:rPr>
              <w:rFonts w:ascii="Calibri" w:hAnsi="Calibri" w:cs="Calibri"/>
              <w:sz w:val="22"/>
              <w:szCs w:val="22"/>
              <w:lang w:val="en-US" w:eastAsia="en-US"/>
            </w:rPr>
          </w:pPr>
          <w:r>
            <w:rPr/>
            <w:t>5.</w:t>
          </w:r>
          <w:r>
            <w:rPr>
              <w:lang w:val="en-US" w:eastAsia="en-US"/>
            </w:rPr>
            <w:t>4</w:t>
          </w:r>
          <w:r>
            <w:rPr/>
            <w:t>.1</w:t>
          </w:r>
          <w:r>
            <w:rPr>
              <w:rFonts w:cs="Calibri" w:ascii="Calibri" w:hAnsi="Calibri"/>
              <w:sz w:val="22"/>
              <w:szCs w:val="22"/>
              <w:lang w:val="en-US" w:eastAsia="en-US"/>
            </w:rPr>
            <w:tab/>
          </w:r>
          <w:r>
            <w:rPr/>
            <w:t>Re-authorization</w:t>
            <w:tab/>
          </w:r>
          <w:hyperlink w:anchor="__RefHeading___Toc90566380">
            <w:r>
              <w:rPr>
                <w:rStyle w:val="IndexLink"/>
              </w:rPr>
              <w:t>24</w:t>
            </w:r>
          </w:hyperlink>
        </w:p>
        <w:p>
          <w:pPr>
            <w:pStyle w:val="Contents3"/>
            <w:rPr>
              <w:rFonts w:ascii="Calibri" w:hAnsi="Calibri" w:cs="Calibri"/>
              <w:sz w:val="22"/>
              <w:szCs w:val="22"/>
              <w:lang w:val="en-US" w:eastAsia="en-US"/>
            </w:rPr>
          </w:pPr>
          <w:r>
            <w:rPr/>
            <w:t>5.</w:t>
          </w:r>
          <w:r>
            <w:rPr>
              <w:lang w:val="en-US" w:eastAsia="en-US"/>
            </w:rPr>
            <w:t>4</w:t>
          </w:r>
          <w:r>
            <w:rPr/>
            <w:t>.2</w:t>
          </w:r>
          <w:r>
            <w:rPr>
              <w:rFonts w:cs="Calibri" w:ascii="Calibri" w:hAnsi="Calibri"/>
              <w:sz w:val="22"/>
              <w:szCs w:val="22"/>
              <w:lang w:val="en-US" w:eastAsia="en-US"/>
            </w:rPr>
            <w:tab/>
          </w:r>
          <w:r>
            <w:rPr/>
            <w:t>Threshold based re-authorization triggers</w:t>
            <w:tab/>
          </w:r>
          <w:hyperlink w:anchor="__RefHeading___Toc90566381">
            <w:r>
              <w:rPr>
                <w:rStyle w:val="IndexLink"/>
              </w:rPr>
              <w:t>25</w:t>
            </w:r>
          </w:hyperlink>
        </w:p>
        <w:p>
          <w:pPr>
            <w:pStyle w:val="Contents3"/>
            <w:rPr>
              <w:rFonts w:ascii="Calibri" w:hAnsi="Calibri" w:cs="Calibri"/>
              <w:sz w:val="22"/>
              <w:szCs w:val="22"/>
              <w:lang w:val="en-US" w:eastAsia="en-US"/>
            </w:rPr>
          </w:pPr>
          <w:r>
            <w:rPr/>
            <w:t>5.</w:t>
          </w:r>
          <w:r>
            <w:rPr>
              <w:lang w:val="en-US" w:eastAsia="en-US"/>
            </w:rPr>
            <w:t>4</w:t>
          </w:r>
          <w:r>
            <w:rPr/>
            <w:t>.3</w:t>
          </w:r>
          <w:r>
            <w:rPr>
              <w:rFonts w:cs="Calibri" w:ascii="Calibri" w:hAnsi="Calibri"/>
              <w:sz w:val="22"/>
              <w:szCs w:val="22"/>
              <w:lang w:val="en-US" w:eastAsia="en-US"/>
            </w:rPr>
            <w:tab/>
          </w:r>
          <w:r>
            <w:rPr/>
            <w:t>Termination action</w:t>
            <w:tab/>
          </w:r>
          <w:hyperlink w:anchor="__RefHeading___Toc90566382">
            <w:r>
              <w:rPr>
                <w:rStyle w:val="IndexLink"/>
              </w:rPr>
              <w:t>25</w:t>
            </w:r>
          </w:hyperlink>
        </w:p>
        <w:p>
          <w:pPr>
            <w:pStyle w:val="Contents3"/>
            <w:rPr>
              <w:rFonts w:ascii="Calibri" w:hAnsi="Calibri" w:cs="Calibri"/>
              <w:sz w:val="22"/>
              <w:szCs w:val="22"/>
              <w:lang w:val="en-US" w:eastAsia="en-US"/>
            </w:rPr>
          </w:pPr>
          <w:r>
            <w:rPr/>
            <w:t>5.</w:t>
          </w:r>
          <w:r>
            <w:rPr>
              <w:lang w:val="en-US" w:eastAsia="en-US"/>
            </w:rPr>
            <w:t>4</w:t>
          </w:r>
          <w:r>
            <w:rPr/>
            <w:t>.</w:t>
          </w:r>
          <w:r>
            <w:rPr>
              <w:lang w:val="en-US" w:eastAsia="en-US"/>
            </w:rPr>
            <w:t>4</w:t>
          </w:r>
          <w:r>
            <w:rPr>
              <w:rFonts w:cs="Calibri" w:ascii="Calibri" w:hAnsi="Calibri"/>
              <w:sz w:val="22"/>
              <w:szCs w:val="22"/>
              <w:lang w:val="en-US" w:eastAsia="en-US"/>
            </w:rPr>
            <w:tab/>
          </w:r>
          <w:r>
            <w:rPr/>
            <w:t>Service termination</w:t>
            <w:tab/>
          </w:r>
          <w:hyperlink w:anchor="__RefHeading___Toc90566383">
            <w:r>
              <w:rPr>
                <w:rStyle w:val="IndexLink"/>
              </w:rPr>
              <w:t>25</w:t>
            </w:r>
          </w:hyperlink>
        </w:p>
        <w:p>
          <w:pPr>
            <w:pStyle w:val="Contents3"/>
            <w:rPr>
              <w:rFonts w:ascii="Calibri" w:hAnsi="Calibri" w:cs="Calibri"/>
              <w:sz w:val="22"/>
              <w:szCs w:val="22"/>
              <w:lang w:val="en-US" w:eastAsia="en-US"/>
            </w:rPr>
          </w:pPr>
          <w:r>
            <w:rPr/>
            <w:t>5.4.5</w:t>
          </w:r>
          <w:r>
            <w:rPr>
              <w:rFonts w:cs="Calibri" w:ascii="Calibri" w:hAnsi="Calibri"/>
              <w:sz w:val="22"/>
              <w:szCs w:val="22"/>
              <w:lang w:val="en-US" w:eastAsia="en-US"/>
            </w:rPr>
            <w:tab/>
          </w:r>
          <w:r>
            <w:rPr>
              <w:lang w:val="en-US" w:eastAsia="en-US"/>
            </w:rPr>
            <w:t>T</w:t>
          </w:r>
          <w:r>
            <w:rPr/>
            <w:t xml:space="preserve">rigger </w:t>
          </w:r>
          <w:r>
            <w:rPr>
              <w:lang w:val="en-US" w:eastAsia="en-US"/>
            </w:rPr>
            <w:t>M</w:t>
          </w:r>
          <w:r>
            <w:rPr/>
            <w:t>echanism</w:t>
            <w:tab/>
          </w:r>
          <w:hyperlink w:anchor="__RefHeading___Toc90566384">
            <w:r>
              <w:rPr>
                <w:rStyle w:val="IndexLink"/>
              </w:rPr>
              <w:t>25</w:t>
            </w:r>
          </w:hyperlink>
        </w:p>
        <w:p>
          <w:pPr>
            <w:pStyle w:val="Contents3"/>
            <w:rPr>
              <w:rFonts w:ascii="Calibri" w:hAnsi="Calibri" w:cs="Calibri"/>
              <w:sz w:val="22"/>
              <w:szCs w:val="22"/>
              <w:lang w:val="en-US" w:eastAsia="en-US"/>
            </w:rPr>
          </w:pPr>
          <w:r>
            <w:rPr/>
            <w:t>5.4.</w:t>
          </w:r>
          <w:r>
            <w:rPr>
              <w:lang w:val="en-US" w:eastAsia="en-US"/>
            </w:rPr>
            <w:t>6</w:t>
          </w:r>
          <w:r>
            <w:rPr>
              <w:rFonts w:cs="Calibri" w:ascii="Calibri" w:hAnsi="Calibri"/>
              <w:sz w:val="22"/>
              <w:szCs w:val="22"/>
              <w:lang w:val="en-US" w:eastAsia="en-US"/>
            </w:rPr>
            <w:tab/>
          </w:r>
          <w:r>
            <w:rPr>
              <w:lang w:val="en-US" w:eastAsia="en-US"/>
            </w:rPr>
            <w:t>CHF-controlled quota management</w:t>
          </w:r>
          <w:r>
            <w:rPr/>
            <w:tab/>
          </w:r>
          <w:hyperlink w:anchor="__RefHeading___Toc90566385">
            <w:r>
              <w:rPr>
                <w:rStyle w:val="IndexLink"/>
              </w:rPr>
              <w:t>26</w:t>
            </w:r>
          </w:hyperlink>
        </w:p>
        <w:p>
          <w:pPr>
            <w:pStyle w:val="Contents2"/>
            <w:rPr>
              <w:rFonts w:ascii="Calibri" w:hAnsi="Calibri" w:cs="Calibri"/>
              <w:sz w:val="22"/>
              <w:szCs w:val="22"/>
              <w:lang w:val="en-US" w:eastAsia="en-US"/>
            </w:rPr>
          </w:pPr>
          <w:r>
            <w:rPr/>
            <w:t>5.5</w:t>
          </w:r>
          <w:r>
            <w:rPr>
              <w:rFonts w:cs="Calibri" w:ascii="Calibri" w:hAnsi="Calibri"/>
              <w:sz w:val="22"/>
              <w:szCs w:val="22"/>
            </w:rPr>
            <w:tab/>
          </w:r>
          <w:r>
            <w:rPr>
              <w:lang w:val="en-US" w:eastAsia="en-US"/>
            </w:rPr>
            <w:t>Error handling</w:t>
          </w:r>
          <w:r>
            <w:rPr/>
            <w:tab/>
          </w:r>
          <w:hyperlink w:anchor="__RefHeading___Toc90566386">
            <w:r>
              <w:rPr>
                <w:rStyle w:val="IndexLink"/>
              </w:rPr>
              <w:t>26</w:t>
            </w:r>
          </w:hyperlink>
        </w:p>
        <w:p>
          <w:pPr>
            <w:pStyle w:val="Contents3"/>
            <w:rPr>
              <w:rFonts w:ascii="Calibri" w:hAnsi="Calibri" w:cs="Calibri"/>
              <w:sz w:val="22"/>
              <w:szCs w:val="22"/>
              <w:lang w:val="en-US" w:eastAsia="en-US"/>
            </w:rPr>
          </w:pPr>
          <w:r>
            <w:rPr/>
            <w:t>5.</w:t>
          </w:r>
          <w:r>
            <w:rPr>
              <w:lang w:val="en-US" w:eastAsia="en-US"/>
            </w:rPr>
            <w:t>5</w:t>
          </w:r>
          <w:r>
            <w:rPr/>
            <w:t>.1</w:t>
          </w:r>
          <w:r>
            <w:rPr>
              <w:rFonts w:cs="Calibri" w:ascii="Calibri" w:hAnsi="Calibri"/>
              <w:sz w:val="22"/>
              <w:szCs w:val="22"/>
              <w:lang w:val="en-US" w:eastAsia="en-US"/>
            </w:rPr>
            <w:tab/>
          </w:r>
          <w:r>
            <w:rPr/>
            <w:t>Failure handling</w:t>
            <w:tab/>
          </w:r>
          <w:hyperlink w:anchor="__RefHeading___Toc90566387">
            <w:r>
              <w:rPr>
                <w:rStyle w:val="IndexLink"/>
              </w:rPr>
              <w:t>26</w:t>
            </w:r>
          </w:hyperlink>
        </w:p>
        <w:p>
          <w:pPr>
            <w:pStyle w:val="Contents4"/>
            <w:rPr>
              <w:rFonts w:ascii="Calibri" w:hAnsi="Calibri" w:cs="Calibri"/>
              <w:sz w:val="22"/>
              <w:szCs w:val="22"/>
              <w:lang w:val="en-US" w:eastAsia="en-US"/>
            </w:rPr>
          </w:pPr>
          <w:r>
            <w:rPr/>
            <w:t>5.</w:t>
          </w:r>
          <w:r>
            <w:rPr>
              <w:lang w:val="en-US" w:eastAsia="en-US"/>
            </w:rPr>
            <w:t>5</w:t>
          </w:r>
          <w:r>
            <w:rPr/>
            <w:t>.1.1</w:t>
          </w:r>
          <w:r>
            <w:rPr>
              <w:rFonts w:cs="Calibri" w:ascii="Calibri" w:hAnsi="Calibri"/>
              <w:sz w:val="22"/>
              <w:szCs w:val="22"/>
              <w:lang w:val="en-US" w:eastAsia="en-US"/>
            </w:rPr>
            <w:tab/>
          </w:r>
          <w:r>
            <w:rPr/>
            <w:t>CTF detected failure</w:t>
            <w:tab/>
          </w:r>
          <w:hyperlink w:anchor="__RefHeading___Toc90566388">
            <w:r>
              <w:rPr>
                <w:rStyle w:val="IndexLink"/>
              </w:rPr>
              <w:t>26</w:t>
            </w:r>
          </w:hyperlink>
        </w:p>
        <w:p>
          <w:pPr>
            <w:pStyle w:val="Contents4"/>
            <w:rPr>
              <w:rFonts w:ascii="Calibri" w:hAnsi="Calibri" w:cs="Calibri"/>
              <w:sz w:val="22"/>
              <w:szCs w:val="22"/>
              <w:lang w:val="en-US" w:eastAsia="en-US"/>
            </w:rPr>
          </w:pPr>
          <w:r>
            <w:rPr/>
            <w:t>5.</w:t>
          </w:r>
          <w:r>
            <w:rPr>
              <w:lang w:val="en-US" w:eastAsia="en-US"/>
            </w:rPr>
            <w:t>5</w:t>
          </w:r>
          <w:r>
            <w:rPr/>
            <w:t>.1.2</w:t>
          </w:r>
          <w:r>
            <w:rPr>
              <w:rFonts w:cs="Calibri" w:ascii="Calibri" w:hAnsi="Calibri"/>
              <w:sz w:val="22"/>
              <w:szCs w:val="22"/>
              <w:lang w:val="en-US" w:eastAsia="en-US"/>
            </w:rPr>
            <w:tab/>
          </w:r>
          <w:r>
            <w:rPr/>
            <w:t>CHF detected failure</w:t>
            <w:tab/>
          </w:r>
          <w:hyperlink w:anchor="__RefHeading___Toc90566389">
            <w:r>
              <w:rPr>
                <w:rStyle w:val="IndexLink"/>
              </w:rPr>
              <w:t>26</w:t>
            </w:r>
          </w:hyperlink>
        </w:p>
        <w:p>
          <w:pPr>
            <w:pStyle w:val="Contents3"/>
            <w:rPr>
              <w:rFonts w:ascii="Calibri" w:hAnsi="Calibri" w:cs="Calibri"/>
              <w:sz w:val="22"/>
              <w:szCs w:val="22"/>
              <w:lang w:val="en-US" w:eastAsia="en-US"/>
            </w:rPr>
          </w:pPr>
          <w:r>
            <w:rPr/>
            <w:t>5.5.2</w:t>
          </w:r>
          <w:r>
            <w:rPr>
              <w:rFonts w:cs="Calibri" w:ascii="Calibri" w:hAnsi="Calibri"/>
              <w:sz w:val="22"/>
              <w:szCs w:val="22"/>
              <w:lang w:val="en-US" w:eastAsia="en-US"/>
            </w:rPr>
            <w:tab/>
          </w:r>
          <w:r>
            <w:rPr/>
            <w:t>Retr</w:t>
          </w:r>
          <w:r>
            <w:rPr>
              <w:lang w:val="en-US" w:eastAsia="en-US"/>
            </w:rPr>
            <w:t>y</w:t>
          </w:r>
          <w:r>
            <w:rPr/>
            <w:t xml:space="preserve"> handling</w:t>
            <w:tab/>
          </w:r>
          <w:hyperlink w:anchor="__RefHeading___Toc90566390">
            <w:r>
              <w:rPr>
                <w:rStyle w:val="IndexLink"/>
              </w:rPr>
              <w:t>27</w:t>
            </w:r>
          </w:hyperlink>
        </w:p>
        <w:p>
          <w:pPr>
            <w:pStyle w:val="Contents3"/>
            <w:rPr>
              <w:rFonts w:ascii="Calibri" w:hAnsi="Calibri" w:cs="Calibri"/>
              <w:sz w:val="22"/>
              <w:szCs w:val="22"/>
              <w:lang w:val="en-US" w:eastAsia="en-US"/>
            </w:rPr>
          </w:pPr>
          <w:r>
            <w:rPr/>
            <w:t>5.</w:t>
          </w:r>
          <w:r>
            <w:rPr>
              <w:lang w:val="en-US" w:eastAsia="en-US"/>
            </w:rPr>
            <w:t>5</w:t>
          </w:r>
          <w:r>
            <w:rPr/>
            <w:t>.3</w:t>
          </w:r>
          <w:r>
            <w:rPr>
              <w:rFonts w:cs="Calibri" w:ascii="Calibri" w:hAnsi="Calibri"/>
              <w:sz w:val="22"/>
              <w:szCs w:val="22"/>
              <w:lang w:val="en-US" w:eastAsia="en-US"/>
            </w:rPr>
            <w:tab/>
          </w:r>
          <w:r>
            <w:rPr/>
            <w:t>Response code handling</w:t>
            <w:tab/>
          </w:r>
          <w:hyperlink w:anchor="__RefHeading___Toc90566391">
            <w:r>
              <w:rPr>
                <w:rStyle w:val="IndexLink"/>
              </w:rPr>
              <w:t>27</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Service definition</w:t>
            <w:tab/>
          </w:r>
          <w:hyperlink w:anchor="__RefHeading___Toc90566392">
            <w:r>
              <w:rPr>
                <w:rStyle w:val="IndexLink"/>
              </w:rPr>
              <w:t>28</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NF service framework</w:t>
            <w:tab/>
          </w:r>
          <w:hyperlink w:anchor="__RefHeading___Toc90566393">
            <w:r>
              <w:rPr>
                <w:rStyle w:val="IndexLink"/>
              </w:rPr>
              <w:t>28</w:t>
            </w:r>
          </w:hyperlink>
        </w:p>
        <w:p>
          <w:pPr>
            <w:pStyle w:val="Contents2"/>
            <w:rPr>
              <w:rFonts w:ascii="Calibri" w:hAnsi="Calibri" w:cs="Calibri"/>
              <w:sz w:val="22"/>
              <w:szCs w:val="22"/>
              <w:lang w:val="en-US" w:eastAsia="en-US"/>
            </w:rPr>
          </w:pPr>
          <w:r>
            <w:rPr/>
            <w:t>6.</w:t>
          </w:r>
          <w:r>
            <w:rPr>
              <w:lang w:val="en-US" w:eastAsia="en-US"/>
            </w:rPr>
            <w:t>2</w:t>
          </w:r>
          <w:r>
            <w:rPr>
              <w:rFonts w:cs="Calibri" w:ascii="Calibri" w:hAnsi="Calibri"/>
              <w:sz w:val="22"/>
              <w:szCs w:val="22"/>
              <w:lang w:val="en-US" w:eastAsia="en-US"/>
            </w:rPr>
            <w:tab/>
          </w:r>
          <w:r>
            <w:rPr/>
            <w:t>Nchf_ConvergedCharging service</w:t>
            <w:tab/>
          </w:r>
          <w:hyperlink w:anchor="__RefHeading___Toc90566394">
            <w:r>
              <w:rPr>
                <w:rStyle w:val="IndexLink"/>
              </w:rPr>
              <w:t>28</w:t>
            </w:r>
          </w:hyperlink>
        </w:p>
        <w:p>
          <w:pPr>
            <w:pStyle w:val="Contents3"/>
            <w:rPr>
              <w:rFonts w:ascii="Calibri" w:hAnsi="Calibri" w:cs="Calibri"/>
              <w:sz w:val="22"/>
              <w:szCs w:val="22"/>
              <w:lang w:val="en-US" w:eastAsia="en-US"/>
            </w:rPr>
          </w:pPr>
          <w:r>
            <w:rPr/>
            <w:t>6.</w:t>
          </w:r>
          <w:r>
            <w:rPr>
              <w:lang w:val="en-US" w:eastAsia="en-US"/>
            </w:rPr>
            <w:t>2.1</w:t>
          </w:r>
          <w:r>
            <w:rPr>
              <w:rFonts w:cs="Calibri" w:ascii="Calibri" w:hAnsi="Calibri"/>
              <w:sz w:val="22"/>
              <w:szCs w:val="22"/>
              <w:lang w:val="en-US" w:eastAsia="en-US"/>
            </w:rPr>
            <w:tab/>
          </w:r>
          <w:r>
            <w:rPr>
              <w:lang w:val="en-US" w:eastAsia="en-US"/>
            </w:rPr>
            <w:t>General</w:t>
          </w:r>
          <w:r>
            <w:rPr/>
            <w:tab/>
          </w:r>
          <w:hyperlink w:anchor="__RefHeading___Toc90566395">
            <w:r>
              <w:rPr>
                <w:rStyle w:val="IndexLink"/>
              </w:rPr>
              <w:t>28</w:t>
            </w:r>
          </w:hyperlink>
        </w:p>
        <w:p>
          <w:pPr>
            <w:pStyle w:val="Contents3"/>
            <w:rPr>
              <w:rFonts w:ascii="Calibri" w:hAnsi="Calibri" w:cs="Calibri"/>
              <w:sz w:val="22"/>
              <w:szCs w:val="22"/>
              <w:lang w:val="en-US" w:eastAsia="en-US"/>
            </w:rPr>
          </w:pPr>
          <w:r>
            <w:rPr/>
            <w:t>6.2.2</w:t>
          </w:r>
          <w:r>
            <w:rPr>
              <w:rFonts w:cs="Calibri" w:ascii="Calibri" w:hAnsi="Calibri"/>
              <w:sz w:val="22"/>
              <w:szCs w:val="22"/>
            </w:rPr>
            <w:tab/>
          </w:r>
          <w:r>
            <w:rPr>
              <w:lang w:val="en-US" w:eastAsia="en-US"/>
            </w:rPr>
            <w:t>Nchf_ConvergedCharging_Create</w:t>
          </w:r>
          <w:r>
            <w:rPr/>
            <w:t xml:space="preserve"> service operation</w:t>
            <w:tab/>
          </w:r>
          <w:hyperlink w:anchor="__RefHeading___Toc90566396">
            <w:r>
              <w:rPr>
                <w:rStyle w:val="IndexLink"/>
              </w:rPr>
              <w:t>29</w:t>
            </w:r>
          </w:hyperlink>
        </w:p>
        <w:p>
          <w:pPr>
            <w:pStyle w:val="Contents3"/>
            <w:rPr>
              <w:rFonts w:ascii="Calibri" w:hAnsi="Calibri" w:cs="Calibri"/>
              <w:sz w:val="22"/>
              <w:szCs w:val="22"/>
              <w:lang w:val="en-US" w:eastAsia="en-US"/>
            </w:rPr>
          </w:pPr>
          <w:r>
            <w:rPr/>
            <w:t>6.2.3</w:t>
          </w:r>
          <w:r>
            <w:rPr>
              <w:rFonts w:cs="Calibri" w:ascii="Calibri" w:hAnsi="Calibri"/>
              <w:sz w:val="22"/>
              <w:szCs w:val="22"/>
              <w:lang w:val="en-US" w:eastAsia="en-US"/>
            </w:rPr>
            <w:tab/>
          </w:r>
          <w:r>
            <w:rPr/>
            <w:t>Nchf_ConvergedCharging_Update service operation</w:t>
            <w:tab/>
          </w:r>
          <w:hyperlink w:anchor="__RefHeading___Toc90566397">
            <w:r>
              <w:rPr>
                <w:rStyle w:val="IndexLink"/>
              </w:rPr>
              <w:t>29</w:t>
            </w:r>
          </w:hyperlink>
        </w:p>
        <w:p>
          <w:pPr>
            <w:pStyle w:val="Contents3"/>
            <w:rPr>
              <w:rFonts w:ascii="Calibri" w:hAnsi="Calibri" w:cs="Calibri"/>
              <w:sz w:val="22"/>
              <w:szCs w:val="22"/>
              <w:lang w:val="en-US" w:eastAsia="en-US"/>
            </w:rPr>
          </w:pPr>
          <w:r>
            <w:rPr/>
            <w:t>6.2.4</w:t>
          </w:r>
          <w:r>
            <w:rPr>
              <w:rFonts w:cs="Calibri" w:ascii="Calibri" w:hAnsi="Calibri"/>
              <w:sz w:val="22"/>
              <w:szCs w:val="22"/>
            </w:rPr>
            <w:tab/>
          </w:r>
          <w:r>
            <w:rPr>
              <w:lang w:val="en-US" w:eastAsia="en-US"/>
            </w:rPr>
            <w:t>Nchf_ConvergedCharging_</w:t>
          </w:r>
          <w:r>
            <w:rPr>
              <w:rFonts w:eastAsia="SimSun;宋体"/>
            </w:rPr>
            <w:t>Release</w:t>
          </w:r>
          <w:r>
            <w:rPr/>
            <w:t xml:space="preserve"> service operation</w:t>
            <w:tab/>
          </w:r>
          <w:hyperlink w:anchor="__RefHeading___Toc90566398">
            <w:r>
              <w:rPr>
                <w:rStyle w:val="IndexLink"/>
              </w:rPr>
              <w:t>30</w:t>
            </w:r>
          </w:hyperlink>
        </w:p>
        <w:p>
          <w:pPr>
            <w:pStyle w:val="Contents3"/>
            <w:rPr>
              <w:rFonts w:ascii="Calibri" w:hAnsi="Calibri" w:cs="Calibri"/>
              <w:sz w:val="22"/>
              <w:szCs w:val="22"/>
              <w:lang w:val="en-US" w:eastAsia="en-US"/>
            </w:rPr>
          </w:pPr>
          <w:r>
            <w:rPr/>
            <w:t>6.2.5</w:t>
          </w:r>
          <w:r>
            <w:rPr>
              <w:rFonts w:cs="Calibri" w:ascii="Calibri" w:hAnsi="Calibri"/>
              <w:sz w:val="22"/>
              <w:szCs w:val="22"/>
            </w:rPr>
            <w:tab/>
          </w:r>
          <w:r>
            <w:rPr/>
            <w:t>Nchf_Converged</w:t>
          </w:r>
          <w:r>
            <w:rPr>
              <w:lang w:val="en-US" w:eastAsia="en-US"/>
            </w:rPr>
            <w:t>Charging_</w:t>
          </w:r>
          <w:r>
            <w:rPr/>
            <w:t>Notify service operation</w:t>
            <w:tab/>
          </w:r>
          <w:hyperlink w:anchor="__RefHeading___Toc90566399">
            <w:r>
              <w:rPr>
                <w:rStyle w:val="IndexLink"/>
              </w:rPr>
              <w:t>30</w:t>
            </w:r>
          </w:hyperlink>
        </w:p>
        <w:p>
          <w:pPr>
            <w:pStyle w:val="Contents2"/>
            <w:rPr>
              <w:rFonts w:ascii="Calibri" w:hAnsi="Calibri" w:cs="Calibri"/>
              <w:sz w:val="22"/>
              <w:szCs w:val="22"/>
              <w:lang w:val="en-US" w:eastAsia="en-US"/>
            </w:rPr>
          </w:pPr>
          <w:r>
            <w:rPr/>
            <w:t>6.</w:t>
          </w:r>
          <w:r>
            <w:rPr>
              <w:lang w:val="en-US" w:eastAsia="en-US"/>
            </w:rPr>
            <w:t xml:space="preserve">3 </w:t>
          </w:r>
          <w:r>
            <w:rPr>
              <w:rFonts w:cs="Calibri" w:ascii="Calibri" w:hAnsi="Calibri"/>
              <w:sz w:val="22"/>
              <w:szCs w:val="22"/>
              <w:lang w:val="en-US" w:eastAsia="en-US"/>
            </w:rPr>
            <w:tab/>
          </w:r>
          <w:r>
            <w:rPr/>
            <w:t>Nchf_SpendingLimitControl service</w:t>
            <w:tab/>
          </w:r>
          <w:hyperlink w:anchor="__RefHeading___Toc90566400">
            <w:r>
              <w:rPr>
                <w:rStyle w:val="IndexLink"/>
              </w:rPr>
              <w:t>30</w:t>
            </w:r>
          </w:hyperlink>
        </w:p>
        <w:p>
          <w:pPr>
            <w:pStyle w:val="Contents3"/>
            <w:rPr>
              <w:rFonts w:ascii="Calibri" w:hAnsi="Calibri" w:cs="Calibri"/>
              <w:sz w:val="22"/>
              <w:szCs w:val="22"/>
              <w:lang w:val="en-US" w:eastAsia="en-US"/>
            </w:rPr>
          </w:pPr>
          <w:r>
            <w:rPr/>
            <w:t>6.</w:t>
          </w:r>
          <w:r>
            <w:rPr>
              <w:lang w:val="en-US" w:eastAsia="en-US"/>
            </w:rPr>
            <w:t>3.1</w:t>
          </w:r>
          <w:r>
            <w:rPr>
              <w:rFonts w:cs="Calibri" w:ascii="Calibri" w:hAnsi="Calibri"/>
              <w:sz w:val="22"/>
              <w:szCs w:val="22"/>
              <w:lang w:val="en-US" w:eastAsia="en-US"/>
            </w:rPr>
            <w:tab/>
          </w:r>
          <w:r>
            <w:rPr>
              <w:lang w:val="en-US" w:eastAsia="en-US"/>
            </w:rPr>
            <w:t>Overview</w:t>
          </w:r>
          <w:r>
            <w:rPr/>
            <w:tab/>
          </w:r>
          <w:hyperlink w:anchor="__RefHeading___Toc90566401">
            <w:r>
              <w:rPr>
                <w:rStyle w:val="IndexLink"/>
              </w:rPr>
              <w:t>30</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t>Void</w:t>
            <w:tab/>
          </w:r>
          <w:hyperlink w:anchor="__RefHeading___Toc90566402">
            <w:r>
              <w:rPr>
                <w:rStyle w:val="IndexLink"/>
              </w:rPr>
              <w:t>31</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t>Nchf_OfflineOnlyCharging service</w:t>
            <w:tab/>
          </w:r>
          <w:hyperlink w:anchor="__RefHeading___Toc90566403">
            <w:r>
              <w:rPr>
                <w:rStyle w:val="IndexLink"/>
              </w:rPr>
              <w:t>31</w:t>
            </w:r>
          </w:hyperlink>
        </w:p>
        <w:p>
          <w:pPr>
            <w:pStyle w:val="Contents3"/>
            <w:rPr>
              <w:rFonts w:ascii="Calibri" w:hAnsi="Calibri" w:cs="Calibri"/>
              <w:sz w:val="22"/>
              <w:szCs w:val="22"/>
              <w:lang w:val="en-US" w:eastAsia="en-US"/>
            </w:rPr>
          </w:pPr>
          <w:r>
            <w:rPr/>
            <w:t>6.5</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90566404">
            <w:r>
              <w:rPr>
                <w:rStyle w:val="IndexLink"/>
              </w:rPr>
              <w:t>31</w:t>
            </w:r>
          </w:hyperlink>
        </w:p>
        <w:p>
          <w:pPr>
            <w:pStyle w:val="Contents3"/>
            <w:rPr>
              <w:rFonts w:ascii="Calibri" w:hAnsi="Calibri" w:cs="Calibri"/>
              <w:sz w:val="22"/>
              <w:szCs w:val="22"/>
              <w:lang w:val="en-US" w:eastAsia="en-US"/>
            </w:rPr>
          </w:pPr>
          <w:r>
            <w:rPr/>
            <w:t>6.5.2</w:t>
          </w:r>
          <w:r>
            <w:rPr>
              <w:rFonts w:cs="Calibri" w:ascii="Calibri" w:hAnsi="Calibri"/>
              <w:sz w:val="22"/>
              <w:szCs w:val="22"/>
            </w:rPr>
            <w:tab/>
          </w:r>
          <w:r>
            <w:rPr>
              <w:lang w:val="en-US" w:eastAsia="en-US"/>
            </w:rPr>
            <w:t>Nchf_</w:t>
          </w:r>
          <w:r>
            <w:rPr/>
            <w:t>OfflineOnlyCharging</w:t>
          </w:r>
          <w:r>
            <w:rPr>
              <w:lang w:val="en-US" w:eastAsia="en-US"/>
            </w:rPr>
            <w:t>_Create</w:t>
          </w:r>
          <w:r>
            <w:rPr/>
            <w:t xml:space="preserve"> service operation</w:t>
            <w:tab/>
          </w:r>
          <w:hyperlink w:anchor="__RefHeading___Toc90566405">
            <w:r>
              <w:rPr>
                <w:rStyle w:val="IndexLink"/>
              </w:rPr>
              <w:t>31</w:t>
            </w:r>
          </w:hyperlink>
        </w:p>
        <w:p>
          <w:pPr>
            <w:pStyle w:val="Contents3"/>
            <w:rPr>
              <w:rFonts w:ascii="Calibri" w:hAnsi="Calibri" w:cs="Calibri"/>
              <w:sz w:val="22"/>
              <w:szCs w:val="22"/>
              <w:lang w:val="en-US" w:eastAsia="en-US"/>
            </w:rPr>
          </w:pPr>
          <w:r>
            <w:rPr/>
            <w:t>6.5.3</w:t>
          </w:r>
          <w:r>
            <w:rPr>
              <w:rFonts w:cs="Calibri" w:ascii="Calibri" w:hAnsi="Calibri"/>
              <w:sz w:val="22"/>
              <w:szCs w:val="22"/>
              <w:lang w:val="en-US" w:eastAsia="en-US"/>
            </w:rPr>
            <w:tab/>
          </w:r>
          <w:r>
            <w:rPr/>
            <w:t>Nchf_OfflineOnlyCharging_Update service operation</w:t>
            <w:tab/>
          </w:r>
          <w:hyperlink w:anchor="__RefHeading___Toc90566406">
            <w:r>
              <w:rPr>
                <w:rStyle w:val="IndexLink"/>
              </w:rPr>
              <w:t>31</w:t>
            </w:r>
          </w:hyperlink>
        </w:p>
        <w:p>
          <w:pPr>
            <w:pStyle w:val="Contents3"/>
            <w:rPr>
              <w:rFonts w:ascii="Calibri" w:hAnsi="Calibri" w:cs="Calibri"/>
              <w:sz w:val="22"/>
              <w:szCs w:val="22"/>
              <w:lang w:val="en-US" w:eastAsia="en-US"/>
            </w:rPr>
          </w:pPr>
          <w:r>
            <w:rPr/>
            <w:t>6.5.4</w:t>
          </w:r>
          <w:r>
            <w:rPr>
              <w:rFonts w:cs="Calibri" w:ascii="Calibri" w:hAnsi="Calibri"/>
              <w:sz w:val="22"/>
              <w:szCs w:val="22"/>
            </w:rPr>
            <w:tab/>
          </w:r>
          <w:r>
            <w:rPr>
              <w:lang w:val="en-US" w:eastAsia="en-US"/>
            </w:rPr>
            <w:t>Nchf_OfflineOnlyCharging_</w:t>
          </w:r>
          <w:r>
            <w:rPr>
              <w:rFonts w:eastAsia="SimSun;宋体"/>
            </w:rPr>
            <w:t>Release</w:t>
          </w:r>
          <w:r>
            <w:rPr/>
            <w:t xml:space="preserve"> service operation</w:t>
            <w:tab/>
          </w:r>
          <w:hyperlink w:anchor="__RefHeading___Toc90566407">
            <w:r>
              <w:rPr>
                <w:rStyle w:val="IndexLink"/>
              </w:rPr>
              <w:t>32</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Message contents</w:t>
            <w:tab/>
          </w:r>
          <w:hyperlink w:anchor="__RefHeading___Toc90566408">
            <w:r>
              <w:rPr>
                <w:rStyle w:val="IndexLink"/>
              </w:rPr>
              <w:t>32</w:t>
            </w:r>
          </w:hyperlink>
        </w:p>
        <w:p>
          <w:pPr>
            <w:pStyle w:val="Contents8"/>
            <w:rPr>
              <w:rFonts w:ascii="Calibri" w:hAnsi="Calibri" w:cs="Calibri"/>
              <w:szCs w:val="22"/>
              <w:lang w:val="en-US" w:eastAsia="en-US"/>
            </w:rPr>
          </w:pPr>
          <w:r>
            <w:rPr>
              <w:b w:val="false"/>
            </w:rPr>
            <w:t>Annex A (informative):</w:t>
            <w:tab/>
            <w:t>Change history</w:t>
            <w:tab/>
          </w:r>
          <w:hyperlink w:anchor="__RefHeading___Toc90566409">
            <w:r>
              <w:rPr>
                <w:rStyle w:val="IndexLink"/>
                <w:b w:val="false"/>
              </w:rPr>
              <w:t>37</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7" w:name="__RefHeading___Toc90566348"/>
      <w:bookmarkEnd w:id="7"/>
      <w:r>
        <w:rPr/>
        <w:t>Foreword</w:t>
      </w:r>
    </w:p>
    <w:p>
      <w:pPr>
        <w:pStyle w:val="Normal"/>
        <w:rPr/>
      </w:pPr>
      <w:r>
        <w:rPr/>
        <w:t>This Technical Specification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90566349"/>
      <w:bookmarkEnd w:id="8"/>
      <w:r>
        <w:rPr/>
        <w:t>1</w:t>
        <w:tab/>
        <w:t>Scope</w:t>
      </w:r>
    </w:p>
    <w:p>
      <w:pPr>
        <w:pStyle w:val="Normal"/>
        <w:rPr/>
      </w:pPr>
      <w:r>
        <w:rPr/>
        <w:t>The present document specifies service, operations and procedures of 5G charging for service based interface. This charging description includes the charging architecture and scenarios as well as the mapping of the common charging architecture specified in TS 32.240 [1]. The present document is related to other 3GPP charging TSs as follows:</w:t>
      </w:r>
    </w:p>
    <w:p>
      <w:pPr>
        <w:pStyle w:val="B1"/>
        <w:rPr/>
      </w:pPr>
      <w:r>
        <w:rPr/>
        <w:t>-</w:t>
        <w:tab/>
        <w:t>The common 3GPP charging architecture is specified in TS 32.240 [1].</w:t>
      </w:r>
    </w:p>
    <w:p>
      <w:pPr>
        <w:pStyle w:val="B1"/>
        <w:rPr/>
      </w:pPr>
      <w:r>
        <w:rPr/>
        <w:t>-</w:t>
        <w:tab/>
        <w:t>The protocol that are used for service based interface is specified in TS 32.291 [58].</w:t>
      </w:r>
    </w:p>
    <w:p>
      <w:pPr>
        <w:pStyle w:val="B1"/>
        <w:ind w:left="0" w:hanging="0"/>
        <w:rPr/>
      </w:pPr>
      <w:r>
        <w:rPr/>
        <w:t xml:space="preserve">The description </w:t>
      </w:r>
      <w:r>
        <w:rPr/>
        <w:t>is following the same methodology as used in TS 23.501 [201] and TS 23.502 [202] for the 5G system.</w:t>
      </w:r>
    </w:p>
    <w:p>
      <w:pPr>
        <w:pStyle w:val="Heading1"/>
        <w:ind w:left="1134" w:hanging="1134"/>
        <w:rPr/>
      </w:pPr>
      <w:bookmarkStart w:id="9" w:name="__RefHeading___Toc90566350"/>
      <w:bookmarkEnd w:id="9"/>
      <w:r>
        <w:rPr/>
        <w:t>2</w:t>
        <w:tab/>
        <w:t>References</w:t>
      </w:r>
    </w:p>
    <w:p>
      <w:pPr>
        <w:pStyle w:val="Normal"/>
        <w:rPr/>
      </w:pPr>
      <w:r>
        <w:rPr/>
        <w:t>The following documents contain provisions which, through reference in this text, constitute provisions of the present document.</w:t>
      </w:r>
    </w:p>
    <w:p>
      <w:pPr>
        <w:pStyle w:val="B1"/>
        <w:rPr/>
      </w:pPr>
      <w:bookmarkStart w:id="10" w:name="OLE_LINK4"/>
      <w:bookmarkStart w:id="11" w:name="OLE_LINK3"/>
      <w:bookmarkStart w:id="12" w:name="OLE_LINK2"/>
      <w:bookmarkStart w:id="13" w:name="OLE_LINK1"/>
      <w:bookmarkEnd w:id="10"/>
      <w:bookmarkEnd w:id="11"/>
      <w:bookmarkEnd w:id="12"/>
      <w:bookmarkEnd w:id="13"/>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bookmarkStart w:id="14" w:name="OLE_LINK4"/>
      <w:bookmarkStart w:id="15" w:name="OLE_LINK3"/>
      <w:bookmarkStart w:id="16" w:name="OLE_LINK2"/>
      <w:bookmarkStart w:id="17" w:name="OLE_LINK1"/>
      <w:bookmarkEnd w:id="14"/>
      <w:bookmarkEnd w:id="15"/>
      <w:bookmarkEnd w:id="16"/>
      <w:bookmarkEnd w:id="17"/>
      <w:r>
        <w:rPr/>
        <w:t>[1]</w:t>
        <w:tab/>
        <w:t>3GPP TS 32.240: "Telecommunication management; Charging management; Charging architecture and principles".</w:t>
      </w:r>
    </w:p>
    <w:p>
      <w:pPr>
        <w:pStyle w:val="EX"/>
        <w:rPr>
          <w:lang w:eastAsia="de-DE"/>
        </w:rPr>
      </w:pPr>
      <w:r>
        <w:rPr/>
        <w:t>[2] - [</w:t>
      </w:r>
      <w:r>
        <w:rPr>
          <w:lang w:val="en-GB"/>
        </w:rPr>
        <w:t>2</w:t>
      </w:r>
      <w:r>
        <w:rPr/>
        <w:t>9]</w:t>
        <w:tab/>
        <w:t>Void.</w:t>
      </w:r>
      <w:r>
        <w:rPr>
          <w:lang w:eastAsia="de-DE"/>
        </w:rPr>
        <w:t xml:space="preserve"> </w:t>
      </w:r>
    </w:p>
    <w:p>
      <w:pPr>
        <w:pStyle w:val="EX"/>
        <w:rPr>
          <w:lang w:eastAsia="de-DE"/>
        </w:rPr>
      </w:pPr>
      <w:r>
        <w:rPr/>
        <w:t>[30]</w:t>
        <w:tab/>
        <w:t>3GPP TS 32.255: "Telecommunication management; Charging management; 5G Data connectivity domain charging; stage 2".</w:t>
      </w:r>
      <w:r>
        <w:rPr>
          <w:lang w:eastAsia="de-DE"/>
        </w:rPr>
        <w:t xml:space="preserve"> </w:t>
      </w:r>
    </w:p>
    <w:p>
      <w:pPr>
        <w:pStyle w:val="EX"/>
        <w:rPr>
          <w:lang w:eastAsia="de-DE"/>
        </w:rPr>
      </w:pPr>
      <w:r>
        <w:rPr/>
        <w:t>[31]</w:t>
        <w:tab/>
        <w:t>Void.</w:t>
      </w:r>
      <w:r>
        <w:rPr>
          <w:lang w:eastAsia="de-DE"/>
        </w:rPr>
        <w:t xml:space="preserve"> </w:t>
      </w:r>
    </w:p>
    <w:p>
      <w:pPr>
        <w:pStyle w:val="EX"/>
        <w:rPr>
          <w:lang w:eastAsia="de-DE"/>
        </w:rPr>
      </w:pPr>
      <w:r>
        <w:rPr/>
        <w:t>[32]</w:t>
        <w:tab/>
        <w:t>3GPP TS 32.254: "Telecommunication management; Charging management; Exposure function Northbound Application Program Interfaces (APIs) charging".</w:t>
      </w:r>
      <w:r>
        <w:rPr>
          <w:lang w:eastAsia="de-DE"/>
        </w:rPr>
        <w:t xml:space="preserve"> </w:t>
      </w:r>
    </w:p>
    <w:p>
      <w:pPr>
        <w:pStyle w:val="EX"/>
        <w:rPr/>
      </w:pPr>
      <w:r>
        <w:rPr/>
        <w:t>[33]</w:t>
        <w:tab/>
        <w:t>3GPP TS 32.256: "Telecommunication management; Charging management; 5G connection and mobility domain charging; Stage 2".</w:t>
      </w:r>
    </w:p>
    <w:p>
      <w:pPr>
        <w:pStyle w:val="EX"/>
        <w:rPr>
          <w:lang w:eastAsia="de-DE"/>
        </w:rPr>
      </w:pPr>
      <w:r>
        <w:rPr/>
        <w:t>[34]</w:t>
        <w:tab/>
        <w:t>3GPP TS 32.274: "Telecommunication management; Charging management; Short Message Service (SMS) charging".</w:t>
      </w:r>
      <w:r>
        <w:rPr>
          <w:lang w:eastAsia="de-DE"/>
        </w:rPr>
        <w:t xml:space="preserve"> </w:t>
      </w:r>
    </w:p>
    <w:p>
      <w:pPr>
        <w:pStyle w:val="EX"/>
        <w:rPr/>
      </w:pPr>
      <w:r>
        <w:rPr/>
        <w:t>[35]</w:t>
        <w:tab/>
        <w:t>3GPP TS 28.201: "Telecommunication management; Charging management; Network slice performance and analytics charging in the 5G System (5GS); Stage 2".</w:t>
      </w:r>
    </w:p>
    <w:p>
      <w:pPr>
        <w:pStyle w:val="EX"/>
        <w:rPr/>
      </w:pPr>
      <w:r>
        <w:rPr/>
        <w:t>[36]</w:t>
        <w:tab/>
        <w:t>3GPP TS 28.202: "Telecommunication management; Charging management; Network slice management charging in the 5G System (5GS); Stage 2".</w:t>
      </w:r>
    </w:p>
    <w:p>
      <w:pPr>
        <w:pStyle w:val="EX"/>
        <w:rPr/>
      </w:pPr>
      <w:r>
        <w:rPr/>
        <w:t>[37] - [49]</w:t>
        <w:tab/>
        <w:t>Void.</w:t>
      </w:r>
    </w:p>
    <w:p>
      <w:pPr>
        <w:pStyle w:val="EX"/>
        <w:rPr/>
      </w:pPr>
      <w:r>
        <w:rPr/>
        <w:t>[50]</w:t>
        <w:tab/>
        <w:t>3GPP TS 32.299: "Telecommunication management; Charging management; Diameter charging application".</w:t>
      </w:r>
    </w:p>
    <w:p>
      <w:pPr>
        <w:pStyle w:val="EX"/>
        <w:rPr/>
      </w:pPr>
      <w:r>
        <w:rPr/>
        <w:t xml:space="preserve">[51] - [54] </w:t>
        <w:tab/>
        <w:t>Void.</w:t>
      </w:r>
    </w:p>
    <w:p>
      <w:pPr>
        <w:pStyle w:val="EX"/>
        <w:rPr/>
      </w:pPr>
      <w:r>
        <w:rPr/>
        <w:t>[55] - [57]</w:t>
        <w:tab/>
        <w:t>Void.</w:t>
      </w:r>
    </w:p>
    <w:p>
      <w:pPr>
        <w:pStyle w:val="EX"/>
        <w:rPr/>
      </w:pPr>
      <w:r>
        <w:rPr>
          <w:lang w:eastAsia="zh-CN"/>
        </w:rPr>
        <w:t>[</w:t>
      </w:r>
      <w:r>
        <w:rPr>
          <w:lang w:eastAsia="zh-CN"/>
        </w:rPr>
        <w:t>58]</w:t>
        <w:tab/>
      </w:r>
      <w:r>
        <w:rPr/>
        <w:t>3GPP TS 32.291: "Telecommunication management; Charging management; 5G system; Charging service, stage 3.</w:t>
      </w:r>
    </w:p>
    <w:p>
      <w:pPr>
        <w:pStyle w:val="EX"/>
        <w:rPr>
          <w:lang w:eastAsia="zh-CN"/>
        </w:rPr>
      </w:pPr>
      <w:r>
        <w:rPr/>
        <w:t>[59] - [99]</w:t>
        <w:tab/>
        <w:t>Void.</w:t>
      </w:r>
    </w:p>
    <w:p>
      <w:pPr>
        <w:pStyle w:val="EX"/>
        <w:rPr/>
      </w:pPr>
      <w:r>
        <w:rPr/>
        <w:t>[100]</w:t>
        <w:tab/>
        <w:t>3GPP TR 21.905: "Vocabulary for 3GPP Specifications".</w:t>
      </w:r>
    </w:p>
    <w:p>
      <w:pPr>
        <w:pStyle w:val="EX"/>
        <w:rPr/>
      </w:pPr>
      <w:r>
        <w:rPr/>
        <w:t>[101] - [200]</w:t>
        <w:tab/>
        <w:t>Void.</w:t>
      </w:r>
    </w:p>
    <w:p>
      <w:pPr>
        <w:pStyle w:val="EX"/>
        <w:rPr/>
      </w:pPr>
      <w:r>
        <w:rPr/>
        <w:t>[201]</w:t>
        <w:tab/>
        <w:t>3GPP TS 23.501: "System Architecture for the 5G System</w:t>
      </w:r>
      <w:r>
        <w:rPr>
          <w:lang w:eastAsia="zh-CN"/>
        </w:rPr>
        <w:t>; Stage 2</w:t>
      </w:r>
      <w:r>
        <w:rPr/>
        <w:t>".</w:t>
      </w:r>
    </w:p>
    <w:p>
      <w:pPr>
        <w:pStyle w:val="EX"/>
        <w:rPr/>
      </w:pPr>
      <w:r>
        <w:rPr/>
        <w:t>[202]</w:t>
        <w:tab/>
        <w:t>3GPP TS 23.502: "Procedures for the 5G System</w:t>
      </w:r>
      <w:r>
        <w:rPr>
          <w:lang w:eastAsia="zh-CN"/>
        </w:rPr>
        <w:t>; Stage 2</w:t>
      </w:r>
      <w:r>
        <w:rPr/>
        <w:t>".</w:t>
      </w:r>
    </w:p>
    <w:p>
      <w:pPr>
        <w:pStyle w:val="EX"/>
        <w:rPr/>
      </w:pPr>
      <w:r>
        <w:rPr/>
        <w:t>[203] - [206]</w:t>
        <w:tab/>
        <w:t>Void.</w:t>
      </w:r>
    </w:p>
    <w:p>
      <w:pPr>
        <w:pStyle w:val="EX"/>
        <w:rPr>
          <w:color w:val="000000"/>
          <w:lang w:eastAsia="zh-CN"/>
        </w:rPr>
      </w:pPr>
      <w:r>
        <w:rPr/>
        <w:t xml:space="preserve">[207] - [299] </w:t>
        <w:tab/>
        <w:t>Void.</w:t>
      </w:r>
    </w:p>
    <w:p>
      <w:pPr>
        <w:pStyle w:val="EX"/>
        <w:rPr/>
      </w:pPr>
      <w:r>
        <w:rPr>
          <w:color w:val="000000"/>
        </w:rPr>
        <w:t>[300]</w:t>
      </w:r>
      <w:r>
        <w:rPr/>
        <w:tab/>
        <w:t xml:space="preserve">3GPP TS 29.510: " </w:t>
        <w:tab/>
        <w:t>5G System; Network function repository services; Stage 3".</w:t>
      </w:r>
    </w:p>
    <w:p>
      <w:pPr>
        <w:pStyle w:val="EX"/>
        <w:rPr/>
      </w:pPr>
      <w:r>
        <w:rPr>
          <w:color w:val="000000"/>
        </w:rPr>
        <w:t xml:space="preserve">[301] - </w:t>
      </w:r>
      <w:r>
        <w:rPr/>
        <w:t>[370]</w:t>
        <w:tab/>
        <w:t>Void.</w:t>
      </w:r>
    </w:p>
    <w:p>
      <w:pPr>
        <w:pStyle w:val="EX"/>
        <w:rPr/>
      </w:pPr>
      <w:r>
        <w:rPr>
          <w:color w:val="000000"/>
        </w:rPr>
        <w:t xml:space="preserve">[371] - </w:t>
      </w:r>
      <w:r>
        <w:rPr/>
        <w:t>[399]</w:t>
        <w:tab/>
        <w:t>Void.</w:t>
      </w:r>
    </w:p>
    <w:p>
      <w:pPr>
        <w:pStyle w:val="EX"/>
        <w:rPr/>
      </w:pPr>
      <w:r>
        <w:rPr>
          <w:color w:val="000000"/>
        </w:rPr>
        <w:t>[400</w:t>
      </w:r>
      <w:r>
        <w:rPr/>
        <w:t>] - [</w:t>
      </w:r>
      <w:r>
        <w:rPr>
          <w:color w:val="000000"/>
        </w:rPr>
        <w:t>499]</w:t>
        <w:tab/>
        <w:t>Void.</w:t>
      </w:r>
    </w:p>
    <w:p>
      <w:pPr>
        <w:pStyle w:val="EX"/>
        <w:rPr/>
      </w:pPr>
      <w:r>
        <w:rPr/>
        <w:t>[500] - [599]</w:t>
        <w:tab/>
        <w:t>Void.</w:t>
      </w:r>
      <w:r>
        <w:rPr>
          <w:lang w:eastAsia="zh-CN"/>
        </w:rPr>
        <w:t xml:space="preserve"> </w:t>
      </w:r>
    </w:p>
    <w:p>
      <w:pPr>
        <w:pStyle w:val="Heading1"/>
        <w:ind w:left="1134" w:hanging="1134"/>
        <w:rPr/>
      </w:pPr>
      <w:bookmarkStart w:id="18" w:name="__RefHeading___Toc90566351"/>
      <w:bookmarkEnd w:id="18"/>
      <w:r>
        <w:rPr/>
        <w:t>3</w:t>
        <w:tab/>
        <w:t>Definitions, symbols and abbreviations</w:t>
      </w:r>
    </w:p>
    <w:p>
      <w:pPr>
        <w:pStyle w:val="Heading2"/>
        <w:rPr/>
      </w:pPr>
      <w:bookmarkStart w:id="19" w:name="__RefHeading___Toc90566352"/>
      <w:bookmarkEnd w:id="19"/>
      <w:r>
        <w:rPr/>
        <w:t>3.1</w:t>
        <w:tab/>
        <w:t>Definitions</w:t>
      </w:r>
    </w:p>
    <w:p>
      <w:pPr>
        <w:pStyle w:val="Normal"/>
        <w:rPr/>
      </w:pPr>
      <w:r>
        <w:rPr/>
        <w:t xml:space="preserve">For the purposes of the present document, the terms and definitions given in </w:t>
      </w:r>
      <w:bookmarkStart w:id="20" w:name="OLE_LINK8"/>
      <w:bookmarkStart w:id="21" w:name="OLE_LINK7"/>
      <w:bookmarkStart w:id="22" w:name="OLE_LINK6"/>
      <w:r>
        <w:rPr/>
        <w:t xml:space="preserve">3GPP </w:t>
      </w:r>
      <w:bookmarkEnd w:id="20"/>
      <w:bookmarkEnd w:id="21"/>
      <w:bookmarkEnd w:id="22"/>
      <w:r>
        <w:rPr/>
        <w:t>TR 21.905 [100], TS 32.240 [1] and the following apply. A term defined in the present document takes precedence over the definition of the same term, if any, in either 3GPP TR 21.905 [100] or TS 32.240 [1].</w:t>
      </w:r>
    </w:p>
    <w:p>
      <w:pPr>
        <w:pStyle w:val="Normal"/>
        <w:keepLines/>
        <w:rPr>
          <w:b/>
          <w:b/>
        </w:rPr>
      </w:pPr>
      <w:r>
        <w:rPr>
          <w:b/>
        </w:rPr>
        <w:t xml:space="preserve">5G Access Network: </w:t>
      </w:r>
      <w:r>
        <w:rPr/>
        <w:t>An access network comprising a NG-RAN and/or non-3GPP AN connecting to a 5G Core Network.</w:t>
      </w:r>
    </w:p>
    <w:p>
      <w:pPr>
        <w:pStyle w:val="Normal"/>
        <w:keepLines/>
        <w:rPr/>
      </w:pPr>
      <w:r>
        <w:rPr>
          <w:b/>
        </w:rPr>
        <w:t xml:space="preserve">5G Core Network: </w:t>
      </w:r>
      <w:r>
        <w:rPr/>
        <w:t>The core network specified in the present document. It connects to a 5G Access Network.</w:t>
      </w:r>
    </w:p>
    <w:p>
      <w:pPr>
        <w:pStyle w:val="Normal"/>
        <w:keepLines/>
        <w:rPr/>
      </w:pPr>
      <w:r>
        <w:rPr>
          <w:b/>
          <w:bCs/>
        </w:rPr>
        <w:t>NF service:</w:t>
      </w:r>
      <w:r>
        <w:rPr/>
        <w:t xml:space="preserve"> a functionality exposed by a NF through a service based interface and consumed by other authorized NFs.</w:t>
      </w:r>
    </w:p>
    <w:p>
      <w:pPr>
        <w:pStyle w:val="Normal"/>
        <w:keepLines/>
        <w:rPr/>
      </w:pPr>
      <w:r>
        <w:rPr>
          <w:b/>
          <w:bCs/>
        </w:rPr>
        <w:t>NF service operation:</w:t>
      </w:r>
      <w:r>
        <w:rPr/>
        <w:t xml:space="preserve"> </w:t>
      </w:r>
      <w:r>
        <w:rPr>
          <w:lang w:eastAsia="zh-CN"/>
        </w:rPr>
        <w:t xml:space="preserve">An </w:t>
      </w:r>
      <w:r>
        <w:rPr/>
        <w:t>elementary unit a NF service</w:t>
      </w:r>
      <w:r>
        <w:rPr>
          <w:lang w:eastAsia="zh-CN"/>
        </w:rPr>
        <w:t xml:space="preserve"> is compos</w:t>
      </w:r>
      <w:r>
        <w:rPr/>
        <w:t>ed of.</w:t>
      </w:r>
    </w:p>
    <w:p>
      <w:pPr>
        <w:pStyle w:val="Normal"/>
        <w:keepLines/>
        <w:rPr/>
      </w:pPr>
      <w:r>
        <w:rPr>
          <w:b/>
          <w:lang w:eastAsia="zh-CN"/>
        </w:rPr>
        <w:t xml:space="preserve">service based interface: </w:t>
      </w:r>
      <w:r>
        <w:rPr>
          <w:lang w:eastAsia="zh-CN"/>
        </w:rPr>
        <w:t>It represents how a set of services is provided/exposed by a give</w:t>
      </w:r>
      <w:r>
        <w:rPr/>
        <w:t>n NF.</w:t>
      </w:r>
    </w:p>
    <w:p>
      <w:pPr>
        <w:pStyle w:val="Normal"/>
        <w:keepLines/>
        <w:rPr/>
      </w:pPr>
      <w:r>
        <w:rPr>
          <w:b/>
          <w:bCs/>
        </w:rPr>
        <w:t>charging session</w:t>
      </w:r>
      <w:r>
        <w:rPr>
          <w:b/>
          <w:lang w:eastAsia="zh-CN"/>
        </w:rPr>
        <w:t xml:space="preserve">: </w:t>
      </w:r>
      <w:r>
        <w:rPr>
          <w:lang w:eastAsia="zh-CN"/>
        </w:rPr>
        <w:t xml:space="preserve">The association between the CHF (NF Service Producer) that provides the charging service and NF service consumer. </w:t>
      </w:r>
    </w:p>
    <w:p>
      <w:pPr>
        <w:pStyle w:val="Heading2"/>
        <w:rPr/>
      </w:pPr>
      <w:bookmarkStart w:id="23" w:name="__RefHeading___Toc90566353"/>
      <w:bookmarkEnd w:id="23"/>
      <w:r>
        <w:rPr/>
        <w:t>3.2</w:t>
        <w:tab/>
        <w:t>Symbols</w:t>
      </w:r>
    </w:p>
    <w:p>
      <w:pPr>
        <w:pStyle w:val="Normal"/>
        <w:keepNext w:val="true"/>
        <w:rPr/>
      </w:pPr>
      <w:r>
        <w:rPr/>
        <w:t>For the purposes of the present document, the following symbols apply:</w:t>
      </w:r>
    </w:p>
    <w:p>
      <w:pPr>
        <w:pStyle w:val="EW"/>
        <w:rPr>
          <w:color w:val="000000"/>
          <w:lang w:bidi="ar-IQ"/>
        </w:rPr>
      </w:pPr>
      <w:r>
        <w:rPr>
          <w:color w:val="000000"/>
          <w:lang w:bidi="ar-IQ"/>
        </w:rPr>
        <w:t>N</w:t>
      </w:r>
      <w:r>
        <w:rPr>
          <w:color w:val="000000"/>
          <w:lang w:bidi="ar-IQ"/>
        </w:rPr>
        <w:t>chf</w:t>
        <w:tab/>
        <w:t>Service-based interface exhibited by Charging Function.</w:t>
      </w:r>
    </w:p>
    <w:p>
      <w:pPr>
        <w:pStyle w:val="Heading2"/>
        <w:rPr/>
      </w:pPr>
      <w:bookmarkStart w:id="24" w:name="__RefHeading___Toc90566354"/>
      <w:bookmarkEnd w:id="24"/>
      <w:r>
        <w:rPr/>
        <w:t>3.3</w:t>
        <w:tab/>
        <w:t>Abbreviations</w:t>
      </w:r>
    </w:p>
    <w:p>
      <w:pPr>
        <w:pStyle w:val="Normal"/>
        <w:keepNext w:val="true"/>
        <w:rPr/>
      </w:pPr>
      <w:r>
        <w:rPr/>
        <w:t xml:space="preserve">For the purposes of the present document, the abbreviations given in 3GPP TR 21.905 [100] and the following apply. An abbreviation defined in the present document takes precedence over the definition of the same abbreviation, if any, in 3GPP TR 21.905 [100]. </w:t>
      </w:r>
    </w:p>
    <w:p>
      <w:pPr>
        <w:pStyle w:val="EW"/>
        <w:rPr/>
      </w:pPr>
      <w:r>
        <w:rPr/>
        <w:t>5GC</w:t>
        <w:tab/>
        <w:t>5G Core Network</w:t>
      </w:r>
    </w:p>
    <w:p>
      <w:pPr>
        <w:pStyle w:val="EW"/>
        <w:rPr/>
      </w:pPr>
      <w:r>
        <w:rPr/>
        <w:t>5GS</w:t>
        <w:tab/>
        <w:t>5G System</w:t>
      </w:r>
    </w:p>
    <w:p>
      <w:pPr>
        <w:pStyle w:val="EW"/>
        <w:rPr/>
      </w:pPr>
      <w:r>
        <w:rPr/>
        <w:t>AMF</w:t>
        <w:tab/>
        <w:t>Access and Mobility Management Function</w:t>
      </w:r>
    </w:p>
    <w:p>
      <w:pPr>
        <w:pStyle w:val="EW"/>
        <w:rPr/>
      </w:pPr>
      <w:r>
        <w:rPr/>
        <w:t>CCS</w:t>
        <w:tab/>
        <w:t>Converged Charging System</w:t>
      </w:r>
    </w:p>
    <w:p>
      <w:pPr>
        <w:pStyle w:val="EW"/>
        <w:rPr/>
      </w:pPr>
      <w:r>
        <w:rPr>
          <w:lang w:eastAsia="zh-CN"/>
        </w:rPr>
        <w:t>C</w:t>
      </w:r>
      <w:r>
        <w:rPr>
          <w:lang w:eastAsia="zh-CN"/>
        </w:rPr>
        <w:t>EF</w:t>
        <w:tab/>
      </w:r>
      <w:r>
        <w:rPr>
          <w:lang w:eastAsia="zh-CN"/>
        </w:rPr>
        <w:t xml:space="preserve">Charging </w:t>
      </w:r>
      <w:r>
        <w:rPr>
          <w:lang w:eastAsia="zh-CN"/>
        </w:rPr>
        <w:t xml:space="preserve">Enablement </w:t>
      </w:r>
      <w:r>
        <w:rPr>
          <w:lang w:eastAsia="zh-CN"/>
        </w:rPr>
        <w:t>Function</w:t>
      </w:r>
    </w:p>
    <w:p>
      <w:pPr>
        <w:pStyle w:val="EW"/>
        <w:rPr/>
      </w:pPr>
      <w:r>
        <w:rPr/>
        <w:t>CHF</w:t>
        <w:tab/>
        <w:t>Charging Function</w:t>
      </w:r>
    </w:p>
    <w:p>
      <w:pPr>
        <w:pStyle w:val="EW"/>
        <w:rPr>
          <w:lang w:val="en-US" w:eastAsia="en-US"/>
        </w:rPr>
      </w:pPr>
      <w:r>
        <w:rPr>
          <w:lang w:val="en-US" w:eastAsia="en-US"/>
        </w:rPr>
        <w:t>IEC</w:t>
        <w:tab/>
        <w:t>Immediate Event Charging</w:t>
      </w:r>
    </w:p>
    <w:p>
      <w:pPr>
        <w:pStyle w:val="EW"/>
        <w:rPr/>
      </w:pPr>
      <w:r>
        <w:rPr/>
        <w:t>MnS</w:t>
        <w:tab/>
        <w:t>Management Service</w:t>
      </w:r>
    </w:p>
    <w:p>
      <w:pPr>
        <w:pStyle w:val="EW"/>
        <w:rPr/>
      </w:pPr>
      <w:r>
        <w:rPr/>
        <w:t>NF</w:t>
        <w:tab/>
        <w:t>Network Function</w:t>
      </w:r>
    </w:p>
    <w:p>
      <w:pPr>
        <w:pStyle w:val="EW"/>
        <w:rPr/>
      </w:pPr>
      <w:r>
        <w:rPr/>
        <w:t>PCF</w:t>
        <w:tab/>
        <w:t>Policy Control Function</w:t>
      </w:r>
    </w:p>
    <w:p>
      <w:pPr>
        <w:pStyle w:val="EW"/>
        <w:rPr/>
      </w:pPr>
      <w:r>
        <w:rPr/>
        <w:t>SBI</w:t>
        <w:tab/>
        <w:t>Service based Interface</w:t>
      </w:r>
    </w:p>
    <w:p>
      <w:pPr>
        <w:pStyle w:val="EW"/>
        <w:rPr/>
      </w:pPr>
      <w:r>
        <w:rPr/>
        <w:t>SMSF</w:t>
        <w:tab/>
        <w:t>Short Message Service Function</w:t>
      </w:r>
    </w:p>
    <w:p>
      <w:pPr>
        <w:pStyle w:val="EW"/>
        <w:rPr/>
      </w:pPr>
      <w:r>
        <w:rPr/>
        <w:t>SMF</w:t>
        <w:tab/>
        <w:t>Session Management Function</w:t>
      </w:r>
    </w:p>
    <w:p>
      <w:pPr>
        <w:pStyle w:val="Heading1"/>
        <w:ind w:left="1134" w:hanging="1134"/>
        <w:rPr>
          <w:lang w:eastAsia="zh-CN"/>
        </w:rPr>
      </w:pPr>
      <w:bookmarkStart w:id="25" w:name="__RefHeading___Toc90566355"/>
      <w:bookmarkEnd w:id="25"/>
      <w:r>
        <w:rPr>
          <w:lang w:eastAsia="zh-CN"/>
        </w:rPr>
        <w:t>4</w:t>
      </w:r>
      <w:r>
        <w:rPr/>
        <w:tab/>
        <w:t>Architecture</w:t>
      </w:r>
      <w:r>
        <w:rPr>
          <w:lang w:eastAsia="zh-CN"/>
        </w:rPr>
        <w:t xml:space="preserve"> </w:t>
      </w:r>
      <w:r>
        <w:rPr>
          <w:lang w:eastAsia="zh-CN"/>
        </w:rPr>
        <w:t>reference model</w:t>
      </w:r>
    </w:p>
    <w:p>
      <w:pPr>
        <w:pStyle w:val="Heading2"/>
        <w:rPr/>
      </w:pPr>
      <w:bookmarkStart w:id="26" w:name="__RefHeading___Toc90566356"/>
      <w:bookmarkEnd w:id="26"/>
      <w:r>
        <w:rPr/>
        <w:t>4</w:t>
      </w:r>
      <w:r>
        <w:rPr/>
        <w:t>.1</w:t>
        <w:tab/>
      </w:r>
      <w:r>
        <w:rPr/>
        <w:t>General</w:t>
      </w:r>
    </w:p>
    <w:p>
      <w:pPr>
        <w:pStyle w:val="Normal"/>
        <w:rPr>
          <w:lang w:eastAsia="zh-CN"/>
        </w:rPr>
      </w:pPr>
      <w:r>
        <w:rPr>
          <w:lang w:eastAsia="zh-CN"/>
        </w:rPr>
        <w:t xml:space="preserve">The present document describes </w:t>
      </w:r>
      <w:r>
        <w:rPr>
          <w:lang w:eastAsia="zh-CN"/>
        </w:rPr>
        <w:t>t</w:t>
      </w:r>
      <w:r>
        <w:rPr>
          <w:lang w:eastAsia="zh-CN"/>
        </w:rPr>
        <w:t>h</w:t>
      </w:r>
      <w:r>
        <w:rPr>
          <w:lang w:eastAsia="zh-CN"/>
        </w:rPr>
        <w:t xml:space="preserve">e </w:t>
      </w:r>
      <w:r>
        <w:rPr>
          <w:lang w:eastAsia="zh-CN"/>
        </w:rPr>
        <w:t>service base</w:t>
      </w:r>
      <w:r>
        <w:rPr>
          <w:lang w:eastAsia="zh-CN"/>
        </w:rPr>
        <w:t xml:space="preserve">d </w:t>
      </w:r>
      <w:r>
        <w:rPr>
          <w:lang w:eastAsia="zh-CN"/>
        </w:rPr>
        <w:t xml:space="preserve">architecture for 5G Charging. </w:t>
      </w:r>
    </w:p>
    <w:p>
      <w:pPr>
        <w:pStyle w:val="Heading2"/>
        <w:rPr/>
      </w:pPr>
      <w:bookmarkStart w:id="27" w:name="__RefHeading___Toc90566357"/>
      <w:bookmarkEnd w:id="27"/>
      <w:r>
        <w:rPr/>
        <w:t>4</w:t>
      </w:r>
      <w:r>
        <w:rPr/>
        <w:t>.2</w:t>
        <w:tab/>
        <w:t>R</w:t>
      </w:r>
      <w:r>
        <w:rPr/>
        <w:t>eference architecture</w:t>
      </w:r>
    </w:p>
    <w:p>
      <w:pPr>
        <w:pStyle w:val="Normal"/>
        <w:rPr/>
      </w:pPr>
      <w:r>
        <w:rPr>
          <w:lang w:eastAsia="zh-CN"/>
        </w:rPr>
        <w:t xml:space="preserve">The NFs with CTF </w:t>
      </w:r>
      <w:r>
        <w:rPr/>
        <w:t>interact with C</w:t>
      </w:r>
      <w:r>
        <w:rPr>
          <w:lang w:eastAsia="zh-CN"/>
        </w:rPr>
        <w:t xml:space="preserve">HF </w:t>
      </w:r>
      <w:r>
        <w:rPr/>
        <w:t>using Nc</w:t>
      </w:r>
      <w:r>
        <w:rPr>
          <w:lang w:eastAsia="zh-CN"/>
        </w:rPr>
        <w:t>hf</w:t>
      </w:r>
      <w:r>
        <w:rPr/>
        <w:t xml:space="preserve"> interface for converged</w:t>
      </w:r>
      <w:r>
        <w:rPr>
          <w:lang w:eastAsia="zh-CN"/>
        </w:rPr>
        <w:t xml:space="preserve"> charging</w:t>
      </w:r>
      <w:r>
        <w:rPr>
          <w:lang w:eastAsia="zh-CN"/>
        </w:rPr>
        <w:t xml:space="preserve"> or offline only charging</w:t>
      </w:r>
      <w:r>
        <w:rPr>
          <w:lang w:eastAsia="zh-CN"/>
        </w:rPr>
        <w:t xml:space="preserve">. The NF PCF </w:t>
      </w:r>
      <w:r>
        <w:rPr/>
        <w:t>interact</w:t>
      </w:r>
      <w:r>
        <w:rPr>
          <w:lang w:eastAsia="zh-CN"/>
        </w:rPr>
        <w:t>s</w:t>
      </w:r>
      <w:r>
        <w:rPr/>
        <w:t xml:space="preserve"> with C</w:t>
      </w:r>
      <w:r>
        <w:rPr>
          <w:lang w:eastAsia="zh-CN"/>
        </w:rPr>
        <w:t xml:space="preserve">HF </w:t>
      </w:r>
      <w:r>
        <w:rPr/>
        <w:t>using Nc</w:t>
      </w:r>
      <w:r>
        <w:rPr>
          <w:lang w:eastAsia="zh-CN"/>
        </w:rPr>
        <w:t>hf</w:t>
      </w:r>
      <w:r>
        <w:rPr/>
        <w:t xml:space="preserve"> interface for Spending Limit Control.</w:t>
      </w:r>
      <w:r>
        <w:rPr>
          <w:lang w:eastAsia="zh-CN"/>
        </w:rPr>
        <w:t xml:space="preserve"> The Nchf is a </w:t>
      </w:r>
      <w:r>
        <w:rPr>
          <w:lang w:eastAsia="zh-CN"/>
        </w:rPr>
        <w:t>service based interface for</w:t>
      </w:r>
      <w:r>
        <w:rPr>
          <w:lang w:eastAsia="zh-CN"/>
        </w:rPr>
        <w:t xml:space="preserve"> N</w:t>
      </w:r>
      <w:r>
        <w:rPr>
          <w:lang w:eastAsia="zh-CN"/>
        </w:rPr>
        <w:t>F</w:t>
      </w:r>
      <w:r>
        <w:rPr>
          <w:lang w:eastAsia="zh-CN"/>
        </w:rPr>
        <w:t xml:space="preserve"> and CHF.</w:t>
      </w:r>
    </w:p>
    <w:p>
      <w:pPr>
        <w:pStyle w:val="Normal"/>
        <w:rPr>
          <w:lang w:eastAsia="zh-CN"/>
        </w:rPr>
      </w:pPr>
      <w:r>
        <w:rPr/>
        <w:t xml:space="preserve">Figure </w:t>
      </w:r>
      <w:r>
        <w:rPr>
          <w:lang w:eastAsia="zh-CN"/>
        </w:rPr>
        <w:t>4</w:t>
      </w:r>
      <w:r>
        <w:rPr/>
        <w:t xml:space="preserve">.2.1 depicts the </w:t>
      </w:r>
      <w:r>
        <w:rPr>
          <w:lang w:eastAsia="zh-CN"/>
        </w:rPr>
        <w:t>r</w:t>
      </w:r>
      <w:r>
        <w:rPr/>
        <w:t xml:space="preserve">eference </w:t>
      </w:r>
      <w:r>
        <w:rPr>
          <w:lang w:eastAsia="zh-CN"/>
        </w:rPr>
        <w:t>a</w:t>
      </w:r>
      <w:r>
        <w:rPr/>
        <w:t>rchitecture for the Nc</w:t>
      </w:r>
      <w:r>
        <w:rPr>
          <w:lang w:eastAsia="zh-CN"/>
        </w:rPr>
        <w:t>h</w:t>
      </w:r>
      <w:r>
        <w:rPr/>
        <w:t>f Interface.</w:t>
      </w:r>
    </w:p>
    <w:p>
      <w:pPr>
        <w:pStyle w:val="TH"/>
        <w:rPr>
          <w:lang w:eastAsia="zh-CN"/>
        </w:rPr>
      </w:pPr>
      <w:r>
        <w:rPr/>
        <w:object w:dxaOrig="5221" w:dyaOrig="3065">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261.05pt;height:153.3pt" filled="f" o:ole="">
            <v:imagedata r:id="rId7" o:title=""/>
          </v:shape>
          <o:OLEObject Type="Embed" ProgID="" ShapeID="ole_rId6" DrawAspect="Content" ObjectID="_1039102824" r:id="rId6"/>
        </w:object>
      </w:r>
    </w:p>
    <w:p>
      <w:pPr>
        <w:pStyle w:val="TF"/>
        <w:rPr/>
      </w:pPr>
      <w:r>
        <w:rPr/>
        <w:t>Figure 4.2.1: Reference Architecture for the N</w:t>
      </w:r>
      <w:r>
        <w:rPr/>
        <w:t>chf</w:t>
      </w:r>
      <w:r>
        <w:rPr/>
        <w:t xml:space="preserve"> </w:t>
      </w:r>
      <w:r>
        <w:rPr/>
        <w:t>Interface</w:t>
      </w:r>
      <w:r>
        <w:rPr/>
        <w:t>; SBI representation</w:t>
      </w:r>
    </w:p>
    <w:p>
      <w:pPr>
        <w:pStyle w:val="Heading1"/>
        <w:ind w:left="1134" w:hanging="1134"/>
        <w:rPr/>
      </w:pPr>
      <w:bookmarkStart w:id="28" w:name="__RefHeading___Toc90566358"/>
      <w:bookmarkEnd w:id="28"/>
      <w:r>
        <w:rPr/>
        <w:t>5</w:t>
        <w:tab/>
        <w:t>Charging function requirement</w:t>
      </w:r>
    </w:p>
    <w:p>
      <w:pPr>
        <w:pStyle w:val="Heading2"/>
        <w:rPr/>
      </w:pPr>
      <w:bookmarkStart w:id="29" w:name="__RefHeading___Toc90566359"/>
      <w:bookmarkEnd w:id="29"/>
      <w:r>
        <w:rPr>
          <w:lang w:eastAsia="zh-CN"/>
        </w:rPr>
        <w:t>5.</w:t>
      </w:r>
      <w:r>
        <w:rPr>
          <w:lang w:eastAsia="zh-CN"/>
        </w:rPr>
        <w:t>1</w:t>
      </w:r>
      <w:r>
        <w:rPr>
          <w:lang w:eastAsia="zh-CN"/>
        </w:rPr>
        <w:tab/>
      </w:r>
      <w:r>
        <w:rPr>
          <w:lang w:eastAsia="zh-CN"/>
        </w:rPr>
        <w:t>Offline charging scenario</w:t>
      </w:r>
    </w:p>
    <w:p>
      <w:pPr>
        <w:pStyle w:val="Heading3"/>
        <w:rPr/>
      </w:pPr>
      <w:bookmarkStart w:id="30" w:name="__RefHeading___Toc90566360"/>
      <w:bookmarkEnd w:id="30"/>
      <w:r>
        <w:rPr/>
        <w:t>5.1.1</w:t>
        <w:tab/>
        <w:t>Basic principles</w:t>
      </w:r>
    </w:p>
    <w:p>
      <w:pPr>
        <w:pStyle w:val="Normal"/>
        <w:rPr/>
      </w:pPr>
      <w:r>
        <w:rPr/>
        <w:t xml:space="preserve">Basic principles for offline charging are defined in TS 32.240 [1]. </w:t>
      </w:r>
    </w:p>
    <w:p>
      <w:pPr>
        <w:pStyle w:val="Heading3"/>
        <w:rPr/>
      </w:pPr>
      <w:bookmarkStart w:id="31" w:name="__RefHeading___Toc90566361"/>
      <w:bookmarkEnd w:id="31"/>
      <w:r>
        <w:rPr/>
        <w:t>5.1.2</w:t>
        <w:tab/>
        <w:t>Charging scenarios</w:t>
      </w:r>
    </w:p>
    <w:p>
      <w:pPr>
        <w:pStyle w:val="Heading4"/>
        <w:ind w:left="1418" w:hanging="1418"/>
        <w:rPr/>
      </w:pPr>
      <w:bookmarkStart w:id="32" w:name="__RefHeading___Toc90566362"/>
      <w:bookmarkEnd w:id="32"/>
      <w:r>
        <w:rPr/>
        <w:t>5.1.2.1</w:t>
        <w:tab/>
        <w:t>Introduction</w:t>
      </w:r>
    </w:p>
    <w:p>
      <w:pPr>
        <w:pStyle w:val="Normal"/>
        <w:rPr/>
      </w:pPr>
      <w:r>
        <w:rPr/>
        <w:t>Two basic scenarios are used:</w:t>
      </w:r>
    </w:p>
    <w:p>
      <w:pPr>
        <w:pStyle w:val="B1"/>
        <w:rPr/>
      </w:pPr>
      <w:r>
        <w:rPr/>
        <w:t>-</w:t>
        <w:tab/>
        <w:t>Event based charging;</w:t>
      </w:r>
    </w:p>
    <w:p>
      <w:pPr>
        <w:pStyle w:val="B1"/>
        <w:rPr/>
      </w:pPr>
      <w:r>
        <w:rPr/>
        <w:t>-</w:t>
        <w:tab/>
        <w:t>Session based charging.</w:t>
      </w:r>
    </w:p>
    <w:p>
      <w:pPr>
        <w:pStyle w:val="Normal"/>
        <w:rPr>
          <w:lang w:bidi="ar-IQ"/>
        </w:rPr>
      </w:pPr>
      <w:r>
        <w:rPr/>
        <w:t>Both  scenarios may generate CDR files, which may then be transferred to the network operator's BD for the purpose of subscriber billing and/or inter-operator accounting.</w:t>
      </w:r>
    </w:p>
    <w:p>
      <w:pPr>
        <w:pStyle w:val="Heading4"/>
        <w:ind w:left="1418" w:hanging="1418"/>
        <w:rPr/>
      </w:pPr>
      <w:bookmarkStart w:id="33" w:name="__RefHeading___Toc90566363"/>
      <w:bookmarkEnd w:id="33"/>
      <w:r>
        <w:rPr/>
        <w:t>5.1.2.2</w:t>
        <w:tab/>
        <w:t>Scenarios</w:t>
      </w:r>
    </w:p>
    <w:p>
      <w:pPr>
        <w:pStyle w:val="Heading5"/>
        <w:ind w:left="1701" w:hanging="1701"/>
        <w:rPr/>
      </w:pPr>
      <w:bookmarkStart w:id="34" w:name="__RefHeading___Toc90566364"/>
      <w:bookmarkEnd w:id="34"/>
      <w:r>
        <w:rPr/>
        <w:t>5.1.2.2.1</w:t>
        <w:tab/>
        <w:t>Event based charging</w:t>
      </w:r>
    </w:p>
    <w:p>
      <w:pPr>
        <w:pStyle w:val="Normal"/>
        <w:rPr/>
      </w:pPr>
      <w:r>
        <w:rPr/>
        <w:t>Figure 5.1.2.2.</w:t>
      </w:r>
      <w:r>
        <w:rPr>
          <w:lang w:eastAsia="zh-CN"/>
        </w:rPr>
        <w:t xml:space="preserve">1.1 </w:t>
      </w:r>
      <w:r>
        <w:rPr/>
        <w:t>shows a scenario for Post Event Charging,</w:t>
      </w:r>
      <w:r>
        <w:rPr>
          <w:lang w:eastAsia="zh-CN"/>
        </w:rPr>
        <w:t xml:space="preserve"> (PEC) </w:t>
      </w:r>
      <w:r>
        <w:rPr/>
        <w:t xml:space="preserve">where the </w:t>
      </w:r>
      <w:r>
        <w:rPr>
          <w:rFonts w:eastAsia="SimSun;宋体"/>
        </w:rPr>
        <w:t xml:space="preserve">NF </w:t>
      </w:r>
      <w:r>
        <w:rPr/>
        <w:t xml:space="preserve">(CTF) interacts with the CHF after the service delivery. </w:t>
      </w:r>
    </w:p>
    <w:p>
      <w:pPr>
        <w:pStyle w:val="TH"/>
        <w:rPr/>
      </w:pPr>
      <w:r>
        <w:rPr/>
        <w:object w:dxaOrig="10472" w:dyaOrig="7208">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314.35pt;height:216.45pt" filled="f" o:ole="">
            <v:imagedata r:id="rId9" o:title=""/>
          </v:shape>
          <o:OLEObject Type="Embed" ProgID="" ShapeID="ole_rId8" DrawAspect="Content" ObjectID="_1767050310" r:id="rId8"/>
        </w:object>
      </w:r>
    </w:p>
    <w:p>
      <w:pPr>
        <w:pStyle w:val="TF"/>
        <w:rPr/>
      </w:pPr>
      <w:r>
        <w:rPr/>
        <w:t xml:space="preserve">Figure 5.1.2.2.1.1: Post Event Charging </w:t>
      </w:r>
    </w:p>
    <w:p>
      <w:pPr>
        <w:pStyle w:val="B1"/>
        <w:rPr/>
      </w:pPr>
      <w:r>
        <w:rPr>
          <w:b/>
        </w:rPr>
        <w:t>1)</w:t>
        <w:tab/>
        <w:t>Request for resource usage:</w:t>
      </w:r>
      <w:r>
        <w:rPr/>
        <w:t xml:space="preserve"> A request for session establishment is received in the NF (CTF). </w:t>
      </w:r>
    </w:p>
    <w:p>
      <w:pPr>
        <w:pStyle w:val="B1"/>
        <w:rPr/>
      </w:pPr>
      <w:bookmarkStart w:id="35" w:name="_Hlk14260415"/>
      <w:bookmarkEnd w:id="35"/>
      <w:r>
        <w:rPr>
          <w:b/>
        </w:rPr>
        <w:t>2)</w:t>
        <w:tab/>
        <w:t>Content/Service Delivery:</w:t>
      </w:r>
      <w:r>
        <w:rPr/>
        <w:t xml:space="preserve"> the NF (CTF) delivers the content/service.</w:t>
      </w:r>
    </w:p>
    <w:p>
      <w:pPr>
        <w:pStyle w:val="B1"/>
        <w:rPr/>
      </w:pPr>
      <w:bookmarkStart w:id="36" w:name="_Hlk14260415"/>
      <w:bookmarkEnd w:id="36"/>
      <w:r>
        <w:rPr>
          <w:b/>
        </w:rPr>
        <w:t>3)</w:t>
        <w:tab/>
        <w:t>Charging Data Request [Event]:</w:t>
      </w:r>
      <w:r>
        <w:rPr/>
        <w:t xml:space="preserve"> The NF (CTF) </w:t>
      </w:r>
      <w:r>
        <w:rPr>
          <w:lang w:val="en-US" w:eastAsia="en-US"/>
        </w:rPr>
        <w:t xml:space="preserve">the CTF generates charging data related to the delivered service and </w:t>
      </w:r>
      <w:r>
        <w:rPr/>
        <w:t>sends the request for the CHF to store related charging data for CDR generation purpose.</w:t>
      </w:r>
    </w:p>
    <w:p>
      <w:pPr>
        <w:pStyle w:val="B1"/>
        <w:rPr/>
      </w:pPr>
      <w:r>
        <w:rPr>
          <w:b/>
        </w:rPr>
        <w:t>4)</w:t>
        <w:tab/>
        <w:t xml:space="preserve"> </w:t>
      </w:r>
      <w:r>
        <w:rPr>
          <w:b/>
          <w:lang w:eastAsia="zh-CN"/>
        </w:rPr>
        <w:t>Create</w:t>
      </w:r>
      <w:r>
        <w:rPr>
          <w:b/>
        </w:rPr>
        <w:t xml:space="preserve"> CDR:</w:t>
      </w:r>
      <w:r>
        <w:rPr/>
        <w:t xml:space="preserve"> the CHF stores received information and </w:t>
      </w:r>
      <w:r>
        <w:rPr>
          <w:lang w:eastAsia="zh-CN"/>
        </w:rPr>
        <w:t>creates</w:t>
      </w:r>
      <w:r>
        <w:rPr/>
        <w:t xml:space="preserve"> a CDR related to the service.</w:t>
      </w:r>
    </w:p>
    <w:p>
      <w:pPr>
        <w:pStyle w:val="B1"/>
        <w:rPr/>
      </w:pPr>
      <w:r>
        <w:rPr>
          <w:b/>
        </w:rPr>
        <w:t>5)</w:t>
        <w:tab/>
        <w:t>Charging Data Response [Event]:</w:t>
      </w:r>
      <w:r>
        <w:rPr/>
        <w:t xml:space="preserve"> </w:t>
      </w:r>
      <w:bookmarkStart w:id="37" w:name="_Hlk14261187"/>
      <w:r>
        <w:rPr/>
        <w:t>The CHF informs the NF (CTF) on the result of the request</w:t>
      </w:r>
      <w:bookmarkEnd w:id="37"/>
      <w:r>
        <w:rPr/>
        <w:t>.</w:t>
      </w:r>
    </w:p>
    <w:p>
      <w:pPr>
        <w:pStyle w:val="Normal"/>
        <w:rPr/>
      </w:pPr>
      <w:r>
        <w:rPr/>
      </w:r>
    </w:p>
    <w:p>
      <w:pPr>
        <w:pStyle w:val="Heading5"/>
        <w:ind w:left="1701" w:hanging="1701"/>
        <w:rPr/>
      </w:pPr>
      <w:bookmarkStart w:id="38" w:name="__RefHeading___Toc90566365"/>
      <w:bookmarkEnd w:id="38"/>
      <w:r>
        <w:rPr/>
        <w:t>5.1.2.2.2</w:t>
        <w:tab/>
        <w:t>Session based charging</w:t>
      </w:r>
    </w:p>
    <w:p>
      <w:pPr>
        <w:pStyle w:val="Normal"/>
        <w:keepNext w:val="true"/>
        <w:rPr/>
      </w:pPr>
      <w:r>
        <w:rPr/>
        <w:t xml:space="preserve">Figure 5.1.2.2.2.1 shows a scenario for Offline session based charging where the NF (CTF) interacts with the CHF. </w:t>
      </w:r>
    </w:p>
    <w:p>
      <w:pPr>
        <w:pStyle w:val="TH"/>
        <w:rPr/>
      </w:pPr>
      <w:r>
        <w:rPr/>
        <w:object w:dxaOrig="11769" w:dyaOrig="19125">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353.3pt;height:573.75pt" filled="f" o:ole="">
            <v:imagedata r:id="rId11" o:title=""/>
          </v:shape>
          <o:OLEObject Type="Embed" ProgID="" ShapeID="ole_rId10" DrawAspect="Content" ObjectID="_1155750647" r:id="rId10"/>
        </w:object>
      </w:r>
    </w:p>
    <w:p>
      <w:pPr>
        <w:pStyle w:val="TF"/>
        <w:rPr/>
      </w:pPr>
      <w:r>
        <w:rPr/>
        <w:t>Figure 5.1.2.2.2.1:  Offline c</w:t>
      </w:r>
      <w:r>
        <w:rPr>
          <w:rFonts w:eastAsia="DengXian;等线"/>
        </w:rPr>
        <w:t>harging</w:t>
      </w:r>
    </w:p>
    <w:p>
      <w:pPr>
        <w:pStyle w:val="B1"/>
        <w:rPr/>
      </w:pPr>
      <w:r>
        <w:rPr>
          <w:b/>
        </w:rPr>
        <w:t>1)</w:t>
        <w:tab/>
        <w:t>Request for service delivery and start of service delivery:</w:t>
      </w:r>
      <w:r>
        <w:rPr/>
        <w:t xml:space="preserve"> A request for session establishment is received in the NF (CTF). </w:t>
      </w:r>
    </w:p>
    <w:p>
      <w:pPr>
        <w:pStyle w:val="B1"/>
        <w:rPr/>
      </w:pPr>
      <w:r>
        <w:rPr>
          <w:b/>
        </w:rPr>
        <w:t>2)</w:t>
        <w:tab/>
        <w:t>Charging Data Request [Initial]:</w:t>
      </w:r>
      <w:r>
        <w:rPr/>
        <w:t xml:space="preserve"> The NF (CTF) sends the request to inform the CHF about the service to be started.</w:t>
      </w:r>
    </w:p>
    <w:p>
      <w:pPr>
        <w:pStyle w:val="B1"/>
        <w:rPr/>
      </w:pPr>
      <w:r>
        <w:rPr>
          <w:b/>
        </w:rPr>
        <w:t>3)</w:t>
        <w:tab/>
        <w:t xml:space="preserve"> Open CDR:</w:t>
      </w:r>
      <w:r>
        <w:rPr/>
        <w:t xml:space="preserve"> the CHF opens a CDR related to the service.</w:t>
      </w:r>
    </w:p>
    <w:p>
      <w:pPr>
        <w:pStyle w:val="B1"/>
        <w:rPr/>
      </w:pPr>
      <w:r>
        <w:rPr>
          <w:b/>
        </w:rPr>
        <w:t>4)</w:t>
        <w:tab/>
        <w:t>Charging Data Response [Initial]:</w:t>
      </w:r>
      <w:r>
        <w:rPr/>
        <w:t xml:space="preserve"> The CHF informs the NF (CTF) on the result of the request and optionnaly provides the usage reporting triggers applicable to the service.</w:t>
      </w:r>
    </w:p>
    <w:p>
      <w:pPr>
        <w:pStyle w:val="B1"/>
        <w:rPr/>
      </w:pPr>
      <w:r>
        <w:rPr>
          <w:b/>
        </w:rPr>
        <w:t>5)</w:t>
        <w:tab/>
        <w:t>Content/Service Delivery:</w:t>
      </w:r>
      <w:r>
        <w:rPr/>
        <w:t xml:space="preserve"> the NF (CTF) delivers the content/service.</w:t>
      </w:r>
    </w:p>
    <w:p>
      <w:pPr>
        <w:pStyle w:val="B1"/>
        <w:rPr/>
      </w:pPr>
      <w:r>
        <w:rPr>
          <w:b/>
        </w:rPr>
        <w:t>6)</w:t>
        <w:tab/>
        <w:t>Usage Reporting Trigger:</w:t>
      </w:r>
      <w:r>
        <w:rPr/>
        <w:t xml:space="preserve"> the NF (CTF) generates charging data related to service delivered, based on a trigger for usage reporting is met.</w:t>
      </w:r>
    </w:p>
    <w:p>
      <w:pPr>
        <w:pStyle w:val="B1"/>
        <w:rPr/>
      </w:pPr>
      <w:r>
        <w:rPr>
          <w:b/>
        </w:rPr>
        <w:t>7)</w:t>
        <w:tab/>
        <w:t>Charging Data Request [Update]:</w:t>
      </w:r>
      <w:r>
        <w:rPr/>
        <w:t xml:space="preserve"> the NF (CTF) sends the request for reporting the related charging data to the CHF.</w:t>
      </w:r>
    </w:p>
    <w:p>
      <w:pPr>
        <w:pStyle w:val="B1"/>
        <w:rPr/>
      </w:pPr>
      <w:r>
        <w:rPr>
          <w:b/>
        </w:rPr>
        <w:t>8)</w:t>
        <w:tab/>
        <w:t xml:space="preserve"> Update CDR:</w:t>
      </w:r>
      <w:r>
        <w:rPr/>
        <w:t xml:space="preserve"> the CHF updates the CDR with charging data related to the service.</w:t>
      </w:r>
    </w:p>
    <w:p>
      <w:pPr>
        <w:pStyle w:val="B1"/>
        <w:rPr/>
      </w:pPr>
      <w:r>
        <w:rPr>
          <w:b/>
        </w:rPr>
        <w:t>9)</w:t>
        <w:tab/>
        <w:t>Charging Data Response [Update]:</w:t>
      </w:r>
      <w:r>
        <w:rPr/>
        <w:t xml:space="preserve"> The CHF informs the NF (CTF) on the result of the request.</w:t>
      </w:r>
    </w:p>
    <w:p>
      <w:pPr>
        <w:pStyle w:val="B1"/>
        <w:rPr/>
      </w:pPr>
      <w:r>
        <w:rPr>
          <w:b/>
        </w:rPr>
        <w:t>10)</w:t>
        <w:tab/>
        <w:t>Content/Service Delivery:</w:t>
      </w:r>
      <w:r>
        <w:rPr/>
        <w:t xml:space="preserve"> the NF (CTF) delivers the content/service.</w:t>
      </w:r>
    </w:p>
    <w:p>
      <w:pPr>
        <w:pStyle w:val="B1"/>
        <w:rPr/>
      </w:pPr>
      <w:r>
        <w:rPr>
          <w:b/>
        </w:rPr>
        <w:t>11)</w:t>
        <w:tab/>
        <w:t xml:space="preserve"> Service release:</w:t>
      </w:r>
      <w:r>
        <w:rPr/>
        <w:t xml:space="preserve"> the service is released.</w:t>
      </w:r>
    </w:p>
    <w:p>
      <w:pPr>
        <w:pStyle w:val="B1"/>
        <w:rPr/>
      </w:pPr>
      <w:r>
        <w:rPr>
          <w:b/>
        </w:rPr>
        <w:t>12)</w:t>
        <w:tab/>
        <w:t>Charging Data Request [Termination]:</w:t>
      </w:r>
      <w:r>
        <w:rPr/>
        <w:t xml:space="preserve"> the NF (CTF) sends the request to the CHF, for charging data related to the service termination. </w:t>
      </w:r>
    </w:p>
    <w:p>
      <w:pPr>
        <w:pStyle w:val="B1"/>
        <w:rPr/>
      </w:pPr>
      <w:r>
        <w:rPr>
          <w:b/>
        </w:rPr>
        <w:t>13)</w:t>
        <w:tab/>
        <w:t xml:space="preserve"> Close CDR:</w:t>
      </w:r>
      <w:r>
        <w:rPr/>
        <w:t xml:space="preserve"> the CHF closes the CDR with charging data related to the service termination.</w:t>
      </w:r>
    </w:p>
    <w:p>
      <w:pPr>
        <w:pStyle w:val="B1"/>
        <w:rPr/>
      </w:pPr>
      <w:r>
        <w:rPr>
          <w:b/>
        </w:rPr>
        <w:t>14)</w:t>
        <w:tab/>
        <w:t>Charging Data Response [Termination]:</w:t>
      </w:r>
      <w:r>
        <w:rPr/>
        <w:t xml:space="preserve"> The CHF informs the NF (CTF) on the result of the request.</w:t>
      </w:r>
    </w:p>
    <w:p>
      <w:pPr>
        <w:pStyle w:val="Normal"/>
        <w:rPr>
          <w:lang w:val="en-US" w:eastAsia="zh-CN"/>
        </w:rPr>
      </w:pPr>
      <w:r>
        <w:rPr>
          <w:lang w:val="en-US" w:eastAsia="zh-CN"/>
        </w:rPr>
      </w:r>
    </w:p>
    <w:p>
      <w:pPr>
        <w:pStyle w:val="Heading2"/>
        <w:rPr/>
      </w:pPr>
      <w:bookmarkStart w:id="39" w:name="__RefHeading___Toc90566366"/>
      <w:bookmarkEnd w:id="39"/>
      <w:r>
        <w:rPr>
          <w:lang w:eastAsia="zh-CN"/>
        </w:rPr>
        <w:t>5.2</w:t>
      </w:r>
      <w:r>
        <w:rPr/>
        <w:tab/>
      </w:r>
      <w:r>
        <w:rPr>
          <w:lang w:eastAsia="zh-CN"/>
        </w:rPr>
        <w:t>Online charging scenario</w:t>
      </w:r>
    </w:p>
    <w:p>
      <w:pPr>
        <w:pStyle w:val="Heading3"/>
        <w:rPr/>
      </w:pPr>
      <w:bookmarkStart w:id="40" w:name="__RefHeading___Toc90566367"/>
      <w:bookmarkEnd w:id="40"/>
      <w:r>
        <w:rPr/>
        <w:t>5.2.1</w:t>
        <w:tab/>
        <w:t>Basic principles</w:t>
      </w:r>
    </w:p>
    <w:p>
      <w:pPr>
        <w:pStyle w:val="Normal"/>
        <w:rPr/>
      </w:pPr>
      <w:r>
        <w:rPr/>
        <w:t xml:space="preserve">Basic principles for online charging are defined in TS 32.240 [1]. </w:t>
      </w:r>
    </w:p>
    <w:p>
      <w:pPr>
        <w:pStyle w:val="Heading3"/>
        <w:rPr/>
      </w:pPr>
      <w:bookmarkStart w:id="41" w:name="__RefHeading___Toc90566368"/>
      <w:bookmarkEnd w:id="41"/>
      <w:r>
        <w:rPr/>
        <w:t>5.2.2</w:t>
        <w:tab/>
        <w:t>Charging scenarios</w:t>
      </w:r>
    </w:p>
    <w:p>
      <w:pPr>
        <w:pStyle w:val="Heading4"/>
        <w:ind w:left="1418" w:hanging="1418"/>
        <w:rPr/>
      </w:pPr>
      <w:bookmarkStart w:id="42" w:name="__RefHeading___Toc90566369"/>
      <w:bookmarkEnd w:id="42"/>
      <w:r>
        <w:rPr/>
        <w:t>5.2.2.1</w:t>
        <w:tab/>
        <w:t>Introduction</w:t>
      </w:r>
    </w:p>
    <w:p>
      <w:pPr>
        <w:pStyle w:val="Normal"/>
        <w:rPr/>
      </w:pPr>
      <w:r>
        <w:rPr/>
        <w:t>The following basic scenarios are used:</w:t>
      </w:r>
    </w:p>
    <w:p>
      <w:pPr>
        <w:pStyle w:val="B1"/>
        <w:rPr/>
      </w:pPr>
      <w:r>
        <w:rPr/>
        <w:t>1</w:t>
        <w:tab/>
        <w:t>Immediate Event Charging</w:t>
      </w:r>
    </w:p>
    <w:p>
      <w:pPr>
        <w:pStyle w:val="B2"/>
        <w:rPr/>
      </w:pPr>
      <w:r>
        <w:rPr/>
        <w:t>a)</w:t>
        <w:tab/>
        <w:t>Decentralized Unit Determination and Centralized Rating</w:t>
      </w:r>
    </w:p>
    <w:p>
      <w:pPr>
        <w:pStyle w:val="B2"/>
        <w:rPr/>
      </w:pPr>
      <w:r>
        <w:rPr/>
        <w:t>b)</w:t>
        <w:tab/>
        <w:t>Centralized Unit Determination and Centralized Rating</w:t>
      </w:r>
    </w:p>
    <w:p>
      <w:pPr>
        <w:pStyle w:val="B2"/>
        <w:rPr/>
      </w:pPr>
      <w:r>
        <w:rPr/>
        <w:t>c)</w:t>
        <w:tab/>
        <w:t>Decentralized Unit Determination and Decentralized Rating</w:t>
      </w:r>
    </w:p>
    <w:p>
      <w:pPr>
        <w:pStyle w:val="B1"/>
        <w:rPr/>
      </w:pPr>
      <w:r>
        <w:rPr/>
        <w:t>2</w:t>
        <w:tab/>
        <w:t xml:space="preserve">Event charging with Unit Reservation </w:t>
      </w:r>
    </w:p>
    <w:p>
      <w:pPr>
        <w:pStyle w:val="B2"/>
        <w:rPr/>
      </w:pPr>
      <w:r>
        <w:rPr/>
        <w:t>a)</w:t>
        <w:tab/>
        <w:t>Decentralized Unit Determination and Centralized Rating</w:t>
      </w:r>
    </w:p>
    <w:p>
      <w:pPr>
        <w:pStyle w:val="B2"/>
        <w:rPr/>
      </w:pPr>
      <w:r>
        <w:rPr/>
        <w:t>b)</w:t>
        <w:tab/>
        <w:t>Centralized Unit Determination and Centralized Rating</w:t>
      </w:r>
    </w:p>
    <w:p>
      <w:pPr>
        <w:pStyle w:val="B2"/>
        <w:rPr/>
      </w:pPr>
      <w:r>
        <w:rPr/>
        <w:t>c)</w:t>
        <w:tab/>
        <w:t>Decentralized Unit Determination and Decentralized Rating</w:t>
      </w:r>
    </w:p>
    <w:p>
      <w:pPr>
        <w:pStyle w:val="B1"/>
        <w:rPr/>
      </w:pPr>
      <w:r>
        <w:rPr/>
        <w:t>3</w:t>
        <w:tab/>
        <w:t>Session charging with Unit Reservation</w:t>
      </w:r>
    </w:p>
    <w:p>
      <w:pPr>
        <w:pStyle w:val="B2"/>
        <w:rPr/>
      </w:pPr>
      <w:r>
        <w:rPr/>
        <w:t>a)</w:t>
        <w:tab/>
        <w:t>Decentralized Unit Determination and Centralized Rating</w:t>
      </w:r>
    </w:p>
    <w:p>
      <w:pPr>
        <w:pStyle w:val="B2"/>
        <w:rPr/>
      </w:pPr>
      <w:r>
        <w:rPr/>
        <w:t>b)</w:t>
        <w:tab/>
        <w:t>Centralized Unit Determination and Centralized Rating</w:t>
      </w:r>
    </w:p>
    <w:p>
      <w:pPr>
        <w:pStyle w:val="B2"/>
        <w:rPr/>
      </w:pPr>
      <w:r>
        <w:rPr/>
        <w:t>c)</w:t>
        <w:tab/>
        <w:t>Decentralized Unit Determination and Decentralized Rating</w:t>
      </w:r>
    </w:p>
    <w:p>
      <w:pPr>
        <w:pStyle w:val="Normal"/>
        <w:rPr/>
      </w:pPr>
      <w:r>
        <w:rPr/>
        <w:t>The combination of Centralized Unit Determination with Decentralized Rating is not possible.</w:t>
      </w:r>
    </w:p>
    <w:p>
      <w:pPr>
        <w:pStyle w:val="Heading4"/>
        <w:ind w:left="1418" w:hanging="1418"/>
        <w:rPr/>
      </w:pPr>
      <w:bookmarkStart w:id="43" w:name="__RefHeading___Toc90566370"/>
      <w:bookmarkEnd w:id="43"/>
      <w:r>
        <w:rPr/>
        <w:t>5.2.2.2</w:t>
        <w:tab/>
        <w:t>Scenarios</w:t>
      </w:r>
    </w:p>
    <w:p>
      <w:pPr>
        <w:pStyle w:val="Normal"/>
        <w:rPr/>
      </w:pPr>
      <w:r>
        <w:rPr/>
        <w:t>The scenarios described in TS 32.299 [50], clauses 5.2.2.1, 5.2.2.2 and 5.2.2.3, apply with the CHF acting as an OCF.</w:t>
      </w:r>
    </w:p>
    <w:p>
      <w:pPr>
        <w:pStyle w:val="Heading3"/>
        <w:rPr>
          <w:lang w:val="en-GB" w:eastAsia="zh-CN"/>
        </w:rPr>
      </w:pPr>
      <w:bookmarkStart w:id="44" w:name="__RefHeading___Toc90566371"/>
      <w:bookmarkEnd w:id="44"/>
      <w:r>
        <w:rPr>
          <w:lang w:eastAsia="zh-CN"/>
        </w:rPr>
        <w:t>5.2.3</w:t>
        <w:tab/>
      </w:r>
      <w:r>
        <w:rPr>
          <w:lang w:val="en-GB" w:eastAsia="zh-CN"/>
        </w:rPr>
        <w:t>Void</w:t>
      </w:r>
    </w:p>
    <w:p>
      <w:pPr>
        <w:pStyle w:val="Heading2"/>
        <w:rPr/>
      </w:pPr>
      <w:bookmarkStart w:id="45" w:name="__RefHeading___Toc90566372"/>
      <w:bookmarkEnd w:id="45"/>
      <w:r>
        <w:rPr>
          <w:lang w:eastAsia="zh-CN"/>
        </w:rPr>
        <w:t>5.3</w:t>
        <w:tab/>
        <w:t>Co</w:t>
      </w:r>
      <w:r>
        <w:rPr>
          <w:lang w:eastAsia="zh-CN"/>
        </w:rPr>
        <w:t>n</w:t>
      </w:r>
      <w:r>
        <w:rPr>
          <w:lang w:eastAsia="zh-CN"/>
        </w:rPr>
        <w:t>verged Charging</w:t>
      </w:r>
      <w:r>
        <w:rPr>
          <w:lang w:eastAsia="zh-CN"/>
        </w:rPr>
        <w:t xml:space="preserve"> </w:t>
      </w:r>
      <w:r>
        <w:rPr>
          <w:lang w:eastAsia="zh-CN"/>
        </w:rPr>
        <w:t>scenario</w:t>
      </w:r>
    </w:p>
    <w:p>
      <w:pPr>
        <w:pStyle w:val="Heading3"/>
        <w:rPr/>
      </w:pPr>
      <w:bookmarkStart w:id="46" w:name="__RefHeading___Toc90566373"/>
      <w:bookmarkEnd w:id="46"/>
      <w:r>
        <w:rPr/>
        <w:t>5.3.1</w:t>
        <w:tab/>
        <w:t>Basic principles</w:t>
      </w:r>
    </w:p>
    <w:p>
      <w:pPr>
        <w:pStyle w:val="Normal"/>
        <w:rPr>
          <w:lang w:eastAsia="zh-CN"/>
        </w:rPr>
      </w:pPr>
      <w:r>
        <w:rPr>
          <w:lang w:eastAsia="zh-CN"/>
        </w:rPr>
        <w:t>W</w:t>
      </w:r>
      <w:r>
        <w:rPr>
          <w:lang w:eastAsia="zh-CN"/>
        </w:rPr>
        <w:t>hen offline charging and online charging are  applicable to a service delivery, the charging information of both offline charging</w:t>
      </w:r>
      <w:r>
        <w:rPr>
          <w:lang w:eastAsia="zh-CN"/>
        </w:rPr>
        <w:t xml:space="preserve"> (without quota management)</w:t>
      </w:r>
      <w:r>
        <w:rPr>
          <w:lang w:eastAsia="zh-CN"/>
        </w:rPr>
        <w:t xml:space="preserve"> and online charging</w:t>
      </w:r>
      <w:r>
        <w:rPr>
          <w:lang w:eastAsia="zh-CN"/>
        </w:rPr>
        <w:t xml:space="preserve"> (with quota management)</w:t>
      </w:r>
      <w:r>
        <w:rPr>
          <w:lang w:eastAsia="zh-CN"/>
        </w:rPr>
        <w:t xml:space="preserve"> can be provided in a single command</w:t>
      </w:r>
      <w:r>
        <w:rPr>
          <w:lang w:eastAsia="zh-CN"/>
        </w:rPr>
        <w:t xml:space="preserve">. The triggering for reporting the charging information can be </w:t>
      </w:r>
      <w:r>
        <w:rPr>
          <w:lang w:eastAsia="zh-CN"/>
        </w:rPr>
        <w:t xml:space="preserve">any triggers of the offline charging or online charging </w:t>
      </w:r>
      <w:r>
        <w:rPr>
          <w:lang w:eastAsia="zh-CN"/>
        </w:rPr>
        <w:t>(deferred or immediate triggers)</w:t>
      </w:r>
      <w:r>
        <w:rPr>
          <w:lang w:eastAsia="zh-CN"/>
        </w:rPr>
        <w:t>.</w:t>
      </w:r>
    </w:p>
    <w:p>
      <w:pPr>
        <w:pStyle w:val="Normal"/>
        <w:rPr>
          <w:lang w:eastAsia="zh-CN"/>
        </w:rPr>
      </w:pPr>
      <w:r>
        <w:rPr>
          <w:color w:val="000000"/>
          <w:lang w:eastAsia="zh-CN"/>
        </w:rPr>
        <w:t xml:space="preserve">The invocation of the Charging Data Request for start of service, </w:t>
      </w:r>
      <w:r>
        <w:rPr>
          <w:color w:val="000000"/>
        </w:rPr>
        <w:t xml:space="preserve">in case there is no valid quota for the rating group, </w:t>
      </w:r>
      <w:r>
        <w:rPr>
          <w:color w:val="000000"/>
          <w:lang w:eastAsia="zh-CN"/>
        </w:rPr>
        <w:t>can be done in either blocking mode or non-blocking mode</w:t>
      </w:r>
      <w:r>
        <w:rPr>
          <w:lang w:eastAsia="zh-CN"/>
        </w:rPr>
        <w:t>:</w:t>
      </w:r>
    </w:p>
    <w:p>
      <w:pPr>
        <w:pStyle w:val="B1"/>
        <w:ind w:left="284" w:hanging="0"/>
        <w:rPr>
          <w:lang w:eastAsia="zh-CN"/>
        </w:rPr>
      </w:pPr>
      <w:r>
        <w:rPr>
          <w:lang w:eastAsia="zh-CN"/>
        </w:rPr>
        <w:t>-</w:t>
      </w:r>
      <w:r>
        <w:rPr>
          <w:lang w:bidi="ar-IQ"/>
        </w:rPr>
        <w:tab/>
      </w:r>
      <w:r>
        <w:rPr>
          <w:lang w:eastAsia="zh-CN"/>
        </w:rPr>
        <w:t>blocking mode: the service delivery shall not start before its authorization from CHF;</w:t>
      </w:r>
    </w:p>
    <w:p>
      <w:pPr>
        <w:pStyle w:val="B1"/>
        <w:rPr>
          <w:lang w:eastAsia="zh-CN"/>
        </w:rPr>
      </w:pPr>
      <w:r>
        <w:rPr>
          <w:lang w:eastAsia="zh-CN"/>
        </w:rPr>
        <w:t>-</w:t>
      </w:r>
      <w:r>
        <w:rPr>
          <w:lang w:bidi="ar-IQ"/>
        </w:rPr>
        <w:tab/>
      </w:r>
      <w:r>
        <w:rPr>
          <w:lang w:eastAsia="zh-CN"/>
        </w:rPr>
        <w:t>non-blocking mode: the service delivery may start before its authorization from CHF.</w:t>
      </w:r>
    </w:p>
    <w:p>
      <w:pPr>
        <w:pStyle w:val="Normal"/>
        <w:rPr>
          <w:lang w:eastAsia="zh-CN"/>
        </w:rPr>
      </w:pPr>
      <w:r>
        <w:rPr>
          <w:lang w:eastAsia="zh-CN"/>
        </w:rPr>
        <w:t xml:space="preserve">For invoking the ConvergedCharging service with quota management, the ConvergedCharging service will operate in decentralized unit determination with the provided amounts of the Quota Requested information element otherwise if no amount is included in the Quota Requested information element, the ConvergedCharging service will operate in centralized unit determination and rating. </w:t>
      </w:r>
    </w:p>
    <w:p>
      <w:pPr>
        <w:pStyle w:val="Heading3"/>
        <w:rPr/>
      </w:pPr>
      <w:bookmarkStart w:id="47" w:name="__RefHeading___Toc90566374"/>
      <w:bookmarkEnd w:id="47"/>
      <w:r>
        <w:rPr/>
        <w:t>5.3.2</w:t>
        <w:tab/>
        <w:t>Charging scenarios</w:t>
      </w:r>
    </w:p>
    <w:p>
      <w:pPr>
        <w:pStyle w:val="Heading4"/>
        <w:ind w:left="1418" w:hanging="1418"/>
        <w:rPr/>
      </w:pPr>
      <w:bookmarkStart w:id="48" w:name="__RefHeading___Toc90566375"/>
      <w:bookmarkEnd w:id="48"/>
      <w:r>
        <w:rPr/>
        <w:t>5.3.2.1</w:t>
        <w:tab/>
        <w:t>Introduction</w:t>
      </w:r>
    </w:p>
    <w:p>
      <w:pPr>
        <w:pStyle w:val="Normal"/>
        <w:rPr/>
      </w:pPr>
      <w:r>
        <w:rPr>
          <w:lang w:eastAsia="zh-CN"/>
        </w:rPr>
        <w:t>Co</w:t>
      </w:r>
      <w:r>
        <w:rPr>
          <w:lang w:eastAsia="zh-CN"/>
        </w:rPr>
        <w:t>n</w:t>
      </w:r>
      <w:r>
        <w:rPr>
          <w:lang w:eastAsia="zh-CN"/>
        </w:rPr>
        <w:t xml:space="preserve">verged </w:t>
      </w:r>
      <w:r>
        <w:rPr/>
        <w:t xml:space="preserve">charging for both events and sessions between CTF and the CHF is performed as defined in TS 32.240 [1]. </w:t>
      </w:r>
    </w:p>
    <w:p>
      <w:pPr>
        <w:pStyle w:val="Normal"/>
        <w:rPr/>
      </w:pPr>
      <w:r>
        <w:rPr/>
        <w:t>Two basic scenarios are used:</w:t>
      </w:r>
    </w:p>
    <w:p>
      <w:pPr>
        <w:pStyle w:val="B1"/>
        <w:rPr/>
      </w:pPr>
      <w:r>
        <w:rPr/>
        <w:t>-</w:t>
        <w:tab/>
      </w:r>
      <w:r>
        <w:rPr>
          <w:lang w:eastAsia="zh-CN"/>
        </w:rPr>
        <w:t>Co</w:t>
      </w:r>
      <w:r>
        <w:rPr>
          <w:lang w:eastAsia="zh-CN"/>
        </w:rPr>
        <w:t>n</w:t>
      </w:r>
      <w:r>
        <w:rPr>
          <w:lang w:eastAsia="zh-CN"/>
        </w:rPr>
        <w:t xml:space="preserve">verged </w:t>
      </w:r>
      <w:r>
        <w:rPr/>
        <w:t>Event based charging;</w:t>
      </w:r>
    </w:p>
    <w:p>
      <w:pPr>
        <w:pStyle w:val="B1"/>
        <w:tabs>
          <w:tab w:val="left" w:pos="284" w:leader="none"/>
          <w:tab w:val="left" w:pos="568" w:leader="none"/>
          <w:tab w:val="left" w:pos="852" w:leader="none"/>
          <w:tab w:val="left" w:pos="1136" w:leader="none"/>
          <w:tab w:val="left" w:pos="1420" w:leader="none"/>
          <w:tab w:val="left" w:pos="1704" w:leader="none"/>
          <w:tab w:val="left" w:pos="1988" w:leader="none"/>
          <w:tab w:val="left" w:pos="2272" w:leader="none"/>
          <w:tab w:val="left" w:pos="2556" w:leader="none"/>
          <w:tab w:val="left" w:pos="2840" w:leader="none"/>
          <w:tab w:val="left" w:pos="3124" w:leader="none"/>
          <w:tab w:val="left" w:pos="3408" w:leader="none"/>
          <w:tab w:val="left" w:pos="4430" w:leader="none"/>
        </w:tabs>
        <w:rPr/>
      </w:pPr>
      <w:r>
        <w:rPr/>
        <w:t>-</w:t>
        <w:tab/>
      </w:r>
      <w:r>
        <w:rPr>
          <w:lang w:eastAsia="zh-CN"/>
        </w:rPr>
        <w:t>Co</w:t>
      </w:r>
      <w:r>
        <w:rPr>
          <w:lang w:eastAsia="zh-CN"/>
        </w:rPr>
        <w:t>n</w:t>
      </w:r>
      <w:r>
        <w:rPr>
          <w:lang w:eastAsia="zh-CN"/>
        </w:rPr>
        <w:t xml:space="preserve">verged </w:t>
      </w:r>
      <w:r>
        <w:rPr/>
        <w:t>Session based charging.</w:t>
      </w:r>
    </w:p>
    <w:p>
      <w:pPr>
        <w:pStyle w:val="Heading4"/>
        <w:ind w:left="1418" w:hanging="1418"/>
        <w:rPr/>
      </w:pPr>
      <w:bookmarkStart w:id="49" w:name="__RefHeading___Toc90566376"/>
      <w:bookmarkEnd w:id="49"/>
      <w:r>
        <w:rPr/>
        <w:t>5.3.2.2</w:t>
        <w:tab/>
        <w:t>Event based charging</w:t>
      </w:r>
    </w:p>
    <w:p>
      <w:pPr>
        <w:pStyle w:val="Normal"/>
        <w:rPr/>
      </w:pPr>
      <w:r>
        <w:rPr/>
        <w:t xml:space="preserve">For </w:t>
      </w:r>
      <w:r>
        <w:rPr>
          <w:lang w:eastAsia="zh-CN"/>
        </w:rPr>
        <w:t>Co</w:t>
      </w:r>
      <w:r>
        <w:rPr>
          <w:lang w:eastAsia="zh-CN"/>
        </w:rPr>
        <w:t>n</w:t>
      </w:r>
      <w:r>
        <w:rPr>
          <w:lang w:eastAsia="zh-CN"/>
        </w:rPr>
        <w:t>verged Event based Charging</w:t>
      </w:r>
      <w:r>
        <w:rPr/>
        <w:t>, he</w:t>
      </w:r>
      <w:r>
        <w:rPr>
          <w:lang w:val="en-US" w:eastAsia="en-US"/>
        </w:rPr>
        <w:t xml:space="preserve"> following cases are</w:t>
      </w:r>
      <w:r>
        <w:rPr/>
        <w:t xml:space="preserve"> supported:</w:t>
      </w:r>
    </w:p>
    <w:p>
      <w:pPr>
        <w:pStyle w:val="B1"/>
        <w:rPr/>
      </w:pPr>
      <w:r>
        <w:rPr/>
        <w:t>-</w:t>
        <w:tab/>
      </w:r>
      <w:r>
        <w:rPr>
          <w:lang w:val="en-US" w:eastAsia="en-US"/>
        </w:rPr>
        <w:t>Immediate Event Charging</w:t>
      </w:r>
      <w:r>
        <w:rPr/>
        <w:t xml:space="preserve"> (IEC);</w:t>
      </w:r>
    </w:p>
    <w:p>
      <w:pPr>
        <w:pStyle w:val="B1"/>
        <w:rPr/>
      </w:pPr>
      <w:r>
        <w:rPr/>
        <w:t>-</w:t>
        <w:tab/>
        <w:t>Post Event Charging (PEC).</w:t>
      </w:r>
    </w:p>
    <w:p>
      <w:pPr>
        <w:pStyle w:val="Normal"/>
        <w:keepNext w:val="true"/>
        <w:rPr/>
      </w:pPr>
      <w:r>
        <w:rPr/>
        <w:t>The scenario for Event based charging supported by IEC is shown in figure 5.3.2.2.</w:t>
      </w:r>
      <w:r>
        <w:rPr>
          <w:lang w:eastAsia="zh-CN"/>
        </w:rPr>
        <w:t>1</w:t>
      </w:r>
      <w:r>
        <w:rPr>
          <w:lang w:eastAsia="zh-CN"/>
        </w:rPr>
        <w:t xml:space="preserve"> </w:t>
      </w:r>
      <w:r>
        <w:rPr>
          <w:rFonts w:eastAsia="SimSun;宋体"/>
        </w:rPr>
        <w:t xml:space="preserve">with: </w:t>
      </w:r>
      <w:r>
        <w:rPr/>
        <w:t>Decentralized and Centralized Unit Determination, Centralized Rating configuration</w:t>
      </w:r>
      <w:r>
        <w:rPr>
          <w:rFonts w:eastAsia="SimSun;宋体"/>
        </w:rPr>
        <w:t xml:space="preserve">and </w:t>
      </w:r>
      <w:r>
        <w:rPr/>
        <w:t>user's account balance</w:t>
      </w:r>
      <w:r>
        <w:rPr>
          <w:lang w:eastAsia="zh-CN"/>
        </w:rPr>
        <w:t xml:space="preserve"> </w:t>
      </w:r>
      <w:r>
        <w:rPr/>
        <w:t xml:space="preserve">deduction </w:t>
      </w:r>
      <w:r>
        <w:rPr>
          <w:lang w:eastAsia="zh-CN"/>
        </w:rPr>
        <w:t>before</w:t>
      </w:r>
      <w:r>
        <w:rPr/>
        <w:t xml:space="preserve"> service delivery,</w:t>
      </w:r>
      <w:r>
        <w:rPr>
          <w:lang w:eastAsia="zh-CN"/>
        </w:rPr>
        <w:t xml:space="preserve"> </w:t>
      </w:r>
      <w:r>
        <w:rPr/>
        <w:t xml:space="preserve">where the </w:t>
      </w:r>
      <w:r>
        <w:rPr>
          <w:rFonts w:eastAsia="SimSun;宋体"/>
        </w:rPr>
        <w:t xml:space="preserve">NF </w:t>
      </w:r>
      <w:r>
        <w:rPr/>
        <w:t>(CTF)</w:t>
        <w:tab/>
      </w:r>
      <w:r>
        <w:rPr>
          <w:rFonts w:eastAsia="SimSun;宋体"/>
        </w:rPr>
        <w:t>may</w:t>
      </w:r>
      <w:r>
        <w:rPr/>
        <w:t xml:space="preserve"> invoke converged charging service towards the CHF, prior to service delivery if needed. </w:t>
      </w:r>
    </w:p>
    <w:p>
      <w:pPr>
        <w:pStyle w:val="TH"/>
        <w:rPr/>
      </w:pPr>
      <w:r>
        <w:rPr/>
        <w:object w:dxaOrig="5721" w:dyaOrig="4841">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313.55pt;height:265.55pt" filled="f" o:ole="">
            <v:imagedata r:id="rId13" o:title=""/>
          </v:shape>
          <o:OLEObject Type="Embed" ProgID="" ShapeID="ole_rId12" DrawAspect="Content" ObjectID="_463068969" r:id="rId12"/>
        </w:object>
      </w:r>
    </w:p>
    <w:p>
      <w:pPr>
        <w:pStyle w:val="TF"/>
        <w:rPr/>
      </w:pPr>
      <w:r>
        <w:rPr/>
        <w:t>Figure 5.3.2.2.</w:t>
      </w:r>
      <w:r>
        <w:rPr>
          <w:lang w:eastAsia="zh-CN"/>
        </w:rPr>
        <w:t>1</w:t>
      </w:r>
      <w:r>
        <w:rPr/>
        <w:t xml:space="preserve">: </w:t>
      </w:r>
      <w:r>
        <w:rPr>
          <w:rFonts w:eastAsia="DengXian;等线"/>
        </w:rPr>
        <w:t xml:space="preserve">IEC- </w:t>
      </w:r>
      <w:r>
        <w:rPr/>
        <w:t xml:space="preserve">Event based charging </w:t>
      </w:r>
      <w:r>
        <w:rPr>
          <w:rFonts w:eastAsia="DengXian;等线"/>
        </w:rPr>
        <w:t>with</w:t>
      </w:r>
      <w:r>
        <w:rPr/>
        <w:t xml:space="preserve">  Decentralized and Centralized Unit Determination, Centralized Rating</w:t>
      </w:r>
    </w:p>
    <w:p>
      <w:pPr>
        <w:pStyle w:val="B1"/>
        <w:rPr/>
      </w:pPr>
      <w:r>
        <w:rPr>
          <w:b/>
        </w:rPr>
        <w:t>1)</w:t>
        <w:tab/>
        <w:t>Request for resource usage:</w:t>
      </w:r>
      <w:r>
        <w:rPr/>
        <w:t xml:space="preserve"> A request for session establishment is received in the NF (CTF). The service is configured to be authorized by the CHF to start.</w:t>
      </w:r>
    </w:p>
    <w:p>
      <w:pPr>
        <w:pStyle w:val="B1"/>
        <w:rPr/>
      </w:pPr>
      <w:r>
        <w:rPr>
          <w:b/>
        </w:rPr>
        <w:t>2)</w:t>
        <w:tab/>
        <w:t xml:space="preserve">Units Determination: </w:t>
      </w:r>
      <w:r>
        <w:rPr/>
        <w:t>the NF (CTF) determines the number of units depending on the service requested by the UE in "Decentralized Units determination" scenario.</w:t>
      </w:r>
    </w:p>
    <w:p>
      <w:pPr>
        <w:pStyle w:val="B1"/>
        <w:rPr/>
      </w:pPr>
      <w:r>
        <w:rPr>
          <w:b/>
        </w:rPr>
        <w:t>3)</w:t>
        <w:tab/>
        <w:t>Charging Data Request [Event, Units]:</w:t>
      </w:r>
      <w:r>
        <w:rPr/>
        <w:t xml:space="preserve"> The NF (CTF) sends the request to the CHF for the service to be granted authorization, and to </w:t>
      </w:r>
      <w:r>
        <w:rPr>
          <w:lang w:eastAsia="zh-CN"/>
        </w:rPr>
        <w:t>allow</w:t>
      </w:r>
      <w:r>
        <w:rPr/>
        <w:t xml:space="preserve"> the number of units, if determined in item 2,</w:t>
      </w:r>
      <w:r>
        <w:rPr>
          <w:lang w:eastAsia="zh-CN"/>
        </w:rPr>
        <w:t xml:space="preserve"> to be </w:t>
      </w:r>
      <w:r>
        <w:rPr>
          <w:lang w:eastAsia="zh-CN"/>
        </w:rPr>
        <w:t xml:space="preserve">rated and </w:t>
      </w:r>
      <w:r>
        <w:rPr>
          <w:lang w:eastAsia="zh-CN"/>
        </w:rPr>
        <w:t>accounted</w:t>
      </w:r>
      <w:r>
        <w:rPr/>
        <w:t>.</w:t>
      </w:r>
    </w:p>
    <w:p>
      <w:pPr>
        <w:pStyle w:val="B1"/>
        <w:rPr>
          <w:b/>
          <w:b/>
          <w:lang w:eastAsia="zh-CN"/>
        </w:rPr>
      </w:pPr>
      <w:r>
        <w:rPr>
          <w:b/>
        </w:rPr>
        <w:t>4)</w:t>
        <w:tab/>
        <w:t>Account, Rating</w:t>
      </w:r>
      <w:r>
        <w:rPr>
          <w:b/>
          <w:lang w:eastAsia="zh-CN"/>
        </w:rPr>
        <w:t xml:space="preserve"> </w:t>
      </w:r>
      <w:r>
        <w:rPr>
          <w:b/>
        </w:rPr>
        <w:t>Control:</w:t>
      </w:r>
      <w:r>
        <w:rPr/>
        <w:t xml:space="preserve"> The CHF calculates the number of monetary units that represents the price</w:t>
      </w:r>
      <w:r>
        <w:rPr>
          <w:lang w:eastAsia="zh-CN"/>
        </w:rPr>
        <w:t xml:space="preserve"> and makes</w:t>
      </w:r>
      <w:r>
        <w:rPr/>
        <w:t xml:space="preserve"> deduction of the calculated amount from user's account balance based on the number of units requested or on internal unit determination</w:t>
      </w:r>
      <w:r>
        <w:rPr>
          <w:lang w:eastAsia="zh-CN"/>
        </w:rPr>
        <w:t>,</w:t>
      </w:r>
      <w:r>
        <w:rPr/>
        <w:t xml:space="preserve"> </w:t>
      </w:r>
      <w:r>
        <w:rPr>
          <w:lang w:eastAsia="zh-CN"/>
        </w:rPr>
        <w:t xml:space="preserve">if </w:t>
      </w:r>
      <w:r>
        <w:rPr/>
        <w:t>the user's credit balance is sufficient.</w:t>
      </w:r>
    </w:p>
    <w:p>
      <w:pPr>
        <w:pStyle w:val="B1"/>
        <w:rPr/>
      </w:pPr>
      <w:r>
        <w:rPr>
          <w:b/>
        </w:rPr>
        <w:t>5)</w:t>
        <w:tab/>
        <w:t xml:space="preserve"> </w:t>
      </w:r>
      <w:r>
        <w:rPr>
          <w:b/>
          <w:lang w:eastAsia="zh-CN"/>
        </w:rPr>
        <w:t>Create</w:t>
      </w:r>
      <w:r>
        <w:rPr>
          <w:b/>
        </w:rPr>
        <w:t xml:space="preserve"> CDR:</w:t>
      </w:r>
      <w:r>
        <w:rPr/>
        <w:t xml:space="preserve"> based on policies, the CHF </w:t>
      </w:r>
      <w:r>
        <w:rPr>
          <w:lang w:eastAsia="zh-CN"/>
        </w:rPr>
        <w:t>creates</w:t>
      </w:r>
      <w:r>
        <w:rPr/>
        <w:t xml:space="preserve"> a CDR related to the service.</w:t>
      </w:r>
    </w:p>
    <w:p>
      <w:pPr>
        <w:pStyle w:val="B1"/>
        <w:rPr/>
      </w:pPr>
      <w:r>
        <w:rPr>
          <w:b/>
        </w:rPr>
        <w:t>6)</w:t>
        <w:tab/>
        <w:t>Charging Data Response [Event, Units]:</w:t>
      </w:r>
      <w:r>
        <w:rPr/>
        <w:t xml:space="preserve"> The CHF grants authorization to NF (CTF) for the service to start, with </w:t>
      </w:r>
      <w:r>
        <w:rPr>
          <w:lang w:eastAsia="zh-CN"/>
        </w:rPr>
        <w:t>a</w:t>
      </w:r>
      <w:r>
        <w:rPr/>
        <w:t xml:space="preserve"> number of </w:t>
      </w:r>
      <w:r>
        <w:rPr>
          <w:lang w:eastAsia="zh-CN"/>
        </w:rPr>
        <w:t xml:space="preserve">granted </w:t>
      </w:r>
      <w:r>
        <w:rPr/>
        <w:t>units</w:t>
      </w:r>
      <w:r>
        <w:rPr>
          <w:lang w:eastAsia="zh-CN"/>
        </w:rPr>
        <w:t>.</w:t>
      </w:r>
    </w:p>
    <w:p>
      <w:pPr>
        <w:pStyle w:val="B1"/>
        <w:rPr/>
      </w:pPr>
      <w:r>
        <w:rPr>
          <w:b/>
        </w:rPr>
        <w:t>7)</w:t>
        <w:tab/>
        <w:t xml:space="preserve"> Granted Units Supervision:</w:t>
      </w:r>
      <w:r>
        <w:rPr/>
        <w:t xml:space="preserve"> The service starts and the NF (CTF) monitors the consumption of the granted units.</w:t>
      </w:r>
    </w:p>
    <w:p>
      <w:pPr>
        <w:pStyle w:val="B1"/>
        <w:rPr/>
      </w:pPr>
      <w:r>
        <w:rPr>
          <w:b/>
        </w:rPr>
        <w:t>8)</w:t>
        <w:tab/>
        <w:t>Content/Service Delivery:</w:t>
      </w:r>
      <w:r>
        <w:rPr/>
        <w:t xml:space="preserve"> the NF (CTF) delivers the content/service based on the number of units.</w:t>
      </w:r>
    </w:p>
    <w:p>
      <w:pPr>
        <w:pStyle w:val="Normal"/>
        <w:rPr/>
      </w:pPr>
      <w:r>
        <w:rPr/>
        <w:t>The scenario for Event based charging supported by PEC is described in figure 5.1.2.2.1.1.</w:t>
      </w:r>
    </w:p>
    <w:p>
      <w:pPr>
        <w:pStyle w:val="Heading4"/>
        <w:ind w:left="1418" w:hanging="1418"/>
        <w:rPr/>
      </w:pPr>
      <w:bookmarkStart w:id="50" w:name="__RefHeading___Toc90566377"/>
      <w:bookmarkEnd w:id="50"/>
      <w:r>
        <w:rPr/>
        <w:t>5.3.2.3</w:t>
        <w:tab/>
        <w:t>Session based charging</w:t>
      </w:r>
    </w:p>
    <w:p>
      <w:pPr>
        <w:pStyle w:val="Normal"/>
        <w:rPr/>
      </w:pPr>
      <w:r>
        <w:rPr/>
        <w:t xml:space="preserve">For </w:t>
      </w:r>
      <w:r>
        <w:rPr>
          <w:lang w:eastAsia="zh-CN"/>
        </w:rPr>
        <w:t>Co</w:t>
      </w:r>
      <w:r>
        <w:rPr>
          <w:lang w:eastAsia="zh-CN"/>
        </w:rPr>
        <w:t>n</w:t>
      </w:r>
      <w:r>
        <w:rPr>
          <w:lang w:eastAsia="zh-CN"/>
        </w:rPr>
        <w:t xml:space="preserve">verged </w:t>
      </w:r>
      <w:r>
        <w:rPr>
          <w:lang w:eastAsia="zh-CN"/>
        </w:rPr>
        <w:t>Session</w:t>
      </w:r>
      <w:r>
        <w:rPr>
          <w:lang w:eastAsia="zh-CN"/>
        </w:rPr>
        <w:t xml:space="preserve"> based Charging</w:t>
      </w:r>
      <w:r>
        <w:rPr/>
        <w:t>, the following cases are supported:</w:t>
      </w:r>
    </w:p>
    <w:p>
      <w:pPr>
        <w:pStyle w:val="B1"/>
        <w:rPr>
          <w:lang w:eastAsia="zh-CN"/>
        </w:rPr>
      </w:pPr>
      <w:r>
        <w:rPr/>
        <w:t>-</w:t>
        <w:tab/>
      </w:r>
      <w:r>
        <w:rPr>
          <w:lang w:eastAsia="zh-CN"/>
        </w:rPr>
        <w:t>SCUR</w:t>
      </w:r>
    </w:p>
    <w:p>
      <w:pPr>
        <w:pStyle w:val="B1"/>
        <w:rPr/>
      </w:pPr>
      <w:r>
        <w:rPr/>
        <w:t>-</w:t>
        <w:tab/>
        <w:t>E</w:t>
      </w:r>
      <w:r>
        <w:rPr>
          <w:lang w:eastAsia="zh-CN"/>
        </w:rPr>
        <w:t>CUR</w:t>
      </w:r>
    </w:p>
    <w:p>
      <w:pPr>
        <w:pStyle w:val="Normal"/>
        <w:keepNext w:val="true"/>
        <w:rPr/>
      </w:pPr>
      <w:r>
        <w:rPr/>
        <w:t>Figure 5.3.2.3.1 shows a</w:t>
      </w:r>
      <w:r>
        <w:rPr>
          <w:lang w:eastAsia="zh-CN"/>
        </w:rPr>
        <w:t xml:space="preserve"> </w:t>
      </w:r>
      <w:r>
        <w:rPr>
          <w:lang w:eastAsia="zh-CN"/>
        </w:rPr>
        <w:t>blocking mode</w:t>
      </w:r>
      <w:r>
        <w:rPr/>
        <w:t xml:space="preserve"> scenario for Session based charging (SCUR) </w:t>
      </w:r>
      <w:r>
        <w:rPr>
          <w:rFonts w:eastAsia="SimSun;宋体"/>
        </w:rPr>
        <w:t>with: Unit Reservation,</w:t>
      </w:r>
      <w:r>
        <w:rPr/>
        <w:t xml:space="preserve"> Decentralized and Centralized Unit Determination, Centralized Rating configuration,</w:t>
      </w:r>
      <w:r>
        <w:rPr>
          <w:rFonts w:eastAsia="SimSun;宋体"/>
        </w:rPr>
        <w:t xml:space="preserve"> user’s account deduction</w:t>
      </w:r>
      <w:r>
        <w:rPr/>
        <w:t xml:space="preserve">, where the NF (CTF) invokes a converged charging service towards the CHF. </w:t>
      </w:r>
    </w:p>
    <w:p>
      <w:pPr>
        <w:pStyle w:val="TH"/>
        <w:rPr/>
      </w:pPr>
      <w:r>
        <w:rPr>
          <w:rFonts w:cs="Times New Roman" w:ascii="Times New Roman" w:hAnsi="Times New Roman"/>
          <w:lang w:val="en-GB"/>
        </w:rPr>
        <w:t xml:space="preserve"> </w:t>
      </w:r>
      <w:r>
        <w:rPr>
          <w:rFonts w:cs="Times New Roman" w:ascii="Times New Roman" w:hAnsi="Times New Roman"/>
          <w:lang w:val="en-GB"/>
        </w:rPr>
        <w:object w:dxaOrig="5436" w:dyaOrig="11766">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30.75pt;height:714pt" filled="f" o:ole="">
            <v:imagedata r:id="rId15" o:title=""/>
          </v:shape>
          <o:OLEObject Type="Embed" ProgID="" ShapeID="ole_rId14" DrawAspect="Content" ObjectID="_1104457035" r:id="rId14"/>
        </w:object>
      </w:r>
    </w:p>
    <w:p>
      <w:pPr>
        <w:pStyle w:val="TF"/>
        <w:rPr/>
      </w:pPr>
      <w:r>
        <w:rPr/>
        <w:t xml:space="preserve">Figure 5.3.2.3.1: SCUR </w:t>
      </w:r>
      <w:r>
        <w:rPr>
          <w:rFonts w:eastAsia="DengXian;等线"/>
        </w:rPr>
        <w:t>- Session based charging</w:t>
      </w:r>
      <w:r>
        <w:rPr/>
        <w:t xml:space="preserve"> with</w:t>
      </w:r>
      <w:r>
        <w:rPr>
          <w:lang w:val="en-GB"/>
        </w:rPr>
        <w:t xml:space="preserve"> </w:t>
      </w:r>
      <w:r>
        <w:rPr/>
        <w:t>Decentralized and Centralized Unit Determination, Centralized Rating</w:t>
      </w:r>
    </w:p>
    <w:p>
      <w:pPr>
        <w:pStyle w:val="B1"/>
        <w:rPr/>
      </w:pPr>
      <w:r>
        <w:rPr>
          <w:b/>
        </w:rPr>
        <w:t>1)</w:t>
        <w:tab/>
        <w:t>Request for service delivery:</w:t>
      </w:r>
      <w:r>
        <w:rPr/>
        <w:t xml:space="preserve"> A request for session establishment is received in the NF (CTF). The service is configured to be authorized by the CHF to start.</w:t>
      </w:r>
    </w:p>
    <w:p>
      <w:pPr>
        <w:pStyle w:val="B1"/>
        <w:rPr/>
      </w:pPr>
      <w:r>
        <w:rPr>
          <w:b/>
        </w:rPr>
        <w:t>2)</w:t>
        <w:tab/>
        <w:t xml:space="preserve">Units Determination: </w:t>
      </w:r>
      <w:r>
        <w:rPr/>
        <w:t>the NF (CTF) determines the number of units depending on the service requested by the UE in "Decentralized Units determination" scenario.</w:t>
      </w:r>
    </w:p>
    <w:p>
      <w:pPr>
        <w:pStyle w:val="B1"/>
        <w:rPr/>
      </w:pPr>
      <w:r>
        <w:rPr>
          <w:b/>
        </w:rPr>
        <w:t>3)</w:t>
        <w:tab/>
        <w:t>Charging Data Request [Initial, Quota Requested]:</w:t>
      </w:r>
      <w:r>
        <w:rPr/>
        <w:t xml:space="preserve"> The NF (CTF) sends the request to the CHF for the service to be granted authorization to start, and to reserve the number of units if determined in item 2.</w:t>
      </w:r>
    </w:p>
    <w:p>
      <w:pPr>
        <w:pStyle w:val="B1"/>
        <w:rPr/>
      </w:pPr>
      <w:r>
        <w:rPr>
          <w:b/>
        </w:rPr>
        <w:t>4)</w:t>
        <w:tab/>
        <w:t>Account, Rating, Reservation Control:</w:t>
      </w:r>
      <w:r>
        <w:rPr/>
        <w:t xml:space="preserve"> the CHF rates the requests either based on the number of units requested or on internal unit determination, checks if corresponding funds can be reserved on the user's account balance. If the account has sufficient funds, the CHF performs the corresponding reservations.</w:t>
      </w:r>
    </w:p>
    <w:p>
      <w:pPr>
        <w:pStyle w:val="B1"/>
        <w:rPr/>
      </w:pPr>
      <w:r>
        <w:rPr>
          <w:b/>
        </w:rPr>
        <w:t>5)</w:t>
        <w:tab/>
        <w:t>Open CDR:</w:t>
      </w:r>
      <w:r>
        <w:rPr/>
        <w:t xml:space="preserve"> based on policies, the CHF opens a CDR related to the service.</w:t>
      </w:r>
    </w:p>
    <w:p>
      <w:pPr>
        <w:pStyle w:val="B1"/>
        <w:rPr/>
      </w:pPr>
      <w:r>
        <w:rPr>
          <w:b/>
        </w:rPr>
        <w:t>6)</w:t>
        <w:tab/>
        <w:t>Charging Data Response [Initial, Quota Granted]:</w:t>
      </w:r>
      <w:r>
        <w:rPr/>
        <w:t xml:space="preserve"> The CHF grants authorization to NF (CTF) for the service to start, with the reserved number of units.</w:t>
      </w:r>
    </w:p>
    <w:p>
      <w:pPr>
        <w:pStyle w:val="B1"/>
        <w:rPr/>
      </w:pPr>
      <w:r>
        <w:rPr>
          <w:b/>
        </w:rPr>
        <w:t>7)</w:t>
        <w:tab/>
        <w:t>Granted Units Supervision:</w:t>
      </w:r>
      <w:r>
        <w:rPr/>
        <w:t xml:space="preserve"> the NF (CTF) monitors the consumption of the granted units.</w:t>
      </w:r>
    </w:p>
    <w:p>
      <w:pPr>
        <w:pStyle w:val="B1"/>
        <w:rPr/>
      </w:pPr>
      <w:r>
        <w:rPr>
          <w:b/>
        </w:rPr>
        <w:t>8)</w:t>
        <w:tab/>
      </w:r>
      <w:r>
        <w:rPr>
          <w:b/>
          <w:lang w:eastAsia="zh-CN"/>
        </w:rPr>
        <w:t>Start of service delivery</w:t>
      </w:r>
      <w:r>
        <w:rPr>
          <w:b/>
        </w:rPr>
        <w:t>:</w:t>
      </w:r>
      <w:r>
        <w:rPr/>
        <w:t xml:space="preserve"> the NF (CTF) </w:t>
      </w:r>
      <w:r>
        <w:rPr>
          <w:lang w:eastAsia="zh-CN"/>
        </w:rPr>
        <w:t xml:space="preserve">starts to </w:t>
      </w:r>
      <w:r>
        <w:rPr/>
        <w:t>deliver the content/service based on the reserved number of units.</w:t>
      </w:r>
    </w:p>
    <w:p>
      <w:pPr>
        <w:pStyle w:val="B1"/>
        <w:rPr/>
      </w:pPr>
      <w:r>
        <w:rPr>
          <w:b/>
        </w:rPr>
        <w:t>9)</w:t>
        <w:tab/>
        <w:t>Usage Reporting Trigger:</w:t>
      </w:r>
      <w:r>
        <w:rPr/>
        <w:t xml:space="preserve"> the NF (CTF) generates charging data related to </w:t>
      </w:r>
      <w:r>
        <w:rPr>
          <w:lang w:val="en-GB"/>
        </w:rPr>
        <w:t xml:space="preserve">the </w:t>
      </w:r>
      <w:r>
        <w:rPr/>
        <w:t>service delivered</w:t>
      </w:r>
      <w:r>
        <w:rPr>
          <w:lang w:val="en-GB"/>
        </w:rPr>
        <w:t xml:space="preserve"> </w:t>
      </w:r>
      <w:r>
        <w:rPr/>
        <w:t>that is not under quota management, based on a trigger for usage reporting is met.</w:t>
      </w:r>
    </w:p>
    <w:p>
      <w:pPr>
        <w:pStyle w:val="B1"/>
        <w:rPr/>
      </w:pPr>
      <w:r>
        <w:rPr>
          <w:b/>
        </w:rPr>
        <w:t>10)</w:t>
        <w:tab/>
        <w:t>Charging Data Request [Update, Unit Used]:</w:t>
      </w:r>
      <w:r>
        <w:rPr/>
        <w:t xml:space="preserve"> the NF (CTF) sends the request for reporting the related charging data, including the used units</w:t>
      </w:r>
      <w:r>
        <w:rPr>
          <w:lang w:val="en-GB"/>
        </w:rPr>
        <w:t>,</w:t>
      </w:r>
      <w:r>
        <w:rPr/>
        <w:t xml:space="preserve"> to the CHF.</w:t>
      </w:r>
    </w:p>
    <w:p>
      <w:pPr>
        <w:pStyle w:val="B1"/>
        <w:rPr/>
      </w:pPr>
      <w:r>
        <w:rPr>
          <w:b/>
        </w:rPr>
        <w:t>11)</w:t>
        <w:tab/>
        <w:t>Account, Rating Control:</w:t>
      </w:r>
      <w:r>
        <w:rPr/>
        <w:t xml:space="preserve"> The CHF performs the reported usage process involving rating entity and user's account balance.</w:t>
      </w:r>
    </w:p>
    <w:p>
      <w:pPr>
        <w:pStyle w:val="B1"/>
        <w:rPr/>
      </w:pPr>
      <w:r>
        <w:rPr>
          <w:b/>
        </w:rPr>
        <w:t>12)</w:t>
        <w:tab/>
        <w:t xml:space="preserve"> Update CDR:</w:t>
      </w:r>
      <w:r>
        <w:rPr/>
        <w:t xml:space="preserve"> based on policies, the CHF updates the CDR with charging data related to the service.</w:t>
      </w:r>
    </w:p>
    <w:p>
      <w:pPr>
        <w:pStyle w:val="B1"/>
        <w:rPr/>
      </w:pPr>
      <w:r>
        <w:rPr>
          <w:b/>
        </w:rPr>
        <w:t>13)</w:t>
        <w:tab/>
        <w:t>Charging Data Response [Update]:</w:t>
      </w:r>
      <w:r>
        <w:rPr/>
        <w:t xml:space="preserve"> The CHF informs the NF (CTF) on the result of the request.</w:t>
      </w:r>
    </w:p>
    <w:p>
      <w:pPr>
        <w:pStyle w:val="B1"/>
        <w:rPr/>
      </w:pPr>
      <w:r>
        <w:rPr>
          <w:b/>
        </w:rPr>
        <w:t>14)</w:t>
        <w:tab/>
        <w:t>Quota management Trigger:</w:t>
      </w:r>
      <w:r>
        <w:rPr/>
        <w:t xml:space="preserve"> A Trigger associated to Quota management is met. Units determination is performed when applicable.</w:t>
      </w:r>
    </w:p>
    <w:p>
      <w:pPr>
        <w:pStyle w:val="B1"/>
        <w:rPr/>
      </w:pPr>
      <w:r>
        <w:rPr>
          <w:b/>
        </w:rPr>
        <w:t>15)</w:t>
        <w:tab/>
        <w:t>Charging Data Request [Update, Unit Used, Quota Requested]:</w:t>
      </w:r>
      <w:r>
        <w:rPr/>
        <w:t xml:space="preserve"> the NF (CTF) sends the request to the CHF, for more units</w:t>
      </w:r>
      <w:r>
        <w:rPr>
          <w:lang w:val="en-GB"/>
        </w:rPr>
        <w:t xml:space="preserve"> </w:t>
      </w:r>
      <w:r>
        <w:rPr/>
        <w:t xml:space="preserve">to be granted  for the service to continue, and  reporting the used units. </w:t>
      </w:r>
    </w:p>
    <w:p>
      <w:pPr>
        <w:pStyle w:val="B1"/>
        <w:rPr/>
      </w:pPr>
      <w:r>
        <w:rPr>
          <w:b/>
        </w:rPr>
        <w:t>16)</w:t>
        <w:tab/>
        <w:t>Account, Rating, Reservation Control:</w:t>
      </w:r>
      <w:r>
        <w:rPr/>
        <w:t xml:space="preserve"> The CHF performs the process related to the reported usage and the requested reservation, involving rating entity and user's account balance.</w:t>
      </w:r>
    </w:p>
    <w:p>
      <w:pPr>
        <w:pStyle w:val="B1"/>
        <w:rPr/>
      </w:pPr>
      <w:r>
        <w:rPr>
          <w:b/>
        </w:rPr>
        <w:t>17)</w:t>
        <w:tab/>
        <w:t xml:space="preserve"> Update CDR:</w:t>
      </w:r>
      <w:r>
        <w:rPr/>
        <w:t xml:space="preserve"> based on policies, the CHF updates the CDR with charging data related to the service.</w:t>
      </w:r>
    </w:p>
    <w:p>
      <w:pPr>
        <w:pStyle w:val="B1"/>
        <w:rPr/>
      </w:pPr>
      <w:r>
        <w:rPr>
          <w:b/>
        </w:rPr>
        <w:t>18)</w:t>
        <w:tab/>
        <w:t>Charging Data Response [Update, Quota Granted]:</w:t>
      </w:r>
      <w:r>
        <w:rPr/>
        <w:t xml:space="preserve"> The CHF grants quota to NF (CTF) for the service to continue, with the reserved number of units.</w:t>
      </w:r>
    </w:p>
    <w:p>
      <w:pPr>
        <w:pStyle w:val="B1"/>
        <w:rPr/>
      </w:pPr>
      <w:r>
        <w:rPr>
          <w:b/>
        </w:rPr>
        <w:t>19)</w:t>
        <w:tab/>
        <w:t>Content/Service Delivery:</w:t>
      </w:r>
      <w:r>
        <w:rPr/>
        <w:t xml:space="preserve"> the NF (CTF) delivers the content/service based on the granted quota.</w:t>
      </w:r>
    </w:p>
    <w:p>
      <w:pPr>
        <w:pStyle w:val="B1"/>
        <w:rPr/>
      </w:pPr>
      <w:r>
        <w:rPr>
          <w:b/>
        </w:rPr>
        <w:t>20)</w:t>
        <w:tab/>
        <w:t>Session released:</w:t>
      </w:r>
      <w:r>
        <w:rPr/>
        <w:t xml:space="preserve"> the session is released.</w:t>
      </w:r>
    </w:p>
    <w:p>
      <w:pPr>
        <w:pStyle w:val="B1"/>
        <w:rPr/>
      </w:pPr>
      <w:r>
        <w:rPr>
          <w:b/>
        </w:rPr>
        <w:t>2</w:t>
      </w:r>
      <w:r>
        <w:rPr>
          <w:b/>
          <w:lang w:val="en-GB"/>
        </w:rPr>
        <w:t>1</w:t>
      </w:r>
      <w:r>
        <w:rPr>
          <w:b/>
        </w:rPr>
        <w:t>)</w:t>
        <w:tab/>
        <w:t>Charging Data Request [Termination</w:t>
      </w:r>
      <w:r>
        <w:rPr>
          <w:b/>
          <w:lang w:eastAsia="zh-CN"/>
        </w:rPr>
        <w:t>,</w:t>
      </w:r>
      <w:r>
        <w:rPr/>
        <w:t xml:space="preserve"> </w:t>
      </w:r>
      <w:r>
        <w:rPr>
          <w:b/>
          <w:lang w:eastAsia="zh-CN"/>
        </w:rPr>
        <w:t>Unit Used</w:t>
      </w:r>
      <w:r>
        <w:rPr>
          <w:b/>
        </w:rPr>
        <w:t>]:</w:t>
      </w:r>
      <w:r>
        <w:rPr/>
        <w:t xml:space="preserve"> the NF (CTF) sends the request to the CHF, for charging data related to the service termination with the final consumed units. </w:t>
      </w:r>
    </w:p>
    <w:p>
      <w:pPr>
        <w:pStyle w:val="B1"/>
        <w:rPr/>
      </w:pPr>
      <w:r>
        <w:rPr>
          <w:b/>
        </w:rPr>
        <w:t>2</w:t>
      </w:r>
      <w:r>
        <w:rPr>
          <w:b/>
          <w:lang w:val="en-GB"/>
        </w:rPr>
        <w:t>2</w:t>
      </w:r>
      <w:r>
        <w:rPr>
          <w:b/>
        </w:rPr>
        <w:t>)</w:t>
        <w:tab/>
        <w:t>Account, Rating Control:</w:t>
      </w:r>
      <w:r>
        <w:rPr/>
        <w:t xml:space="preserve"> The CHF performs the service termination process involving rating entity and user's account balance.</w:t>
      </w:r>
    </w:p>
    <w:p>
      <w:pPr>
        <w:pStyle w:val="B1"/>
        <w:rPr/>
      </w:pPr>
      <w:r>
        <w:rPr>
          <w:b/>
        </w:rPr>
        <w:t>2</w:t>
      </w:r>
      <w:r>
        <w:rPr>
          <w:b/>
          <w:lang w:val="en-GB"/>
        </w:rPr>
        <w:t>3</w:t>
      </w:r>
      <w:r>
        <w:rPr>
          <w:b/>
        </w:rPr>
        <w:t>)</w:t>
        <w:tab/>
        <w:t xml:space="preserve"> Close CDR:</w:t>
      </w:r>
      <w:r>
        <w:rPr/>
        <w:t xml:space="preserve"> based on policies, the CHF closes the CDR with charging data related to the service termination and the last reported units.</w:t>
      </w:r>
    </w:p>
    <w:p>
      <w:pPr>
        <w:pStyle w:val="B1"/>
        <w:rPr/>
      </w:pPr>
      <w:r>
        <w:rPr>
          <w:b/>
        </w:rPr>
        <w:t>2</w:t>
      </w:r>
      <w:r>
        <w:rPr>
          <w:b/>
          <w:lang w:val="en-GB"/>
        </w:rPr>
        <w:t>4</w:t>
      </w:r>
      <w:r>
        <w:rPr>
          <w:b/>
        </w:rPr>
        <w:t>)</w:t>
        <w:tab/>
        <w:t>Charging Data Response [Termination]:</w:t>
      </w:r>
      <w:r>
        <w:rPr/>
        <w:t xml:space="preserve"> The CHF informs the NF (CTF) on the result of the request.</w:t>
      </w:r>
    </w:p>
    <w:p>
      <w:pPr>
        <w:pStyle w:val="Normal"/>
        <w:keepNext w:val="true"/>
        <w:rPr/>
      </w:pPr>
      <w:r>
        <w:rPr/>
        <w:t>Figure 5.3.2.3.2 shows a</w:t>
      </w:r>
      <w:r>
        <w:rPr>
          <w:lang w:eastAsia="zh-CN"/>
        </w:rPr>
        <w:t xml:space="preserve"> </w:t>
      </w:r>
      <w:r>
        <w:rPr>
          <w:lang w:eastAsia="zh-CN"/>
        </w:rPr>
        <w:t>Non-blocking mode</w:t>
      </w:r>
      <w:r>
        <w:rPr/>
        <w:t xml:space="preserve"> scenario for</w:t>
      </w:r>
      <w:r>
        <w:rPr>
          <w:rFonts w:eastAsia="SimSun;宋体"/>
        </w:rPr>
        <w:t xml:space="preserve"> Session based charging (</w:t>
      </w:r>
      <w:r>
        <w:rPr/>
        <w:t>SCUR)</w:t>
      </w:r>
      <w:r>
        <w:rPr>
          <w:rFonts w:eastAsia="SimSun;宋体"/>
        </w:rPr>
        <w:t xml:space="preserve"> with: Unit Reservation,</w:t>
      </w:r>
      <w:r>
        <w:rPr/>
        <w:t xml:space="preserve">  Decentralized and Centralized Unit Determination, Centralized Rating configuration </w:t>
      </w:r>
      <w:r>
        <w:rPr>
          <w:rFonts w:eastAsia="SimSun;宋体"/>
        </w:rPr>
        <w:t>, user’s account deduction</w:t>
      </w:r>
      <w:r>
        <w:rPr/>
        <w:t xml:space="preserve"> , where the NF (CTF) invokes a converged charging service towards the CHF. </w:t>
      </w:r>
    </w:p>
    <w:p>
      <w:pPr>
        <w:pStyle w:val="Normal"/>
        <w:keepNext w:val="true"/>
        <w:rPr/>
      </w:pPr>
      <w:r>
        <w:rPr/>
        <w:t>NF (CTF) may use blocking mode instead when risk of quota overdraft is more important than latency.</w:t>
      </w:r>
    </w:p>
    <w:p>
      <w:pPr>
        <w:pStyle w:val="TH"/>
        <w:rPr/>
      </w:pPr>
      <w:r>
        <w:rPr>
          <w:rFonts w:cs="Times New Roman" w:ascii="Times New Roman" w:hAnsi="Times New Roman"/>
          <w:lang w:val="en-GB"/>
        </w:rPr>
        <w:t xml:space="preserve"> </w:t>
      </w:r>
      <w:r>
        <w:rPr>
          <w:rFonts w:cs="Times New Roman" w:ascii="Times New Roman" w:hAnsi="Times New Roman"/>
          <w:lang w:val="en-GB"/>
        </w:rPr>
        <w:object w:dxaOrig="5436" w:dyaOrig="11766">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330.75pt;height:714pt" filled="f" o:ole="">
            <v:imagedata r:id="rId17" o:title=""/>
          </v:shape>
          <o:OLEObject Type="Embed" ProgID="" ShapeID="ole_rId16" DrawAspect="Content" ObjectID="_1972339773" r:id="rId16"/>
        </w:object>
      </w:r>
    </w:p>
    <w:p>
      <w:pPr>
        <w:pStyle w:val="TF"/>
        <w:rPr>
          <w:lang w:val="en-GB"/>
        </w:rPr>
      </w:pPr>
      <w:r>
        <w:rPr/>
        <w:t>Figure 5.3.2.3.2: SCUR - Session based charging with Decentralized and Centralized Unit Determination, Centralized Rating, immediate start of service delivery</w:t>
      </w:r>
      <w:r>
        <w:rPr>
          <w:lang w:val="en-GB"/>
        </w:rPr>
        <w:t xml:space="preserve"> </w:t>
      </w:r>
      <w:bookmarkStart w:id="51" w:name="_Hlk524698189"/>
      <w:r>
        <w:rPr/>
        <w:t>(Non-blocking mode)</w:t>
      </w:r>
      <w:bookmarkEnd w:id="51"/>
    </w:p>
    <w:p>
      <w:pPr>
        <w:pStyle w:val="B1"/>
        <w:rPr/>
      </w:pPr>
      <w:r>
        <w:rPr>
          <w:b/>
        </w:rPr>
        <w:t>1)</w:t>
        <w:tab/>
        <w:t>Request for service delivery and start of service delivery:</w:t>
      </w:r>
      <w:r>
        <w:rPr/>
        <w:t xml:space="preserve"> A request for session establishment is received in the NF (CTF). The NF (CTF) is configured to allow the service to be delivered.</w:t>
      </w:r>
    </w:p>
    <w:p>
      <w:pPr>
        <w:pStyle w:val="B1"/>
        <w:rPr/>
      </w:pPr>
      <w:r>
        <w:rPr>
          <w:b/>
        </w:rPr>
        <w:t>2)</w:t>
        <w:tab/>
        <w:t xml:space="preserve">Units Determination: </w:t>
      </w:r>
      <w:r>
        <w:rPr/>
        <w:t>the NF (CTF) determines the number of units depending on the service requested, in "Decentralized Units determination" scenario.</w:t>
      </w:r>
    </w:p>
    <w:p>
      <w:pPr>
        <w:pStyle w:val="B1"/>
        <w:rPr/>
      </w:pPr>
      <w:r>
        <w:rPr>
          <w:b/>
        </w:rPr>
        <w:t>3)</w:t>
        <w:tab/>
        <w:t>Charging Data Request [Initial, Unit Used, Quota Requested]:</w:t>
      </w:r>
      <w:r>
        <w:rPr/>
        <w:t xml:space="preserve"> the NF (CTF) sends the request to the CHF to reserve the number of units if determined in step 2, it may also report the used units.</w:t>
      </w:r>
    </w:p>
    <w:p>
      <w:pPr>
        <w:pStyle w:val="B1"/>
        <w:rPr/>
      </w:pPr>
      <w:r>
        <w:rPr>
          <w:b/>
        </w:rPr>
        <w:t>4)</w:t>
        <w:tab/>
        <w:t>Account, Rating, Reservation Control:</w:t>
      </w:r>
      <w:r>
        <w:rPr/>
        <w:t xml:space="preserve"> the CHF rates the requests either based on the number of units requested or on internal unit determination, checks if corresponding funds can be reserved on the user's account balance. If the account has sufficient funds, the CHF performs the corresponding reservation.</w:t>
      </w:r>
    </w:p>
    <w:p>
      <w:pPr>
        <w:pStyle w:val="B1"/>
        <w:rPr/>
      </w:pPr>
      <w:r>
        <w:rPr>
          <w:b/>
        </w:rPr>
        <w:t>5)</w:t>
        <w:tab/>
        <w:t xml:space="preserve"> Open CDR:</w:t>
      </w:r>
      <w:r>
        <w:rPr/>
        <w:t xml:space="preserve"> based on policies, the CHF opens a CDR related to the service.</w:t>
      </w:r>
    </w:p>
    <w:p>
      <w:pPr>
        <w:pStyle w:val="B1"/>
        <w:rPr/>
      </w:pPr>
      <w:r>
        <w:rPr>
          <w:b/>
        </w:rPr>
        <w:t>6)</w:t>
        <w:tab/>
        <w:t>Charging Data Response [Initial, Quota Granted]:</w:t>
      </w:r>
      <w:r>
        <w:rPr/>
        <w:t xml:space="preserve"> the CHF grants the reserved number of units to NF (CTF).</w:t>
      </w:r>
    </w:p>
    <w:p>
      <w:pPr>
        <w:pStyle w:val="B1"/>
        <w:rPr/>
      </w:pPr>
      <w:r>
        <w:rPr>
          <w:b/>
        </w:rPr>
        <w:t>7)</w:t>
        <w:tab/>
        <w:t>Granted Units Supervision:</w:t>
      </w:r>
      <w:r>
        <w:rPr/>
        <w:t xml:space="preserve"> The NF (CTF) monitors the consumption of the granted units.</w:t>
      </w:r>
    </w:p>
    <w:p>
      <w:pPr>
        <w:pStyle w:val="B1"/>
        <w:rPr/>
      </w:pPr>
      <w:r>
        <w:rPr>
          <w:b/>
        </w:rPr>
        <w:t>8)</w:t>
        <w:tab/>
        <w:t>Service delivery ongoing:</w:t>
      </w:r>
      <w:r>
        <w:rPr/>
        <w:t xml:space="preserve"> the NF (CTF) continues to deliver the service.</w:t>
      </w:r>
    </w:p>
    <w:p>
      <w:pPr>
        <w:pStyle w:val="B1"/>
        <w:rPr/>
      </w:pPr>
      <w:r>
        <w:rPr>
          <w:b/>
        </w:rPr>
        <w:t>9)</w:t>
        <w:tab/>
        <w:t>Usage reporting trigger:</w:t>
      </w:r>
      <w:r>
        <w:rPr/>
        <w:t xml:space="preserve"> the NF (CTF) generates charging data related to a service delivered that is not under quota management, based on that a trigger fo</w:t>
      </w:r>
      <w:r>
        <w:rPr>
          <w:lang w:val="en-GB"/>
        </w:rPr>
        <w:t>r</w:t>
      </w:r>
      <w:r>
        <w:rPr/>
        <w:t xml:space="preserve"> service usage reporting is met.</w:t>
      </w:r>
    </w:p>
    <w:p>
      <w:pPr>
        <w:pStyle w:val="B1"/>
        <w:rPr/>
      </w:pPr>
      <w:r>
        <w:rPr>
          <w:b/>
        </w:rPr>
        <w:t>10)</w:t>
        <w:tab/>
        <w:tab/>
        <w:t>Charging Data Request [Update, Unit Used]:</w:t>
      </w:r>
      <w:r>
        <w:rPr/>
        <w:t xml:space="preserve"> the NF (CTF) reports the charging data related to service delivered, including the used units, to the CHF.</w:t>
      </w:r>
    </w:p>
    <w:p>
      <w:pPr>
        <w:pStyle w:val="B1"/>
        <w:rPr/>
      </w:pPr>
      <w:r>
        <w:rPr>
          <w:b/>
        </w:rPr>
        <w:t>11)</w:t>
        <w:tab/>
        <w:tab/>
        <w:t>Account, Rating Control:</w:t>
      </w:r>
      <w:r>
        <w:rPr/>
        <w:t xml:space="preserve"> the CHF uses the reported charging data to rate the usage and deduct the funds corresponding to the usage on the account balance.</w:t>
      </w:r>
    </w:p>
    <w:p>
      <w:pPr>
        <w:pStyle w:val="B1"/>
        <w:rPr/>
      </w:pPr>
      <w:r>
        <w:rPr>
          <w:b/>
        </w:rPr>
        <w:t>12)</w:t>
        <w:tab/>
        <w:tab/>
        <w:t>Update CDR:</w:t>
      </w:r>
      <w:r>
        <w:rPr/>
        <w:t xml:space="preserve"> based on policies, the CHF updates the CDR with charging data related to the service.</w:t>
      </w:r>
    </w:p>
    <w:p>
      <w:pPr>
        <w:pStyle w:val="B1"/>
        <w:rPr/>
      </w:pPr>
      <w:r>
        <w:rPr>
          <w:b/>
        </w:rPr>
        <w:t>13)</w:t>
        <w:tab/>
        <w:tab/>
        <w:t>Charging Data Response [Update]:</w:t>
      </w:r>
      <w:r>
        <w:rPr/>
        <w:t xml:space="preserve"> The CHF informs the  NF (CTF) on the result of the request.</w:t>
      </w:r>
    </w:p>
    <w:p>
      <w:pPr>
        <w:pStyle w:val="B1"/>
        <w:rPr/>
      </w:pPr>
      <w:r>
        <w:rPr>
          <w:b/>
        </w:rPr>
        <w:t>14</w:t>
        <w:tab/>
        <w:t>)</w:t>
        <w:tab/>
        <w:t>Quota management Trigger:</w:t>
      </w:r>
      <w:r>
        <w:rPr/>
        <w:t xml:space="preserve"> A Trigger associated to Quota management is met. Units determination is performed when applicable.</w:t>
      </w:r>
    </w:p>
    <w:p>
      <w:pPr>
        <w:pStyle w:val="B1"/>
        <w:rPr/>
      </w:pPr>
      <w:r>
        <w:rPr>
          <w:b/>
        </w:rPr>
        <w:t>15)</w:t>
        <w:tab/>
        <w:tab/>
        <w:t>Charging Data Request [Update, Unit Used, Quota Requested]:</w:t>
      </w:r>
      <w:r>
        <w:rPr/>
        <w:t xml:space="preserve"> the NF (CTF) sends the request to the CHF, for more units</w:t>
      </w:r>
      <w:r>
        <w:rPr>
          <w:lang w:val="en-GB"/>
        </w:rPr>
        <w:t xml:space="preserve"> </w:t>
      </w:r>
      <w:r>
        <w:rPr/>
        <w:t xml:space="preserve">to be granted  for the service to continue, and  reporting the used units. </w:t>
      </w:r>
    </w:p>
    <w:p>
      <w:pPr>
        <w:pStyle w:val="B1"/>
        <w:rPr/>
      </w:pPr>
      <w:r>
        <w:rPr>
          <w:b/>
        </w:rPr>
        <w:t>16)</w:t>
        <w:tab/>
        <w:tab/>
        <w:t>Account, Rating, Reservation Control:</w:t>
      </w:r>
      <w:r>
        <w:rPr/>
        <w:t xml:space="preserve"> same as step 4, with the option to also deduct the funds corresponding to the usage on the account balance.</w:t>
      </w:r>
    </w:p>
    <w:p>
      <w:pPr>
        <w:pStyle w:val="B1"/>
        <w:rPr/>
      </w:pPr>
      <w:r>
        <w:rPr>
          <w:b/>
        </w:rPr>
        <w:t>17)</w:t>
        <w:tab/>
        <w:tab/>
        <w:t>Update CDR:</w:t>
      </w:r>
      <w:r>
        <w:rPr/>
        <w:t xml:space="preserve"> based on policies, the CHF updates the CDR with charging data related to the service.</w:t>
      </w:r>
    </w:p>
    <w:p>
      <w:pPr>
        <w:pStyle w:val="B1"/>
        <w:rPr/>
      </w:pPr>
      <w:r>
        <w:rPr>
          <w:b/>
        </w:rPr>
        <w:t>18)</w:t>
        <w:tab/>
        <w:tab/>
        <w:t>Charging Data Response [Update, Quota Granted]:</w:t>
      </w:r>
      <w:r>
        <w:rPr/>
        <w:t xml:space="preserve"> The CHF grants quota to NF (CTF) for the service, with the reserved number of units.</w:t>
      </w:r>
    </w:p>
    <w:p>
      <w:pPr>
        <w:pStyle w:val="B1"/>
        <w:rPr/>
      </w:pPr>
      <w:r>
        <w:rPr>
          <w:b/>
        </w:rPr>
        <w:t>19)</w:t>
        <w:tab/>
        <w:tab/>
        <w:t>Service delivery ongoing:</w:t>
      </w:r>
      <w:r>
        <w:rPr/>
        <w:t xml:space="preserve"> the NF (CTF) continues to deliver the service.</w:t>
      </w:r>
    </w:p>
    <w:p>
      <w:pPr>
        <w:pStyle w:val="B1"/>
        <w:rPr/>
      </w:pPr>
      <w:r>
        <w:rPr>
          <w:b/>
        </w:rPr>
        <w:t>20)</w:t>
        <w:tab/>
        <w:tab/>
        <w:t>Service release:</w:t>
      </w:r>
      <w:r>
        <w:rPr/>
        <w:t xml:space="preserve"> the NF (CTF) is requested to end the service delivery and does this.</w:t>
      </w:r>
    </w:p>
    <w:p>
      <w:pPr>
        <w:pStyle w:val="B1"/>
        <w:rPr/>
      </w:pPr>
      <w:r>
        <w:rPr>
          <w:b/>
        </w:rPr>
        <w:t>21)</w:t>
        <w:tab/>
        <w:tab/>
        <w:t>Charging Data Request [Termination, Unit Used]:</w:t>
      </w:r>
      <w:r>
        <w:rPr/>
        <w:t xml:space="preserve"> the NF (CTF) sends the request to the CHF, for charging data related to the service termination with the final consumed units. </w:t>
      </w:r>
    </w:p>
    <w:p>
      <w:pPr>
        <w:pStyle w:val="B1"/>
        <w:rPr/>
      </w:pPr>
      <w:r>
        <w:rPr>
          <w:b/>
        </w:rPr>
        <w:t>22)</w:t>
        <w:tab/>
        <w:tab/>
        <w:t>Account, Rating Control:</w:t>
      </w:r>
      <w:r>
        <w:rPr/>
        <w:t xml:space="preserve"> the CHF performs the service termination process which involve using the reported charging data to rate the usage and deduct the funds corresponding to the usage on the account balance.</w:t>
      </w:r>
    </w:p>
    <w:p>
      <w:pPr>
        <w:pStyle w:val="B1"/>
        <w:rPr/>
      </w:pPr>
      <w:r>
        <w:rPr>
          <w:b/>
        </w:rPr>
        <w:t>23)</w:t>
        <w:tab/>
        <w:t>Close CDR:</w:t>
      </w:r>
      <w:r>
        <w:rPr/>
        <w:t xml:space="preserve"> based on policies, the CHF closes the CDR with charging data related to the service termination and the last reported units.</w:t>
      </w:r>
    </w:p>
    <w:p>
      <w:pPr>
        <w:pStyle w:val="B1"/>
        <w:rPr/>
      </w:pPr>
      <w:r>
        <w:rPr>
          <w:b/>
        </w:rPr>
        <w:t>24)</w:t>
        <w:tab/>
        <w:tab/>
        <w:t>Charging Data Response [Termination]:</w:t>
      </w:r>
      <w:r>
        <w:rPr/>
        <w:t xml:space="preserve"> The CHF informs the NF (CTF)on the result of the request.</w:t>
      </w:r>
    </w:p>
    <w:p>
      <w:pPr>
        <w:pStyle w:val="Normal"/>
        <w:keepNext w:val="true"/>
        <w:rPr>
          <w:lang w:val="en-US" w:eastAsia="en-US"/>
        </w:rPr>
      </w:pPr>
      <w:r>
        <w:rPr>
          <w:lang w:val="en-US" w:eastAsia="en-US"/>
        </w:rPr>
        <w:t xml:space="preserve">Figure 5.3.2.3.3 shows a scenario for Session based charging </w:t>
      </w:r>
      <w:r>
        <w:rPr/>
        <w:t>(ECUR)</w:t>
      </w:r>
      <w:r>
        <w:rPr>
          <w:lang w:val="en-US" w:eastAsia="en-US"/>
        </w:rPr>
        <w:t xml:space="preserve"> in Decentralized and Centralized Unit </w:t>
      </w:r>
      <w:r>
        <w:rPr/>
        <w:t>Determination, Centralized</w:t>
      </w:r>
      <w:r>
        <w:rPr>
          <w:lang w:val="en-US" w:eastAsia="en-US"/>
        </w:rPr>
        <w:t xml:space="preserve"> Rating configuration, where the NF (CTF) invokes a converged charging service towards the CHF, prior to service delivery if needed. </w:t>
      </w:r>
    </w:p>
    <w:p>
      <w:pPr>
        <w:pStyle w:val="Normal"/>
        <w:keepNext w:val="true"/>
        <w:rPr>
          <w:lang w:val="en-US" w:eastAsia="en-US"/>
        </w:rPr>
      </w:pPr>
      <w:r>
        <w:rPr>
          <w:lang w:val="en-US" w:eastAsia="en-US"/>
        </w:rPr>
      </w:r>
    </w:p>
    <w:p>
      <w:pPr>
        <w:pStyle w:val="TH"/>
        <w:rPr/>
      </w:pPr>
      <w:r>
        <w:rPr>
          <w:rFonts w:cs="Times New Roman" w:ascii="Times New Roman" w:hAnsi="Times New Roman"/>
          <w:lang w:val="en-GB"/>
        </w:rPr>
        <w:t xml:space="preserve"> </w:t>
      </w:r>
      <w:r>
        <w:rPr>
          <w:rFonts w:cs="Times New Roman" w:ascii="Times New Roman" w:hAnsi="Times New Roman"/>
          <w:lang w:val="en-GB"/>
        </w:rPr>
        <w:object w:dxaOrig="4974" w:dyaOrig="6419">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306.75pt;height:396pt" filled="f" o:ole="">
            <v:imagedata r:id="rId19" o:title=""/>
          </v:shape>
          <o:OLEObject Type="Embed" ProgID="" ShapeID="ole_rId18" DrawAspect="Content" ObjectID="_1401968607" r:id="rId18"/>
        </w:object>
      </w:r>
    </w:p>
    <w:p>
      <w:pPr>
        <w:pStyle w:val="TF"/>
        <w:rPr/>
      </w:pPr>
      <w:bookmarkStart w:id="52" w:name="_Hlk510283856"/>
      <w:r>
        <w:rPr/>
        <w:t>Figure 5.3.2.3.</w:t>
      </w:r>
      <w:bookmarkEnd w:id="52"/>
      <w:r>
        <w:rPr/>
        <w:t>3: ECUR - Session based charging with - Decentralized and Centralized Unit Determination, Centralized Rating.</w:t>
      </w:r>
    </w:p>
    <w:p>
      <w:pPr>
        <w:pStyle w:val="B1"/>
        <w:rPr/>
      </w:pPr>
      <w:r>
        <w:rPr/>
      </w:r>
    </w:p>
    <w:p>
      <w:pPr>
        <w:pStyle w:val="B1"/>
        <w:rPr>
          <w:lang w:val="en-US" w:eastAsia="en-US"/>
        </w:rPr>
      </w:pPr>
      <w:r>
        <w:rPr>
          <w:b/>
          <w:lang w:val="en-US" w:eastAsia="en-US"/>
        </w:rPr>
        <w:t>1)</w:t>
        <w:tab/>
        <w:t>Request for resource usage:</w:t>
      </w:r>
      <w:r>
        <w:rPr>
          <w:lang w:val="en-US" w:eastAsia="en-US"/>
        </w:rPr>
        <w:t xml:space="preserve"> A request for session establishment is received in the </w:t>
      </w:r>
      <w:r>
        <w:rPr>
          <w:lang w:val="en-GB" w:eastAsia="en-US"/>
        </w:rPr>
        <w:t>NF (</w:t>
      </w:r>
      <w:r>
        <w:rPr>
          <w:lang w:val="en-US" w:eastAsia="en-US"/>
        </w:rPr>
        <w:t>CTF</w:t>
      </w:r>
      <w:r>
        <w:rPr>
          <w:lang w:val="en-GB" w:eastAsia="en-US"/>
        </w:rPr>
        <w:t>)</w:t>
      </w:r>
      <w:r>
        <w:rPr>
          <w:lang w:val="en-US" w:eastAsia="en-US"/>
        </w:rPr>
        <w:t>. The service is configured to be authorized by the CHF to start.</w:t>
      </w:r>
    </w:p>
    <w:p>
      <w:pPr>
        <w:pStyle w:val="B1"/>
        <w:rPr>
          <w:lang w:val="en-US" w:eastAsia="en-US"/>
        </w:rPr>
      </w:pPr>
      <w:r>
        <w:rPr>
          <w:b/>
          <w:lang w:val="en-US" w:eastAsia="en-US"/>
        </w:rPr>
        <w:t>2)</w:t>
        <w:tab/>
        <w:t xml:space="preserve">Units Determination: </w:t>
      </w:r>
      <w:r>
        <w:rPr>
          <w:lang w:val="en-US" w:eastAsia="en-US"/>
        </w:rPr>
        <w:t>the NF (CTF) determines the number of units depending on the service requested by the UE in "Decentralized Units determination" scenario.</w:t>
      </w:r>
    </w:p>
    <w:p>
      <w:pPr>
        <w:pStyle w:val="B1"/>
        <w:rPr/>
      </w:pPr>
      <w:r>
        <w:rPr>
          <w:b/>
          <w:lang w:val="en-US" w:eastAsia="en-US"/>
        </w:rPr>
        <w:t>3)</w:t>
        <w:tab/>
        <w:t>Charging Data Request [Initial, Quota Requested]:</w:t>
      </w:r>
      <w:r>
        <w:rPr>
          <w:lang w:val="en-US" w:eastAsia="en-US"/>
        </w:rPr>
        <w:t xml:space="preserve"> The NF (CTF) sends the request to the CHF for the service to be granted authorization to start, and to reserve the number of units if determined in item 2.</w:t>
      </w:r>
    </w:p>
    <w:p>
      <w:pPr>
        <w:pStyle w:val="B1"/>
        <w:rPr>
          <w:lang w:val="en-US" w:eastAsia="en-US"/>
        </w:rPr>
      </w:pPr>
      <w:r>
        <w:rPr>
          <w:b/>
          <w:lang w:val="en-US" w:eastAsia="en-US"/>
        </w:rPr>
        <w:t>4)</w:t>
        <w:tab/>
        <w:t>Account, Rating, Reservation Control:</w:t>
      </w:r>
      <w:r>
        <w:rPr>
          <w:lang w:val="en-US" w:eastAsia="en-US"/>
        </w:rPr>
        <w:t xml:space="preserve"> </w:t>
      </w:r>
      <w:r>
        <w:rPr/>
        <w:t xml:space="preserve">the CHF rates the requests either based on the number of units requested or on internal unit determination, checks if corresponding funds can be reserved on the </w:t>
      </w:r>
      <w:r>
        <w:rPr>
          <w:lang w:val="en-US" w:eastAsia="en-US"/>
        </w:rPr>
        <w:t>user's account balance. I</w:t>
      </w:r>
      <w:r>
        <w:rPr/>
        <w:t xml:space="preserve">f the account has sufficient funds, the CHF </w:t>
      </w:r>
      <w:r>
        <w:rPr>
          <w:lang w:val="en-US" w:eastAsia="en-US"/>
        </w:rPr>
        <w:t>performs the corresponding reservation</w:t>
      </w:r>
      <w:r>
        <w:rPr/>
        <w:t>.</w:t>
      </w:r>
    </w:p>
    <w:p>
      <w:pPr>
        <w:pStyle w:val="B1"/>
        <w:rPr>
          <w:lang w:val="en-US" w:eastAsia="en-US"/>
        </w:rPr>
      </w:pPr>
      <w:r>
        <w:rPr>
          <w:b/>
          <w:lang w:val="en-US" w:eastAsia="en-US"/>
        </w:rPr>
        <w:t>5)</w:t>
        <w:tab/>
        <w:t xml:space="preserve"> Open CDR:</w:t>
      </w:r>
      <w:r>
        <w:rPr>
          <w:lang w:val="en-US" w:eastAsia="en-US"/>
        </w:rPr>
        <w:t xml:space="preserve"> based on policies, the CHF opens a CDR related to the service.</w:t>
      </w:r>
    </w:p>
    <w:p>
      <w:pPr>
        <w:pStyle w:val="B1"/>
        <w:rPr>
          <w:lang w:val="en-US" w:eastAsia="en-US"/>
        </w:rPr>
      </w:pPr>
      <w:r>
        <w:rPr>
          <w:b/>
          <w:lang w:val="en-US" w:eastAsia="en-US"/>
        </w:rPr>
        <w:t>6)</w:t>
        <w:tab/>
        <w:t>Charging Data Response [Initial, Quota Granted]:</w:t>
      </w:r>
      <w:r>
        <w:rPr>
          <w:lang w:val="en-US" w:eastAsia="en-US"/>
        </w:rPr>
        <w:t xml:space="preserve"> The CHF grants authorization to NF (CTF) for the service to start, with the reserved number of units.</w:t>
      </w:r>
    </w:p>
    <w:p>
      <w:pPr>
        <w:pStyle w:val="B1"/>
        <w:rPr>
          <w:lang w:val="en-US" w:eastAsia="en-US"/>
        </w:rPr>
      </w:pPr>
      <w:r>
        <w:rPr>
          <w:b/>
          <w:lang w:val="en-US" w:eastAsia="en-US"/>
        </w:rPr>
        <w:t>7)</w:t>
        <w:tab/>
        <w:t xml:space="preserve"> Granted Units Supervision:</w:t>
      </w:r>
      <w:r>
        <w:rPr>
          <w:lang w:val="en-US" w:eastAsia="en-US"/>
        </w:rPr>
        <w:t xml:space="preserve"> The service starts and the NF (CTF) monitors the consumption of the granted units.</w:t>
      </w:r>
    </w:p>
    <w:p>
      <w:pPr>
        <w:pStyle w:val="B1"/>
        <w:rPr>
          <w:lang w:val="en-US" w:eastAsia="en-US"/>
        </w:rPr>
      </w:pPr>
      <w:r>
        <w:rPr>
          <w:b/>
          <w:lang w:val="en-US" w:eastAsia="en-US"/>
        </w:rPr>
        <w:t>8)</w:t>
        <w:tab/>
        <w:t>Content/Service Delivery:</w:t>
      </w:r>
      <w:r>
        <w:rPr>
          <w:lang w:val="en-US" w:eastAsia="en-US"/>
        </w:rPr>
        <w:t xml:space="preserve"> the NF (CTF) delivers the content/service based on the reserved number of units.</w:t>
      </w:r>
    </w:p>
    <w:p>
      <w:pPr>
        <w:pStyle w:val="B1"/>
        <w:rPr/>
      </w:pPr>
      <w:r>
        <w:rPr>
          <w:b/>
          <w:lang w:val="en-US" w:eastAsia="en-US"/>
        </w:rPr>
        <w:t>9)</w:t>
        <w:tab/>
        <w:t>Charging Data Request [Termination</w:t>
      </w:r>
      <w:r>
        <w:rPr>
          <w:b/>
        </w:rPr>
        <w:t>, Unit Used</w:t>
      </w:r>
      <w:r>
        <w:rPr>
          <w:b/>
          <w:lang w:val="en-US" w:eastAsia="en-US"/>
        </w:rPr>
        <w:t>]:</w:t>
      </w:r>
      <w:r>
        <w:rPr>
          <w:lang w:val="en-US" w:eastAsia="en-US"/>
        </w:rPr>
        <w:t xml:space="preserve"> the NF (CTF) sends the request to the CHF, for charging data related to the delivered service with the consumed units. </w:t>
      </w:r>
    </w:p>
    <w:p>
      <w:pPr>
        <w:pStyle w:val="B1"/>
        <w:rPr>
          <w:lang w:val="en-US" w:eastAsia="en-US"/>
        </w:rPr>
      </w:pPr>
      <w:r>
        <w:rPr>
          <w:b/>
          <w:lang w:val="en-US" w:eastAsia="en-US"/>
        </w:rPr>
        <w:t>10)</w:t>
        <w:tab/>
        <w:tab/>
        <w:t>Account, Rating Control:</w:t>
      </w:r>
      <w:r>
        <w:rPr>
          <w:lang w:val="en-US" w:eastAsia="en-US"/>
        </w:rPr>
        <w:t xml:space="preserve"> The CHF performs the process for the delivered service involving rating entity and user's account balance.</w:t>
      </w:r>
    </w:p>
    <w:p>
      <w:pPr>
        <w:pStyle w:val="B1"/>
        <w:rPr>
          <w:lang w:val="en-US" w:eastAsia="en-US"/>
        </w:rPr>
      </w:pPr>
      <w:r>
        <w:rPr>
          <w:b/>
          <w:lang w:val="en-US" w:eastAsia="en-US"/>
        </w:rPr>
        <w:t>11)</w:t>
        <w:tab/>
        <w:tab/>
        <w:t>Close CDR:</w:t>
      </w:r>
      <w:r>
        <w:rPr>
          <w:lang w:val="en-US" w:eastAsia="en-US"/>
        </w:rPr>
        <w:t xml:space="preserve"> based on policies, the CHF closes the CDR with charging data related to the delivered service.</w:t>
      </w:r>
    </w:p>
    <w:p>
      <w:pPr>
        <w:pStyle w:val="B1"/>
        <w:rPr>
          <w:lang w:val="en-US" w:eastAsia="en-US"/>
        </w:rPr>
      </w:pPr>
      <w:r>
        <w:rPr>
          <w:b/>
          <w:lang w:val="en-US" w:eastAsia="en-US"/>
        </w:rPr>
        <w:t>12)</w:t>
        <w:tab/>
        <w:tab/>
        <w:t>Charging Data Response [Termination]:</w:t>
      </w:r>
      <w:r>
        <w:rPr>
          <w:lang w:val="en-US" w:eastAsia="en-US"/>
        </w:rPr>
        <w:t xml:space="preserve"> The CHF informs the NF (CTF) on the result of the request.</w:t>
      </w:r>
    </w:p>
    <w:p>
      <w:pPr>
        <w:pStyle w:val="B1"/>
        <w:rPr>
          <w:lang w:val="en-US" w:eastAsia="en-US"/>
        </w:rPr>
      </w:pPr>
      <w:r>
        <w:rPr>
          <w:lang w:val="en-US" w:eastAsia="en-US"/>
        </w:rPr>
      </w:r>
    </w:p>
    <w:p>
      <w:pPr>
        <w:pStyle w:val="Normal"/>
        <w:keepNext w:val="true"/>
        <w:keepLines/>
        <w:numPr>
          <w:ilvl w:val="0"/>
          <w:numId w:val="0"/>
        </w:numPr>
        <w:spacing w:before="120" w:after="180"/>
        <w:ind w:left="1418" w:hanging="1418"/>
        <w:outlineLvl w:val="3"/>
        <w:rPr/>
      </w:pPr>
      <w:r>
        <w:rPr>
          <w:rFonts w:eastAsia="SimSun;宋体" w:cs="Arial" w:ascii="Arial" w:hAnsi="Arial"/>
          <w:sz w:val="24"/>
        </w:rPr>
        <w:t>5.3.2.4</w:t>
        <w:tab/>
        <w:t>Charging notification</w:t>
      </w:r>
    </w:p>
    <w:p>
      <w:pPr>
        <w:pStyle w:val="Normal"/>
        <w:rPr>
          <w:rFonts w:eastAsia="SimSun;宋体"/>
        </w:rPr>
      </w:pPr>
      <w:r>
        <w:rPr>
          <w:rFonts w:eastAsia="SimSun;宋体"/>
        </w:rPr>
        <w:t xml:space="preserve">The CHF can in </w:t>
      </w:r>
      <w:r>
        <w:rPr>
          <w:rFonts w:eastAsia="SimSun;宋体"/>
          <w:lang w:eastAsia="zh-CN"/>
        </w:rPr>
        <w:t>Co</w:t>
      </w:r>
      <w:r>
        <w:rPr>
          <w:rFonts w:eastAsia="SimSun;宋体"/>
          <w:lang w:eastAsia="zh-CN"/>
        </w:rPr>
        <w:t>n</w:t>
      </w:r>
      <w:r>
        <w:rPr>
          <w:rFonts w:eastAsia="SimSun;宋体"/>
          <w:lang w:eastAsia="zh-CN"/>
        </w:rPr>
        <w:t xml:space="preserve">verged </w:t>
      </w:r>
      <w:r>
        <w:rPr>
          <w:rFonts w:eastAsia="SimSun;宋体"/>
          <w:lang w:eastAsia="zh-CN"/>
        </w:rPr>
        <w:t>Session</w:t>
      </w:r>
      <w:r>
        <w:rPr>
          <w:rFonts w:eastAsia="SimSun;宋体"/>
          <w:lang w:eastAsia="zh-CN"/>
        </w:rPr>
        <w:t xml:space="preserve"> based Charging</w:t>
      </w:r>
      <w:r>
        <w:rPr>
          <w:rFonts w:eastAsia="SimSun;宋体"/>
          <w:lang w:eastAsia="zh-CN"/>
        </w:rPr>
        <w:t xml:space="preserve"> provide notifications to the NF (CTF), the NF (CTF) implicitly subscribes to these when it sends a Charging Data Request [Initial], i.e. there is no separate subscription request from the NF for notification</w:t>
      </w:r>
      <w:r>
        <w:rPr>
          <w:rFonts w:eastAsia="SimSun;宋体"/>
        </w:rPr>
        <w:t>.</w:t>
      </w:r>
    </w:p>
    <w:p>
      <w:pPr>
        <w:pStyle w:val="Normal"/>
        <w:keepNext w:val="true"/>
        <w:rPr/>
      </w:pPr>
      <w:r>
        <w:rPr>
          <w:rFonts w:eastAsia="SimSun;宋体"/>
        </w:rPr>
        <w:t>Figure 5.3.2.</w:t>
      </w:r>
      <w:r>
        <w:rPr>
          <w:rFonts w:eastAsia="SimSun;宋体"/>
          <w:lang w:eastAsia="zh-CN"/>
        </w:rPr>
        <w:t>4-1</w:t>
      </w:r>
      <w:r>
        <w:rPr>
          <w:rFonts w:eastAsia="SimSun;宋体"/>
        </w:rPr>
        <w:t xml:space="preserve"> shows a scenario for Session based charging with a notification from the CHF triggering a Charging Data Request [Update]. </w:t>
      </w:r>
    </w:p>
    <w:p>
      <w:pPr>
        <w:pStyle w:val="TH"/>
        <w:rPr>
          <w:rFonts w:eastAsia="SimSun;宋体"/>
        </w:rPr>
      </w:pPr>
      <w:r>
        <w:rPr/>
        <w:object w:dxaOrig="6286" w:dyaOrig="5317">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14.3pt;height:265.85pt" filled="f" o:ole="">
            <v:imagedata r:id="rId21" o:title=""/>
          </v:shape>
          <o:OLEObject Type="Embed" ProgID="" ShapeID="ole_rId20" DrawAspect="Content" ObjectID="_1607504716" r:id="rId20"/>
        </w:object>
      </w:r>
    </w:p>
    <w:p>
      <w:pPr>
        <w:pStyle w:val="TF"/>
        <w:rPr/>
      </w:pPr>
      <w:r>
        <w:rPr/>
        <w:t>Figure 5.3.2.x.1: Session based charging – Notification with Re-authorization</w:t>
      </w:r>
    </w:p>
    <w:p>
      <w:pPr>
        <w:pStyle w:val="B1"/>
        <w:rPr/>
      </w:pPr>
      <w:r>
        <w:rPr>
          <w:rFonts w:eastAsia="SimSun;宋体"/>
          <w:b/>
        </w:rPr>
        <w:t>1)</w:t>
        <w:tab/>
        <w:t>Session based charging ongoing:</w:t>
      </w:r>
      <w:r>
        <w:rPr>
          <w:rFonts w:eastAsia="SimSun;宋体"/>
        </w:rPr>
        <w:t xml:space="preserve"> there is a session based charging ongoing and there have at least been a Charging Data Request [Initial] sent from the NF (CTF) to the CHF, and the CHF have opened a CDR.</w:t>
      </w:r>
    </w:p>
    <w:p>
      <w:pPr>
        <w:pStyle w:val="B1"/>
        <w:rPr/>
      </w:pPr>
      <w:r>
        <w:rPr>
          <w:rFonts w:eastAsia="SimSun;宋体"/>
          <w:b/>
        </w:rPr>
        <w:t>2)</w:t>
        <w:tab/>
        <w:t xml:space="preserve">Event triggering notification: </w:t>
      </w:r>
      <w:r>
        <w:rPr>
          <w:rFonts w:eastAsia="SimSun;宋体"/>
        </w:rPr>
        <w:t>an event is detected in the CHF that requires a notification to be sent to the NF (CTF). In this scenario a request for triggering a Charging Data Request [Update, Quota Request] is sent, but also requests for Charging Data Request [Update] (without request for quota) is possible.</w:t>
      </w:r>
    </w:p>
    <w:p>
      <w:pPr>
        <w:pStyle w:val="B1"/>
        <w:rPr/>
      </w:pPr>
      <w:r>
        <w:rPr>
          <w:rFonts w:eastAsia="SimSun;宋体"/>
          <w:b/>
        </w:rPr>
        <w:t>3)</w:t>
        <w:tab/>
        <w:t>Charging Notify Request [Re-authorization]:</w:t>
      </w:r>
      <w:r>
        <w:rPr>
          <w:rFonts w:eastAsia="SimSun;宋体"/>
        </w:rPr>
        <w:t xml:space="preserve"> the CHF sends the request to the NF (CTF), for a triggering of a Charging Data Request [Update, Quota Request] i.e. Re-authorization. </w:t>
      </w:r>
    </w:p>
    <w:p>
      <w:pPr>
        <w:pStyle w:val="B1"/>
        <w:rPr/>
      </w:pPr>
      <w:r>
        <w:rPr>
          <w:rFonts w:eastAsia="SimSun;宋体"/>
          <w:b/>
        </w:rPr>
        <w:t>4)</w:t>
        <w:tab/>
        <w:t>Charging Notify Response:</w:t>
      </w:r>
      <w:r>
        <w:rPr>
          <w:rFonts w:eastAsia="SimSun;宋体"/>
        </w:rPr>
        <w:t xml:space="preserve"> the NF (CTF) acknowledges the request by sending a response. </w:t>
      </w:r>
    </w:p>
    <w:p>
      <w:pPr>
        <w:pStyle w:val="B1"/>
        <w:rPr/>
      </w:pPr>
      <w:r>
        <w:rPr>
          <w:rFonts w:eastAsia="SimSun;宋体"/>
          <w:b/>
        </w:rPr>
        <w:t>5)</w:t>
        <w:tab/>
        <w:t>Charging Data Request [Update, Quota Requested]:</w:t>
      </w:r>
      <w:r>
        <w:rPr>
          <w:rFonts w:eastAsia="SimSun;宋体"/>
        </w:rPr>
        <w:t xml:space="preserve"> the NF (CTF) sends the request to the CHF, to be granted with more unit for the service to continue, and also for reporting the used units. </w:t>
      </w:r>
    </w:p>
    <w:p>
      <w:pPr>
        <w:pStyle w:val="B1"/>
        <w:rPr/>
      </w:pPr>
      <w:r>
        <w:rPr>
          <w:rFonts w:eastAsia="SimSun;宋体"/>
          <w:b/>
        </w:rPr>
        <w:t>6)</w:t>
        <w:tab/>
        <w:t>Account, Rating, Reservation Control:</w:t>
      </w:r>
      <w:r>
        <w:rPr>
          <w:rFonts w:eastAsia="SimSun;宋体"/>
        </w:rPr>
        <w:t xml:space="preserve"> the CHF performs the process related to the reported usage and the requested reservation, involving rating entity and user's account balance.</w:t>
      </w:r>
    </w:p>
    <w:p>
      <w:pPr>
        <w:pStyle w:val="B1"/>
        <w:rPr/>
      </w:pPr>
      <w:r>
        <w:rPr>
          <w:rFonts w:eastAsia="SimSun;宋体"/>
          <w:b/>
        </w:rPr>
        <w:t>7)</w:t>
        <w:tab/>
        <w:t xml:space="preserve"> Update CDR:</w:t>
      </w:r>
      <w:r>
        <w:rPr>
          <w:rFonts w:eastAsia="SimSun;宋体"/>
        </w:rPr>
        <w:t xml:space="preserve"> based on policies, the CHF updates the CDR with charging data related to the service.</w:t>
      </w:r>
    </w:p>
    <w:p>
      <w:pPr>
        <w:pStyle w:val="B1"/>
        <w:rPr/>
      </w:pPr>
      <w:r>
        <w:rPr>
          <w:rFonts w:eastAsia="SimSun;宋体"/>
          <w:b/>
        </w:rPr>
        <w:t>8)</w:t>
        <w:tab/>
        <w:t>Charging Data Response [Update, Quota Granted]:</w:t>
      </w:r>
      <w:r>
        <w:rPr>
          <w:rFonts w:eastAsia="SimSun;宋体"/>
        </w:rPr>
        <w:t xml:space="preserve"> the CHF grants quota to NF (CTF) for the service to continue, with the reserved number of units.</w:t>
      </w:r>
    </w:p>
    <w:p>
      <w:pPr>
        <w:pStyle w:val="Normal"/>
        <w:keepNext w:val="true"/>
        <w:rPr/>
      </w:pPr>
      <w:r>
        <w:rPr>
          <w:rFonts w:eastAsia="SimSun;宋体"/>
        </w:rPr>
        <w:t>Figure 5.3.2.</w:t>
      </w:r>
      <w:r>
        <w:rPr>
          <w:rFonts w:eastAsia="SimSun;宋体"/>
          <w:lang w:eastAsia="zh-CN"/>
        </w:rPr>
        <w:t>4.2</w:t>
      </w:r>
      <w:r>
        <w:rPr>
          <w:rFonts w:eastAsia="SimSun;宋体"/>
        </w:rPr>
        <w:t xml:space="preserve"> shows a scenario for Session based charging with a notification from the CHF triggering a Charging Data Request [Termination]. </w:t>
      </w:r>
    </w:p>
    <w:p>
      <w:pPr>
        <w:pStyle w:val="TH"/>
        <w:rPr>
          <w:rFonts w:eastAsia="SimSun;宋体"/>
        </w:rPr>
      </w:pPr>
      <w:r>
        <w:rPr/>
        <w:object w:dxaOrig="6286" w:dyaOrig="5317">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314.3pt;height:265.85pt" filled="f" o:ole="">
            <v:imagedata r:id="rId23" o:title=""/>
          </v:shape>
          <o:OLEObject Type="Embed" ProgID="" ShapeID="ole_rId22" DrawAspect="Content" ObjectID="_2061186009" r:id="rId22"/>
        </w:object>
      </w:r>
    </w:p>
    <w:p>
      <w:pPr>
        <w:pStyle w:val="TF"/>
        <w:rPr/>
      </w:pPr>
      <w:r>
        <w:rPr/>
        <w:t>Figure 5.3.2.</w:t>
      </w:r>
      <w:r>
        <w:rPr>
          <w:lang w:val="en-GB"/>
        </w:rPr>
        <w:t>4</w:t>
      </w:r>
      <w:r>
        <w:rPr/>
        <w:t>.2: Session based charging – Notification with termination</w:t>
      </w:r>
    </w:p>
    <w:p>
      <w:pPr>
        <w:pStyle w:val="B1"/>
        <w:rPr/>
      </w:pPr>
      <w:r>
        <w:rPr>
          <w:rFonts w:eastAsia="SimSun;宋体"/>
          <w:b/>
        </w:rPr>
        <w:t>1)</w:t>
        <w:tab/>
        <w:t>Session based charging ongoing:</w:t>
      </w:r>
      <w:r>
        <w:rPr>
          <w:rFonts w:eastAsia="SimSun;宋体"/>
        </w:rPr>
        <w:t xml:space="preserve"> there is a session based charging ongoing and there have at least been a Charging Data Request [Initial] sent from the NF (CTF) to the CHF, and the CHF have opened a CDR.</w:t>
      </w:r>
    </w:p>
    <w:p>
      <w:pPr>
        <w:pStyle w:val="B1"/>
        <w:rPr/>
      </w:pPr>
      <w:r>
        <w:rPr>
          <w:rFonts w:eastAsia="SimSun;宋体"/>
          <w:b/>
        </w:rPr>
        <w:t>2)</w:t>
        <w:tab/>
        <w:t xml:space="preserve">Event triggering notification: </w:t>
      </w:r>
      <w:r>
        <w:rPr>
          <w:rFonts w:eastAsia="SimSun;宋体"/>
        </w:rPr>
        <w:t>an event is detected in the CHF that requires a notification to be sent to the NF (CTF). In this scenario a request for triggering a Charging Data Request [Termination] is sent.</w:t>
      </w:r>
    </w:p>
    <w:p>
      <w:pPr>
        <w:pStyle w:val="B1"/>
        <w:rPr/>
      </w:pPr>
      <w:r>
        <w:rPr>
          <w:rFonts w:eastAsia="SimSun;宋体"/>
          <w:b/>
        </w:rPr>
        <w:t>3)</w:t>
        <w:tab/>
        <w:t>Charging Notify Request [Terminate]:</w:t>
      </w:r>
      <w:r>
        <w:rPr>
          <w:rFonts w:eastAsia="SimSun;宋体"/>
        </w:rPr>
        <w:t xml:space="preserve"> the CHF sends the request to the NF (CTF), for a triggering of a Charging Data Request [Termination] i.e. the termination of the charging session. </w:t>
      </w:r>
    </w:p>
    <w:p>
      <w:pPr>
        <w:pStyle w:val="B1"/>
        <w:rPr/>
      </w:pPr>
      <w:r>
        <w:rPr>
          <w:rFonts w:eastAsia="SimSun;宋体"/>
          <w:b/>
        </w:rPr>
        <w:t>4)</w:t>
        <w:tab/>
        <w:t>Charging Notify Response:</w:t>
      </w:r>
      <w:r>
        <w:rPr>
          <w:rFonts w:eastAsia="SimSun;宋体"/>
        </w:rPr>
        <w:t xml:space="preserve"> the NF (CTF) acknowledges the request by sending a response. </w:t>
      </w:r>
    </w:p>
    <w:p>
      <w:pPr>
        <w:pStyle w:val="B1"/>
        <w:rPr/>
      </w:pPr>
      <w:r>
        <w:rPr>
          <w:rFonts w:eastAsia="SimSun;宋体"/>
          <w:b/>
        </w:rPr>
        <w:t>5)</w:t>
        <w:tab/>
        <w:t>Charging Data Request [Termination]:</w:t>
      </w:r>
      <w:r>
        <w:rPr>
          <w:rFonts w:eastAsia="SimSun;宋体"/>
        </w:rPr>
        <w:t xml:space="preserve"> the NF (CTF) </w:t>
      </w:r>
      <w:r>
        <w:rPr/>
        <w:t>sends the request to the CHF, for charging data related to the service termination with the final consumed units</w:t>
      </w:r>
      <w:r>
        <w:rPr>
          <w:rFonts w:eastAsia="SimSun;宋体"/>
        </w:rPr>
        <w:t>.</w:t>
      </w:r>
    </w:p>
    <w:p>
      <w:pPr>
        <w:pStyle w:val="B1"/>
        <w:rPr/>
      </w:pPr>
      <w:r>
        <w:rPr>
          <w:rFonts w:eastAsia="SimSun;宋体"/>
          <w:b/>
        </w:rPr>
        <w:t>6)</w:t>
        <w:tab/>
        <w:t>Account, Rating Control:</w:t>
      </w:r>
      <w:r>
        <w:rPr>
          <w:rFonts w:eastAsia="SimSun;宋体"/>
        </w:rPr>
        <w:t xml:space="preserve"> the CHF performs the process related to the reported usage, involving rating entity and user's account balance.</w:t>
      </w:r>
    </w:p>
    <w:p>
      <w:pPr>
        <w:pStyle w:val="B1"/>
        <w:rPr/>
      </w:pPr>
      <w:r>
        <w:rPr>
          <w:rFonts w:eastAsia="SimSun;宋体"/>
          <w:b/>
        </w:rPr>
        <w:t>7)</w:t>
        <w:tab/>
        <w:t>Close CDR:</w:t>
      </w:r>
      <w:r>
        <w:rPr>
          <w:rFonts w:eastAsia="SimSun;宋体"/>
        </w:rPr>
        <w:t xml:space="preserve"> based on policies, the CHF </w:t>
      </w:r>
      <w:r>
        <w:rPr>
          <w:rFonts w:eastAsia="SimSun;宋体"/>
          <w:b/>
        </w:rPr>
        <w:t xml:space="preserve">closes </w:t>
      </w:r>
      <w:r>
        <w:rPr>
          <w:rFonts w:eastAsia="SimSun;宋体"/>
        </w:rPr>
        <w:t>the CDR with charging data related to the service.</w:t>
      </w:r>
    </w:p>
    <w:p>
      <w:pPr>
        <w:pStyle w:val="B1"/>
        <w:rPr/>
      </w:pPr>
      <w:r>
        <w:rPr>
          <w:rFonts w:eastAsia="SimSun;宋体"/>
          <w:b/>
        </w:rPr>
        <w:t>8)</w:t>
        <w:tab/>
        <w:t>Charging Data Response [Termination]:</w:t>
      </w:r>
      <w:r>
        <w:rPr>
          <w:rFonts w:eastAsia="SimSun;宋体"/>
        </w:rPr>
        <w:t xml:space="preserve"> </w:t>
      </w:r>
      <w:r>
        <w:rPr/>
        <w:t>The CHF informs the NF (CTF) on the result of the request</w:t>
      </w:r>
      <w:r>
        <w:rPr>
          <w:rFonts w:eastAsia="SimSun;宋体"/>
        </w:rPr>
        <w:t>.</w:t>
      </w:r>
    </w:p>
    <w:p>
      <w:pPr>
        <w:pStyle w:val="Heading4"/>
        <w:ind w:left="1418" w:hanging="1418"/>
        <w:rPr/>
      </w:pPr>
      <w:bookmarkStart w:id="53" w:name="__RefHeading___Toc90566378"/>
      <w:bookmarkEnd w:id="53"/>
      <w:r>
        <w:rPr/>
        <w:t>5.3.2.</w:t>
      </w:r>
      <w:r>
        <w:rPr>
          <w:lang w:val="en-GB"/>
        </w:rPr>
        <w:t>5</w:t>
      </w:r>
      <w:r>
        <w:rPr/>
        <w:tab/>
        <w:t>Switch between quota managed and not quota managed</w:t>
      </w:r>
    </w:p>
    <w:p>
      <w:pPr>
        <w:pStyle w:val="Normal"/>
        <w:rPr/>
      </w:pPr>
      <w:r>
        <w:rPr>
          <w:lang w:eastAsia="zh-CN"/>
        </w:rPr>
        <w:t>When converged charging is used for a service delivery it is possible to in online charging to switch from quota management to quota management suspended, and in some cases back again.</w:t>
      </w:r>
    </w:p>
    <w:p>
      <w:pPr>
        <w:pStyle w:val="Normal"/>
        <w:keepNext w:val="true"/>
        <w:rPr/>
      </w:pPr>
      <w:r>
        <w:rPr/>
        <w:t xml:space="preserve">Figure 5.3.2.5.1 shows a scenario for Session based charging (SCUR) </w:t>
      </w:r>
      <w:r>
        <w:rPr>
          <w:rFonts w:eastAsia="SimSun;宋体"/>
        </w:rPr>
        <w:t>with a suspension of quota management and resume of quota management</w:t>
      </w:r>
      <w:r>
        <w:rPr/>
        <w:t>.</w:t>
      </w:r>
    </w:p>
    <w:p>
      <w:pPr>
        <w:pStyle w:val="TH"/>
        <w:rPr/>
      </w:pPr>
      <w:r>
        <w:rPr/>
        <w:object w:dxaOrig="6914" w:dyaOrig="12083">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334.55pt;height:550.5pt" filled="f" o:ole="">
            <v:imagedata r:id="rId25" o:title=""/>
          </v:shape>
          <o:OLEObject Type="Embed" ProgID="" ShapeID="ole_rId24" DrawAspect="Content" ObjectID="_1162659630" r:id="rId24"/>
        </w:object>
      </w:r>
    </w:p>
    <w:p>
      <w:pPr>
        <w:pStyle w:val="TF"/>
        <w:rPr/>
      </w:pPr>
      <w:r>
        <w:rPr/>
        <w:t>Figure 5.3.2.</w:t>
      </w:r>
      <w:r>
        <w:rPr>
          <w:lang w:val="en-GB"/>
        </w:rPr>
        <w:t>5</w:t>
      </w:r>
      <w:r>
        <w:rPr/>
        <w:t xml:space="preserve">.1: SCUR </w:t>
      </w:r>
      <w:r>
        <w:rPr>
          <w:rFonts w:eastAsia="DengXian;等线"/>
        </w:rPr>
        <w:t>- Session based charging</w:t>
      </w:r>
      <w:r>
        <w:rPr/>
        <w:t xml:space="preserve"> with suspend and resume of quota management.</w:t>
      </w:r>
    </w:p>
    <w:p>
      <w:pPr>
        <w:pStyle w:val="B1"/>
        <w:rPr/>
      </w:pPr>
      <w:r>
        <w:rPr>
          <w:b/>
        </w:rPr>
        <w:t>1)</w:t>
        <w:tab/>
        <w:t>Request for resource usage:</w:t>
      </w:r>
      <w:r>
        <w:rPr/>
        <w:t xml:space="preserve"> A request for session establishment is received in the NF (CTF). The service is configured to be authorized by the CHF to start.</w:t>
      </w:r>
    </w:p>
    <w:p>
      <w:pPr>
        <w:pStyle w:val="B1"/>
        <w:rPr/>
      </w:pPr>
      <w:r>
        <w:rPr>
          <w:b/>
        </w:rPr>
        <w:t>2)</w:t>
        <w:tab/>
        <w:t xml:space="preserve">Units Determination: </w:t>
      </w:r>
      <w:r>
        <w:rPr/>
        <w:t>the NF (CTF)) determines the number of units depending on the service requested by the UE in "Decentralized Units determination" scenario.</w:t>
      </w:r>
    </w:p>
    <w:p>
      <w:pPr>
        <w:pStyle w:val="B1"/>
        <w:rPr/>
      </w:pPr>
      <w:r>
        <w:rPr>
          <w:b/>
        </w:rPr>
        <w:t>3)</w:t>
        <w:tab/>
        <w:t>Charging Data Request [Initial, Quota Requested]:</w:t>
      </w:r>
      <w:r>
        <w:rPr/>
        <w:t xml:space="preserve"> The NF (CTF) sends the request to the CHF for the service to be granted authorization to start, and to reserve the number of units if determined in item 2.</w:t>
      </w:r>
    </w:p>
    <w:p>
      <w:pPr>
        <w:pStyle w:val="B1"/>
        <w:rPr/>
      </w:pPr>
      <w:r>
        <w:rPr>
          <w:b/>
        </w:rPr>
        <w:t>4)</w:t>
        <w:tab/>
        <w:t>Account, Rating, Reservation Control:</w:t>
      </w:r>
      <w:r>
        <w:rPr/>
        <w:t xml:space="preserve"> the CHF rates the requests and checks need for quota management. If not needed for the service at the moment a switch from online to offline type of charging is to be performed.</w:t>
      </w:r>
    </w:p>
    <w:p>
      <w:pPr>
        <w:pStyle w:val="B1"/>
        <w:rPr/>
      </w:pPr>
      <w:r>
        <w:rPr>
          <w:b/>
        </w:rPr>
        <w:t>5)</w:t>
        <w:tab/>
        <w:t xml:space="preserve"> Open CDR:</w:t>
      </w:r>
      <w:r>
        <w:rPr/>
        <w:t xml:space="preserve"> based on policies, the CHF opens a CDR related to the service.</w:t>
      </w:r>
    </w:p>
    <w:p>
      <w:pPr>
        <w:pStyle w:val="B1"/>
        <w:rPr/>
      </w:pPr>
      <w:r>
        <w:rPr>
          <w:b/>
        </w:rPr>
        <w:t>6)</w:t>
        <w:tab/>
        <w:t>Charging Data Response [Initial, Result Code]:</w:t>
      </w:r>
      <w:r>
        <w:rPr/>
        <w:t xml:space="preserve"> The CHF grants authorization to NF (CTF) for the service to start, with a result code indicating that quota management is suspended.</w:t>
      </w:r>
    </w:p>
    <w:p>
      <w:pPr>
        <w:pStyle w:val="B1"/>
        <w:rPr/>
      </w:pPr>
      <w:r>
        <w:rPr>
          <w:b/>
        </w:rPr>
        <w:t>7)</w:t>
        <w:tab/>
        <w:t>Content/Service Delivery:</w:t>
      </w:r>
      <w:r>
        <w:rPr/>
        <w:t xml:space="preserve"> the NF (CTF) delivers the content/service without quota management.</w:t>
      </w:r>
    </w:p>
    <w:p>
      <w:pPr>
        <w:pStyle w:val="B1"/>
        <w:rPr/>
      </w:pPr>
      <w:r>
        <w:rPr>
          <w:b/>
        </w:rPr>
        <w:t>8)</w:t>
        <w:tab/>
        <w:t>Usage Reporting Trigger:</w:t>
      </w:r>
      <w:r>
        <w:rPr/>
        <w:t xml:space="preserve"> the NF (CTF) generates charging data related to the service delivered that is not under quota management, based on a trigger for usage reporting is met.</w:t>
      </w:r>
    </w:p>
    <w:p>
      <w:pPr>
        <w:pStyle w:val="B1"/>
        <w:rPr/>
      </w:pPr>
      <w:r>
        <w:rPr>
          <w:b/>
        </w:rPr>
        <w:t>9)</w:t>
        <w:tab/>
        <w:t>Charging Data Request [Update, Unit Used, Quota Requested]:</w:t>
      </w:r>
      <w:r>
        <w:rPr/>
        <w:t xml:space="preserve"> the NF (CTF) sends the request to the CHF, for units to be granted making it possible to resume the quota management. It also reports the used units with an indication that these were used with quota management suspended. </w:t>
      </w:r>
    </w:p>
    <w:p>
      <w:pPr>
        <w:pStyle w:val="B1"/>
        <w:rPr/>
      </w:pPr>
      <w:r>
        <w:rPr>
          <w:b/>
        </w:rPr>
        <w:t>10)</w:t>
        <w:tab/>
      </w:r>
      <w:r>
        <w:rPr>
          <w:b/>
          <w:lang w:val="en-GB"/>
        </w:rPr>
        <w:tab/>
      </w:r>
      <w:r>
        <w:rPr>
          <w:b/>
        </w:rPr>
        <w:t>Account, Rating, Reservation Control:</w:t>
      </w:r>
      <w:r>
        <w:rPr/>
        <w:t xml:space="preserve"> The CHF performs the process related to the reported usage and checks if quota management should continue to be suspended or should be resumed. If needed for the service, CHF checks if corresponding funds can be reserved on the user's account balance.</w:t>
      </w:r>
    </w:p>
    <w:p>
      <w:pPr>
        <w:pStyle w:val="B1"/>
        <w:rPr/>
      </w:pPr>
      <w:r>
        <w:rPr>
          <w:b/>
        </w:rPr>
        <w:t>11)</w:t>
        <w:tab/>
        <w:tab/>
        <w:t>Update CDR:</w:t>
      </w:r>
      <w:r>
        <w:rPr/>
        <w:t xml:space="preserve"> based on policies, the CHF updates the CDR with charging data related to the service.</w:t>
      </w:r>
    </w:p>
    <w:p>
      <w:pPr>
        <w:pStyle w:val="B1"/>
        <w:rPr/>
      </w:pPr>
      <w:r>
        <w:rPr>
          <w:b/>
        </w:rPr>
        <w:t>12)</w:t>
        <w:tab/>
        <w:tab/>
        <w:t>Charging Data Response [Update, Quota Granted]:</w:t>
      </w:r>
      <w:r>
        <w:rPr/>
        <w:t xml:space="preserve"> The CHF grants quota to NF (CTF) for the service to continue and with this indicating that quota management is to be resumed, with the reserved number of units.</w:t>
      </w:r>
    </w:p>
    <w:p>
      <w:pPr>
        <w:pStyle w:val="B1"/>
        <w:rPr/>
      </w:pPr>
      <w:r>
        <w:rPr>
          <w:b/>
        </w:rPr>
        <w:t>13)</w:t>
        <w:tab/>
        <w:tab/>
        <w:t>Content/Service Delivery:</w:t>
      </w:r>
      <w:r>
        <w:rPr/>
        <w:t xml:space="preserve"> the NF (CTF) delivers the content/service based on the granted quota.</w:t>
      </w:r>
    </w:p>
    <w:p>
      <w:pPr>
        <w:pStyle w:val="B1"/>
        <w:rPr/>
      </w:pPr>
      <w:r>
        <w:rPr>
          <w:b/>
        </w:rPr>
        <w:t>14)</w:t>
        <w:tab/>
        <w:tab/>
        <w:t>Session released:</w:t>
      </w:r>
      <w:r>
        <w:rPr/>
        <w:t xml:space="preserve"> the session is released.</w:t>
      </w:r>
    </w:p>
    <w:p>
      <w:pPr>
        <w:pStyle w:val="B1"/>
        <w:rPr/>
      </w:pPr>
      <w:r>
        <w:rPr>
          <w:b/>
        </w:rPr>
        <w:t>15)</w:t>
        <w:tab/>
        <w:tab/>
        <w:t>Charging Data Request [Termination]:</w:t>
      </w:r>
      <w:r>
        <w:rPr/>
        <w:t xml:space="preserve"> the NF (CTF) sends the request to the CHF, for charging data related to the service termination with the final consumed units. </w:t>
      </w:r>
    </w:p>
    <w:p>
      <w:pPr>
        <w:pStyle w:val="B1"/>
        <w:rPr/>
      </w:pPr>
      <w:r>
        <w:rPr>
          <w:b/>
        </w:rPr>
        <w:t>16)</w:t>
        <w:tab/>
        <w:tab/>
        <w:t>Account, Rating Control:</w:t>
      </w:r>
      <w:r>
        <w:rPr/>
        <w:t xml:space="preserve"> The CHF performs the service termination process involving rating entity and user's account balance.</w:t>
      </w:r>
    </w:p>
    <w:p>
      <w:pPr>
        <w:pStyle w:val="B1"/>
        <w:rPr/>
      </w:pPr>
      <w:r>
        <w:rPr>
          <w:b/>
        </w:rPr>
        <w:t>17)</w:t>
        <w:tab/>
        <w:t>Close CDR:</w:t>
      </w:r>
      <w:r>
        <w:rPr/>
        <w:t xml:space="preserve"> based on policies, the CHF closes the CDR with charging data related to the service termination and the last reported units.</w:t>
      </w:r>
    </w:p>
    <w:p>
      <w:pPr>
        <w:pStyle w:val="B1"/>
        <w:rPr/>
      </w:pPr>
      <w:r>
        <w:rPr>
          <w:b/>
        </w:rPr>
        <w:t>18)</w:t>
        <w:tab/>
        <w:tab/>
        <w:t>Charging Data Response [Termination]:</w:t>
      </w:r>
      <w:r>
        <w:rPr/>
        <w:t xml:space="preserve"> The CHF informs the NF (CTF) on the result of the request.</w:t>
      </w:r>
    </w:p>
    <w:p>
      <w:pPr>
        <w:pStyle w:val="Heading2"/>
        <w:rPr>
          <w:lang w:eastAsia="zh-CN"/>
        </w:rPr>
      </w:pPr>
      <w:bookmarkStart w:id="54" w:name="__RefHeading___Toc90566379"/>
      <w:bookmarkEnd w:id="54"/>
      <w:r>
        <w:rPr>
          <w:lang w:eastAsia="zh-CN"/>
        </w:rPr>
        <w:t>5.</w:t>
      </w:r>
      <w:r>
        <w:rPr>
          <w:lang w:val="en-GB" w:eastAsia="zh-CN"/>
        </w:rPr>
        <w:t>4</w:t>
      </w:r>
      <w:r>
        <w:rPr>
          <w:lang w:eastAsia="zh-CN"/>
        </w:rPr>
        <w:tab/>
      </w:r>
      <w:r>
        <w:rPr>
          <w:lang w:eastAsia="zh-CN"/>
        </w:rPr>
        <w:t xml:space="preserve">Other </w:t>
      </w:r>
      <w:r>
        <w:rPr>
          <w:lang w:val="en-US" w:eastAsia="en-US"/>
        </w:rPr>
        <w:t>functionalities</w:t>
      </w:r>
    </w:p>
    <w:p>
      <w:pPr>
        <w:pStyle w:val="Heading3"/>
        <w:rPr/>
      </w:pPr>
      <w:bookmarkStart w:id="55" w:name="__RefHeading___Toc90566380"/>
      <w:bookmarkEnd w:id="55"/>
      <w:r>
        <w:rPr>
          <w:lang w:val="en-US" w:eastAsia="en-US"/>
        </w:rPr>
        <w:t>5.</w:t>
      </w:r>
      <w:r>
        <w:rPr>
          <w:lang w:val="en-GB" w:eastAsia="en-US"/>
        </w:rPr>
        <w:t>4</w:t>
      </w:r>
      <w:r>
        <w:rPr>
          <w:lang w:val="en-US" w:eastAsia="en-US"/>
        </w:rPr>
        <w:t>.1</w:t>
        <w:tab/>
        <w:t>Re-authorization</w:t>
      </w:r>
    </w:p>
    <w:p>
      <w:pPr>
        <w:pStyle w:val="Normal"/>
        <w:rPr>
          <w:color w:val="000000"/>
          <w:lang w:val="en-US" w:eastAsia="en-US"/>
        </w:rPr>
      </w:pPr>
      <w:r>
        <w:rPr>
          <w:lang w:val="en-US" w:eastAsia="en-US"/>
        </w:rPr>
        <w:t>The CHF (NF Service Producer) may trigger a re-authorization request and the NF Service Consumer shall report quota usage.</w:t>
      </w:r>
      <w:r>
        <w:rPr>
          <w:color w:val="000000"/>
          <w:lang w:val="en-US" w:eastAsia="en-US"/>
        </w:rPr>
        <w:t xml:space="preserve"> The reason for the quota being reported shall be notified to the CHF (</w:t>
      </w:r>
      <w:r>
        <w:rPr>
          <w:lang w:val="en-US" w:eastAsia="en-US"/>
        </w:rPr>
        <w:t>NF Service Producer</w:t>
      </w:r>
      <w:r>
        <w:rPr>
          <w:color w:val="000000"/>
          <w:lang w:val="en-US" w:eastAsia="en-US"/>
        </w:rPr>
        <w:t>). This is described under charging notification procedure in clause 5.3.2.4.</w:t>
      </w:r>
    </w:p>
    <w:p>
      <w:pPr>
        <w:pStyle w:val="Normal"/>
        <w:rPr>
          <w:lang w:val="en-US" w:eastAsia="en-US"/>
        </w:rPr>
      </w:pPr>
      <w:r>
        <w:rPr>
          <w:lang w:val="en-US" w:eastAsia="en-US"/>
        </w:rPr>
        <w:t xml:space="preserve">The NF Service Consumer may receive a Charging Notify Request while waiting for a Charging Data Response from the CHF. In this case the NF Service Consumer shall not send a new Charging Data Request.  </w:t>
      </w:r>
    </w:p>
    <w:p>
      <w:pPr>
        <w:pStyle w:val="Normal"/>
        <w:rPr>
          <w:color w:val="000000"/>
          <w:lang w:val="en-US" w:eastAsia="en-US"/>
        </w:rPr>
      </w:pPr>
      <w:r>
        <w:rPr>
          <w:lang w:val="en-US" w:eastAsia="en-US"/>
        </w:rPr>
        <w:t xml:space="preserve">The NF Service Consumer may receive a Charging Notify Request while not waiting for any Charging Data Response from the CHF. In this case the NF Service Consumer shall send a new Charging Data Request.  </w:t>
      </w:r>
    </w:p>
    <w:p>
      <w:pPr>
        <w:pStyle w:val="Heading3"/>
        <w:rPr/>
      </w:pPr>
      <w:bookmarkStart w:id="56" w:name="__RefHeading___Toc90566381"/>
      <w:bookmarkEnd w:id="56"/>
      <w:r>
        <w:rPr>
          <w:lang w:val="en-US" w:eastAsia="en-US"/>
        </w:rPr>
        <w:t>5.</w:t>
      </w:r>
      <w:r>
        <w:rPr>
          <w:lang w:val="en-GB" w:eastAsia="en-US"/>
        </w:rPr>
        <w:t>4</w:t>
      </w:r>
      <w:r>
        <w:rPr>
          <w:lang w:val="en-US" w:eastAsia="en-US"/>
        </w:rPr>
        <w:t>.2</w:t>
        <w:tab/>
        <w:t>Threshold based re-authorization triggers</w:t>
      </w:r>
    </w:p>
    <w:p>
      <w:pPr>
        <w:pStyle w:val="Normal"/>
        <w:rPr>
          <w:lang w:val="en-US" w:eastAsia="en-US"/>
        </w:rPr>
      </w:pPr>
      <w:r>
        <w:rPr>
          <w:lang w:val="en-US" w:eastAsia="en-US"/>
        </w:rPr>
        <w:t>The CHF (NF Service Producer) may optionally include an indication to the NF Service Consumer of the remaining quota threshold that shall trigger a quota re-authorization.</w:t>
      </w:r>
    </w:p>
    <w:p>
      <w:pPr>
        <w:pStyle w:val="Normal"/>
        <w:rPr>
          <w:lang w:val="en-US" w:eastAsia="en-US"/>
        </w:rPr>
      </w:pPr>
      <w:r>
        <w:rPr>
          <w:lang w:val="en-US" w:eastAsia="en-US"/>
        </w:rPr>
        <w:t xml:space="preserve">If received </w:t>
      </w:r>
      <w:r>
        <w:rPr>
          <w:lang w:val="en-US" w:eastAsia="en-US"/>
        </w:rPr>
        <w:t>q</w:t>
      </w:r>
      <w:r>
        <w:rPr>
          <w:lang w:val="en-US" w:eastAsia="en-US"/>
        </w:rPr>
        <w:t xml:space="preserve">uota </w:t>
      </w:r>
      <w:r>
        <w:rPr>
          <w:lang w:val="en-US" w:eastAsia="en-US"/>
        </w:rPr>
        <w:t>t</w:t>
      </w:r>
      <w:r>
        <w:rPr>
          <w:lang w:val="en-US" w:eastAsia="en-US"/>
        </w:rPr>
        <w:t>hreshold based re-authorization triggers (i.e.</w:t>
      </w:r>
      <w:r>
        <w:rPr/>
        <w:t xml:space="preserve"> </w:t>
      </w:r>
      <w:r>
        <w:rPr>
          <w:lang w:val="en-US" w:eastAsia="en-US"/>
        </w:rPr>
        <w:t>timeQuotaThreshold,</w:t>
      </w:r>
      <w:r>
        <w:rPr/>
        <w:t xml:space="preserve"> v</w:t>
      </w:r>
      <w:r>
        <w:rPr>
          <w:lang w:val="en-US" w:eastAsia="en-US"/>
        </w:rPr>
        <w:t>olumeQuotaThreshold, unitQuotaThreshold), the NF Service Consumer shall seek re-authorization for the quota when the quota contents fall below the supplied threshold. The NF Service Consumer allows the service to continue whilst the re-authorization is progress, until the remaining part had been used up.</w:t>
      </w:r>
    </w:p>
    <w:p>
      <w:pPr>
        <w:pStyle w:val="Heading3"/>
        <w:rPr/>
      </w:pPr>
      <w:bookmarkStart w:id="57" w:name="__RefHeading___Toc90566382"/>
      <w:bookmarkEnd w:id="57"/>
      <w:r>
        <w:rPr>
          <w:lang w:val="en-US" w:eastAsia="en-US"/>
        </w:rPr>
        <w:t>5.</w:t>
      </w:r>
      <w:r>
        <w:rPr>
          <w:lang w:val="en-GB" w:eastAsia="en-US"/>
        </w:rPr>
        <w:t>4</w:t>
      </w:r>
      <w:r>
        <w:rPr>
          <w:lang w:val="en-US" w:eastAsia="en-US"/>
        </w:rPr>
        <w:t>.3</w:t>
        <w:tab/>
        <w:t>Termination action</w:t>
      </w:r>
    </w:p>
    <w:p>
      <w:pPr>
        <w:pStyle w:val="Normal"/>
        <w:rPr/>
      </w:pPr>
      <w:r>
        <w:rPr>
          <w:lang w:val="en-US" w:eastAsia="en-US"/>
        </w:rPr>
        <w:t>The CHF (NF Service Producer) may specify to the NF Service Consumer the behaviour on consumption of the final granted units, or zero units granted in the first place; this is known as termination action.</w:t>
      </w:r>
    </w:p>
    <w:p>
      <w:pPr>
        <w:pStyle w:val="Heading3"/>
        <w:rPr/>
      </w:pPr>
      <w:bookmarkStart w:id="58" w:name="__RefHeading___Toc90566383"/>
      <w:bookmarkEnd w:id="58"/>
      <w:r>
        <w:rPr>
          <w:lang w:val="en-US" w:eastAsia="en-US"/>
        </w:rPr>
        <w:t>5.</w:t>
      </w:r>
      <w:r>
        <w:rPr>
          <w:lang w:val="en-GB" w:eastAsia="en-US"/>
        </w:rPr>
        <w:t>4</w:t>
      </w:r>
      <w:r>
        <w:rPr>
          <w:lang w:val="en-US" w:eastAsia="en-US"/>
        </w:rPr>
        <w:t>.</w:t>
      </w:r>
      <w:r>
        <w:rPr>
          <w:lang w:val="en-US" w:eastAsia="en-US"/>
        </w:rPr>
        <w:t>4</w:t>
      </w:r>
      <w:r>
        <w:rPr>
          <w:lang w:val="en-US" w:eastAsia="en-US"/>
        </w:rPr>
        <w:tab/>
        <w:t>Service termination</w:t>
      </w:r>
    </w:p>
    <w:p>
      <w:pPr>
        <w:pStyle w:val="Normal"/>
        <w:rPr>
          <w:lang w:val="en-US" w:eastAsia="en-US"/>
        </w:rPr>
      </w:pPr>
      <w:r>
        <w:rPr>
          <w:lang w:val="en-US" w:eastAsia="en-US"/>
        </w:rPr>
        <w:t xml:space="preserve">The CHF (NF Service Producer) may determine that a service requires termination. The NF Service Producer may perform this termination synchronously if it has a request pending processing by returning response. </w:t>
      </w:r>
    </w:p>
    <w:p>
      <w:pPr>
        <w:pStyle w:val="Normal"/>
        <w:rPr>
          <w:lang w:val="en-US" w:eastAsia="en-US"/>
        </w:rPr>
      </w:pPr>
      <w:r>
        <w:rPr>
          <w:lang w:val="en-US" w:eastAsia="en-US"/>
        </w:rPr>
        <w:t xml:space="preserve">If the CHF (NF Service Producer) does not have a pending request (asynchronous), the NF Service Producer may trigger an abort notification to terminate the charging session. On reception of an abort notification, the NF consumer shall terminate the associated charging session by sending a </w:t>
      </w:r>
      <w:r>
        <w:rPr/>
        <w:t>Nchf_ConvergedCharging_</w:t>
      </w:r>
      <w:r>
        <w:rPr>
          <w:lang w:eastAsia="zh-CN"/>
        </w:rPr>
        <w:t>Release</w:t>
      </w:r>
      <w:r>
        <w:rPr>
          <w:lang w:val="en-US" w:eastAsia="en-US"/>
        </w:rPr>
        <w:t xml:space="preserve">. If the associated charging session is not currently active or NF consumer does not terminate the charging session for any other reason, the corresponding error response is returned. </w:t>
      </w:r>
    </w:p>
    <w:p>
      <w:pPr>
        <w:pStyle w:val="Normal"/>
        <w:rPr>
          <w:lang w:val="en-US" w:eastAsia="en-US"/>
        </w:rPr>
      </w:pPr>
      <w:r>
        <w:rPr>
          <w:lang w:val="en-US" w:eastAsia="en-US"/>
        </w:rPr>
        <w:t>The CTF (NF Service Consumer) may determine service termination.</w:t>
      </w:r>
      <w:r>
        <w:rPr/>
        <w:t xml:space="preserve"> For session based charging the termination request shall include the used units if any. For event based charging there may be no used unit reported.</w:t>
      </w:r>
    </w:p>
    <w:p>
      <w:pPr>
        <w:pStyle w:val="Heading3"/>
        <w:rPr/>
      </w:pPr>
      <w:bookmarkStart w:id="59" w:name="__RefHeading___Toc90566384"/>
      <w:bookmarkEnd w:id="59"/>
      <w:r>
        <w:rPr>
          <w:lang w:val="en-US" w:eastAsia="en-US"/>
        </w:rPr>
        <w:t>5.</w:t>
      </w:r>
      <w:r>
        <w:rPr>
          <w:lang w:val="en-GB" w:eastAsia="en-US"/>
        </w:rPr>
        <w:t>4</w:t>
      </w:r>
      <w:r>
        <w:rPr>
          <w:lang w:val="en-US" w:eastAsia="en-US"/>
        </w:rPr>
        <w:t>.5</w:t>
        <w:tab/>
      </w:r>
      <w:r>
        <w:rPr>
          <w:lang w:val="en-US" w:eastAsia="en-US"/>
        </w:rPr>
        <w:t>T</w:t>
      </w:r>
      <w:r>
        <w:rPr>
          <w:lang w:val="en-US" w:eastAsia="en-US"/>
        </w:rPr>
        <w:t xml:space="preserve">rigger </w:t>
      </w:r>
      <w:r>
        <w:rPr>
          <w:lang w:val="en-US" w:eastAsia="en-US"/>
        </w:rPr>
        <w:t>M</w:t>
      </w:r>
      <w:r>
        <w:rPr>
          <w:lang w:val="en-US" w:eastAsia="en-US"/>
        </w:rPr>
        <w:t>echanism</w:t>
      </w:r>
    </w:p>
    <w:p>
      <w:pPr>
        <w:pStyle w:val="Normal"/>
        <w:rPr>
          <w:lang w:val="en-US" w:eastAsia="en-US"/>
        </w:rPr>
      </w:pPr>
      <w:r>
        <w:rPr>
          <w:lang w:val="en-US" w:eastAsia="en-US"/>
        </w:rPr>
        <w:t xml:space="preserve">There are a number of mid-session service events, defined as triggers, which could affect the rating of the current service usage, e.g. QoS changes or end user location updates. The details for this </w:t>
      </w:r>
      <w:r>
        <w:rPr/>
        <w:t xml:space="preserve">these triggers </w:t>
      </w:r>
      <w:r>
        <w:rPr>
          <w:lang w:val="en-US" w:eastAsia="en-US"/>
        </w:rPr>
        <w:t>are defined in the service specific document (middle tier TS).</w:t>
      </w:r>
      <w:r>
        <w:rPr/>
        <w:t xml:space="preserve"> </w:t>
      </w:r>
      <w:r>
        <w:rPr>
          <w:lang w:val="en-US" w:eastAsia="en-US"/>
        </w:rPr>
        <w:t>The relationship between service session and charging session is 1:1.</w:t>
      </w:r>
    </w:p>
    <w:p>
      <w:pPr>
        <w:pStyle w:val="Normal"/>
        <w:rPr/>
      </w:pPr>
      <w:r>
        <w:rPr/>
        <w:t>There are two levels of triggers: service session and rating group. The service session level triggers are applicable for all rating groups within a charging session, whereas a rating group level trigger is only applicable to that rating group. Any limit or threshold set on the service session level is the total limit for the service session including all the rating groups. The behaviour at trigger detection is specified by the middle tier TS.</w:t>
      </w:r>
    </w:p>
    <w:p>
      <w:pPr>
        <w:pStyle w:val="Normal"/>
        <w:rPr>
          <w:lang w:val="en-US" w:eastAsia="en-US"/>
        </w:rPr>
      </w:pPr>
      <w:r>
        <w:rPr/>
        <w:t>Triggers enabled or disabled by default by the NF consumer, may be enabled or disabled by CHF in response to the NF consumer.</w:t>
      </w:r>
    </w:p>
    <w:p>
      <w:pPr>
        <w:pStyle w:val="Normal"/>
        <w:rPr/>
      </w:pPr>
      <w:r>
        <w:rPr/>
        <w:t xml:space="preserve">The CHF may enable one or more triggers at the </w:t>
      </w:r>
      <w:r>
        <w:rPr>
          <w:lang w:val="en-US" w:eastAsia="en-US"/>
        </w:rPr>
        <w:t>NF consumer</w:t>
      </w:r>
      <w:r>
        <w:rPr/>
        <w:t>, by including them in the Triggers element. Each Triggers element can only contain one trigger of each type. The</w:t>
      </w:r>
      <w:r>
        <w:rPr>
          <w:lang w:val="en-US" w:eastAsia="en-US"/>
        </w:rPr>
        <w:t xml:space="preserve"> omitted triggers in </w:t>
      </w:r>
      <w:r>
        <w:rPr/>
        <w:t>the Triggers element</w:t>
      </w:r>
      <w:r>
        <w:rPr>
          <w:lang w:val="en-US" w:eastAsia="en-US"/>
        </w:rPr>
        <w:t xml:space="preserve"> shall be interpreted by the NF consumer as disabled.</w:t>
      </w:r>
      <w:r>
        <w:rPr/>
        <w:t xml:space="preserve"> The enabled and disabled triggers setting at the NF</w:t>
      </w:r>
      <w:r>
        <w:rPr>
          <w:lang w:val="en-US" w:eastAsia="en-US"/>
        </w:rPr>
        <w:t xml:space="preserve"> consumer </w:t>
      </w:r>
      <w:r>
        <w:rPr/>
        <w:t xml:space="preserve">shall remain in effect until another Triggers element is received from the CHF for the service session or rating group. When the </w:t>
      </w:r>
      <w:r>
        <w:rPr>
          <w:lang w:val="en-US" w:eastAsia="en-US"/>
        </w:rPr>
        <w:t>NF consumer</w:t>
      </w:r>
      <w:r>
        <w:rPr/>
        <w:t xml:space="preserve"> receives a Triggers element it shall enable all triggers present in the Triggers element and disable all other triggers at the same level. The presence of the Triggers element without any trigger type in a </w:t>
      </w:r>
      <w:r>
        <w:rPr>
          <w:lang w:val="en-US" w:eastAsia="en-US"/>
        </w:rPr>
        <w:t>response message</w:t>
      </w:r>
      <w:r>
        <w:rPr/>
        <w:t xml:space="preserve"> allows CHF to disable all the triggers at the NF Consumer for service session or rating group.</w:t>
      </w:r>
    </w:p>
    <w:p>
      <w:pPr>
        <w:pStyle w:val="NO"/>
        <w:rPr>
          <w:lang w:val="en-US" w:eastAsia="en-US"/>
        </w:rPr>
      </w:pPr>
      <w:r>
        <w:rPr/>
        <w:t>NOTE:</w:t>
        <w:tab/>
        <w:t xml:space="preserve">This removes the need for the CHF to send trigger information in every response message when they have not changed. </w:t>
      </w:r>
    </w:p>
    <w:p>
      <w:pPr>
        <w:pStyle w:val="Normal"/>
        <w:rPr/>
      </w:pPr>
      <w:r>
        <w:rPr/>
        <w:t xml:space="preserve">Two categories of </w:t>
      </w:r>
      <w:r>
        <w:rPr>
          <w:lang w:bidi="ar-IQ"/>
        </w:rPr>
        <w:t xml:space="preserve">chargeable events are identified: </w:t>
      </w:r>
    </w:p>
    <w:p>
      <w:pPr>
        <w:pStyle w:val="B1"/>
        <w:rPr/>
      </w:pPr>
      <w:r>
        <w:rPr>
          <w:lang w:bidi="ar-IQ"/>
        </w:rPr>
        <w:t>-</w:t>
        <w:tab/>
        <w:t xml:space="preserve">immediate report: chargeable events for which, when occurring, the current counts are closed and sent together with the charging data generated by the </w:t>
      </w:r>
      <w:r>
        <w:rPr>
          <w:lang w:val="en-US" w:eastAsia="en-US"/>
        </w:rPr>
        <w:t>NF consumer</w:t>
      </w:r>
      <w:r>
        <w:rPr>
          <w:lang w:bidi="ar-IQ"/>
        </w:rPr>
        <w:t xml:space="preserve"> towards the CHF</w:t>
      </w:r>
      <w:r>
        <w:rPr>
          <w:lang w:val="en-US" w:bidi="ar-IQ"/>
        </w:rPr>
        <w:t xml:space="preserve"> </w:t>
      </w:r>
      <w:r>
        <w:rPr>
          <w:lang w:bidi="ar-IQ"/>
        </w:rPr>
        <w:t xml:space="preserve">in a Request message. </w:t>
      </w:r>
      <w:r>
        <w:rPr>
          <w:lang w:val="en-US" w:eastAsia="en-US"/>
        </w:rPr>
        <w:t xml:space="preserve">Counts indicating zero usage may be reported. </w:t>
      </w:r>
      <w:r>
        <w:rPr>
          <w:lang w:bidi="ar-IQ"/>
        </w:rPr>
        <w:t xml:space="preserve">New counts are started by the </w:t>
      </w:r>
      <w:r>
        <w:rPr>
          <w:lang w:val="en-US" w:eastAsia="en-US"/>
        </w:rPr>
        <w:t>NF consumer</w:t>
      </w:r>
      <w:r>
        <w:rPr>
          <w:lang w:bidi="ar-IQ"/>
        </w:rPr>
        <w:t xml:space="preserve">.  </w:t>
      </w:r>
    </w:p>
    <w:p>
      <w:pPr>
        <w:pStyle w:val="B1"/>
        <w:rPr>
          <w:lang w:val="en-US" w:eastAsia="en-US"/>
        </w:rPr>
      </w:pPr>
      <w:r>
        <w:rPr>
          <w:lang w:bidi="ar-IQ"/>
        </w:rPr>
        <w:t>-</w:t>
        <w:tab/>
        <w:t xml:space="preserve">deferred report: chargeable events for which, when occurring, the current counts are closed and stored together with the charging data generated by the </w:t>
      </w:r>
      <w:r>
        <w:rPr>
          <w:lang w:val="en-US" w:eastAsia="en-US"/>
        </w:rPr>
        <w:t>NF consumer</w:t>
      </w:r>
      <w:r>
        <w:rPr>
          <w:lang w:val="en-US" w:bidi="ar-IQ"/>
        </w:rPr>
        <w:t>.</w:t>
      </w:r>
      <w:r>
        <w:rPr>
          <w:lang w:bidi="ar-IQ"/>
        </w:rPr>
        <w:t xml:space="preserve"> </w:t>
      </w:r>
      <w:r>
        <w:rPr>
          <w:lang w:val="en-US" w:eastAsia="en-US"/>
        </w:rPr>
        <w:t xml:space="preserve">Counts indicating zero usage may be included. </w:t>
      </w:r>
      <w:r>
        <w:rPr>
          <w:lang w:bidi="ar-IQ"/>
        </w:rPr>
        <w:t xml:space="preserve">The stored counts will be sent to the CHF in next </w:t>
      </w:r>
      <w:r>
        <w:rPr/>
        <w:t xml:space="preserve">a </w:t>
      </w:r>
      <w:r>
        <w:rPr>
          <w:lang w:bidi="ar-IQ"/>
        </w:rPr>
        <w:t>Request message.</w:t>
      </w:r>
      <w:r>
        <w:rPr/>
        <w:t xml:space="preserve"> </w:t>
      </w:r>
      <w:r>
        <w:rPr>
          <w:lang w:bidi="ar-IQ"/>
        </w:rPr>
        <w:t>New counts are started by the NF consumer.</w:t>
      </w:r>
    </w:p>
    <w:p>
      <w:pPr>
        <w:pStyle w:val="Normal"/>
        <w:rPr>
          <w:lang w:val="en-US" w:eastAsia="en-US"/>
        </w:rPr>
      </w:pPr>
      <w:r>
        <w:rPr>
          <w:lang w:val="en-US" w:eastAsia="en-US"/>
        </w:rPr>
        <w:t xml:space="preserve">CHF may change the </w:t>
      </w:r>
      <w:r>
        <w:rPr>
          <w:lang w:eastAsia="zh-CN" w:bidi="ar-IQ"/>
        </w:rPr>
        <w:t>category</w:t>
      </w:r>
      <w:r>
        <w:rPr>
          <w:lang w:val="en-US" w:eastAsia="en-US"/>
        </w:rPr>
        <w:t xml:space="preserve"> of one or more triggers by using the </w:t>
      </w:r>
      <w:r>
        <w:rPr/>
        <w:t>Triggers element</w:t>
      </w:r>
      <w:r>
        <w:rPr>
          <w:lang w:val="en-US" w:eastAsia="en-US"/>
        </w:rPr>
        <w:t xml:space="preserve"> containing </w:t>
      </w:r>
      <w:r>
        <w:rPr>
          <w:lang w:eastAsia="zh-CN" w:bidi="ar-IQ"/>
        </w:rPr>
        <w:t>category</w:t>
      </w:r>
      <w:r>
        <w:rPr>
          <w:lang w:val="en-US" w:eastAsia="en-US"/>
        </w:rPr>
        <w:t xml:space="preserve"> information in the response message.</w:t>
      </w:r>
    </w:p>
    <w:p>
      <w:pPr>
        <w:pStyle w:val="Normal"/>
        <w:rPr>
          <w:lang w:val="en-US" w:eastAsia="en-US"/>
        </w:rPr>
      </w:pPr>
      <w:r>
        <w:rPr>
          <w:lang w:val="en-US" w:eastAsia="zh-CN"/>
        </w:rPr>
        <w:t>For the rating group: the rating group level triggers and category take precedence over the service session level triggers and category.</w:t>
      </w:r>
    </w:p>
    <w:p>
      <w:pPr>
        <w:pStyle w:val="Heading3"/>
        <w:rPr>
          <w:lang w:val="en-US" w:eastAsia="en-US"/>
        </w:rPr>
      </w:pPr>
      <w:bookmarkStart w:id="60" w:name="__RefHeading___Toc90566385"/>
      <w:bookmarkEnd w:id="60"/>
      <w:r>
        <w:rPr>
          <w:lang w:val="en-US" w:eastAsia="en-US"/>
        </w:rPr>
        <w:t>5.4.</w:t>
      </w:r>
      <w:r>
        <w:rPr>
          <w:lang w:val="en-US" w:eastAsia="en-US"/>
        </w:rPr>
        <w:t>6</w:t>
      </w:r>
      <w:r>
        <w:rPr>
          <w:lang w:val="en-US" w:eastAsia="en-US"/>
        </w:rPr>
        <w:tab/>
      </w:r>
      <w:r>
        <w:rPr>
          <w:lang w:val="en-US" w:eastAsia="en-US"/>
        </w:rPr>
        <w:t>CHF-controlled quota management</w:t>
      </w:r>
    </w:p>
    <w:p>
      <w:pPr>
        <w:pStyle w:val="Normal"/>
        <w:rPr>
          <w:lang w:val="en-US"/>
        </w:rPr>
      </w:pPr>
      <w:r>
        <w:rPr>
          <w:lang w:val="en-US"/>
        </w:rPr>
        <w:t>CHF can instruct NF consumer (CTF) to suspend quota management for a given Rating Group and then subsequently the CHF can instruct the NF consumer (CTF) to resume quota management for the given Rating Group with suspended quota management within the charging session.</w:t>
      </w:r>
    </w:p>
    <w:p>
      <w:pPr>
        <w:pStyle w:val="Normal"/>
        <w:rPr>
          <w:lang w:val="en-US"/>
        </w:rPr>
      </w:pPr>
      <w:r>
        <w:rPr>
          <w:lang w:val="en-US"/>
        </w:rPr>
        <w:t>Upon receiving Charging Data Request [Initial/Update] with usage reporting for a set of rating groups, the CHF may suspend quota management for particular rating groups, by including in Charging Data Response messages for these particular rating groups:</w:t>
      </w:r>
    </w:p>
    <w:p>
      <w:pPr>
        <w:pStyle w:val="B1"/>
        <w:rPr>
          <w:lang w:val="en-US"/>
        </w:rPr>
      </w:pPr>
      <w:r>
        <w:rPr>
          <w:lang w:val="en-US"/>
        </w:rPr>
        <w:t>- explicit setting of without quota management or</w:t>
      </w:r>
    </w:p>
    <w:p>
      <w:pPr>
        <w:pStyle w:val="B1"/>
        <w:rPr>
          <w:lang w:val="en-US"/>
        </w:rPr>
      </w:pPr>
      <w:r>
        <w:rPr>
          <w:lang w:val="en-US"/>
        </w:rPr>
        <w:t xml:space="preserve">- granted quotas with appropriate content to ensure the service to continue without further quota management related updates. </w:t>
      </w:r>
    </w:p>
    <w:p>
      <w:pPr>
        <w:pStyle w:val="Normal"/>
        <w:rPr/>
      </w:pPr>
      <w:r>
        <w:rPr/>
        <w:t>CHF may instruct NF consumer (CTF) to resume quota management for a given rating group for which quota management was previously suspended:</w:t>
      </w:r>
    </w:p>
    <w:p>
      <w:pPr>
        <w:pStyle w:val="B1"/>
        <w:rPr/>
      </w:pPr>
      <w:r>
        <w:rPr/>
        <w:t xml:space="preserve">- by using Re-authorization procedure or </w:t>
      </w:r>
    </w:p>
    <w:p>
      <w:pPr>
        <w:pStyle w:val="B1"/>
        <w:rPr/>
      </w:pPr>
      <w:r>
        <w:rPr/>
        <w:t>- by granting quotas in the response to any Charging Data Request [Update] generated in situation quota management triggers are not used, by other existing active triggers of the NF consumer (CTF).</w:t>
      </w:r>
    </w:p>
    <w:p>
      <w:pPr>
        <w:pStyle w:val="Normal"/>
        <w:rPr>
          <w:lang w:val="en-US" w:eastAsia="en-US"/>
        </w:rPr>
      </w:pPr>
      <w:r>
        <w:rPr>
          <w:lang w:val="en-US" w:eastAsia="en-US"/>
        </w:rPr>
      </w:r>
    </w:p>
    <w:p>
      <w:pPr>
        <w:pStyle w:val="Heading2"/>
        <w:rPr/>
      </w:pPr>
      <w:bookmarkStart w:id="61" w:name="__RefHeading___Toc90566386"/>
      <w:bookmarkEnd w:id="61"/>
      <w:r>
        <w:rPr>
          <w:lang w:val="en-US" w:eastAsia="en-US"/>
        </w:rPr>
        <w:t>5</w:t>
      </w:r>
      <w:r>
        <w:rPr>
          <w:lang w:val="en-US" w:eastAsia="en-US"/>
        </w:rPr>
        <w:t>.</w:t>
      </w:r>
      <w:r>
        <w:rPr>
          <w:lang w:val="en-GB" w:eastAsia="en-US"/>
        </w:rPr>
        <w:t>5</w:t>
        <w:tab/>
      </w:r>
      <w:r>
        <w:rPr>
          <w:lang w:val="en-US" w:eastAsia="en-US"/>
        </w:rPr>
        <w:t>Error handling</w:t>
      </w:r>
    </w:p>
    <w:p>
      <w:pPr>
        <w:pStyle w:val="Heading3"/>
        <w:rPr/>
      </w:pPr>
      <w:bookmarkStart w:id="62" w:name="__RefHeading___Toc90566387"/>
      <w:r>
        <w:rPr/>
        <w:t>5.</w:t>
      </w:r>
      <w:r>
        <w:rPr>
          <w:lang w:val="en-GB" w:eastAsia="en-US"/>
        </w:rPr>
        <w:t>5</w:t>
      </w:r>
      <w:r>
        <w:rPr/>
        <w:t>.1</w:t>
      </w:r>
      <w:r>
        <w:rPr>
          <w:lang w:val="en-US" w:eastAsia="en-US"/>
        </w:rPr>
        <w:tab/>
      </w:r>
      <w:r>
        <w:rPr/>
        <w:t>Failure handling</w:t>
      </w:r>
      <w:bookmarkEnd w:id="62"/>
      <w:r>
        <w:rPr/>
        <w:t xml:space="preserve"> </w:t>
      </w:r>
    </w:p>
    <w:p>
      <w:pPr>
        <w:pStyle w:val="Heading4"/>
        <w:ind w:left="1418" w:hanging="1418"/>
        <w:rPr/>
      </w:pPr>
      <w:bookmarkStart w:id="63" w:name="__RefHeading___Toc90566388"/>
      <w:bookmarkEnd w:id="63"/>
      <w:r>
        <w:rPr>
          <w:lang w:val="en-US" w:eastAsia="en-US"/>
        </w:rPr>
        <w:t>5.</w:t>
      </w:r>
      <w:r>
        <w:rPr>
          <w:lang w:val="en-GB" w:eastAsia="en-US"/>
        </w:rPr>
        <w:t>5</w:t>
      </w:r>
      <w:r>
        <w:rPr>
          <w:lang w:val="en-US" w:eastAsia="en-US"/>
        </w:rPr>
        <w:t>.1.1</w:t>
      </w:r>
      <w:r>
        <w:rPr/>
        <w:tab/>
      </w:r>
      <w:r>
        <w:rPr>
          <w:lang w:val="en-US" w:eastAsia="en-US"/>
        </w:rPr>
        <w:t>CTF detected failure</w:t>
      </w:r>
    </w:p>
    <w:p>
      <w:pPr>
        <w:pStyle w:val="Normal"/>
        <w:rPr>
          <w:lang w:val="en-US" w:eastAsia="en-US"/>
        </w:rPr>
      </w:pPr>
      <w:r>
        <w:rPr>
          <w:lang w:val="en-US" w:eastAsia="en-US"/>
        </w:rPr>
        <w:t xml:space="preserve">The </w:t>
      </w:r>
      <w:r>
        <w:rPr>
          <w:rFonts w:cs="Arial"/>
          <w:szCs w:val="18"/>
        </w:rPr>
        <w:t>failure handling</w:t>
      </w:r>
      <w:r>
        <w:rPr>
          <w:lang w:val="en-US" w:eastAsia="en-US"/>
        </w:rPr>
        <w:t xml:space="preserve"> determines what to do if the sending of charging data request to the CHF without response in a period of time (request times out). </w:t>
      </w:r>
    </w:p>
    <w:p>
      <w:pPr>
        <w:pStyle w:val="Normal"/>
        <w:rPr>
          <w:lang w:val="en-US" w:eastAsia="en-US"/>
        </w:rPr>
      </w:pPr>
      <w:r>
        <w:rPr>
          <w:lang w:val="en-US" w:eastAsia="en-US"/>
        </w:rPr>
        <w:t>I</w:t>
      </w:r>
      <w:r>
        <w:rPr>
          <w:lang w:val="en-US" w:eastAsia="en-US"/>
        </w:rPr>
        <w:t>n the case of the NF consumer (CTF) request times out, CHF uses application level failure handling (Terminate, Continue, Retry_and_terminate).</w:t>
      </w:r>
      <w:r>
        <w:rPr/>
        <w:t xml:space="preserve"> </w:t>
      </w:r>
      <w:r>
        <w:rPr>
          <w:lang w:val="en-US" w:eastAsia="en-US"/>
        </w:rPr>
        <w:t>Failure handling may be received from the CHF or may be locally configured. The value received from the CHF in the charging data response will always override any already existing value.  Failover handling indication informs NF Consumer whether alternative CHF is supported.</w:t>
      </w:r>
    </w:p>
    <w:p>
      <w:pPr>
        <w:pStyle w:val="Normal"/>
        <w:rPr/>
      </w:pPr>
      <w:r>
        <w:rPr>
          <w:lang w:val="en-US" w:eastAsia="en-US"/>
        </w:rPr>
        <w:t xml:space="preserve">In case there is an application level error response from the CHF, NF consumer (CTF)  action will depend on the type of </w:t>
      </w:r>
      <w:r>
        <w:rPr/>
        <w:t>Application Error.</w:t>
      </w:r>
    </w:p>
    <w:p>
      <w:pPr>
        <w:pStyle w:val="Normal"/>
        <w:rPr>
          <w:lang w:val="en-US" w:eastAsia="en-US"/>
        </w:rPr>
      </w:pPr>
      <w:r>
        <w:rPr>
          <w:lang w:val="en-US" w:eastAsia="en-US"/>
        </w:rPr>
        <w:t>For protocol level errors, refer to applicable protocol failure handling mechanisms as described in 32.291 [58].</w:t>
      </w:r>
    </w:p>
    <w:p>
      <w:pPr>
        <w:pStyle w:val="Heading4"/>
        <w:ind w:left="1418" w:hanging="1418"/>
        <w:rPr/>
      </w:pPr>
      <w:bookmarkStart w:id="64" w:name="__RefHeading___Toc90566389"/>
      <w:bookmarkEnd w:id="64"/>
      <w:r>
        <w:rPr>
          <w:lang w:val="en-US" w:eastAsia="en-US"/>
        </w:rPr>
        <w:t>5.</w:t>
      </w:r>
      <w:r>
        <w:rPr>
          <w:lang w:val="en-GB" w:eastAsia="en-US"/>
        </w:rPr>
        <w:t>5</w:t>
      </w:r>
      <w:r>
        <w:rPr>
          <w:lang w:val="en-US" w:eastAsia="en-US"/>
        </w:rPr>
        <w:t>.1.2</w:t>
      </w:r>
      <w:r>
        <w:rPr/>
        <w:tab/>
      </w:r>
      <w:r>
        <w:rPr>
          <w:lang w:val="en-US" w:eastAsia="en-US"/>
        </w:rPr>
        <w:t>CHF detected failure</w:t>
      </w:r>
    </w:p>
    <w:p>
      <w:pPr>
        <w:pStyle w:val="Normal"/>
        <w:rPr/>
      </w:pPr>
      <w:r>
        <w:rPr>
          <w:color w:val="000000"/>
          <w:lang w:val="en-US" w:eastAsia="en-US"/>
        </w:rPr>
        <w:t xml:space="preserve">The CHF closes a </w:t>
      </w:r>
      <w:r>
        <w:rPr>
          <w:lang w:val="en-US" w:eastAsia="en-US"/>
        </w:rPr>
        <w:t>CDR</w:t>
      </w:r>
      <w:r>
        <w:rPr>
          <w:color w:val="000000"/>
          <w:lang w:val="en-US" w:eastAsia="en-US"/>
        </w:rPr>
        <w:t xml:space="preserve"> and </w:t>
      </w:r>
      <w:r>
        <w:rPr>
          <w:lang w:val="en-US" w:eastAsia="en-US"/>
        </w:rPr>
        <w:t>all the reserved resources are freed for the charging session</w:t>
      </w:r>
      <w:r>
        <w:rPr>
          <w:color w:val="000000"/>
          <w:lang w:val="en-US" w:eastAsia="en-US"/>
        </w:rPr>
        <w:t xml:space="preserve"> when it detects that expected </w:t>
      </w:r>
      <w:r>
        <w:rPr>
          <w:lang w:val="en-US" w:eastAsia="en-US"/>
        </w:rPr>
        <w:t>charging data request</w:t>
      </w:r>
      <w:r>
        <w:rPr>
          <w:color w:val="000000"/>
          <w:lang w:val="en-US" w:eastAsia="en-US"/>
        </w:rPr>
        <w:t xml:space="preserve"> for a particular session have not been received for a period of time. </w:t>
      </w:r>
      <w:r>
        <w:rPr>
          <w:color w:val="000000"/>
        </w:rPr>
        <w:t xml:space="preserve">The charging session may be kept or released based on </w:t>
      </w:r>
      <w:r>
        <w:rPr/>
        <w:t>local configuration.</w:t>
      </w:r>
    </w:p>
    <w:p>
      <w:pPr>
        <w:pStyle w:val="Normal"/>
        <w:rPr>
          <w:color w:val="000000"/>
        </w:rPr>
      </w:pPr>
      <w:r>
        <w:rPr>
          <w:color w:val="000000"/>
        </w:rPr>
        <w:t xml:space="preserve">A Charging Data Request [Initial] received by a CHF, which can be associated to </w:t>
      </w:r>
      <w:r>
        <w:rPr>
          <w:color w:val="000000"/>
          <w:lang w:eastAsia="zh-CN"/>
        </w:rPr>
        <w:t>an</w:t>
      </w:r>
      <w:r>
        <w:rPr>
          <w:color w:val="000000"/>
        </w:rPr>
        <w:t xml:space="preserve"> existing charging session (i.e. resource in CHF), shall be handled as a valid request and be answered with Charging Data Response [Initial] with the charging session id (i.e. resource id).</w:t>
      </w:r>
    </w:p>
    <w:p>
      <w:pPr>
        <w:pStyle w:val="Normal"/>
        <w:rPr>
          <w:color w:val="000000"/>
        </w:rPr>
      </w:pPr>
      <w:r>
        <w:rPr>
          <w:color w:val="000000"/>
        </w:rPr>
        <w:t>A Charging Data Request [</w:t>
      </w:r>
      <w:r>
        <w:rPr>
          <w:color w:val="000000"/>
          <w:lang w:eastAsia="zh-CN"/>
        </w:rPr>
        <w:t>Update</w:t>
      </w:r>
      <w:r>
        <w:rPr>
          <w:color w:val="000000"/>
        </w:rPr>
        <w:t xml:space="preserve">] received by a CHF, which cannot be associated to any existing charging session (i.e. resource in CHF), shall be handled as a valid request with </w:t>
      </w:r>
      <w:r>
        <w:rPr>
          <w:color w:val="000000"/>
          <w:lang w:eastAsia="zh-CN"/>
        </w:rPr>
        <w:t>the</w:t>
      </w:r>
      <w:r>
        <w:rPr>
          <w:color w:val="000000"/>
        </w:rPr>
        <w:t xml:space="preserve"> associated resource creation and quota usage handling.</w:t>
      </w:r>
    </w:p>
    <w:p>
      <w:pPr>
        <w:pStyle w:val="Normal"/>
        <w:rPr/>
      </w:pPr>
      <w:r>
        <w:rPr/>
        <w:t>A Charging Data Request [Termination] received by a CHF, which cannot be associated to any existing charging session (i.e. resource in CHF), shall be handled as a valid request with associated new resource creation, and optional corresponding CDR creation.</w:t>
      </w:r>
    </w:p>
    <w:p>
      <w:pPr>
        <w:pStyle w:val="Normal"/>
        <w:rPr/>
      </w:pPr>
      <w:r>
        <w:rPr/>
        <w:t xml:space="preserve">The </w:t>
      </w:r>
      <w:r>
        <w:rPr>
          <w:lang w:eastAsia="zh-CN"/>
        </w:rPr>
        <w:t xml:space="preserve">Invocation </w:t>
      </w:r>
      <w:r>
        <w:rPr/>
        <w:t>Sequence Number in Charging Data Request [Initial]</w:t>
      </w:r>
      <w:r>
        <w:rPr>
          <w:color w:val="000000"/>
          <w:lang w:eastAsia="zh-CN"/>
        </w:rPr>
        <w:t xml:space="preserve"> with value different from 0 or 1 is faulty and </w:t>
      </w:r>
      <w:r>
        <w:rPr>
          <w:color w:val="000000"/>
        </w:rPr>
        <w:t xml:space="preserve">shall </w:t>
      </w:r>
      <w:r>
        <w:rPr>
          <w:color w:val="000000"/>
          <w:lang w:eastAsia="zh-CN"/>
        </w:rPr>
        <w:t>be rejected by CHF.</w:t>
      </w:r>
    </w:p>
    <w:p>
      <w:pPr>
        <w:pStyle w:val="Heading3"/>
        <w:rPr>
          <w:lang w:val="en-US" w:eastAsia="en-US"/>
        </w:rPr>
      </w:pPr>
      <w:bookmarkStart w:id="65" w:name="__RefHeading___Toc90566390"/>
      <w:bookmarkEnd w:id="65"/>
      <w:r>
        <w:rPr>
          <w:lang w:val="en-US" w:eastAsia="en-US"/>
        </w:rPr>
        <w:t>5.</w:t>
      </w:r>
      <w:r>
        <w:rPr>
          <w:lang w:val="en-GB" w:eastAsia="en-US"/>
        </w:rPr>
        <w:t>5</w:t>
      </w:r>
      <w:r>
        <w:rPr>
          <w:lang w:val="en-US" w:eastAsia="en-US"/>
        </w:rPr>
        <w:t>.</w:t>
      </w:r>
      <w:r>
        <w:rPr/>
        <w:t>2</w:t>
      </w:r>
      <w:r>
        <w:rPr>
          <w:lang w:val="en-US" w:eastAsia="en-US"/>
        </w:rPr>
        <w:tab/>
        <w:t>Retr</w:t>
      </w:r>
      <w:r>
        <w:rPr>
          <w:lang w:val="en-US" w:eastAsia="en-US"/>
        </w:rPr>
        <w:t>y</w:t>
      </w:r>
      <w:r>
        <w:rPr>
          <w:lang w:val="en-US" w:eastAsia="en-US"/>
        </w:rPr>
        <w:t xml:space="preserve"> handling</w:t>
      </w:r>
    </w:p>
    <w:p>
      <w:pPr>
        <w:pStyle w:val="Normal"/>
        <w:rPr/>
      </w:pPr>
      <w:r>
        <w:rPr>
          <w:lang w:val="en-US" w:eastAsia="en-US"/>
        </w:rPr>
        <w:t xml:space="preserve">In case a </w:t>
      </w:r>
      <w:r>
        <w:rPr/>
        <w:t>NF</w:t>
      </w:r>
      <w:r>
        <w:rPr>
          <w:lang w:val="en-US" w:eastAsia="en-US"/>
        </w:rPr>
        <w:t xml:space="preserve"> consumer </w:t>
      </w:r>
      <w:r>
        <w:rPr/>
        <w:t>(CTF)</w:t>
      </w:r>
      <w:r>
        <w:rPr>
          <w:lang w:val="en-US" w:eastAsia="en-US"/>
        </w:rPr>
        <w:t xml:space="preserve"> does not receive a Charging Data R</w:t>
      </w:r>
      <w:r>
        <w:rPr>
          <w:lang w:val="en-US" w:eastAsia="en-US"/>
        </w:rPr>
        <w:t>esponse</w:t>
      </w:r>
      <w:r>
        <w:rPr>
          <w:lang w:val="en-US" w:eastAsia="en-US"/>
        </w:rPr>
        <w:t xml:space="preserve">, it may retransmit the Charging Data Request message. </w:t>
      </w:r>
      <w:r>
        <w:rPr/>
        <w:t>The number of retries and delay between retries shall be locally configured in the NF consumer (CTF).</w:t>
      </w:r>
    </w:p>
    <w:p>
      <w:pPr>
        <w:pStyle w:val="Normal"/>
        <w:rPr/>
      </w:pPr>
      <w:r>
        <w:rPr/>
        <w:t>If the retried charging data request [Initial] is received by the same CHF, the</w:t>
      </w:r>
      <w:r>
        <w:rPr>
          <w:lang w:eastAsia="zh-CN"/>
        </w:rPr>
        <w:t xml:space="preserve"> </w:t>
      </w:r>
      <w:r>
        <w:rPr>
          <w:color w:val="000000"/>
          <w:lang w:val="en-US" w:eastAsia="en-US"/>
        </w:rPr>
        <w:t>uniqueness checking</w:t>
      </w:r>
      <w:r>
        <w:rPr/>
        <w:t xml:space="preserve"> may be based on the </w:t>
      </w:r>
      <w:r>
        <w:rPr>
          <w:lang w:eastAsia="zh-CN"/>
        </w:rPr>
        <w:t>Charging</w:t>
      </w:r>
      <w:r>
        <w:rPr/>
        <w:t xml:space="preserve"> Identifier included in the charging data request. CHF shall respond to the retried charging data request [Initial] with the </w:t>
      </w:r>
      <w:r>
        <w:rPr>
          <w:lang w:val="en-US" w:eastAsia="en-US"/>
        </w:rPr>
        <w:t>original</w:t>
      </w:r>
      <w:r>
        <w:rPr/>
        <w:t xml:space="preserve"> charging session identifier.</w:t>
      </w:r>
    </w:p>
    <w:p>
      <w:pPr>
        <w:pStyle w:val="Normal"/>
        <w:rPr/>
      </w:pPr>
      <w:r>
        <w:rPr/>
        <w:t>If the retried request is charging data request [Update] or charging data request [Termination], the</w:t>
      </w:r>
      <w:r>
        <w:rPr>
          <w:lang w:eastAsia="zh-CN"/>
        </w:rPr>
        <w:t xml:space="preserve"> </w:t>
      </w:r>
      <w:r>
        <w:rPr>
          <w:color w:val="000000"/>
          <w:lang w:val="en-US" w:eastAsia="en-US"/>
        </w:rPr>
        <w:t>uniqueness checking</w:t>
      </w:r>
      <w:r>
        <w:rPr/>
        <w:t xml:space="preserve"> may based on the inspection of the Charging Session Identifier and Invocation Sequence Number pair. </w:t>
      </w:r>
    </w:p>
    <w:p>
      <w:pPr>
        <w:pStyle w:val="Normal"/>
        <w:rPr/>
      </w:pPr>
      <w:r>
        <w:rPr/>
        <w:t xml:space="preserve">If retried message shall have the same Invocation Sequence Number as the </w:t>
      </w:r>
      <w:r>
        <w:rPr>
          <w:lang w:val="en-US" w:eastAsia="en-US"/>
        </w:rPr>
        <w:t>original of</w:t>
      </w:r>
      <w:r>
        <w:rPr/>
        <w:t xml:space="preserve"> the retried message i.e. the Invocation Sequence Number shall not be incremented when the message is retried. The NF consumer (CTF) may send the retried message to an alternative CHF if the Session Failover indication is received from the CHF.</w:t>
      </w:r>
    </w:p>
    <w:p>
      <w:pPr>
        <w:pStyle w:val="Normal"/>
        <w:rPr>
          <w:lang w:val="en-US" w:eastAsia="en-US"/>
        </w:rPr>
      </w:pPr>
      <w:r>
        <w:rPr/>
        <w:t>In the case of a notification request time out the CHF may retry the message. The number of retries and delay between retries shall be locally configured in the CHF.</w:t>
      </w:r>
    </w:p>
    <w:p>
      <w:pPr>
        <w:pStyle w:val="Heading3"/>
        <w:rPr/>
      </w:pPr>
      <w:bookmarkStart w:id="66" w:name="__RefHeading___Toc90566391"/>
      <w:bookmarkEnd w:id="66"/>
      <w:r>
        <w:rPr/>
        <w:t>5.</w:t>
      </w:r>
      <w:r>
        <w:rPr>
          <w:lang w:eastAsia="zh-CN"/>
        </w:rPr>
        <w:t>5</w:t>
      </w:r>
      <w:r>
        <w:rPr/>
        <w:t>.</w:t>
      </w:r>
      <w:r>
        <w:rPr>
          <w:lang w:val="en-GB"/>
        </w:rPr>
        <w:t>3</w:t>
      </w:r>
      <w:r>
        <w:rPr/>
        <w:tab/>
        <w:t>Response code handling</w:t>
      </w:r>
    </w:p>
    <w:p>
      <w:pPr>
        <w:pStyle w:val="Normal"/>
        <w:rPr/>
      </w:pPr>
      <w:r>
        <w:rPr/>
        <w:t xml:space="preserve">The Charging Data Response includes a response code (i.e. Invocation Result Code in Invocation Result) which may indicate an error. The response codes supported by Nchf_ConvergedCharging service operations are specified 3GPP TS 32.291 [58]. </w:t>
      </w:r>
    </w:p>
    <w:p>
      <w:pPr>
        <w:pStyle w:val="Normal"/>
        <w:rPr/>
      </w:pPr>
      <w:r>
        <w:rPr/>
        <w:t xml:space="preserve">A NF Consumer (CTF) receiving a Charging Data Response [Initial] with a response code indicating the Charging Data Request [Initial] was unsuccessfully processed, shall perform the error handling applicable to the response code and may send a Charging Data Request [Termination] to the CHF. </w:t>
      </w:r>
    </w:p>
    <w:p>
      <w:pPr>
        <w:pStyle w:val="NoSpacing"/>
        <w:rPr/>
      </w:pPr>
      <w:r>
        <w:rPr/>
        <w:t>A NF Consumer (CTF) receiving a Charging Data Response [Termination] with a response code indicating the Charging Data Request [Termination] was unsuccessfully processed, shall perform the error handling applicable to the response code.</w:t>
      </w:r>
    </w:p>
    <w:p>
      <w:pPr>
        <w:pStyle w:val="NoSpacing"/>
        <w:rPr/>
      </w:pPr>
      <w:r>
        <w:rPr/>
      </w:r>
    </w:p>
    <w:p>
      <w:pPr>
        <w:pStyle w:val="Normal"/>
        <w:rPr/>
      </w:pPr>
      <w:r>
        <w:rPr/>
        <w:t>A NF Consumer (CTF) receiving a Charging Data Response [Update] with a response code indicating the Charging Data Request [Update] was unsuccessfully processed, shall perform the error handling applicable to the response code and may send a Charging Data Request [Termination] to the CHF.</w:t>
      </w:r>
    </w:p>
    <w:p>
      <w:pPr>
        <w:pStyle w:val="Normal"/>
        <w:rPr/>
      </w:pPr>
      <w:r>
        <w:rPr/>
        <w:t xml:space="preserve">The Charging Data Response may also include multiple "Multiple Unit Information" Information Elements, each one indicated with a Result code (i.e. applicable at Rating group level). The Result code values supported by Nchf_ConvergedCharging service operations are specified 3GPP TS 32.291 [58]. Any Invocation Result Code value different than success takes precedence over the set of "Multiple Unit Information" Result Codes.   </w:t>
      </w:r>
    </w:p>
    <w:p>
      <w:pPr>
        <w:pStyle w:val="Heading1"/>
        <w:ind w:left="1134" w:hanging="1134"/>
        <w:rPr/>
      </w:pPr>
      <w:bookmarkStart w:id="67" w:name="__RefHeading___Toc90566392"/>
      <w:bookmarkEnd w:id="67"/>
      <w:r>
        <w:rPr/>
        <w:t>6</w:t>
        <w:tab/>
      </w:r>
      <w:r>
        <w:rPr/>
        <w:t xml:space="preserve">Service </w:t>
      </w:r>
      <w:r>
        <w:rPr/>
        <w:t>d</w:t>
      </w:r>
      <w:r>
        <w:rPr/>
        <w:t>efinition</w:t>
      </w:r>
    </w:p>
    <w:p>
      <w:pPr>
        <w:pStyle w:val="Heading2"/>
        <w:rPr/>
      </w:pPr>
      <w:bookmarkStart w:id="68" w:name="__RefHeading___Toc90566393"/>
      <w:bookmarkEnd w:id="68"/>
      <w:r>
        <w:rPr/>
        <w:t>6.1</w:t>
        <w:tab/>
      </w:r>
      <w:r>
        <w:rPr/>
        <w:t xml:space="preserve">NF </w:t>
      </w:r>
      <w:r>
        <w:rPr>
          <w:lang w:val="en-GB"/>
        </w:rPr>
        <w:t>s</w:t>
      </w:r>
      <w:r>
        <w:rPr/>
        <w:t xml:space="preserve">ervice </w:t>
      </w:r>
      <w:r>
        <w:rPr>
          <w:lang w:val="en-GB"/>
        </w:rPr>
        <w:t>f</w:t>
      </w:r>
      <w:r>
        <w:rPr/>
        <w:t>ramework</w:t>
      </w:r>
    </w:p>
    <w:p>
      <w:pPr>
        <w:pStyle w:val="Normal"/>
        <w:rPr/>
      </w:pPr>
      <w:r>
        <w:rPr>
          <w:lang w:eastAsia="zh-CN"/>
        </w:rPr>
        <w:t xml:space="preserve">5G Charging Function supports to interact with NRF, as </w:t>
      </w:r>
      <w:r>
        <w:rPr>
          <w:lang w:eastAsia="zh-CN"/>
        </w:rPr>
        <w:t xml:space="preserve">specified </w:t>
      </w:r>
      <w:r>
        <w:rPr>
          <w:lang w:eastAsia="zh-CN"/>
        </w:rPr>
        <w:t>in clause 7.1 of</w:t>
      </w:r>
      <w:r>
        <w:rPr>
          <w:lang w:eastAsia="zh-CN"/>
        </w:rPr>
        <w:t> </w:t>
      </w:r>
      <w:r>
        <w:rPr>
          <w:lang w:eastAsia="zh-CN"/>
        </w:rPr>
        <w:t>TS</w:t>
      </w:r>
      <w:r>
        <w:rPr>
          <w:lang w:eastAsia="zh-CN"/>
        </w:rPr>
        <w:t> </w:t>
      </w:r>
      <w:r>
        <w:rPr>
          <w:lang w:eastAsia="zh-CN"/>
        </w:rPr>
        <w:t>23.501</w:t>
      </w:r>
      <w:r>
        <w:rPr>
          <w:lang w:eastAsia="zh-CN"/>
        </w:rPr>
        <w:t> </w:t>
      </w:r>
      <w:r>
        <w:rPr>
          <w:lang w:eastAsia="zh-CN"/>
        </w:rPr>
        <w:t>[</w:t>
      </w:r>
      <w:r>
        <w:rPr/>
        <w:t>201</w:t>
      </w:r>
      <w:r>
        <w:rPr>
          <w:lang w:eastAsia="zh-CN"/>
        </w:rPr>
        <w:t>] and</w:t>
      </w:r>
      <w:r>
        <w:rPr>
          <w:lang w:eastAsia="zh-CN"/>
        </w:rPr>
        <w:t xml:space="preserve"> clauses 4.17 and 5.2.7 of TS 23.502 [</w:t>
      </w:r>
      <w:r>
        <w:rPr/>
        <w:t>202</w:t>
      </w:r>
      <w:r>
        <w:rPr>
          <w:lang w:eastAsia="zh-CN"/>
        </w:rPr>
        <w:t>] to enable following functionalities:</w:t>
      </w:r>
    </w:p>
    <w:p>
      <w:pPr>
        <w:pStyle w:val="B1"/>
        <w:rPr>
          <w:lang w:val="en-GB"/>
        </w:rPr>
      </w:pPr>
      <w:r>
        <w:rPr/>
        <w:t>-</w:t>
        <w:tab/>
        <w:t>CHF instance(s) r</w:t>
      </w:r>
      <w:r>
        <w:rPr/>
        <w:t>egist</w:t>
      </w:r>
      <w:r>
        <w:rPr>
          <w:lang w:val="en-GB"/>
        </w:rPr>
        <w:t>r</w:t>
      </w:r>
      <w:r>
        <w:rPr/>
        <w:t>ation, CHF service(s) instance(s) registration in a CHF instance</w:t>
      </w:r>
      <w:r>
        <w:rPr>
          <w:lang w:val="en-GB"/>
        </w:rPr>
        <w:t>.</w:t>
      </w:r>
    </w:p>
    <w:p>
      <w:pPr>
        <w:pStyle w:val="B1"/>
        <w:rPr/>
      </w:pPr>
      <w:r>
        <w:rPr/>
        <w:t>-</w:t>
        <w:tab/>
        <w:t xml:space="preserve">CHF instance(s) update, CHF service(s) instance(s) update in a CHF instance. </w:t>
      </w:r>
    </w:p>
    <w:p>
      <w:pPr>
        <w:pStyle w:val="B1"/>
        <w:rPr/>
      </w:pPr>
      <w:r>
        <w:rPr/>
        <w:t>-</w:t>
        <w:tab/>
        <w:t xml:space="preserve">CHF instance(s) deregistration. </w:t>
      </w:r>
    </w:p>
    <w:p>
      <w:pPr>
        <w:pStyle w:val="B1"/>
        <w:rPr/>
      </w:pPr>
      <w:r>
        <w:rPr/>
        <w:t>-</w:t>
        <w:tab/>
        <w:t>CHF instance(s) and CHF service(s) instance(s) d</w:t>
      </w:r>
      <w:r>
        <w:rPr/>
        <w:t>iscovery</w:t>
      </w:r>
      <w:r>
        <w:rPr/>
        <w:t xml:space="preserve"> by CHF service consumer. </w:t>
      </w:r>
    </w:p>
    <w:p>
      <w:pPr>
        <w:pStyle w:val="Normal"/>
        <w:rPr>
          <w:lang w:eastAsia="zh-CN"/>
        </w:rPr>
      </w:pPr>
      <w:r>
        <w:rPr>
          <w:rFonts w:eastAsia="SimSun;宋体"/>
          <w:lang w:eastAsia="zh-CN"/>
        </w:rPr>
        <w:t xml:space="preserve">The services </w:t>
      </w:r>
      <w:r>
        <w:rPr>
          <w:lang w:eastAsia="zh-CN"/>
        </w:rPr>
        <w:t>specified in clause 7.2.6 TS 23.501 </w:t>
      </w:r>
      <w:r>
        <w:rPr>
          <w:lang w:eastAsia="zh-CN"/>
        </w:rPr>
        <w:t>[</w:t>
      </w:r>
      <w:r>
        <w:rPr/>
        <w:t>201</w:t>
      </w:r>
      <w:r>
        <w:rPr>
          <w:lang w:eastAsia="zh-CN"/>
        </w:rPr>
        <w:t xml:space="preserve">] </w:t>
      </w:r>
      <w:r>
        <w:rPr>
          <w:lang w:eastAsia="zh-CN"/>
        </w:rPr>
        <w:t xml:space="preserve">may be used and the interaction </w:t>
      </w:r>
      <w:r>
        <w:rPr/>
        <w:t>is described in TS 29.510 [300]</w:t>
      </w:r>
      <w:r>
        <w:rPr>
          <w:lang w:eastAsia="zh-CN"/>
        </w:rPr>
        <w:t>:</w:t>
      </w:r>
    </w:p>
    <w:p>
      <w:pPr>
        <w:pStyle w:val="B1"/>
        <w:rPr/>
      </w:pPr>
      <w:r>
        <w:rPr/>
        <w:t>-</w:t>
        <w:tab/>
        <w:t>Nnrf_NFManagement.</w:t>
      </w:r>
    </w:p>
    <w:p>
      <w:pPr>
        <w:pStyle w:val="B1"/>
        <w:rPr/>
      </w:pPr>
      <w:r>
        <w:rPr/>
        <w:t>-</w:t>
        <w:tab/>
        <w:t>Nnrf_NFDiscovery.</w:t>
      </w:r>
    </w:p>
    <w:p>
      <w:pPr>
        <w:pStyle w:val="B1"/>
        <w:rPr/>
      </w:pPr>
      <w:r>
        <w:rPr/>
        <w:t>-</w:t>
        <w:tab/>
        <w:t xml:space="preserve">Nnrf_AccessToken. </w:t>
      </w:r>
    </w:p>
    <w:p>
      <w:pPr>
        <w:pStyle w:val="Normal"/>
        <w:rPr/>
      </w:pPr>
      <w:r>
        <w:rPr/>
        <w:t xml:space="preserve">The Nnrf_NFManagement_NFRegister service invoked by CHF for CHF instance(s) and CHF service(s) instance(s) registration </w:t>
      </w:r>
      <w:r>
        <w:rPr>
          <w:rFonts w:eastAsia="SimSun;宋体"/>
          <w:lang w:eastAsia="zh-CN"/>
        </w:rPr>
        <w:t xml:space="preserve">described in the TS 29.510 [300] </w:t>
      </w:r>
      <w:r>
        <w:rPr/>
        <w:t>may include in particular:</w:t>
      </w:r>
    </w:p>
    <w:p>
      <w:pPr>
        <w:pStyle w:val="B1"/>
        <w:rPr>
          <w:lang w:val="en-GB"/>
        </w:rPr>
      </w:pPr>
      <w:r>
        <w:rPr/>
        <w:t>-</w:t>
        <w:tab/>
        <w:t>Range(s) of SUPIs</w:t>
      </w:r>
      <w:r>
        <w:rPr>
          <w:lang w:val="en-GB"/>
        </w:rPr>
        <w:t>.</w:t>
      </w:r>
    </w:p>
    <w:p>
      <w:pPr>
        <w:pStyle w:val="B1"/>
        <w:rPr>
          <w:lang w:val="en-GB"/>
        </w:rPr>
      </w:pPr>
      <w:r>
        <w:rPr/>
        <w:t>-</w:t>
        <w:tab/>
        <w:t xml:space="preserve">Range(s) of </w:t>
      </w:r>
      <w:r>
        <w:rPr>
          <w:rFonts w:cs="Arial"/>
          <w:szCs w:val="18"/>
        </w:rPr>
        <w:t>GPSI</w:t>
      </w:r>
      <w:r>
        <w:rPr/>
        <w:t>s</w:t>
      </w:r>
      <w:r>
        <w:rPr>
          <w:lang w:val="en-GB"/>
        </w:rPr>
        <w:t>.</w:t>
      </w:r>
    </w:p>
    <w:p>
      <w:pPr>
        <w:pStyle w:val="B1"/>
        <w:rPr>
          <w:lang w:val="en-GB"/>
        </w:rPr>
      </w:pPr>
      <w:r>
        <w:rPr/>
        <w:t>-</w:t>
        <w:tab/>
        <w:t>Range(s) of PLMNs</w:t>
      </w:r>
      <w:r>
        <w:rPr>
          <w:lang w:val="en-GB"/>
        </w:rPr>
        <w:t>.</w:t>
      </w:r>
    </w:p>
    <w:p>
      <w:pPr>
        <w:pStyle w:val="B1"/>
        <w:rPr>
          <w:lang w:val="en-GB"/>
        </w:rPr>
      </w:pPr>
      <w:r>
        <w:rPr/>
        <w:t>-</w:t>
        <w:tab/>
        <w:t>CHF Group ID</w:t>
      </w:r>
      <w:r>
        <w:rPr>
          <w:lang w:val="en-GB"/>
        </w:rPr>
        <w:t>.</w:t>
      </w:r>
    </w:p>
    <w:p>
      <w:pPr>
        <w:pStyle w:val="B1"/>
        <w:rPr/>
      </w:pPr>
      <w:r>
        <w:rPr/>
        <w:t>-</w:t>
        <w:tab/>
        <w:t>CHF set ID.</w:t>
      </w:r>
    </w:p>
    <w:p>
      <w:pPr>
        <w:pStyle w:val="B1"/>
        <w:rPr>
          <w:lang w:val="en-GB"/>
        </w:rPr>
      </w:pPr>
      <w:r>
        <w:rPr/>
        <w:t>-</w:t>
        <w:tab/>
        <w:t>CHF service set ID.</w:t>
      </w:r>
    </w:p>
    <w:p>
      <w:pPr>
        <w:pStyle w:val="Normal"/>
        <w:rPr/>
      </w:pPr>
      <w:r>
        <w:rPr>
          <w:lang w:eastAsia="zh-CN"/>
        </w:rPr>
        <w:t xml:space="preserve">These parameters may also be used by CHF </w:t>
      </w:r>
      <w:r>
        <w:rPr/>
        <w:t>service</w:t>
      </w:r>
      <w:r>
        <w:rPr>
          <w:lang w:eastAsia="zh-CN"/>
        </w:rPr>
        <w:t xml:space="preserve"> consumer(s) invoking the Nnrf_NFDiscovery service for the CHF instance(s) </w:t>
      </w:r>
      <w:r>
        <w:rPr/>
        <w:t xml:space="preserve">and CHF service(s) instance(s) </w:t>
      </w:r>
      <w:r>
        <w:rPr>
          <w:lang w:eastAsia="zh-CN"/>
        </w:rPr>
        <w:t>discovery.</w:t>
      </w:r>
      <w:r>
        <w:rPr/>
        <w:t xml:space="preserve"> </w:t>
      </w:r>
    </w:p>
    <w:p>
      <w:pPr>
        <w:pStyle w:val="Normal"/>
        <w:rPr/>
      </w:pPr>
      <w:r>
        <w:rPr>
          <w:color w:val="000000"/>
        </w:rPr>
        <w:t>A CHF instance is either a part of</w:t>
      </w:r>
      <w:r>
        <w:rPr/>
        <w:t>:</w:t>
      </w:r>
    </w:p>
    <w:p>
      <w:pPr>
        <w:pStyle w:val="B1"/>
        <w:rPr/>
      </w:pPr>
      <w:r>
        <w:rPr/>
        <w:t>-</w:t>
        <w:tab/>
        <w:t>a primary CHF instance and secondary CHF instance pair, or</w:t>
      </w:r>
    </w:p>
    <w:p>
      <w:pPr>
        <w:pStyle w:val="B1"/>
        <w:rPr/>
      </w:pPr>
      <w:r>
        <w:rPr>
          <w:lang w:eastAsia="zh-CN"/>
        </w:rPr>
        <w:t>-</w:t>
        <w:tab/>
        <w:t>a CHF set</w:t>
      </w:r>
      <w:r>
        <w:rPr/>
        <w:t>.</w:t>
      </w:r>
    </w:p>
    <w:p>
      <w:pPr>
        <w:pStyle w:val="Heading2"/>
        <w:rPr/>
      </w:pPr>
      <w:bookmarkStart w:id="69" w:name="__RefHeading___Toc90566394"/>
      <w:bookmarkEnd w:id="69"/>
      <w:r>
        <w:rPr/>
        <w:t>6.</w:t>
      </w:r>
      <w:r>
        <w:rPr>
          <w:lang w:eastAsia="zh-CN"/>
        </w:rPr>
        <w:t>2</w:t>
      </w:r>
      <w:r>
        <w:rPr/>
        <w:tab/>
        <w:t>Nchf_ConvergedCharging service</w:t>
      </w:r>
    </w:p>
    <w:p>
      <w:pPr>
        <w:pStyle w:val="Heading3"/>
        <w:rPr/>
      </w:pPr>
      <w:bookmarkStart w:id="70" w:name="__RefHeading___Toc90566395"/>
      <w:bookmarkEnd w:id="70"/>
      <w:r>
        <w:rPr/>
        <w:t>6.</w:t>
      </w:r>
      <w:r>
        <w:rPr>
          <w:lang w:eastAsia="zh-CN"/>
        </w:rPr>
        <w:t>2.1</w:t>
      </w:r>
      <w:r>
        <w:rPr/>
        <w:tab/>
      </w:r>
      <w:r>
        <w:rPr>
          <w:lang w:eastAsia="zh-CN"/>
        </w:rPr>
        <w:t>General</w:t>
      </w:r>
    </w:p>
    <w:p>
      <w:pPr>
        <w:pStyle w:val="Normal"/>
        <w:rPr>
          <w:lang w:eastAsia="zh-CN"/>
        </w:rPr>
      </w:pPr>
      <w:r>
        <w:rPr>
          <w:b/>
        </w:rPr>
        <w:t>Service description:</w:t>
      </w:r>
      <w:r>
        <w:rPr/>
        <w:t xml:space="preserve"> The ConvergedCharging service provides charging for session and event based NF services. This ConvergedCharging service offers charging: </w:t>
      </w:r>
    </w:p>
    <w:p>
      <w:pPr>
        <w:pStyle w:val="B1"/>
        <w:rPr/>
      </w:pPr>
      <w:r>
        <w:rPr/>
        <w:t>-</w:t>
        <w:tab/>
        <w:t>With quota management (online; this includes support for both blocking mode and non-blocking mode)</w:t>
      </w:r>
    </w:p>
    <w:p>
      <w:pPr>
        <w:pStyle w:val="B1"/>
        <w:rPr/>
      </w:pPr>
      <w:r>
        <w:rPr/>
        <w:t>-</w:t>
        <w:tab/>
        <w:t>Without quota management (offline)</w:t>
      </w:r>
    </w:p>
    <w:p>
      <w:pPr>
        <w:pStyle w:val="B1"/>
        <w:rPr/>
      </w:pPr>
      <w:r>
        <w:rPr/>
        <w:t>-</w:t>
        <w:tab/>
        <w:t>Charging information record generation</w:t>
      </w:r>
    </w:p>
    <w:p>
      <w:pPr>
        <w:pStyle w:val="Normal"/>
        <w:rPr/>
      </w:pPr>
      <w:r>
        <w:rPr/>
        <w:t>The following table shows the CHF Services and CHF Service Operations.</w:t>
      </w:r>
    </w:p>
    <w:p>
      <w:pPr>
        <w:pStyle w:val="TH"/>
        <w:rPr/>
      </w:pPr>
      <w:r>
        <w:rPr/>
        <w:t>Table 6.2.1-1: NF services provided by the CHF</w:t>
      </w:r>
    </w:p>
    <w:tbl>
      <w:tblPr>
        <w:tblW w:w="8454" w:type="dxa"/>
        <w:jc w:val="left"/>
        <w:tblInd w:w="-113" w:type="dxa"/>
        <w:tblLayout w:type="fixed"/>
        <w:tblCellMar>
          <w:top w:w="0" w:type="dxa"/>
          <w:left w:w="108" w:type="dxa"/>
          <w:bottom w:w="0" w:type="dxa"/>
          <w:right w:w="108" w:type="dxa"/>
        </w:tblCellMar>
      </w:tblPr>
      <w:tblGrid>
        <w:gridCol w:w="2407"/>
        <w:gridCol w:w="2305"/>
        <w:gridCol w:w="1966"/>
        <w:gridCol w:w="1776"/>
      </w:tblGrid>
      <w:tr>
        <w:trPr/>
        <w:tc>
          <w:tcPr>
            <w:tcW w:w="2407" w:type="dxa"/>
            <w:tcBorders>
              <w:top w:val="single" w:sz="4" w:space="0" w:color="000000"/>
              <w:left w:val="single" w:sz="4" w:space="0" w:color="000000"/>
              <w:bottom w:val="single" w:sz="4" w:space="0" w:color="000000"/>
              <w:right w:val="single" w:sz="4" w:space="0" w:color="000000"/>
            </w:tcBorders>
          </w:tcPr>
          <w:p>
            <w:pPr>
              <w:pStyle w:val="TAH"/>
              <w:rPr/>
            </w:pPr>
            <w:r>
              <w:rPr/>
              <w:t>Service Name</w:t>
            </w:r>
          </w:p>
        </w:tc>
        <w:tc>
          <w:tcPr>
            <w:tcW w:w="2305" w:type="dxa"/>
            <w:tcBorders>
              <w:top w:val="single" w:sz="4" w:space="0" w:color="000000"/>
              <w:left w:val="single" w:sz="4" w:space="0" w:color="000000"/>
              <w:bottom w:val="single" w:sz="4" w:space="0" w:color="000000"/>
              <w:right w:val="single" w:sz="4" w:space="0" w:color="000000"/>
            </w:tcBorders>
          </w:tcPr>
          <w:p>
            <w:pPr>
              <w:pStyle w:val="TAH"/>
              <w:rPr/>
            </w:pPr>
            <w:r>
              <w:rPr/>
              <w:t>Service Operations</w:t>
            </w:r>
          </w:p>
        </w:tc>
        <w:tc>
          <w:tcPr>
            <w:tcW w:w="1966" w:type="dxa"/>
            <w:tcBorders>
              <w:top w:val="single" w:sz="4" w:space="0" w:color="000000"/>
              <w:left w:val="single" w:sz="4" w:space="0" w:color="000000"/>
              <w:bottom w:val="single" w:sz="4" w:space="0" w:color="000000"/>
              <w:right w:val="single" w:sz="4" w:space="0" w:color="000000"/>
            </w:tcBorders>
          </w:tcPr>
          <w:p>
            <w:pPr>
              <w:pStyle w:val="TAH"/>
              <w:rPr/>
            </w:pPr>
            <w:r>
              <w:rPr/>
              <w:t>Operation</w:t>
            </w:r>
          </w:p>
          <w:p>
            <w:pPr>
              <w:pStyle w:val="TAH"/>
              <w:rPr/>
            </w:pPr>
            <w:r>
              <w:rPr/>
              <w:t>Semantics</w:t>
            </w:r>
          </w:p>
        </w:tc>
        <w:tc>
          <w:tcPr>
            <w:tcW w:w="1776" w:type="dxa"/>
            <w:tcBorders>
              <w:top w:val="single" w:sz="4" w:space="0" w:color="000000"/>
              <w:left w:val="single" w:sz="4" w:space="0" w:color="000000"/>
              <w:bottom w:val="single" w:sz="4" w:space="0" w:color="000000"/>
              <w:right w:val="single" w:sz="4" w:space="0" w:color="000000"/>
            </w:tcBorders>
          </w:tcPr>
          <w:p>
            <w:pPr>
              <w:pStyle w:val="TAH"/>
              <w:rPr/>
            </w:pPr>
            <w:r>
              <w:rPr/>
              <w:t>Example Consumer(s)</w:t>
            </w:r>
          </w:p>
        </w:tc>
      </w:tr>
      <w:tr>
        <w:trPr/>
        <w:tc>
          <w:tcPr>
            <w:tcW w:w="2407" w:type="dxa"/>
            <w:vMerge w:val="restart"/>
            <w:tcBorders>
              <w:top w:val="single" w:sz="4" w:space="0" w:color="000000"/>
              <w:left w:val="single" w:sz="4" w:space="0" w:color="000000"/>
              <w:bottom w:val="single" w:sz="4" w:space="0" w:color="000000"/>
              <w:right w:val="single" w:sz="4" w:space="0" w:color="000000"/>
            </w:tcBorders>
          </w:tcPr>
          <w:p>
            <w:pPr>
              <w:pStyle w:val="TAL"/>
              <w:rPr/>
            </w:pPr>
            <w:r>
              <w:rPr/>
              <w:t>Nchf_ConvergedCharging</w:t>
            </w:r>
          </w:p>
        </w:tc>
        <w:tc>
          <w:tcPr>
            <w:tcW w:w="2305" w:type="dxa"/>
            <w:tcBorders>
              <w:top w:val="single" w:sz="4" w:space="0" w:color="000000"/>
              <w:left w:val="single" w:sz="4" w:space="0" w:color="000000"/>
              <w:bottom w:val="single" w:sz="4" w:space="0" w:color="000000"/>
              <w:right w:val="single" w:sz="4" w:space="0" w:color="000000"/>
            </w:tcBorders>
          </w:tcPr>
          <w:p>
            <w:pPr>
              <w:pStyle w:val="TAL"/>
              <w:rPr/>
            </w:pPr>
            <w:r>
              <w:rPr/>
              <w:t>Create</w:t>
            </w:r>
          </w:p>
        </w:tc>
        <w:tc>
          <w:tcPr>
            <w:tcW w:w="1966" w:type="dxa"/>
            <w:tcBorders>
              <w:top w:val="single" w:sz="4" w:space="0" w:color="000000"/>
              <w:left w:val="single" w:sz="4" w:space="0" w:color="000000"/>
              <w:bottom w:val="single" w:sz="4" w:space="0" w:color="000000"/>
              <w:right w:val="single" w:sz="4" w:space="0" w:color="000000"/>
            </w:tcBorders>
          </w:tcPr>
          <w:p>
            <w:pPr>
              <w:pStyle w:val="TAL"/>
              <w:rPr/>
            </w:pPr>
            <w:r>
              <w:rPr/>
              <w:t>Request/Response</w:t>
            </w:r>
          </w:p>
        </w:tc>
        <w:tc>
          <w:tcPr>
            <w:tcW w:w="1776" w:type="dxa"/>
            <w:tcBorders>
              <w:top w:val="single" w:sz="4" w:space="0" w:color="000000"/>
              <w:left w:val="single" w:sz="4" w:space="0" w:color="000000"/>
              <w:bottom w:val="single" w:sz="4" w:space="0" w:color="000000"/>
              <w:right w:val="single" w:sz="4" w:space="0" w:color="000000"/>
            </w:tcBorders>
          </w:tcPr>
          <w:p>
            <w:pPr>
              <w:pStyle w:val="TAL"/>
              <w:rPr/>
            </w:pPr>
            <w:r>
              <w:rPr/>
              <w:t xml:space="preserve">SMF, SMSF, AMF, </w:t>
            </w:r>
            <w:r>
              <w:rPr>
                <w:lang w:val="en-US" w:eastAsia="en-US"/>
              </w:rPr>
              <w:t xml:space="preserve">PGW-C+SMF, NEF, CEF, MnS Producer </w:t>
            </w:r>
          </w:p>
        </w:tc>
      </w:tr>
      <w:tr>
        <w:trPr/>
        <w:tc>
          <w:tcPr>
            <w:tcW w:w="2407"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sz w:val="18"/>
                <w:lang w:val="en-US"/>
              </w:rPr>
            </w:pPr>
            <w:r>
              <w:rPr>
                <w:rFonts w:cs="Arial" w:ascii="Arial" w:hAnsi="Arial"/>
                <w:sz w:val="18"/>
                <w:lang w:val="en-US"/>
              </w:rPr>
            </w:r>
          </w:p>
        </w:tc>
        <w:tc>
          <w:tcPr>
            <w:tcW w:w="2305" w:type="dxa"/>
            <w:tcBorders>
              <w:top w:val="single" w:sz="4" w:space="0" w:color="000000"/>
              <w:left w:val="single" w:sz="4" w:space="0" w:color="000000"/>
              <w:bottom w:val="single" w:sz="4" w:space="0" w:color="000000"/>
              <w:right w:val="single" w:sz="4" w:space="0" w:color="000000"/>
            </w:tcBorders>
          </w:tcPr>
          <w:p>
            <w:pPr>
              <w:pStyle w:val="TAL"/>
              <w:rPr/>
            </w:pPr>
            <w:r>
              <w:rPr/>
              <w:t>Update</w:t>
            </w:r>
          </w:p>
        </w:tc>
        <w:tc>
          <w:tcPr>
            <w:tcW w:w="1966" w:type="dxa"/>
            <w:tcBorders>
              <w:top w:val="single" w:sz="4" w:space="0" w:color="000000"/>
              <w:left w:val="single" w:sz="4" w:space="0" w:color="000000"/>
              <w:bottom w:val="single" w:sz="4" w:space="0" w:color="000000"/>
              <w:right w:val="single" w:sz="4" w:space="0" w:color="000000"/>
            </w:tcBorders>
          </w:tcPr>
          <w:p>
            <w:pPr>
              <w:pStyle w:val="TAL"/>
              <w:rPr/>
            </w:pPr>
            <w:r>
              <w:rPr/>
              <w:t>Request/Response</w:t>
            </w:r>
          </w:p>
        </w:tc>
        <w:tc>
          <w:tcPr>
            <w:tcW w:w="1776" w:type="dxa"/>
            <w:tcBorders>
              <w:top w:val="single" w:sz="4" w:space="0" w:color="000000"/>
              <w:left w:val="single" w:sz="4" w:space="0" w:color="000000"/>
              <w:bottom w:val="single" w:sz="4" w:space="0" w:color="000000"/>
              <w:right w:val="single" w:sz="4" w:space="0" w:color="000000"/>
            </w:tcBorders>
          </w:tcPr>
          <w:p>
            <w:pPr>
              <w:pStyle w:val="TAL"/>
              <w:rPr/>
            </w:pPr>
            <w:r>
              <w:rPr/>
              <w:t xml:space="preserve">SMF, </w:t>
            </w:r>
            <w:r>
              <w:rPr>
                <w:lang w:val="en-US" w:eastAsia="en-US"/>
              </w:rPr>
              <w:t>PGW-C+SMF</w:t>
            </w:r>
          </w:p>
        </w:tc>
      </w:tr>
      <w:tr>
        <w:trPr/>
        <w:tc>
          <w:tcPr>
            <w:tcW w:w="2407"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sz w:val="18"/>
                <w:lang w:val="en-US"/>
              </w:rPr>
            </w:pPr>
            <w:r>
              <w:rPr>
                <w:rFonts w:cs="Arial" w:ascii="Arial" w:hAnsi="Arial"/>
                <w:sz w:val="18"/>
                <w:lang w:val="en-US"/>
              </w:rPr>
            </w:r>
          </w:p>
        </w:tc>
        <w:tc>
          <w:tcPr>
            <w:tcW w:w="2305" w:type="dxa"/>
            <w:tcBorders>
              <w:top w:val="single" w:sz="4" w:space="0" w:color="000000"/>
              <w:left w:val="single" w:sz="4" w:space="0" w:color="000000"/>
              <w:bottom w:val="single" w:sz="4" w:space="0" w:color="000000"/>
              <w:right w:val="single" w:sz="4" w:space="0" w:color="000000"/>
            </w:tcBorders>
          </w:tcPr>
          <w:p>
            <w:pPr>
              <w:pStyle w:val="TAL"/>
              <w:rPr/>
            </w:pPr>
            <w:r>
              <w:rPr/>
              <w:t>Release</w:t>
            </w:r>
          </w:p>
        </w:tc>
        <w:tc>
          <w:tcPr>
            <w:tcW w:w="1966" w:type="dxa"/>
            <w:tcBorders>
              <w:top w:val="single" w:sz="4" w:space="0" w:color="000000"/>
              <w:left w:val="single" w:sz="4" w:space="0" w:color="000000"/>
              <w:bottom w:val="single" w:sz="4" w:space="0" w:color="000000"/>
              <w:right w:val="single" w:sz="4" w:space="0" w:color="000000"/>
            </w:tcBorders>
          </w:tcPr>
          <w:p>
            <w:pPr>
              <w:pStyle w:val="TAL"/>
              <w:rPr/>
            </w:pPr>
            <w:r>
              <w:rPr/>
              <w:t>Request/Response</w:t>
            </w:r>
          </w:p>
        </w:tc>
        <w:tc>
          <w:tcPr>
            <w:tcW w:w="1776" w:type="dxa"/>
            <w:tcBorders>
              <w:top w:val="single" w:sz="4" w:space="0" w:color="000000"/>
              <w:left w:val="single" w:sz="4" w:space="0" w:color="000000"/>
              <w:bottom w:val="single" w:sz="4" w:space="0" w:color="000000"/>
              <w:right w:val="single" w:sz="4" w:space="0" w:color="000000"/>
            </w:tcBorders>
          </w:tcPr>
          <w:p>
            <w:pPr>
              <w:pStyle w:val="TAL"/>
              <w:rPr/>
            </w:pPr>
            <w:r>
              <w:rPr/>
              <w:t xml:space="preserve">SMF, SMSF, AMF, NEF, </w:t>
            </w:r>
            <w:r>
              <w:rPr>
                <w:lang w:val="en-US" w:eastAsia="en-US"/>
              </w:rPr>
              <w:t>PGW-C+SMF</w:t>
            </w:r>
          </w:p>
        </w:tc>
      </w:tr>
      <w:tr>
        <w:trPr/>
        <w:tc>
          <w:tcPr>
            <w:tcW w:w="2407"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sz w:val="18"/>
                <w:lang w:val="en-US"/>
              </w:rPr>
            </w:pPr>
            <w:r>
              <w:rPr>
                <w:rFonts w:cs="Arial" w:ascii="Arial" w:hAnsi="Arial"/>
                <w:sz w:val="18"/>
                <w:lang w:val="en-US"/>
              </w:rPr>
            </w:r>
          </w:p>
        </w:tc>
        <w:tc>
          <w:tcPr>
            <w:tcW w:w="2305" w:type="dxa"/>
            <w:tcBorders>
              <w:top w:val="single" w:sz="4" w:space="0" w:color="000000"/>
              <w:left w:val="single" w:sz="4" w:space="0" w:color="000000"/>
              <w:bottom w:val="single" w:sz="4" w:space="0" w:color="000000"/>
              <w:right w:val="single" w:sz="4" w:space="0" w:color="000000"/>
            </w:tcBorders>
          </w:tcPr>
          <w:p>
            <w:pPr>
              <w:pStyle w:val="TAL"/>
              <w:rPr/>
            </w:pPr>
            <w:r>
              <w:rPr/>
              <w:t>Notify</w:t>
            </w:r>
          </w:p>
        </w:tc>
        <w:tc>
          <w:tcPr>
            <w:tcW w:w="1966" w:type="dxa"/>
            <w:tcBorders>
              <w:top w:val="single" w:sz="4" w:space="0" w:color="000000"/>
              <w:left w:val="single" w:sz="4" w:space="0" w:color="000000"/>
              <w:bottom w:val="single" w:sz="4" w:space="0" w:color="000000"/>
              <w:right w:val="single" w:sz="4" w:space="0" w:color="000000"/>
            </w:tcBorders>
          </w:tcPr>
          <w:p>
            <w:pPr>
              <w:pStyle w:val="TAL"/>
              <w:rPr/>
            </w:pPr>
            <w:r>
              <w:rPr/>
              <w:t>Notify</w:t>
            </w:r>
          </w:p>
        </w:tc>
        <w:tc>
          <w:tcPr>
            <w:tcW w:w="1776" w:type="dxa"/>
            <w:tcBorders>
              <w:top w:val="single" w:sz="4" w:space="0" w:color="000000"/>
              <w:left w:val="single" w:sz="4" w:space="0" w:color="000000"/>
              <w:bottom w:val="single" w:sz="4" w:space="0" w:color="000000"/>
              <w:right w:val="single" w:sz="4" w:space="0" w:color="000000"/>
            </w:tcBorders>
          </w:tcPr>
          <w:p>
            <w:pPr>
              <w:pStyle w:val="TAL"/>
              <w:rPr/>
            </w:pPr>
            <w:r>
              <w:rPr/>
              <w:t>SMF,</w:t>
            </w:r>
            <w:r>
              <w:rPr>
                <w:lang w:val="en-US" w:eastAsia="en-US"/>
              </w:rPr>
              <w:t xml:space="preserve"> PGW-C+SMF</w:t>
            </w:r>
          </w:p>
        </w:tc>
      </w:tr>
    </w:tbl>
    <w:p>
      <w:pPr>
        <w:pStyle w:val="Normal"/>
        <w:rPr/>
      </w:pPr>
      <w:r>
        <w:rPr/>
      </w:r>
    </w:p>
    <w:p>
      <w:pPr>
        <w:pStyle w:val="Normal"/>
        <w:rPr/>
      </w:pPr>
      <w:r>
        <w:rPr/>
        <w:t>The applicability of ConvergedCharging service to:</w:t>
      </w:r>
    </w:p>
    <w:p>
      <w:pPr>
        <w:pStyle w:val="B1"/>
        <w:rPr>
          <w:lang w:val="en-US"/>
        </w:rPr>
      </w:pPr>
      <w:r>
        <w:rPr/>
        <w:t>-</w:t>
        <w:tab/>
        <w:t>SMF and SMF+PGW-C as consumer is specified in TS 32.255 [30] for 5G data connectivity domain charging;</w:t>
      </w:r>
    </w:p>
    <w:p>
      <w:pPr>
        <w:pStyle w:val="B1"/>
        <w:rPr>
          <w:lang w:val="en-US"/>
        </w:rPr>
      </w:pPr>
      <w:r>
        <w:rPr/>
        <w:t>-</w:t>
        <w:tab/>
        <w:t>NEF as consumer is specified in TS 32.254 [32] for exposure function Northbound Application Program Interfaces charging;</w:t>
      </w:r>
    </w:p>
    <w:p>
      <w:pPr>
        <w:pStyle w:val="B1"/>
        <w:rPr>
          <w:lang w:val="en-US"/>
        </w:rPr>
      </w:pPr>
      <w:r>
        <w:rPr>
          <w:lang w:val="en-US" w:eastAsia="zh-CN"/>
        </w:rPr>
        <w:t>-</w:t>
        <w:tab/>
      </w:r>
      <w:r>
        <w:rPr>
          <w:lang w:val="en-US" w:eastAsia="zh-CN"/>
        </w:rPr>
        <w:t>A</w:t>
      </w:r>
      <w:r>
        <w:rPr>
          <w:lang w:val="en-US" w:eastAsia="zh-CN"/>
        </w:rPr>
        <w:t xml:space="preserve">MF as </w:t>
      </w:r>
      <w:r>
        <w:rPr/>
        <w:t>consumer is specified in the TS 32.256[33] for 5G connection and mobility domain charging;</w:t>
      </w:r>
    </w:p>
    <w:p>
      <w:pPr>
        <w:pStyle w:val="B1"/>
        <w:rPr>
          <w:lang w:val="en-US"/>
        </w:rPr>
      </w:pPr>
      <w:r>
        <w:rPr>
          <w:lang w:val="en-US"/>
        </w:rPr>
        <w:t>-</w:t>
        <w:tab/>
        <w:t xml:space="preserve">SMSF </w:t>
      </w:r>
      <w:r>
        <w:rPr/>
        <w:t>as consumer is specified in TS 32.274[34] for short message service charging;</w:t>
      </w:r>
    </w:p>
    <w:p>
      <w:pPr>
        <w:pStyle w:val="B1"/>
        <w:rPr>
          <w:lang w:val="en-US"/>
        </w:rPr>
      </w:pPr>
      <w:r>
        <w:rPr/>
        <w:t>-</w:t>
        <w:tab/>
        <w:t>CEF as consumer is specified in the TS 28.201[35] and TS 28.202[36] for Network slice charging;</w:t>
      </w:r>
    </w:p>
    <w:p>
      <w:pPr>
        <w:pStyle w:val="B1"/>
        <w:rPr>
          <w:lang w:val="en-US"/>
        </w:rPr>
      </w:pPr>
      <w:r>
        <w:rPr/>
        <w:t>-</w:t>
        <w:tab/>
        <w:t>MnS Producer as consumer is specified in the TS 28.201[35] and TS 28.202[36] for Network slice charging.</w:t>
      </w:r>
    </w:p>
    <w:p>
      <w:pPr>
        <w:pStyle w:val="Normal"/>
        <w:rPr/>
      </w:pPr>
      <w:r>
        <w:rPr/>
        <w:t>The input and output parameters described in the clauses below are common to all NF Consumers. The usage of these common parameters and additional NF Consumer specific parameters are specified in dedicated charging specifications.</w:t>
      </w:r>
    </w:p>
    <w:p>
      <w:pPr>
        <w:pStyle w:val="Heading3"/>
        <w:rPr/>
      </w:pPr>
      <w:bookmarkStart w:id="71" w:name="__RefHeading___Toc90566396"/>
      <w:bookmarkEnd w:id="71"/>
      <w:r>
        <w:rPr>
          <w:lang w:eastAsia="zh-CN"/>
        </w:rPr>
        <w:t>6.2.2</w:t>
        <w:tab/>
        <w:t>Nchf_ConvergedCharging_Create</w:t>
      </w:r>
      <w:r>
        <w:rPr/>
        <w:t xml:space="preserve"> service operation</w:t>
      </w:r>
    </w:p>
    <w:p>
      <w:pPr>
        <w:pStyle w:val="Normal"/>
        <w:rPr/>
      </w:pPr>
      <w:r>
        <w:rPr>
          <w:b/>
        </w:rPr>
        <w:t>Service operation name:</w:t>
      </w:r>
      <w:r>
        <w:rPr/>
        <w:t xml:space="preserve"> </w:t>
      </w:r>
      <w:r>
        <w:rPr>
          <w:lang w:eastAsia="zh-CN"/>
        </w:rPr>
        <w:t>Nchf_ConvergedCharging_Create</w:t>
      </w:r>
    </w:p>
    <w:p>
      <w:pPr>
        <w:pStyle w:val="Normal"/>
        <w:rPr>
          <w:lang w:eastAsia="zh-CN"/>
        </w:rPr>
      </w:pPr>
      <w:r>
        <w:rPr>
          <w:b/>
        </w:rPr>
        <w:t>Description:</w:t>
      </w:r>
      <w:r>
        <w:rPr/>
        <w:t xml:space="preserve"> Provides charging capabilities before service delivery, offers charging with and without quota management, as well as charging information record generation</w:t>
      </w:r>
      <w:r>
        <w:rPr>
          <w:lang w:eastAsia="zh-CN"/>
        </w:rPr>
        <w:t>.</w:t>
      </w:r>
      <w:r>
        <w:rPr/>
        <w:t xml:space="preserve"> It is used for both session and event based charging. Provides means for the NF Consumer to create the resource of the charging session.</w:t>
      </w:r>
      <w:r>
        <w:rPr>
          <w:lang w:eastAsia="zh-CN"/>
        </w:rPr>
        <w:t xml:space="preserve"> If it is used for session based charging the operation also makes an implicit subscribe to notification of events in CHF that requires re-authorization or abort.</w:t>
      </w:r>
    </w:p>
    <w:p>
      <w:pPr>
        <w:pStyle w:val="Normal"/>
        <w:rPr/>
      </w:pPr>
      <w:r>
        <w:rPr>
          <w:lang w:eastAsia="zh-CN"/>
        </w:rPr>
        <w:t>The service operation may be used to request quota authorisation for service delivery and may open a CDR in the CHF, based on the information provided by the NF Consumer.</w:t>
      </w:r>
    </w:p>
    <w:p>
      <w:pPr>
        <w:pStyle w:val="Normal"/>
        <w:rPr/>
      </w:pPr>
      <w:r>
        <w:rPr>
          <w:b/>
        </w:rPr>
        <w:t>Known NF Consumers:</w:t>
      </w:r>
      <w:r>
        <w:rPr/>
        <w:t xml:space="preserve"> SMF, SMSF, AMF, </w:t>
      </w:r>
      <w:r>
        <w:rPr>
          <w:lang w:val="en-US" w:eastAsia="en-US"/>
        </w:rPr>
        <w:t>PGW-C+SMF, NEF, CEF, MnS Producer</w:t>
      </w:r>
      <w:r>
        <w:rPr/>
        <w:t>.</w:t>
      </w:r>
    </w:p>
    <w:p>
      <w:pPr>
        <w:pStyle w:val="Normal"/>
        <w:rPr/>
      </w:pPr>
      <w:r>
        <w:rPr>
          <w:b/>
        </w:rPr>
        <w:t>Inputs, Required:</w:t>
      </w:r>
      <w:r>
        <w:rPr/>
        <w:t xml:space="preserve"> Subscriber identifier, either </w:t>
      </w:r>
      <w:r>
        <w:rPr>
          <w:lang w:eastAsia="zh-CN"/>
        </w:rPr>
        <w:t>service identification or rating group</w:t>
      </w:r>
      <w:r>
        <w:rPr/>
        <w:t>.</w:t>
      </w:r>
    </w:p>
    <w:p>
      <w:pPr>
        <w:pStyle w:val="Normal"/>
        <w:rPr/>
      </w:pPr>
      <w:r>
        <w:rPr>
          <w:b/>
        </w:rPr>
        <w:t>Inputs, Optional:</w:t>
      </w:r>
      <w:r>
        <w:rPr/>
        <w:t xml:space="preserve"> Requested service units, one-time event, destination address, provider, location information, time and date.</w:t>
      </w:r>
    </w:p>
    <w:p>
      <w:pPr>
        <w:pStyle w:val="Normal"/>
        <w:rPr/>
      </w:pPr>
      <w:r>
        <w:rPr>
          <w:b/>
        </w:rPr>
        <w:t>Outputs, Required:</w:t>
      </w:r>
      <w:r>
        <w:rPr>
          <w:b/>
          <w:lang w:eastAsia="zh-CN"/>
        </w:rPr>
        <w:t xml:space="preserve"> </w:t>
      </w:r>
      <w:r>
        <w:rPr/>
        <w:t>Result</w:t>
      </w:r>
      <w:r>
        <w:rPr>
          <w:lang w:eastAsia="zh-CN"/>
        </w:rPr>
        <w:t xml:space="preserve"> indication.</w:t>
      </w:r>
    </w:p>
    <w:p>
      <w:pPr>
        <w:pStyle w:val="Normal"/>
        <w:rPr>
          <w:lang w:eastAsia="zh-CN"/>
        </w:rPr>
      </w:pPr>
      <w:r>
        <w:rPr>
          <w:b/>
        </w:rPr>
        <w:t xml:space="preserve">Outputs, Optional: </w:t>
      </w:r>
      <w:r>
        <w:rPr/>
        <w:t>Granted service units, validity time, triggers.</w:t>
      </w:r>
    </w:p>
    <w:p>
      <w:pPr>
        <w:pStyle w:val="Heading3"/>
        <w:rPr/>
      </w:pPr>
      <w:bookmarkStart w:id="72" w:name="__RefHeading___Toc90566397"/>
      <w:bookmarkEnd w:id="72"/>
      <w:r>
        <w:rPr/>
        <w:t>6.2.3</w:t>
        <w:tab/>
        <w:t>Nchf_ConvergedCharging_Update service operation</w:t>
      </w:r>
    </w:p>
    <w:p>
      <w:pPr>
        <w:pStyle w:val="Normal"/>
        <w:suppressAutoHyphens w:val="true"/>
        <w:rPr/>
      </w:pPr>
      <w:r>
        <w:rPr>
          <w:b/>
        </w:rPr>
        <w:t>Service operation name:</w:t>
      </w:r>
      <w:r>
        <w:rPr/>
        <w:t xml:space="preserve"> </w:t>
      </w:r>
      <w:r>
        <w:rPr>
          <w:lang w:eastAsia="zh-CN"/>
        </w:rPr>
        <w:t>Nchf_ConvergedCharging_</w:t>
      </w:r>
      <w:r>
        <w:rPr/>
        <w:t>Update</w:t>
      </w:r>
    </w:p>
    <w:p>
      <w:pPr>
        <w:pStyle w:val="Normal"/>
        <w:suppressAutoHyphens w:val="true"/>
        <w:rPr/>
      </w:pPr>
      <w:r>
        <w:rPr>
          <w:b/>
        </w:rPr>
        <w:t>Description:</w:t>
      </w:r>
      <w:r>
        <w:rPr/>
        <w:t xml:space="preserve"> Provides charging capabilities during service delivery, offers usage reporting and quota management, as well as charging information record generation</w:t>
      </w:r>
      <w:r>
        <w:rPr>
          <w:lang w:eastAsia="zh-CN"/>
        </w:rPr>
        <w:t>.</w:t>
      </w:r>
    </w:p>
    <w:p>
      <w:pPr>
        <w:pStyle w:val="Normal"/>
        <w:suppressAutoHyphens w:val="true"/>
        <w:rPr/>
      </w:pPr>
      <w:r>
        <w:rPr>
          <w:lang w:eastAsia="zh-CN"/>
        </w:rPr>
        <w:t xml:space="preserve">The service operation is used to report usage and may request further quota authorisation, if the trigger conditions </w:t>
      </w:r>
      <w:r>
        <w:rPr>
          <w:lang w:eastAsia="zh-CN"/>
        </w:rPr>
        <w:t>occurs</w:t>
      </w:r>
      <w:r>
        <w:rPr>
          <w:lang w:eastAsia="zh-CN"/>
        </w:rPr>
        <w:t>, this operation may cause update of the CDR or production of an interim CDR in the CHF.</w:t>
      </w:r>
    </w:p>
    <w:p>
      <w:pPr>
        <w:pStyle w:val="Normal"/>
        <w:rPr/>
      </w:pPr>
      <w:r>
        <w:rPr>
          <w:b/>
        </w:rPr>
        <w:t>Known NF Consumers:</w:t>
      </w:r>
      <w:r>
        <w:rPr/>
        <w:t xml:space="preserve"> SMF, </w:t>
      </w:r>
      <w:r>
        <w:rPr>
          <w:lang w:val="en-US" w:eastAsia="en-US"/>
        </w:rPr>
        <w:t>PGW-C+SMF</w:t>
      </w:r>
      <w:r>
        <w:rPr/>
        <w:t>.</w:t>
      </w:r>
    </w:p>
    <w:p>
      <w:pPr>
        <w:pStyle w:val="Normal"/>
        <w:suppressAutoHyphens w:val="true"/>
        <w:rPr/>
      </w:pPr>
      <w:r>
        <w:rPr>
          <w:b/>
        </w:rPr>
        <w:t>Inputs, Required:</w:t>
      </w:r>
      <w:r>
        <w:rPr>
          <w:lang w:eastAsia="zh-CN"/>
        </w:rPr>
        <w:t xml:space="preserve"> </w:t>
      </w:r>
      <w:r>
        <w:rPr/>
        <w:t>Subscriber identifier (Optional for emergency session)</w:t>
      </w:r>
      <w:r>
        <w:rPr>
          <w:lang w:eastAsia="zh-CN"/>
        </w:rPr>
        <w:t xml:space="preserve">, </w:t>
      </w:r>
      <w:r>
        <w:rPr/>
        <w:t>session identifier, reporting reason.</w:t>
      </w:r>
    </w:p>
    <w:p>
      <w:pPr>
        <w:pStyle w:val="Normal"/>
        <w:suppressAutoHyphens w:val="true"/>
        <w:rPr/>
      </w:pPr>
      <w:r>
        <w:rPr>
          <w:b/>
        </w:rPr>
        <w:t>Inputs, Optional:</w:t>
      </w:r>
      <w:r>
        <w:rPr/>
        <w:t xml:space="preserve"> Requested service units, used service units.</w:t>
      </w:r>
    </w:p>
    <w:p>
      <w:pPr>
        <w:pStyle w:val="Normal"/>
        <w:suppressAutoHyphens w:val="true"/>
        <w:rPr/>
      </w:pPr>
      <w:r>
        <w:rPr>
          <w:b/>
        </w:rPr>
        <w:t xml:space="preserve">Outputs, Required: </w:t>
      </w:r>
      <w:r>
        <w:rPr/>
        <w:t>Result</w:t>
      </w:r>
      <w:r>
        <w:rPr>
          <w:lang w:eastAsia="zh-CN"/>
        </w:rPr>
        <w:t xml:space="preserve"> indication.</w:t>
      </w:r>
    </w:p>
    <w:p>
      <w:pPr>
        <w:pStyle w:val="Normal"/>
        <w:suppressAutoHyphens w:val="true"/>
        <w:rPr/>
      </w:pPr>
      <w:r>
        <w:rPr>
          <w:b/>
        </w:rPr>
        <w:t xml:space="preserve">Outputs, Optional: </w:t>
      </w:r>
      <w:r>
        <w:rPr/>
        <w:t>Granted service units, validity time</w:t>
      </w:r>
      <w:r>
        <w:rPr>
          <w:lang w:eastAsia="zh-CN"/>
        </w:rPr>
        <w:t>, triggers</w:t>
      </w:r>
      <w:r>
        <w:rPr>
          <w:lang w:eastAsia="zh-CN"/>
        </w:rPr>
        <w:t>.</w:t>
      </w:r>
    </w:p>
    <w:p>
      <w:pPr>
        <w:pStyle w:val="Heading3"/>
        <w:rPr/>
      </w:pPr>
      <w:bookmarkStart w:id="73" w:name="__RefHeading___Toc90566398"/>
      <w:bookmarkEnd w:id="73"/>
      <w:r>
        <w:rPr>
          <w:lang w:eastAsia="zh-CN"/>
        </w:rPr>
        <w:t>6.2.4</w:t>
        <w:tab/>
        <w:t>Nchf_ConvergedCharging_</w:t>
      </w:r>
      <w:r>
        <w:rPr>
          <w:rFonts w:eastAsia="SimSun;宋体"/>
        </w:rPr>
        <w:t>Release</w:t>
      </w:r>
      <w:r>
        <w:rPr/>
        <w:t xml:space="preserve"> service operation</w:t>
      </w:r>
    </w:p>
    <w:p>
      <w:pPr>
        <w:pStyle w:val="Normal"/>
        <w:suppressAutoHyphens w:val="true"/>
        <w:rPr/>
      </w:pPr>
      <w:r>
        <w:rPr>
          <w:b/>
        </w:rPr>
        <w:t>Service operation name:</w:t>
      </w:r>
      <w:r>
        <w:rPr/>
        <w:t xml:space="preserve"> </w:t>
      </w:r>
      <w:r>
        <w:rPr>
          <w:lang w:eastAsia="zh-CN"/>
        </w:rPr>
        <w:t>Nchf_ConvergedCharging_</w:t>
      </w:r>
      <w:r>
        <w:rPr>
          <w:rFonts w:eastAsia="SimSun;宋体"/>
        </w:rPr>
        <w:t>Release</w:t>
      </w:r>
    </w:p>
    <w:p>
      <w:pPr>
        <w:pStyle w:val="Normal"/>
        <w:suppressAutoHyphens w:val="true"/>
        <w:rPr/>
      </w:pPr>
      <w:r>
        <w:rPr>
          <w:b/>
        </w:rPr>
        <w:t>Description:</w:t>
      </w:r>
      <w:r>
        <w:rPr/>
        <w:t xml:space="preserve"> Provides charging capabilities after service delivery, offers usage reporting and charging information record generation</w:t>
      </w:r>
      <w:r>
        <w:rPr>
          <w:lang w:eastAsia="zh-CN"/>
        </w:rPr>
        <w:t xml:space="preserve">. </w:t>
      </w:r>
      <w:r>
        <w:rPr/>
        <w:t xml:space="preserve">Provides means for the NF Consumer to </w:t>
      </w:r>
      <w:r>
        <w:rPr>
          <w:rFonts w:eastAsia="SimSun;宋体"/>
        </w:rPr>
        <w:t>release</w:t>
      </w:r>
      <w:r>
        <w:rPr/>
        <w:t xml:space="preserve"> the </w:t>
      </w:r>
      <w:r>
        <w:rPr>
          <w:lang w:eastAsia="zh-CN"/>
        </w:rPr>
        <w:t>resource</w:t>
      </w:r>
      <w:r>
        <w:rPr/>
        <w:t xml:space="preserve"> of charging session information.</w:t>
      </w:r>
    </w:p>
    <w:p>
      <w:pPr>
        <w:pStyle w:val="Normal"/>
        <w:suppressAutoHyphens w:val="true"/>
        <w:rPr/>
      </w:pPr>
      <w:r>
        <w:rPr/>
        <w:t xml:space="preserve">The charging </w:t>
      </w:r>
      <w:r>
        <w:rPr>
          <w:lang w:eastAsia="zh-CN"/>
        </w:rPr>
        <w:t>delete</w:t>
      </w:r>
      <w:r>
        <w:rPr>
          <w:lang w:eastAsia="zh-CN"/>
        </w:rPr>
        <w:t xml:space="preserve"> </w:t>
      </w:r>
      <w:r>
        <w:rPr/>
        <w:t xml:space="preserve">request </w:t>
      </w:r>
      <w:r>
        <w:rPr>
          <w:lang w:eastAsia="zh-CN"/>
        </w:rPr>
        <w:t>is used to report usage</w:t>
      </w:r>
      <w:r>
        <w:rPr/>
        <w:t xml:space="preserve"> and close the CDR in the CHF if it has been opened. </w:t>
      </w:r>
    </w:p>
    <w:p>
      <w:pPr>
        <w:pStyle w:val="Normal"/>
        <w:rPr/>
      </w:pPr>
      <w:r>
        <w:rPr>
          <w:b/>
        </w:rPr>
        <w:t>Known NF Consumers:</w:t>
      </w:r>
      <w:r>
        <w:rPr/>
        <w:t xml:space="preserve"> SMF</w:t>
      </w:r>
      <w:r>
        <w:rPr>
          <w:lang w:eastAsia="zh-CN"/>
        </w:rPr>
        <w:t>,</w:t>
      </w:r>
      <w:r>
        <w:rPr>
          <w:lang w:eastAsia="zh-CN"/>
        </w:rPr>
        <w:t xml:space="preserve"> </w:t>
      </w:r>
      <w:r>
        <w:rPr>
          <w:lang w:eastAsia="zh-CN"/>
        </w:rPr>
        <w:t>AMF</w:t>
      </w:r>
      <w:r>
        <w:rPr>
          <w:lang w:eastAsia="zh-CN"/>
        </w:rPr>
        <w:t xml:space="preserve">, </w:t>
      </w:r>
      <w:r>
        <w:rPr>
          <w:lang w:val="en-US" w:eastAsia="en-US"/>
        </w:rPr>
        <w:t>PGW-C+SMF, SMSF, NEF</w:t>
      </w:r>
      <w:r>
        <w:rPr/>
        <w:t>.</w:t>
      </w:r>
    </w:p>
    <w:p>
      <w:pPr>
        <w:pStyle w:val="Normal"/>
        <w:suppressAutoHyphens w:val="true"/>
        <w:rPr/>
      </w:pPr>
      <w:r>
        <w:rPr>
          <w:b/>
        </w:rPr>
        <w:t>Inputs, Required:</w:t>
      </w:r>
      <w:r>
        <w:rPr/>
        <w:t xml:space="preserve"> Subscriber identifier, session identifier, release reason</w:t>
      </w:r>
      <w:r>
        <w:rPr>
          <w:lang w:eastAsia="zh-CN"/>
        </w:rPr>
        <w:t>.</w:t>
      </w:r>
    </w:p>
    <w:p>
      <w:pPr>
        <w:pStyle w:val="Normal"/>
        <w:suppressAutoHyphens w:val="true"/>
        <w:rPr/>
      </w:pPr>
      <w:r>
        <w:rPr>
          <w:b/>
        </w:rPr>
        <w:t xml:space="preserve">Inputs, Optional: </w:t>
      </w:r>
      <w:r>
        <w:rPr>
          <w:lang w:eastAsia="zh-CN"/>
        </w:rPr>
        <w:t>Used service units.</w:t>
      </w:r>
    </w:p>
    <w:p>
      <w:pPr>
        <w:pStyle w:val="Normal"/>
        <w:suppressAutoHyphens w:val="true"/>
        <w:rPr/>
      </w:pPr>
      <w:r>
        <w:rPr>
          <w:b/>
        </w:rPr>
        <w:t>Outputs, Required:</w:t>
      </w:r>
      <w:r>
        <w:rPr>
          <w:b/>
          <w:lang w:eastAsia="zh-CN"/>
        </w:rPr>
        <w:t xml:space="preserve"> </w:t>
      </w:r>
      <w:r>
        <w:rPr/>
        <w:t>Result</w:t>
      </w:r>
      <w:r>
        <w:rPr>
          <w:lang w:eastAsia="zh-CN"/>
        </w:rPr>
        <w:t xml:space="preserve"> indication.</w:t>
      </w:r>
    </w:p>
    <w:p>
      <w:pPr>
        <w:pStyle w:val="Normal"/>
        <w:suppressAutoHyphens w:val="true"/>
        <w:rPr/>
      </w:pPr>
      <w:r>
        <w:rPr>
          <w:b/>
        </w:rPr>
        <w:t xml:space="preserve">Outputs, Optional: </w:t>
      </w:r>
      <w:r>
        <w:rPr>
          <w:lang w:eastAsia="zh-CN"/>
        </w:rPr>
        <w:t>None.</w:t>
      </w:r>
    </w:p>
    <w:p>
      <w:pPr>
        <w:pStyle w:val="Heading3"/>
        <w:rPr/>
      </w:pPr>
      <w:bookmarkStart w:id="74" w:name="__RefHeading___Toc90566399"/>
      <w:bookmarkEnd w:id="74"/>
      <w:r>
        <w:rPr>
          <w:lang w:eastAsia="zh-CN"/>
        </w:rPr>
        <w:t>6.2.5</w:t>
        <w:tab/>
      </w:r>
      <w:r>
        <w:rPr/>
        <w:t>Nchf_Converged</w:t>
      </w:r>
      <w:r>
        <w:rPr>
          <w:lang w:eastAsia="zh-CN"/>
        </w:rPr>
        <w:t>Charging_</w:t>
      </w:r>
      <w:r>
        <w:rPr/>
        <w:t>Notify service operation</w:t>
      </w:r>
    </w:p>
    <w:p>
      <w:pPr>
        <w:pStyle w:val="Normal"/>
        <w:suppressAutoHyphens w:val="true"/>
        <w:rPr/>
      </w:pPr>
      <w:r>
        <w:rPr>
          <w:b/>
        </w:rPr>
        <w:t>Service operation name:</w:t>
      </w:r>
      <w:r>
        <w:rPr/>
        <w:t xml:space="preserve"> Nchf_Converged</w:t>
      </w:r>
      <w:r>
        <w:rPr>
          <w:lang w:eastAsia="zh-CN"/>
        </w:rPr>
        <w:t>Charging</w:t>
      </w:r>
      <w:r>
        <w:rPr/>
        <w:t>_Notify</w:t>
      </w:r>
    </w:p>
    <w:p>
      <w:pPr>
        <w:pStyle w:val="Normal"/>
        <w:suppressAutoHyphens w:val="true"/>
        <w:rPr/>
      </w:pPr>
      <w:r>
        <w:rPr>
          <w:b/>
        </w:rPr>
        <w:t>Description:</w:t>
      </w:r>
      <w:r>
        <w:rPr/>
        <w:t xml:space="preserve"> </w:t>
      </w:r>
      <w:r>
        <w:rPr>
          <w:lang w:eastAsia="zh-CN"/>
        </w:rPr>
        <w:t>Provides notification to NF consumers of the subscribed events.</w:t>
      </w:r>
    </w:p>
    <w:p>
      <w:pPr>
        <w:pStyle w:val="Normal"/>
        <w:suppressAutoHyphens w:val="true"/>
        <w:rPr>
          <w:lang w:eastAsia="zh-CN"/>
        </w:rPr>
      </w:pPr>
      <w:r>
        <w:rPr>
          <w:lang w:eastAsia="zh-CN"/>
        </w:rPr>
        <w:t xml:space="preserve">CHF provides the re-authorization type </w:t>
      </w:r>
      <w:r>
        <w:rPr>
          <w:lang w:eastAsia="zh-CN"/>
        </w:rPr>
        <w:t>notification</w:t>
      </w:r>
      <w:r>
        <w:rPr>
          <w:lang w:eastAsia="zh-CN"/>
        </w:rPr>
        <w:t xml:space="preserve">that would lead NF consumers to send an </w:t>
      </w:r>
      <w:r>
        <w:rPr/>
        <w:t>Nchf_ConvergedCharging_Update reporting the current usage.</w:t>
      </w:r>
    </w:p>
    <w:p>
      <w:pPr>
        <w:pStyle w:val="Normal"/>
        <w:suppressAutoHyphens w:val="true"/>
        <w:rPr/>
      </w:pPr>
      <w:r>
        <w:rPr>
          <w:lang w:eastAsia="zh-CN"/>
        </w:rPr>
        <w:t xml:space="preserve">CHF provides the abort type </w:t>
      </w:r>
      <w:r>
        <w:rPr>
          <w:lang w:eastAsia="zh-CN"/>
        </w:rPr>
        <w:t>notification</w:t>
      </w:r>
      <w:r>
        <w:rPr>
          <w:lang w:eastAsia="zh-CN"/>
        </w:rPr>
        <w:t xml:space="preserve"> that would lead NF consumers to send </w:t>
      </w:r>
      <w:r>
        <w:rPr>
          <w:lang w:eastAsia="zh-CN"/>
        </w:rPr>
        <w:t xml:space="preserve">an </w:t>
      </w:r>
      <w:r>
        <w:rPr/>
        <w:t>Nchf_ConvergedCharging_</w:t>
      </w:r>
      <w:r>
        <w:rPr>
          <w:lang w:eastAsia="zh-CN"/>
        </w:rPr>
        <w:t xml:space="preserve"> Release</w:t>
      </w:r>
      <w:r>
        <w:rPr>
          <w:lang w:eastAsia="zh-CN"/>
        </w:rPr>
        <w:t xml:space="preserve"> to </w:t>
      </w:r>
      <w:r>
        <w:rPr>
          <w:lang w:eastAsia="zh-CN"/>
        </w:rPr>
        <w:t>terminate</w:t>
      </w:r>
      <w:r>
        <w:rPr>
          <w:lang w:eastAsia="zh-CN"/>
        </w:rPr>
        <w:t xml:space="preserve"> the</w:t>
      </w:r>
      <w:r>
        <w:rPr>
          <w:lang w:eastAsia="zh-CN"/>
        </w:rPr>
        <w:t xml:space="preserve"> </w:t>
      </w:r>
      <w:r>
        <w:rPr>
          <w:lang w:eastAsia="zh-CN"/>
        </w:rPr>
        <w:t xml:space="preserve">charging </w:t>
      </w:r>
      <w:r>
        <w:rPr>
          <w:lang w:eastAsia="zh-CN"/>
        </w:rPr>
        <w:t>session.</w:t>
      </w:r>
    </w:p>
    <w:p>
      <w:pPr>
        <w:pStyle w:val="Normal"/>
        <w:rPr/>
      </w:pPr>
      <w:r>
        <w:rPr>
          <w:b/>
        </w:rPr>
        <w:t>Known NF Consumers:</w:t>
      </w:r>
      <w:r>
        <w:rPr/>
        <w:t xml:space="preserve"> SMF, </w:t>
      </w:r>
      <w:r>
        <w:rPr>
          <w:lang w:val="en-US" w:eastAsia="en-US"/>
        </w:rPr>
        <w:t>PGW-C+SMF</w:t>
      </w:r>
      <w:r>
        <w:rPr/>
        <w:t>.</w:t>
      </w:r>
    </w:p>
    <w:p>
      <w:pPr>
        <w:pStyle w:val="Normal"/>
        <w:suppressAutoHyphens w:val="true"/>
        <w:rPr/>
      </w:pPr>
      <w:r>
        <w:rPr>
          <w:b/>
        </w:rPr>
        <w:t>Inputs, Required:</w:t>
      </w:r>
      <w:r>
        <w:rPr/>
        <w:t xml:space="preserve"> Subscriber identifier</w:t>
      </w:r>
      <w:r>
        <w:rPr>
          <w:lang w:eastAsia="zh-CN"/>
        </w:rPr>
        <w:t>, notification type</w:t>
      </w:r>
      <w:r>
        <w:rPr>
          <w:lang w:eastAsia="zh-CN"/>
        </w:rPr>
        <w:t xml:space="preserve"> (re-authorization or abort)</w:t>
      </w:r>
      <w:r>
        <w:rPr/>
        <w:t>.</w:t>
      </w:r>
    </w:p>
    <w:p>
      <w:pPr>
        <w:pStyle w:val="Normal"/>
        <w:suppressAutoHyphens w:val="true"/>
        <w:rPr/>
      </w:pPr>
      <w:r>
        <w:rPr>
          <w:b/>
        </w:rPr>
        <w:t>Inputs, Optional:</w:t>
      </w:r>
      <w:r>
        <w:rPr/>
        <w:t xml:space="preserve"> </w:t>
      </w:r>
      <w:r>
        <w:rPr>
          <w:lang w:eastAsia="zh-CN"/>
        </w:rPr>
        <w:t>rating group, service id</w:t>
      </w:r>
      <w:r>
        <w:rPr/>
        <w:t>.</w:t>
      </w:r>
    </w:p>
    <w:p>
      <w:pPr>
        <w:pStyle w:val="Normal"/>
        <w:suppressAutoHyphens w:val="true"/>
        <w:rPr/>
      </w:pPr>
      <w:r>
        <w:rPr>
          <w:b/>
        </w:rPr>
        <w:t xml:space="preserve">Outputs, Required: </w:t>
      </w:r>
      <w:r>
        <w:rPr/>
        <w:t>Result</w:t>
      </w:r>
      <w:r>
        <w:rPr>
          <w:lang w:eastAsia="zh-CN"/>
        </w:rPr>
        <w:t xml:space="preserve"> indication.</w:t>
      </w:r>
    </w:p>
    <w:p>
      <w:pPr>
        <w:pStyle w:val="Normal"/>
        <w:suppressAutoHyphens w:val="true"/>
        <w:rPr/>
      </w:pPr>
      <w:r>
        <w:rPr>
          <w:b/>
        </w:rPr>
        <w:t xml:space="preserve">Outputs, Optional: </w:t>
      </w:r>
      <w:r>
        <w:rPr/>
        <w:t>None</w:t>
      </w:r>
    </w:p>
    <w:p>
      <w:pPr>
        <w:pStyle w:val="Heading2"/>
        <w:rPr/>
      </w:pPr>
      <w:bookmarkStart w:id="75" w:name="__RefHeading___Toc90566400"/>
      <w:bookmarkEnd w:id="75"/>
      <w:r>
        <w:rPr/>
        <w:t>6.</w:t>
      </w:r>
      <w:r>
        <w:rPr>
          <w:lang w:eastAsia="zh-CN"/>
        </w:rPr>
        <w:t xml:space="preserve">3 </w:t>
      </w:r>
      <w:r>
        <w:rPr/>
        <w:tab/>
        <w:t>Nchf_SpendingLimitControl service</w:t>
      </w:r>
    </w:p>
    <w:p>
      <w:pPr>
        <w:pStyle w:val="Heading3"/>
        <w:rPr>
          <w:lang w:eastAsia="zh-CN"/>
        </w:rPr>
      </w:pPr>
      <w:bookmarkStart w:id="76" w:name="__RefHeading___Toc90566401"/>
      <w:bookmarkEnd w:id="76"/>
      <w:r>
        <w:rPr/>
        <w:t>6.</w:t>
      </w:r>
      <w:r>
        <w:rPr>
          <w:lang w:eastAsia="zh-CN"/>
        </w:rPr>
        <w:t>3.1</w:t>
      </w:r>
      <w:r>
        <w:rPr/>
        <w:tab/>
      </w:r>
      <w:r>
        <w:rPr>
          <w:lang w:eastAsia="zh-CN"/>
        </w:rPr>
        <w:t>Overview</w:t>
      </w:r>
    </w:p>
    <w:p>
      <w:pPr>
        <w:pStyle w:val="Normal"/>
        <w:rPr>
          <w:lang w:eastAsia="zh-CN"/>
        </w:rPr>
      </w:pPr>
      <w:r>
        <w:rPr>
          <w:lang w:eastAsia="zh-CN"/>
        </w:rPr>
        <w:t>T</w:t>
      </w:r>
      <w:r>
        <w:rPr/>
        <w:t>he "Nchf_SpendingLimitControl" service</w:t>
      </w:r>
      <w:r>
        <w:rPr>
          <w:lang w:eastAsia="zh-CN"/>
        </w:rPr>
        <w:t xml:space="preserve"> is </w:t>
      </w:r>
      <w:r>
        <w:rPr/>
        <w:t xml:space="preserve">defined in </w:t>
      </w:r>
      <w:r>
        <w:rPr>
          <w:lang w:eastAsia="ko-KR"/>
        </w:rPr>
        <w:t>23.</w:t>
      </w:r>
      <w:r>
        <w:rPr>
          <w:lang w:eastAsia="zh-CN"/>
        </w:rPr>
        <w:t>502</w:t>
      </w:r>
      <w:r>
        <w:rPr>
          <w:lang w:eastAsia="ko-KR"/>
        </w:rPr>
        <w:t> [</w:t>
      </w:r>
      <w:r>
        <w:rPr>
          <w:lang w:eastAsia="zh-CN"/>
        </w:rPr>
        <w:t>202</w:t>
      </w:r>
      <w:r>
        <w:rPr>
          <w:lang w:eastAsia="ko-KR"/>
        </w:rPr>
        <w:t>]</w:t>
      </w:r>
      <w:r>
        <w:rPr>
          <w:lang w:eastAsia="zh-CN"/>
        </w:rPr>
        <w:t xml:space="preserve"> </w:t>
      </w:r>
      <w:r>
        <w:rPr/>
        <w:t>clause </w:t>
      </w:r>
      <w:r>
        <w:rPr>
          <w:lang w:eastAsia="zh-CN"/>
        </w:rPr>
        <w:t>5.2.17.2</w:t>
      </w:r>
      <w:r>
        <w:rPr>
          <w:lang w:eastAsia="zh-CN"/>
        </w:rPr>
        <w:t>.</w:t>
      </w:r>
    </w:p>
    <w:p>
      <w:pPr>
        <w:pStyle w:val="Heading2"/>
        <w:rPr>
          <w:lang w:val="en-GB"/>
        </w:rPr>
      </w:pPr>
      <w:bookmarkStart w:id="77" w:name="__RefHeading___Toc90566402"/>
      <w:bookmarkEnd w:id="77"/>
      <w:r>
        <w:rPr/>
        <w:t>6.4</w:t>
        <w:tab/>
      </w:r>
      <w:r>
        <w:rPr>
          <w:lang w:val="en-GB"/>
        </w:rPr>
        <w:t>Void</w:t>
      </w:r>
    </w:p>
    <w:p>
      <w:pPr>
        <w:pStyle w:val="Heading2"/>
        <w:rPr/>
      </w:pPr>
      <w:bookmarkStart w:id="78" w:name="__RefHeading___Toc90566403"/>
      <w:bookmarkEnd w:id="78"/>
      <w:r>
        <w:rPr/>
        <w:t>6.</w:t>
      </w:r>
      <w:r>
        <w:rPr>
          <w:lang w:val="en-GB"/>
        </w:rPr>
        <w:t>5</w:t>
      </w:r>
      <w:r>
        <w:rPr/>
        <w:tab/>
        <w:t>Nchf_OfflineOnlyCharging service</w:t>
      </w:r>
    </w:p>
    <w:p>
      <w:pPr>
        <w:pStyle w:val="Heading3"/>
        <w:rPr/>
      </w:pPr>
      <w:bookmarkStart w:id="79" w:name="__RefHeading___Toc90566404"/>
      <w:bookmarkEnd w:id="79"/>
      <w:r>
        <w:rPr/>
        <w:t>6.</w:t>
      </w:r>
      <w:r>
        <w:rPr>
          <w:lang w:val="en-GB"/>
        </w:rPr>
        <w:t>5</w:t>
      </w:r>
      <w:r>
        <w:rPr>
          <w:lang w:eastAsia="zh-CN"/>
        </w:rPr>
        <w:t>.1</w:t>
      </w:r>
      <w:r>
        <w:rPr/>
        <w:tab/>
      </w:r>
      <w:r>
        <w:rPr>
          <w:lang w:eastAsia="zh-CN"/>
        </w:rPr>
        <w:t>General</w:t>
      </w:r>
    </w:p>
    <w:p>
      <w:pPr>
        <w:pStyle w:val="Normal"/>
        <w:rPr/>
      </w:pPr>
      <w:r>
        <w:rPr>
          <w:b/>
        </w:rPr>
        <w:t>Service description:</w:t>
      </w:r>
      <w:r>
        <w:rPr/>
        <w:t xml:space="preserve"> The OfflineOnlyCharging service provides charging for session based NF services. This OfflineCharging service offers charging information record generation. </w:t>
      </w:r>
    </w:p>
    <w:p>
      <w:pPr>
        <w:pStyle w:val="Normal"/>
        <w:rPr/>
      </w:pPr>
      <w:r>
        <w:rPr/>
        <w:t>The following table shows the CHF Services and CHF Service Operations.</w:t>
      </w:r>
    </w:p>
    <w:p>
      <w:pPr>
        <w:pStyle w:val="TH"/>
        <w:rPr/>
      </w:pPr>
      <w:r>
        <w:rPr/>
        <w:t>Table 6.</w:t>
      </w:r>
      <w:r>
        <w:rPr>
          <w:lang w:val="en-GB"/>
        </w:rPr>
        <w:t>5</w:t>
      </w:r>
      <w:r>
        <w:rPr/>
        <w:t>.1-1: NF services provided by the CHF</w:t>
      </w:r>
    </w:p>
    <w:tbl>
      <w:tblPr>
        <w:tblW w:w="8454" w:type="dxa"/>
        <w:jc w:val="left"/>
        <w:tblInd w:w="-113" w:type="dxa"/>
        <w:tblLayout w:type="fixed"/>
        <w:tblCellMar>
          <w:top w:w="0" w:type="dxa"/>
          <w:left w:w="108" w:type="dxa"/>
          <w:bottom w:w="0" w:type="dxa"/>
          <w:right w:w="108" w:type="dxa"/>
        </w:tblCellMar>
      </w:tblPr>
      <w:tblGrid>
        <w:gridCol w:w="2308"/>
        <w:gridCol w:w="2419"/>
        <w:gridCol w:w="1961"/>
        <w:gridCol w:w="1766"/>
      </w:tblGrid>
      <w:tr>
        <w:trPr/>
        <w:tc>
          <w:tcPr>
            <w:tcW w:w="2308" w:type="dxa"/>
            <w:tcBorders>
              <w:top w:val="single" w:sz="4" w:space="0" w:color="000000"/>
              <w:left w:val="single" w:sz="4" w:space="0" w:color="000000"/>
              <w:bottom w:val="single" w:sz="4" w:space="0" w:color="000000"/>
              <w:right w:val="single" w:sz="4" w:space="0" w:color="000000"/>
            </w:tcBorders>
          </w:tcPr>
          <w:p>
            <w:pPr>
              <w:pStyle w:val="TAH"/>
              <w:rPr/>
            </w:pPr>
            <w:r>
              <w:rPr/>
              <w:t>Service Name</w:t>
            </w:r>
          </w:p>
        </w:tc>
        <w:tc>
          <w:tcPr>
            <w:tcW w:w="2419" w:type="dxa"/>
            <w:tcBorders>
              <w:top w:val="single" w:sz="4" w:space="0" w:color="000000"/>
              <w:left w:val="single" w:sz="4" w:space="0" w:color="000000"/>
              <w:bottom w:val="single" w:sz="4" w:space="0" w:color="000000"/>
              <w:right w:val="single" w:sz="4" w:space="0" w:color="000000"/>
            </w:tcBorders>
          </w:tcPr>
          <w:p>
            <w:pPr>
              <w:pStyle w:val="TAH"/>
              <w:rPr/>
            </w:pPr>
            <w:r>
              <w:rPr/>
              <w:t>Service Operations</w:t>
            </w:r>
          </w:p>
        </w:tc>
        <w:tc>
          <w:tcPr>
            <w:tcW w:w="1961" w:type="dxa"/>
            <w:tcBorders>
              <w:top w:val="single" w:sz="4" w:space="0" w:color="000000"/>
              <w:left w:val="single" w:sz="4" w:space="0" w:color="000000"/>
              <w:bottom w:val="single" w:sz="4" w:space="0" w:color="000000"/>
              <w:right w:val="single" w:sz="4" w:space="0" w:color="000000"/>
            </w:tcBorders>
          </w:tcPr>
          <w:p>
            <w:pPr>
              <w:pStyle w:val="TAH"/>
              <w:rPr/>
            </w:pPr>
            <w:r>
              <w:rPr/>
              <w:t>Operation</w:t>
            </w:r>
          </w:p>
          <w:p>
            <w:pPr>
              <w:pStyle w:val="TAH"/>
              <w:rPr/>
            </w:pPr>
            <w:r>
              <w:rPr/>
              <w:t>Semantics</w:t>
            </w:r>
          </w:p>
        </w:tc>
        <w:tc>
          <w:tcPr>
            <w:tcW w:w="1766" w:type="dxa"/>
            <w:tcBorders>
              <w:top w:val="single" w:sz="4" w:space="0" w:color="000000"/>
              <w:left w:val="single" w:sz="4" w:space="0" w:color="000000"/>
              <w:bottom w:val="single" w:sz="4" w:space="0" w:color="000000"/>
              <w:right w:val="single" w:sz="4" w:space="0" w:color="000000"/>
            </w:tcBorders>
          </w:tcPr>
          <w:p>
            <w:pPr>
              <w:pStyle w:val="TAH"/>
              <w:rPr/>
            </w:pPr>
            <w:r>
              <w:rPr/>
              <w:t>Example Consumer(s)</w:t>
            </w:r>
          </w:p>
        </w:tc>
      </w:tr>
      <w:tr>
        <w:trPr/>
        <w:tc>
          <w:tcPr>
            <w:tcW w:w="2308" w:type="dxa"/>
            <w:vMerge w:val="restart"/>
            <w:tcBorders>
              <w:top w:val="single" w:sz="4" w:space="0" w:color="000000"/>
              <w:left w:val="single" w:sz="4" w:space="0" w:color="000000"/>
              <w:bottom w:val="single" w:sz="4" w:space="0" w:color="000000"/>
              <w:right w:val="single" w:sz="4" w:space="0" w:color="000000"/>
            </w:tcBorders>
          </w:tcPr>
          <w:p>
            <w:pPr>
              <w:pStyle w:val="TAL"/>
              <w:rPr/>
            </w:pPr>
            <w:r>
              <w:rPr/>
              <w:t>Nchf_OfflineOnlyCharging</w:t>
            </w:r>
          </w:p>
        </w:tc>
        <w:tc>
          <w:tcPr>
            <w:tcW w:w="2419" w:type="dxa"/>
            <w:tcBorders>
              <w:top w:val="single" w:sz="4" w:space="0" w:color="000000"/>
              <w:left w:val="single" w:sz="4" w:space="0" w:color="000000"/>
              <w:bottom w:val="single" w:sz="4" w:space="0" w:color="000000"/>
              <w:right w:val="single" w:sz="4" w:space="0" w:color="000000"/>
            </w:tcBorders>
          </w:tcPr>
          <w:p>
            <w:pPr>
              <w:pStyle w:val="TAL"/>
              <w:rPr/>
            </w:pPr>
            <w:r>
              <w:rPr/>
              <w:t>Create</w:t>
            </w:r>
          </w:p>
        </w:tc>
        <w:tc>
          <w:tcPr>
            <w:tcW w:w="1961" w:type="dxa"/>
            <w:tcBorders>
              <w:top w:val="single" w:sz="4" w:space="0" w:color="000000"/>
              <w:left w:val="single" w:sz="4" w:space="0" w:color="000000"/>
              <w:bottom w:val="single" w:sz="4" w:space="0" w:color="000000"/>
              <w:right w:val="single" w:sz="4" w:space="0" w:color="000000"/>
            </w:tcBorders>
          </w:tcPr>
          <w:p>
            <w:pPr>
              <w:pStyle w:val="TAL"/>
              <w:rPr/>
            </w:pPr>
            <w:r>
              <w:rPr/>
              <w:t>Request/Response</w:t>
            </w:r>
          </w:p>
        </w:tc>
        <w:tc>
          <w:tcPr>
            <w:tcW w:w="1766" w:type="dxa"/>
            <w:tcBorders>
              <w:top w:val="single" w:sz="4" w:space="0" w:color="000000"/>
              <w:left w:val="single" w:sz="4" w:space="0" w:color="000000"/>
              <w:bottom w:val="single" w:sz="4" w:space="0" w:color="000000"/>
              <w:right w:val="single" w:sz="4" w:space="0" w:color="000000"/>
            </w:tcBorders>
          </w:tcPr>
          <w:p>
            <w:pPr>
              <w:pStyle w:val="TAL"/>
              <w:rPr/>
            </w:pPr>
            <w:r>
              <w:rPr/>
              <w:t>SMF</w:t>
            </w:r>
          </w:p>
        </w:tc>
      </w:tr>
      <w:tr>
        <w:trPr/>
        <w:tc>
          <w:tcPr>
            <w:tcW w:w="2308"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sz w:val="18"/>
              </w:rPr>
            </w:pPr>
            <w:r>
              <w:rPr>
                <w:rFonts w:cs="Arial" w:ascii="Arial" w:hAnsi="Arial"/>
                <w:sz w:val="18"/>
              </w:rPr>
            </w:r>
          </w:p>
        </w:tc>
        <w:tc>
          <w:tcPr>
            <w:tcW w:w="2419" w:type="dxa"/>
            <w:tcBorders>
              <w:top w:val="single" w:sz="4" w:space="0" w:color="000000"/>
              <w:left w:val="single" w:sz="4" w:space="0" w:color="000000"/>
              <w:bottom w:val="single" w:sz="4" w:space="0" w:color="000000"/>
              <w:right w:val="single" w:sz="4" w:space="0" w:color="000000"/>
            </w:tcBorders>
          </w:tcPr>
          <w:p>
            <w:pPr>
              <w:pStyle w:val="TAL"/>
              <w:rPr/>
            </w:pPr>
            <w:r>
              <w:rPr/>
              <w:t>Update</w:t>
            </w:r>
          </w:p>
        </w:tc>
        <w:tc>
          <w:tcPr>
            <w:tcW w:w="1961" w:type="dxa"/>
            <w:tcBorders>
              <w:top w:val="single" w:sz="4" w:space="0" w:color="000000"/>
              <w:left w:val="single" w:sz="4" w:space="0" w:color="000000"/>
              <w:bottom w:val="single" w:sz="4" w:space="0" w:color="000000"/>
              <w:right w:val="single" w:sz="4" w:space="0" w:color="000000"/>
            </w:tcBorders>
          </w:tcPr>
          <w:p>
            <w:pPr>
              <w:pStyle w:val="TAL"/>
              <w:rPr/>
            </w:pPr>
            <w:r>
              <w:rPr/>
              <w:t>Request/Response</w:t>
            </w:r>
          </w:p>
        </w:tc>
        <w:tc>
          <w:tcPr>
            <w:tcW w:w="1766" w:type="dxa"/>
            <w:tcBorders>
              <w:top w:val="single" w:sz="4" w:space="0" w:color="000000"/>
              <w:left w:val="single" w:sz="4" w:space="0" w:color="000000"/>
              <w:bottom w:val="single" w:sz="4" w:space="0" w:color="000000"/>
              <w:right w:val="single" w:sz="4" w:space="0" w:color="000000"/>
            </w:tcBorders>
          </w:tcPr>
          <w:p>
            <w:pPr>
              <w:pStyle w:val="TAL"/>
              <w:rPr/>
            </w:pPr>
            <w:r>
              <w:rPr/>
              <w:t>SMF</w:t>
            </w:r>
          </w:p>
        </w:tc>
      </w:tr>
      <w:tr>
        <w:trPr/>
        <w:tc>
          <w:tcPr>
            <w:tcW w:w="2308"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sz w:val="18"/>
              </w:rPr>
            </w:pPr>
            <w:r>
              <w:rPr>
                <w:rFonts w:cs="Arial" w:ascii="Arial" w:hAnsi="Arial"/>
                <w:sz w:val="18"/>
              </w:rPr>
            </w:r>
          </w:p>
        </w:tc>
        <w:tc>
          <w:tcPr>
            <w:tcW w:w="2419" w:type="dxa"/>
            <w:tcBorders>
              <w:top w:val="single" w:sz="4" w:space="0" w:color="000000"/>
              <w:left w:val="single" w:sz="4" w:space="0" w:color="000000"/>
              <w:bottom w:val="single" w:sz="4" w:space="0" w:color="000000"/>
              <w:right w:val="single" w:sz="4" w:space="0" w:color="000000"/>
            </w:tcBorders>
          </w:tcPr>
          <w:p>
            <w:pPr>
              <w:pStyle w:val="TAL"/>
              <w:rPr/>
            </w:pPr>
            <w:r>
              <w:rPr/>
              <w:t>Release</w:t>
            </w:r>
          </w:p>
        </w:tc>
        <w:tc>
          <w:tcPr>
            <w:tcW w:w="1961" w:type="dxa"/>
            <w:tcBorders>
              <w:top w:val="single" w:sz="4" w:space="0" w:color="000000"/>
              <w:left w:val="single" w:sz="4" w:space="0" w:color="000000"/>
              <w:bottom w:val="single" w:sz="4" w:space="0" w:color="000000"/>
              <w:right w:val="single" w:sz="4" w:space="0" w:color="000000"/>
            </w:tcBorders>
          </w:tcPr>
          <w:p>
            <w:pPr>
              <w:pStyle w:val="TAL"/>
              <w:rPr/>
            </w:pPr>
            <w:r>
              <w:rPr/>
              <w:t>Request/Response</w:t>
            </w:r>
          </w:p>
        </w:tc>
        <w:tc>
          <w:tcPr>
            <w:tcW w:w="1766" w:type="dxa"/>
            <w:tcBorders>
              <w:top w:val="single" w:sz="4" w:space="0" w:color="000000"/>
              <w:left w:val="single" w:sz="4" w:space="0" w:color="000000"/>
              <w:bottom w:val="single" w:sz="4" w:space="0" w:color="000000"/>
              <w:right w:val="single" w:sz="4" w:space="0" w:color="000000"/>
            </w:tcBorders>
          </w:tcPr>
          <w:p>
            <w:pPr>
              <w:pStyle w:val="TAL"/>
              <w:rPr/>
            </w:pPr>
            <w:r>
              <w:rPr/>
              <w:t>SMF</w:t>
            </w:r>
          </w:p>
        </w:tc>
      </w:tr>
    </w:tbl>
    <w:p>
      <w:pPr>
        <w:pStyle w:val="Normal"/>
        <w:rPr/>
      </w:pPr>
      <w:r>
        <w:rPr/>
      </w:r>
    </w:p>
    <w:p>
      <w:pPr>
        <w:pStyle w:val="Normal"/>
        <w:rPr/>
      </w:pPr>
      <w:r>
        <w:rPr/>
        <w:t>The input and output parameters described in the clauses below are common to all NF Consumers. The usage of these common parameters and additional NF Consumer specific parameters are specified in dedicated charging specifications.</w:t>
      </w:r>
    </w:p>
    <w:p>
      <w:pPr>
        <w:pStyle w:val="Heading3"/>
        <w:rPr/>
      </w:pPr>
      <w:bookmarkStart w:id="80" w:name="__RefHeading___Toc90566405"/>
      <w:bookmarkEnd w:id="80"/>
      <w:r>
        <w:rPr>
          <w:lang w:eastAsia="zh-CN"/>
        </w:rPr>
        <w:t>6.</w:t>
      </w:r>
      <w:r>
        <w:rPr>
          <w:lang w:val="en-GB" w:eastAsia="zh-CN"/>
        </w:rPr>
        <w:t>5</w:t>
      </w:r>
      <w:r>
        <w:rPr>
          <w:lang w:eastAsia="zh-CN"/>
        </w:rPr>
        <w:t>.2</w:t>
        <w:tab/>
        <w:t>Nchf_</w:t>
      </w:r>
      <w:r>
        <w:rPr/>
        <w:t>OfflineOnlyCharging</w:t>
      </w:r>
      <w:r>
        <w:rPr>
          <w:lang w:eastAsia="zh-CN"/>
        </w:rPr>
        <w:t>_Create</w:t>
      </w:r>
      <w:r>
        <w:rPr/>
        <w:t xml:space="preserve"> service operation</w:t>
      </w:r>
    </w:p>
    <w:p>
      <w:pPr>
        <w:pStyle w:val="Normal"/>
        <w:rPr/>
      </w:pPr>
      <w:r>
        <w:rPr>
          <w:b/>
        </w:rPr>
        <w:t>Service operation name:</w:t>
      </w:r>
      <w:r>
        <w:rPr/>
        <w:t xml:space="preserve"> </w:t>
      </w:r>
      <w:r>
        <w:rPr>
          <w:lang w:eastAsia="zh-CN"/>
        </w:rPr>
        <w:t>Nchf_OfflineOnlyCharging_Create</w:t>
      </w:r>
    </w:p>
    <w:p>
      <w:pPr>
        <w:pStyle w:val="Normal"/>
        <w:rPr/>
      </w:pPr>
      <w:r>
        <w:rPr>
          <w:b/>
        </w:rPr>
        <w:t>Description:</w:t>
      </w:r>
      <w:r>
        <w:rPr/>
        <w:t xml:space="preserve"> Provides charging capabilities before service delivery, offers charging information record generation</w:t>
      </w:r>
      <w:r>
        <w:rPr>
          <w:lang w:eastAsia="zh-CN"/>
        </w:rPr>
        <w:t>.</w:t>
      </w:r>
      <w:r>
        <w:rPr/>
        <w:t xml:space="preserve"> Provides means for the NF Consumer to create the resource of the charging session.</w:t>
      </w:r>
      <w:r>
        <w:rPr>
          <w:lang w:eastAsia="zh-CN"/>
        </w:rPr>
        <w:t xml:space="preserve"> </w:t>
      </w:r>
    </w:p>
    <w:p>
      <w:pPr>
        <w:pStyle w:val="Normal"/>
        <w:rPr/>
      </w:pPr>
      <w:r>
        <w:rPr>
          <w:lang w:eastAsia="zh-CN"/>
        </w:rPr>
        <w:t>The service operation shall open a CDR in the CHF, based on the information provided by the NF Consumer.</w:t>
      </w:r>
    </w:p>
    <w:p>
      <w:pPr>
        <w:pStyle w:val="Normal"/>
        <w:rPr/>
      </w:pPr>
      <w:r>
        <w:rPr>
          <w:b/>
        </w:rPr>
        <w:t>Known NF Consumers:</w:t>
      </w:r>
      <w:r>
        <w:rPr/>
        <w:t xml:space="preserve"> SMF.</w:t>
      </w:r>
    </w:p>
    <w:p>
      <w:pPr>
        <w:pStyle w:val="Normal"/>
        <w:rPr/>
      </w:pPr>
      <w:r>
        <w:rPr>
          <w:b/>
        </w:rPr>
        <w:t>Inputs, Required:</w:t>
      </w:r>
      <w:r>
        <w:rPr/>
        <w:t xml:space="preserve"> Subscriber identifier, either </w:t>
      </w:r>
      <w:r>
        <w:rPr>
          <w:lang w:eastAsia="zh-CN"/>
        </w:rPr>
        <w:t>service identification or rating group</w:t>
      </w:r>
      <w:r>
        <w:rPr/>
        <w:t>.</w:t>
      </w:r>
    </w:p>
    <w:p>
      <w:pPr>
        <w:pStyle w:val="Normal"/>
        <w:rPr/>
      </w:pPr>
      <w:r>
        <w:rPr>
          <w:b/>
        </w:rPr>
        <w:t>Inputs, Optional:</w:t>
      </w:r>
      <w:r>
        <w:rPr/>
        <w:t xml:space="preserve"> destination address, provider, location information, time and date.</w:t>
      </w:r>
    </w:p>
    <w:p>
      <w:pPr>
        <w:pStyle w:val="Normal"/>
        <w:rPr/>
      </w:pPr>
      <w:r>
        <w:rPr>
          <w:b/>
        </w:rPr>
        <w:t>Outputs, Required:</w:t>
      </w:r>
      <w:r>
        <w:rPr>
          <w:b/>
          <w:lang w:eastAsia="zh-CN"/>
        </w:rPr>
        <w:t xml:space="preserve"> </w:t>
      </w:r>
      <w:r>
        <w:rPr/>
        <w:t>Result</w:t>
      </w:r>
      <w:r>
        <w:rPr>
          <w:lang w:eastAsia="zh-CN"/>
        </w:rPr>
        <w:t xml:space="preserve"> indication.</w:t>
      </w:r>
    </w:p>
    <w:p>
      <w:pPr>
        <w:pStyle w:val="Normal"/>
        <w:rPr>
          <w:lang w:eastAsia="zh-CN"/>
        </w:rPr>
      </w:pPr>
      <w:r>
        <w:rPr>
          <w:b/>
        </w:rPr>
        <w:t xml:space="preserve">Outputs, Optional: </w:t>
      </w:r>
      <w:r>
        <w:rPr/>
        <w:t>triggers.</w:t>
      </w:r>
    </w:p>
    <w:p>
      <w:pPr>
        <w:pStyle w:val="Heading3"/>
        <w:rPr/>
      </w:pPr>
      <w:bookmarkStart w:id="81" w:name="__RefHeading___Toc90566406"/>
      <w:bookmarkEnd w:id="81"/>
      <w:r>
        <w:rPr/>
        <w:t>6.</w:t>
      </w:r>
      <w:r>
        <w:rPr>
          <w:lang w:val="en-GB"/>
        </w:rPr>
        <w:t>5</w:t>
      </w:r>
      <w:r>
        <w:rPr/>
        <w:t>.3</w:t>
        <w:tab/>
        <w:t>Nchf_OfflineOnlyCharging_Update service operation</w:t>
      </w:r>
    </w:p>
    <w:p>
      <w:pPr>
        <w:pStyle w:val="Normal"/>
        <w:suppressAutoHyphens w:val="true"/>
        <w:rPr/>
      </w:pPr>
      <w:r>
        <w:rPr>
          <w:b/>
        </w:rPr>
        <w:t>Service operation name:</w:t>
      </w:r>
      <w:r>
        <w:rPr/>
        <w:t xml:space="preserve"> </w:t>
      </w:r>
      <w:r>
        <w:rPr>
          <w:lang w:eastAsia="zh-CN"/>
        </w:rPr>
        <w:t>Nchf_OfflineOnlyCharging_</w:t>
      </w:r>
      <w:r>
        <w:rPr/>
        <w:t>Update</w:t>
      </w:r>
    </w:p>
    <w:p>
      <w:pPr>
        <w:pStyle w:val="Normal"/>
        <w:suppressAutoHyphens w:val="true"/>
        <w:rPr/>
      </w:pPr>
      <w:r>
        <w:rPr>
          <w:b/>
        </w:rPr>
        <w:t>Description:</w:t>
      </w:r>
      <w:r>
        <w:rPr/>
        <w:t xml:space="preserve"> Provides charging capabilities during service delivery, charging information record generation</w:t>
      </w:r>
      <w:r>
        <w:rPr>
          <w:lang w:eastAsia="zh-CN"/>
        </w:rPr>
        <w:t>.</w:t>
      </w:r>
    </w:p>
    <w:p>
      <w:pPr>
        <w:pStyle w:val="Normal"/>
        <w:suppressAutoHyphens w:val="true"/>
        <w:rPr/>
      </w:pPr>
      <w:r>
        <w:rPr>
          <w:lang w:eastAsia="zh-CN"/>
        </w:rPr>
        <w:t xml:space="preserve">If the trigger conditions </w:t>
      </w:r>
      <w:r>
        <w:rPr>
          <w:lang w:eastAsia="zh-CN"/>
        </w:rPr>
        <w:t>occurs</w:t>
      </w:r>
      <w:r>
        <w:rPr>
          <w:lang w:eastAsia="zh-CN"/>
        </w:rPr>
        <w:t>, this operation may cause update of the CDR or production of an interim CDR in the CHF.</w:t>
      </w:r>
    </w:p>
    <w:p>
      <w:pPr>
        <w:pStyle w:val="Normal"/>
        <w:rPr/>
      </w:pPr>
      <w:r>
        <w:rPr>
          <w:b/>
        </w:rPr>
        <w:t>Known NF Consumers:</w:t>
      </w:r>
      <w:r>
        <w:rPr/>
        <w:t xml:space="preserve"> SMF.</w:t>
      </w:r>
    </w:p>
    <w:p>
      <w:pPr>
        <w:pStyle w:val="Normal"/>
        <w:suppressAutoHyphens w:val="true"/>
        <w:rPr/>
      </w:pPr>
      <w:r>
        <w:rPr>
          <w:b/>
        </w:rPr>
        <w:t>Inputs, Required:</w:t>
      </w:r>
      <w:r>
        <w:rPr>
          <w:lang w:eastAsia="zh-CN"/>
        </w:rPr>
        <w:t xml:space="preserve"> </w:t>
      </w:r>
      <w:r>
        <w:rPr/>
        <w:t>Subscriber identifier (exception for emergency session)</w:t>
      </w:r>
      <w:r>
        <w:rPr>
          <w:lang w:eastAsia="zh-CN"/>
        </w:rPr>
        <w:t xml:space="preserve">, </w:t>
      </w:r>
      <w:r>
        <w:rPr/>
        <w:t>session identifier, reporting reason.</w:t>
      </w:r>
    </w:p>
    <w:p>
      <w:pPr>
        <w:pStyle w:val="Normal"/>
        <w:suppressAutoHyphens w:val="true"/>
        <w:rPr/>
      </w:pPr>
      <w:r>
        <w:rPr>
          <w:b/>
        </w:rPr>
        <w:t xml:space="preserve">Inputs, Optional: </w:t>
      </w:r>
      <w:r>
        <w:rPr>
          <w:lang w:eastAsia="zh-CN"/>
        </w:rPr>
        <w:t>None.</w:t>
      </w:r>
    </w:p>
    <w:p>
      <w:pPr>
        <w:pStyle w:val="Normal"/>
        <w:suppressAutoHyphens w:val="true"/>
        <w:rPr/>
      </w:pPr>
      <w:r>
        <w:rPr>
          <w:b/>
        </w:rPr>
        <w:t xml:space="preserve">Outputs, Required: </w:t>
      </w:r>
      <w:r>
        <w:rPr/>
        <w:t>Result</w:t>
      </w:r>
      <w:r>
        <w:rPr>
          <w:lang w:eastAsia="zh-CN"/>
        </w:rPr>
        <w:t xml:space="preserve"> indication.</w:t>
      </w:r>
    </w:p>
    <w:p>
      <w:pPr>
        <w:pStyle w:val="Normal"/>
        <w:suppressAutoHyphens w:val="true"/>
        <w:rPr/>
      </w:pPr>
      <w:r>
        <w:rPr>
          <w:b/>
        </w:rPr>
        <w:t xml:space="preserve">Outputs, Optional: </w:t>
      </w:r>
      <w:r>
        <w:rPr>
          <w:lang w:eastAsia="zh-CN"/>
        </w:rPr>
        <w:t>triggers</w:t>
      </w:r>
      <w:r>
        <w:rPr>
          <w:lang w:eastAsia="zh-CN"/>
        </w:rPr>
        <w:t>.</w:t>
      </w:r>
    </w:p>
    <w:p>
      <w:pPr>
        <w:pStyle w:val="Heading3"/>
        <w:rPr/>
      </w:pPr>
      <w:bookmarkStart w:id="82" w:name="__RefHeading___Toc90566407"/>
      <w:bookmarkEnd w:id="82"/>
      <w:r>
        <w:rPr>
          <w:lang w:eastAsia="zh-CN"/>
        </w:rPr>
        <w:t>6.</w:t>
      </w:r>
      <w:r>
        <w:rPr>
          <w:lang w:val="en-GB" w:eastAsia="zh-CN"/>
        </w:rPr>
        <w:t>5</w:t>
      </w:r>
      <w:r>
        <w:rPr>
          <w:lang w:eastAsia="zh-CN"/>
        </w:rPr>
        <w:t>.4</w:t>
        <w:tab/>
        <w:t>Nchf_OfflineOnlyCharging_</w:t>
      </w:r>
      <w:r>
        <w:rPr>
          <w:rFonts w:eastAsia="SimSun;宋体"/>
        </w:rPr>
        <w:t>Release</w:t>
      </w:r>
      <w:r>
        <w:rPr/>
        <w:t xml:space="preserve"> service operation</w:t>
      </w:r>
    </w:p>
    <w:p>
      <w:pPr>
        <w:pStyle w:val="Normal"/>
        <w:suppressAutoHyphens w:val="true"/>
        <w:rPr/>
      </w:pPr>
      <w:r>
        <w:rPr>
          <w:b/>
        </w:rPr>
        <w:t>Service operation name:</w:t>
      </w:r>
      <w:r>
        <w:rPr/>
        <w:t xml:space="preserve"> </w:t>
      </w:r>
      <w:r>
        <w:rPr>
          <w:lang w:eastAsia="zh-CN"/>
        </w:rPr>
        <w:t>Nchf_OfflineOnlyCharging</w:t>
      </w:r>
      <w:r>
        <w:rPr/>
        <w:t>_</w:t>
      </w:r>
      <w:r>
        <w:rPr>
          <w:rFonts w:eastAsia="SimSun;宋体"/>
        </w:rPr>
        <w:t>Release</w:t>
      </w:r>
    </w:p>
    <w:p>
      <w:pPr>
        <w:pStyle w:val="Normal"/>
        <w:suppressAutoHyphens w:val="true"/>
        <w:rPr/>
      </w:pPr>
      <w:r>
        <w:rPr>
          <w:b/>
        </w:rPr>
        <w:t>Description:</w:t>
      </w:r>
      <w:r>
        <w:rPr/>
        <w:t xml:space="preserve"> Provides charging capabilities after service delivery, charging information record generation</w:t>
      </w:r>
      <w:r>
        <w:rPr>
          <w:lang w:eastAsia="zh-CN"/>
        </w:rPr>
        <w:t xml:space="preserve">. </w:t>
      </w:r>
      <w:r>
        <w:rPr/>
        <w:t xml:space="preserve">Provides means for the NF Consumer to </w:t>
      </w:r>
      <w:r>
        <w:rPr>
          <w:rFonts w:eastAsia="SimSun;宋体"/>
        </w:rPr>
        <w:t>release</w:t>
      </w:r>
      <w:r>
        <w:rPr/>
        <w:t xml:space="preserve"> the </w:t>
      </w:r>
      <w:r>
        <w:rPr>
          <w:lang w:eastAsia="zh-CN"/>
        </w:rPr>
        <w:t>resource</w:t>
      </w:r>
      <w:r>
        <w:rPr/>
        <w:t xml:space="preserve"> of charging session information.</w:t>
      </w:r>
    </w:p>
    <w:p>
      <w:pPr>
        <w:pStyle w:val="Normal"/>
        <w:suppressAutoHyphens w:val="true"/>
        <w:rPr/>
      </w:pPr>
      <w:r>
        <w:rPr/>
        <w:t xml:space="preserve">The charging </w:t>
      </w:r>
      <w:r>
        <w:rPr>
          <w:lang w:eastAsia="zh-CN"/>
        </w:rPr>
        <w:t>delete</w:t>
      </w:r>
      <w:r>
        <w:rPr>
          <w:lang w:eastAsia="zh-CN"/>
        </w:rPr>
        <w:t xml:space="preserve"> </w:t>
      </w:r>
      <w:r>
        <w:rPr/>
        <w:t xml:space="preserve">request </w:t>
      </w:r>
      <w:r>
        <w:rPr>
          <w:lang w:eastAsia="zh-CN"/>
        </w:rPr>
        <w:t xml:space="preserve">is used to </w:t>
      </w:r>
      <w:r>
        <w:rPr/>
        <w:t xml:space="preserve">close the CDR in the CHF if it has been opened. </w:t>
      </w:r>
    </w:p>
    <w:p>
      <w:pPr>
        <w:pStyle w:val="Normal"/>
        <w:rPr/>
      </w:pPr>
      <w:r>
        <w:rPr>
          <w:b/>
        </w:rPr>
        <w:t>Known NF Consumers:</w:t>
      </w:r>
      <w:r>
        <w:rPr/>
        <w:t xml:space="preserve"> SMF.</w:t>
      </w:r>
    </w:p>
    <w:p>
      <w:pPr>
        <w:pStyle w:val="Normal"/>
        <w:suppressAutoHyphens w:val="true"/>
        <w:rPr/>
      </w:pPr>
      <w:r>
        <w:rPr>
          <w:b/>
        </w:rPr>
        <w:t>Inputs, Required:</w:t>
      </w:r>
      <w:r>
        <w:rPr/>
        <w:t xml:space="preserve"> Subscriber identifier, session identifier, release reason</w:t>
      </w:r>
      <w:r>
        <w:rPr>
          <w:lang w:eastAsia="zh-CN"/>
        </w:rPr>
        <w:t>.</w:t>
      </w:r>
    </w:p>
    <w:p>
      <w:pPr>
        <w:pStyle w:val="Normal"/>
        <w:suppressAutoHyphens w:val="true"/>
        <w:rPr/>
      </w:pPr>
      <w:r>
        <w:rPr>
          <w:b/>
        </w:rPr>
        <w:t xml:space="preserve">Inputs, Optional: </w:t>
      </w:r>
      <w:r>
        <w:rPr>
          <w:lang w:eastAsia="zh-CN"/>
        </w:rPr>
        <w:t>None.</w:t>
      </w:r>
    </w:p>
    <w:p>
      <w:pPr>
        <w:pStyle w:val="Normal"/>
        <w:suppressAutoHyphens w:val="true"/>
        <w:rPr/>
      </w:pPr>
      <w:r>
        <w:rPr>
          <w:b/>
        </w:rPr>
        <w:t>Outputs, Required:</w:t>
      </w:r>
      <w:r>
        <w:rPr>
          <w:b/>
          <w:lang w:eastAsia="zh-CN"/>
        </w:rPr>
        <w:t xml:space="preserve"> </w:t>
      </w:r>
      <w:r>
        <w:rPr/>
        <w:t>Result</w:t>
      </w:r>
      <w:r>
        <w:rPr>
          <w:lang w:eastAsia="zh-CN"/>
        </w:rPr>
        <w:t xml:space="preserve"> indication.</w:t>
      </w:r>
    </w:p>
    <w:p>
      <w:pPr>
        <w:pStyle w:val="Normal"/>
        <w:suppressAutoHyphens w:val="true"/>
        <w:rPr/>
      </w:pPr>
      <w:r>
        <w:rPr>
          <w:b/>
        </w:rPr>
        <w:t xml:space="preserve">Outputs, Optional: </w:t>
      </w:r>
      <w:r>
        <w:rPr>
          <w:lang w:eastAsia="zh-CN"/>
        </w:rPr>
        <w:t>None.</w:t>
      </w:r>
    </w:p>
    <w:p>
      <w:pPr>
        <w:pStyle w:val="Heading1"/>
        <w:ind w:left="1134" w:hanging="1134"/>
        <w:rPr/>
      </w:pPr>
      <w:bookmarkStart w:id="83" w:name="__RefHeading___Toc90566408"/>
      <w:bookmarkEnd w:id="83"/>
      <w:r>
        <w:rPr/>
        <w:t>7</w:t>
        <w:tab/>
        <w:t>Message contents</w:t>
      </w:r>
    </w:p>
    <w:p>
      <w:pPr>
        <w:pStyle w:val="Normal"/>
        <w:keepNext w:val="true"/>
        <w:rPr/>
      </w:pPr>
      <w:r>
        <w:rPr/>
        <w:t>Converged charging or offline only charging is performed by NF (CTF) consuming service operations exposed by CHF, achieved using Charging Data Request and Charging Data Response.</w:t>
      </w:r>
    </w:p>
    <w:p>
      <w:pPr>
        <w:pStyle w:val="Normal"/>
        <w:keepNext w:val="true"/>
        <w:rPr/>
      </w:pPr>
      <w:r>
        <w:rPr/>
        <w:t xml:space="preserve">The information structure used for these services operations is composed of two parts: </w:t>
      </w:r>
    </w:p>
    <w:p>
      <w:pPr>
        <w:pStyle w:val="B1"/>
        <w:rPr/>
      </w:pPr>
      <w:r>
        <w:rPr/>
        <w:t>-</w:t>
        <w:tab/>
        <w:t>Common structures specified in the present document.</w:t>
      </w:r>
    </w:p>
    <w:p>
      <w:pPr>
        <w:pStyle w:val="B1"/>
        <w:rPr/>
      </w:pPr>
      <w:r>
        <w:rPr/>
        <w:t>-</w:t>
        <w:tab/>
        <w:t xml:space="preserve">NF (CTF) consumer specific structures specified in the middle tier TSs.  </w:t>
      </w:r>
    </w:p>
    <w:p>
      <w:pPr>
        <w:pStyle w:val="Normal"/>
        <w:rPr/>
      </w:pPr>
      <w:r>
        <w:rPr/>
        <w:t xml:space="preserve">Table 7.1 describes the data structure which is common to operations in request semantics. </w:t>
      </w:r>
    </w:p>
    <w:p>
      <w:pPr>
        <w:pStyle w:val="Normal"/>
        <w:rPr/>
      </w:pPr>
      <w:r>
        <w:rPr/>
      </w:r>
    </w:p>
    <w:p>
      <w:pPr>
        <w:pStyle w:val="TH"/>
        <w:rPr/>
      </w:pPr>
      <w:r>
        <w:rPr>
          <w:rFonts w:eastAsia="MS Mincho;MS Mincho"/>
          <w:lang w:val="en-GB"/>
        </w:rPr>
        <w:t>T</w:t>
      </w:r>
      <w:r>
        <w:rPr>
          <w:rFonts w:eastAsia="MS Mincho;MS Mincho"/>
        </w:rPr>
        <w:t xml:space="preserve">able 7.1: Common Data structure of Charging Data </w:t>
      </w:r>
      <w:r>
        <w:rPr/>
        <w:t>Request</w:t>
      </w:r>
    </w:p>
    <w:tbl>
      <w:tblPr>
        <w:tblW w:w="9776" w:type="dxa"/>
        <w:jc w:val="center"/>
        <w:tblInd w:w="0" w:type="dxa"/>
        <w:tblLayout w:type="fixed"/>
        <w:tblCellMar>
          <w:top w:w="0" w:type="dxa"/>
          <w:left w:w="28" w:type="dxa"/>
          <w:bottom w:w="0" w:type="dxa"/>
          <w:right w:w="107" w:type="dxa"/>
        </w:tblCellMar>
      </w:tblPr>
      <w:tblGrid>
        <w:gridCol w:w="2380"/>
        <w:gridCol w:w="1232"/>
        <w:gridCol w:w="1276"/>
        <w:gridCol w:w="4888"/>
      </w:tblGrid>
      <w:tr>
        <w:trPr>
          <w:tblHeader w:val="true"/>
        </w:trPr>
        <w:tc>
          <w:tcPr>
            <w:tcW w:w="2380" w:type="dxa"/>
            <w:tcBorders>
              <w:top w:val="single" w:sz="4" w:space="0" w:color="000000"/>
              <w:left w:val="single" w:sz="4" w:space="0" w:color="000000"/>
              <w:bottom w:val="single" w:sz="4" w:space="0" w:color="000000"/>
              <w:right w:val="single" w:sz="4" w:space="0" w:color="000000"/>
            </w:tcBorders>
            <w:shd w:fill="CCCCCC" w:val="clear"/>
          </w:tcPr>
          <w:p>
            <w:pPr>
              <w:pStyle w:val="Normal"/>
              <w:keepNext w:val="true"/>
              <w:spacing w:before="0" w:after="0"/>
              <w:jc w:val="center"/>
              <w:rPr/>
            </w:pPr>
            <w:r>
              <w:rPr>
                <w:rFonts w:cs="Arial" w:ascii="Arial" w:hAnsi="Arial"/>
                <w:b/>
                <w:sz w:val="18"/>
                <w:lang w:eastAsia="zh-CN" w:bidi="ar-IQ"/>
              </w:rPr>
              <w:t>Information Element</w:t>
            </w:r>
          </w:p>
        </w:tc>
        <w:tc>
          <w:tcPr>
            <w:tcW w:w="1232" w:type="dxa"/>
            <w:tcBorders>
              <w:top w:val="single" w:sz="4" w:space="0" w:color="000000"/>
              <w:left w:val="single" w:sz="4" w:space="0" w:color="000000"/>
              <w:bottom w:val="single" w:sz="4" w:space="0" w:color="000000"/>
              <w:right w:val="single" w:sz="4" w:space="0" w:color="000000"/>
            </w:tcBorders>
            <w:shd w:fill="CCCCCC" w:val="clear"/>
          </w:tcPr>
          <w:p>
            <w:pPr>
              <w:pStyle w:val="Normal"/>
              <w:keepNext w:val="true"/>
              <w:spacing w:before="0" w:after="0"/>
              <w:jc w:val="center"/>
              <w:rPr>
                <w:rFonts w:ascii="Arial" w:hAnsi="Arial" w:cs="Arial"/>
                <w:b/>
                <w:b/>
                <w:sz w:val="18"/>
                <w:lang w:bidi="ar-IQ"/>
              </w:rPr>
            </w:pPr>
            <w:r>
              <w:rPr>
                <w:rFonts w:cs="Arial" w:ascii="Arial" w:hAnsi="Arial"/>
                <w:b/>
                <w:sz w:val="18"/>
                <w:lang w:bidi="ar-IQ"/>
              </w:rPr>
              <w:t>Converged Charging</w:t>
            </w:r>
          </w:p>
          <w:p>
            <w:pPr>
              <w:pStyle w:val="Normal"/>
              <w:keepNext w:val="true"/>
              <w:spacing w:before="0" w:after="0"/>
              <w:jc w:val="center"/>
              <w:rPr>
                <w:rFonts w:ascii="Arial" w:hAnsi="Arial" w:cs="Arial"/>
                <w:b/>
                <w:b/>
                <w:sz w:val="18"/>
                <w:lang w:bidi="ar-IQ"/>
              </w:rPr>
            </w:pPr>
            <w:r>
              <w:rPr>
                <w:rFonts w:cs="Arial" w:ascii="Arial" w:hAnsi="Arial"/>
                <w:b/>
                <w:sz w:val="18"/>
                <w:lang w:bidi="ar-IQ"/>
              </w:rPr>
              <w:t>Category</w:t>
            </w:r>
          </w:p>
        </w:tc>
        <w:tc>
          <w:tcPr>
            <w:tcW w:w="1276" w:type="dxa"/>
            <w:tcBorders>
              <w:top w:val="single" w:sz="4" w:space="0" w:color="000000"/>
              <w:left w:val="single" w:sz="4" w:space="0" w:color="000000"/>
              <w:bottom w:val="single" w:sz="4" w:space="0" w:color="000000"/>
              <w:right w:val="single" w:sz="4" w:space="0" w:color="000000"/>
            </w:tcBorders>
            <w:shd w:fill="CCCCCC" w:val="clear"/>
          </w:tcPr>
          <w:p>
            <w:pPr>
              <w:pStyle w:val="Normal"/>
              <w:keepNext w:val="true"/>
              <w:spacing w:before="0" w:after="0"/>
              <w:jc w:val="center"/>
              <w:rPr>
                <w:rFonts w:ascii="Arial" w:hAnsi="Arial" w:cs="Arial"/>
                <w:b/>
                <w:b/>
                <w:sz w:val="18"/>
                <w:lang w:bidi="ar-IQ"/>
              </w:rPr>
            </w:pPr>
            <w:r>
              <w:rPr>
                <w:rFonts w:cs="Arial" w:ascii="Arial" w:hAnsi="Arial"/>
                <w:b/>
                <w:sz w:val="18"/>
                <w:lang w:val="fr-FR" w:bidi="ar-IQ"/>
              </w:rPr>
              <w:t>Offline Only Charging Category</w:t>
            </w:r>
          </w:p>
        </w:tc>
        <w:tc>
          <w:tcPr>
            <w:tcW w:w="4888" w:type="dxa"/>
            <w:tcBorders>
              <w:top w:val="single" w:sz="4" w:space="0" w:color="000000"/>
              <w:left w:val="single" w:sz="4" w:space="0" w:color="000000"/>
              <w:bottom w:val="single" w:sz="4" w:space="0" w:color="000000"/>
              <w:right w:val="single" w:sz="4" w:space="0" w:color="000000"/>
            </w:tcBorders>
            <w:shd w:fill="CCCCCC" w:val="clear"/>
          </w:tcPr>
          <w:p>
            <w:pPr>
              <w:pStyle w:val="Normal"/>
              <w:keepNext w:val="true"/>
              <w:spacing w:before="0" w:after="0"/>
              <w:jc w:val="center"/>
              <w:rPr/>
            </w:pPr>
            <w:r>
              <w:rPr>
                <w:rFonts w:cs="Arial" w:ascii="Arial" w:hAnsi="Arial"/>
                <w:b/>
                <w:sz w:val="18"/>
                <w:lang w:bidi="ar-IQ"/>
              </w:rPr>
              <w:t>Description</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rPr>
                <w:rFonts w:cs="Arial"/>
                <w:szCs w:val="18"/>
                <w:lang w:bidi="ar-IQ"/>
              </w:rPr>
            </w:pPr>
            <w:r>
              <w:rPr/>
              <w:t>Session Identifier</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bidi="ar-IQ"/>
              </w:rPr>
            </w:pPr>
            <w:r>
              <w:rPr>
                <w:szCs w:val="18"/>
                <w:lang w:bidi="ar-IQ"/>
              </w:rPr>
              <w:t>O</w:t>
            </w:r>
            <w:r>
              <w:rPr>
                <w:szCs w:val="18"/>
                <w:vertAlign w:val="subscript"/>
                <w:lang w:bidi="ar-IQ"/>
              </w:rPr>
              <w:t>C</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rFonts w:cs="Arial"/>
                <w:lang w:val="en-US" w:eastAsia="en-US"/>
              </w:rPr>
            </w:pPr>
            <w:r>
              <w:rPr>
                <w:szCs w:val="18"/>
                <w:lang w:val="fr-FR"/>
              </w:rPr>
              <w:t>O</w:t>
            </w:r>
            <w:r>
              <w:rPr>
                <w:szCs w:val="18"/>
                <w:vertAlign w:val="subscript"/>
                <w:lang w:val="fr-FR"/>
              </w:rPr>
              <w:t>C</w:t>
            </w:r>
          </w:p>
        </w:tc>
        <w:tc>
          <w:tcPr>
            <w:tcW w:w="4888" w:type="dxa"/>
            <w:tcBorders>
              <w:top w:val="single" w:sz="6" w:space="0" w:color="000000"/>
              <w:left w:val="single" w:sz="6" w:space="0" w:color="000000"/>
              <w:bottom w:val="single" w:sz="6" w:space="0" w:color="000000"/>
              <w:right w:val="single" w:sz="6" w:space="0" w:color="000000"/>
            </w:tcBorders>
          </w:tcPr>
          <w:p>
            <w:pPr>
              <w:pStyle w:val="TAL"/>
              <w:rPr>
                <w:lang w:bidi="ar-IQ"/>
              </w:rPr>
            </w:pPr>
            <w:r>
              <w:rPr>
                <w:rFonts w:cs="Arial"/>
                <w:lang w:val="en-US" w:eastAsia="en-US"/>
              </w:rPr>
              <w:t>This field identifies the charging session.</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rPr>
                <w:rFonts w:cs="Arial"/>
                <w:szCs w:val="18"/>
                <w:lang w:bidi="ar-IQ"/>
              </w:rPr>
            </w:pPr>
            <w:r>
              <w:rPr/>
              <w:t>Subscriber Identifier</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bidi="ar-IQ"/>
              </w:rPr>
            </w:pPr>
            <w:r>
              <w:rPr>
                <w:szCs w:val="18"/>
              </w:rPr>
              <w:t>O</w:t>
            </w:r>
            <w:r>
              <w:rPr>
                <w:szCs w:val="18"/>
                <w:vertAlign w:val="subscript"/>
              </w:rPr>
              <w:t>M</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szCs w:val="18"/>
                <w:lang w:val="fr-FR"/>
              </w:rPr>
              <w:t>O</w:t>
            </w:r>
            <w:r>
              <w:rPr>
                <w:szCs w:val="18"/>
                <w:vertAlign w:val="subscript"/>
                <w:lang w:val="fr-FR"/>
              </w:rPr>
              <w:t>M</w:t>
            </w:r>
          </w:p>
        </w:tc>
        <w:tc>
          <w:tcPr>
            <w:tcW w:w="4888" w:type="dxa"/>
            <w:tcBorders>
              <w:top w:val="single" w:sz="6" w:space="0" w:color="000000"/>
              <w:left w:val="single" w:sz="6" w:space="0" w:color="000000"/>
              <w:bottom w:val="single" w:sz="6" w:space="0" w:color="000000"/>
              <w:right w:val="single" w:sz="6" w:space="0" w:color="000000"/>
            </w:tcBorders>
          </w:tcPr>
          <w:p>
            <w:pPr>
              <w:pStyle w:val="TAL"/>
              <w:rPr>
                <w:lang w:bidi="ar-IQ"/>
              </w:rPr>
            </w:pPr>
            <w:r>
              <w:rPr>
                <w:rFonts w:cs="Arial"/>
              </w:rPr>
              <w:t>This field contains the identification of the individual subscriber that uses the requested service.</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rPr>
                <w:rFonts w:cs="Arial"/>
                <w:szCs w:val="18"/>
                <w:lang w:bidi="ar-IQ"/>
              </w:rPr>
            </w:pPr>
            <w:r>
              <w:rPr/>
              <w:t>NF Consumer Identification</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bidi="ar-IQ"/>
              </w:rPr>
            </w:pPr>
            <w:r>
              <w:rPr>
                <w:szCs w:val="18"/>
                <w:lang w:bidi="ar-IQ"/>
              </w:rPr>
              <w:t>M</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szCs w:val="18"/>
                <w:lang w:val="fr-FR" w:eastAsia="zh-CN"/>
              </w:rPr>
              <w:t>M</w:t>
            </w:r>
          </w:p>
        </w:tc>
        <w:tc>
          <w:tcPr>
            <w:tcW w:w="4888" w:type="dxa"/>
            <w:tcBorders>
              <w:top w:val="single" w:sz="6" w:space="0" w:color="000000"/>
              <w:left w:val="single" w:sz="6" w:space="0" w:color="000000"/>
              <w:bottom w:val="single" w:sz="6" w:space="0" w:color="000000"/>
              <w:right w:val="single" w:sz="6" w:space="0" w:color="000000"/>
            </w:tcBorders>
          </w:tcPr>
          <w:p>
            <w:pPr>
              <w:pStyle w:val="TAL"/>
              <w:rPr>
                <w:lang w:bidi="ar-IQ"/>
              </w:rPr>
            </w:pPr>
            <w:r>
              <w:rPr>
                <w:rFonts w:cs="Arial"/>
              </w:rPr>
              <w:t>This is a grouped field which contains a set of information identifying the NF consumer of the charging service.</w:t>
            </w:r>
          </w:p>
        </w:tc>
      </w:tr>
      <w:tr>
        <w:trPr>
          <w:trHeight w:val="283" w:hRule="exact"/>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ind w:left="284" w:hanging="0"/>
              <w:rPr>
                <w:lang w:eastAsia="zh-CN"/>
              </w:rPr>
            </w:pPr>
            <w:r>
              <w:rPr>
                <w:lang w:eastAsia="zh-CN"/>
              </w:rPr>
              <w:t>NF Functionality</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szCs w:val="18"/>
                <w:lang w:bidi="ar-IQ"/>
              </w:rPr>
              <w:t>M</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lang w:eastAsia="zh-CN"/>
              </w:rPr>
            </w:pPr>
            <w:r>
              <w:rPr>
                <w:szCs w:val="18"/>
                <w:lang w:val="fr-FR"/>
              </w:rPr>
              <w:t>M</w:t>
            </w:r>
          </w:p>
        </w:tc>
        <w:tc>
          <w:tcPr>
            <w:tcW w:w="4888"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eastAsia="zh-CN"/>
              </w:rPr>
              <w:t xml:space="preserve">This field contains the function of the node. </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ind w:left="284" w:hanging="0"/>
              <w:rPr/>
            </w:pPr>
            <w:r>
              <w:rPr>
                <w:rFonts w:cs="Arial"/>
                <w:lang w:bidi="ar-IQ"/>
              </w:rPr>
              <w:t>NF Name</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bidi="ar-IQ"/>
              </w:rPr>
            </w:pPr>
            <w:r>
              <w:rPr>
                <w:szCs w:val="18"/>
                <w:lang w:bidi="ar-IQ"/>
              </w:rPr>
              <w:t>O</w:t>
            </w:r>
            <w:r>
              <w:rPr>
                <w:szCs w:val="18"/>
                <w:vertAlign w:val="subscript"/>
                <w:lang w:bidi="ar-IQ"/>
              </w:rPr>
              <w:t>C</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szCs w:val="18"/>
                <w:lang w:val="fr-FR" w:bidi="ar-IQ"/>
              </w:rPr>
              <w:t>O</w:t>
            </w:r>
            <w:r>
              <w:rPr>
                <w:szCs w:val="18"/>
                <w:vertAlign w:val="subscript"/>
                <w:lang w:val="fr-FR" w:bidi="ar-IQ"/>
              </w:rPr>
              <w:t>C</w:t>
            </w:r>
          </w:p>
        </w:tc>
        <w:tc>
          <w:tcPr>
            <w:tcW w:w="4888" w:type="dxa"/>
            <w:tcBorders>
              <w:top w:val="single" w:sz="6" w:space="0" w:color="000000"/>
              <w:left w:val="single" w:sz="6" w:space="0" w:color="000000"/>
              <w:bottom w:val="single" w:sz="6" w:space="0" w:color="000000"/>
              <w:right w:val="single" w:sz="6" w:space="0" w:color="000000"/>
            </w:tcBorders>
          </w:tcPr>
          <w:p>
            <w:pPr>
              <w:pStyle w:val="TAL"/>
              <w:rPr>
                <w:lang w:bidi="ar-IQ"/>
              </w:rPr>
            </w:pPr>
            <w:r>
              <w:rPr>
                <w:rFonts w:cs="Arial"/>
              </w:rPr>
              <w:t>This fields holds the name</w:t>
            </w:r>
            <w:r>
              <w:rPr>
                <w:rFonts w:cs="Arial"/>
                <w:lang w:val="en-GB"/>
              </w:rPr>
              <w:t xml:space="preserve"> </w:t>
            </w:r>
            <w:r>
              <w:rPr>
                <w:rFonts w:cs="Arial"/>
              </w:rPr>
              <w:t xml:space="preserve">(i.e. UUID) of the NF consumer. At least one of the </w:t>
            </w:r>
            <w:r>
              <w:rPr>
                <w:lang w:bidi="ar-IQ"/>
              </w:rPr>
              <w:t>NF Address</w:t>
            </w:r>
            <w:r>
              <w:rPr>
                <w:rFonts w:cs="Arial"/>
              </w:rPr>
              <w:t xml:space="preserve"> or </w:t>
            </w:r>
            <w:r>
              <w:rPr>
                <w:rFonts w:cs="Arial"/>
                <w:lang w:bidi="ar-IQ"/>
              </w:rPr>
              <w:t>NF Name</w:t>
            </w:r>
            <w:r>
              <w:rPr>
                <w:rFonts w:cs="Arial"/>
              </w:rPr>
              <w:t xml:space="preserve"> shall be present. </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ind w:left="284" w:hanging="0"/>
              <w:rPr>
                <w:lang w:bidi="ar-IQ"/>
              </w:rPr>
            </w:pPr>
            <w:r>
              <w:rPr>
                <w:lang w:bidi="ar-IQ"/>
              </w:rPr>
              <w:t>NF Address</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bidi="ar-IQ"/>
              </w:rPr>
            </w:pPr>
            <w:r>
              <w:rPr>
                <w:szCs w:val="18"/>
                <w:lang w:bidi="ar-IQ"/>
              </w:rPr>
              <w:t>O</w:t>
            </w:r>
            <w:r>
              <w:rPr>
                <w:szCs w:val="18"/>
                <w:vertAlign w:val="subscript"/>
                <w:lang w:bidi="ar-IQ"/>
              </w:rPr>
              <w:t>C</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pPr>
            <w:r>
              <w:rPr>
                <w:szCs w:val="18"/>
                <w:lang w:val="fr-FR" w:bidi="ar-IQ"/>
              </w:rPr>
              <w:t>O</w:t>
            </w:r>
            <w:r>
              <w:rPr>
                <w:szCs w:val="18"/>
                <w:vertAlign w:val="subscript"/>
                <w:lang w:val="fr-FR" w:bidi="ar-IQ"/>
              </w:rPr>
              <w:t>C</w:t>
            </w:r>
          </w:p>
        </w:tc>
        <w:tc>
          <w:tcPr>
            <w:tcW w:w="4888" w:type="dxa"/>
            <w:tcBorders>
              <w:top w:val="single" w:sz="6" w:space="0" w:color="000000"/>
              <w:left w:val="single" w:sz="6" w:space="0" w:color="000000"/>
              <w:bottom w:val="single" w:sz="6" w:space="0" w:color="000000"/>
              <w:right w:val="single" w:sz="6" w:space="0" w:color="000000"/>
            </w:tcBorders>
          </w:tcPr>
          <w:p>
            <w:pPr>
              <w:pStyle w:val="TAL"/>
              <w:rPr>
                <w:lang w:bidi="ar-IQ"/>
              </w:rPr>
            </w:pPr>
            <w:r>
              <w:rPr/>
              <w:t>This field holds the address (i.e. IP address and/or FQDN)</w:t>
            </w:r>
            <w:r>
              <w:rPr>
                <w:lang w:val="en-GB"/>
              </w:rPr>
              <w:t xml:space="preserve"> </w:t>
            </w:r>
            <w:r>
              <w:rPr/>
              <w:t xml:space="preserve">of </w:t>
            </w:r>
            <w:r>
              <w:rPr>
                <w:rFonts w:cs="Arial"/>
              </w:rPr>
              <w:t xml:space="preserve">NF consumer. At least one of the </w:t>
            </w:r>
            <w:r>
              <w:rPr>
                <w:lang w:bidi="ar-IQ"/>
              </w:rPr>
              <w:t>NF Address</w:t>
            </w:r>
            <w:r>
              <w:rPr>
                <w:rFonts w:cs="Arial"/>
              </w:rPr>
              <w:t xml:space="preserve"> or </w:t>
            </w:r>
            <w:r>
              <w:rPr>
                <w:rFonts w:cs="Arial"/>
                <w:lang w:bidi="ar-IQ"/>
              </w:rPr>
              <w:t>NF Name</w:t>
            </w:r>
            <w:r>
              <w:rPr>
                <w:rFonts w:cs="Arial"/>
              </w:rPr>
              <w:t xml:space="preserve"> shall be present. </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NF PLMN ID</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bidi="ar-IQ"/>
              </w:rPr>
            </w:pPr>
            <w:r>
              <w:rPr>
                <w:szCs w:val="18"/>
                <w:lang w:bidi="ar-IQ"/>
              </w:rPr>
              <w:t>O</w:t>
            </w:r>
            <w:r>
              <w:rPr>
                <w:szCs w:val="18"/>
                <w:vertAlign w:val="subscript"/>
                <w:lang w:bidi="ar-IQ"/>
              </w:rPr>
              <w:t>C</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pPr>
            <w:r>
              <w:rPr>
                <w:szCs w:val="18"/>
                <w:lang w:val="fr-FR"/>
              </w:rPr>
              <w:t>O</w:t>
            </w:r>
            <w:r>
              <w:rPr>
                <w:szCs w:val="18"/>
                <w:vertAlign w:val="subscript"/>
                <w:lang w:val="fr-FR"/>
              </w:rPr>
              <w:t>C</w:t>
            </w:r>
          </w:p>
        </w:tc>
        <w:tc>
          <w:tcPr>
            <w:tcW w:w="4888" w:type="dxa"/>
            <w:tcBorders>
              <w:top w:val="single" w:sz="6" w:space="0" w:color="000000"/>
              <w:left w:val="single" w:sz="6" w:space="0" w:color="000000"/>
              <w:bottom w:val="single" w:sz="6" w:space="0" w:color="000000"/>
              <w:right w:val="single" w:sz="6" w:space="0" w:color="000000"/>
            </w:tcBorders>
          </w:tcPr>
          <w:p>
            <w:pPr>
              <w:pStyle w:val="TAL"/>
              <w:rPr>
                <w:lang w:bidi="ar-IQ"/>
              </w:rPr>
            </w:pPr>
            <w:r>
              <w:rPr/>
              <w:t xml:space="preserve">This field holds the PLMN ID of the network the </w:t>
            </w:r>
            <w:r>
              <w:rPr>
                <w:rFonts w:cs="Arial"/>
              </w:rPr>
              <w:t xml:space="preserve">NF consumer </w:t>
            </w:r>
            <w:r>
              <w:rPr/>
              <w:t>belongs to.</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rPr/>
            </w:pPr>
            <w:r>
              <w:rPr>
                <w:lang w:bidi="ar-IQ"/>
              </w:rPr>
              <w:t>Charging Identifier</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szCs w:val="18"/>
              </w:rPr>
              <w:t>O</w:t>
            </w:r>
            <w:r>
              <w:rPr>
                <w:szCs w:val="18"/>
                <w:vertAlign w:val="subscript"/>
              </w:rPr>
              <w:t>M</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fr-FR"/>
              </w:rPr>
            </w:pPr>
            <w:r>
              <w:rPr>
                <w:lang w:val="fr-FR" w:eastAsia="zh-CN"/>
              </w:rPr>
              <w:t>-</w:t>
            </w:r>
          </w:p>
        </w:tc>
        <w:tc>
          <w:tcPr>
            <w:tcW w:w="4888" w:type="dxa"/>
            <w:tcBorders>
              <w:top w:val="single" w:sz="6" w:space="0" w:color="000000"/>
              <w:left w:val="single" w:sz="6" w:space="0" w:color="000000"/>
              <w:bottom w:val="single" w:sz="6" w:space="0" w:color="000000"/>
              <w:right w:val="single" w:sz="6" w:space="0" w:color="000000"/>
            </w:tcBorders>
          </w:tcPr>
          <w:p>
            <w:pPr>
              <w:pStyle w:val="TAL"/>
              <w:rPr/>
            </w:pPr>
            <w:r>
              <w:rPr/>
              <w:t>This field contains the charging identifier allowing correlation of charging information. Only applicable if not provided in the NF (CTF) consumer specific structure.</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rPr>
                <w:rFonts w:cs="Arial"/>
                <w:szCs w:val="18"/>
                <w:lang w:bidi="ar-IQ"/>
              </w:rPr>
            </w:pPr>
            <w:r>
              <w:rPr>
                <w:lang w:bidi="ar-IQ"/>
              </w:rPr>
              <w:t>Invocation Timestamp</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bidi="ar-IQ"/>
              </w:rPr>
            </w:pPr>
            <w:r>
              <w:rPr>
                <w:szCs w:val="18"/>
                <w:lang w:bidi="ar-IQ"/>
              </w:rPr>
              <w:t>M</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lang w:val="fr-FR" w:eastAsia="zh-CN"/>
              </w:rPr>
            </w:pPr>
            <w:r>
              <w:rPr>
                <w:lang w:val="fr-FR" w:eastAsia="zh-CN"/>
              </w:rPr>
              <w:t>M</w:t>
            </w:r>
          </w:p>
        </w:tc>
        <w:tc>
          <w:tcPr>
            <w:tcW w:w="4888" w:type="dxa"/>
            <w:tcBorders>
              <w:top w:val="single" w:sz="6" w:space="0" w:color="000000"/>
              <w:left w:val="single" w:sz="6" w:space="0" w:color="000000"/>
              <w:bottom w:val="single" w:sz="6" w:space="0" w:color="000000"/>
              <w:right w:val="single" w:sz="6" w:space="0" w:color="000000"/>
            </w:tcBorders>
          </w:tcPr>
          <w:p>
            <w:pPr>
              <w:pStyle w:val="TAL"/>
              <w:rPr>
                <w:lang w:bidi="ar-IQ"/>
              </w:rPr>
            </w:pPr>
            <w:r>
              <w:rPr/>
              <w:t>This field holds</w:t>
            </w:r>
            <w:r>
              <w:rPr>
                <w:lang w:bidi="ar-IQ"/>
              </w:rPr>
              <w:t xml:space="preserve"> </w:t>
            </w:r>
            <w:r>
              <w:rPr/>
              <w:t>the timestamp of the charging service invocation by the NF consumer</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rPr>
                <w:rFonts w:eastAsia="MS Mincho;MS Mincho"/>
                <w:szCs w:val="18"/>
                <w:lang w:bidi="ar-IQ"/>
              </w:rPr>
            </w:pPr>
            <w:r>
              <w:rPr/>
              <w:t>Invocation Sequence Number</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rFonts w:eastAsia="SimSun;宋体"/>
                <w:szCs w:val="18"/>
                <w:lang w:bidi="ar-IQ"/>
              </w:rPr>
            </w:pPr>
            <w:r>
              <w:rPr>
                <w:szCs w:val="18"/>
                <w:lang w:bidi="ar-IQ"/>
              </w:rPr>
              <w:t>M</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szCs w:val="18"/>
                <w:lang w:val="fr-FR"/>
              </w:rPr>
              <w:t>M</w:t>
            </w:r>
          </w:p>
        </w:tc>
        <w:tc>
          <w:tcPr>
            <w:tcW w:w="4888" w:type="dxa"/>
            <w:tcBorders>
              <w:top w:val="single" w:sz="6" w:space="0" w:color="000000"/>
              <w:left w:val="single" w:sz="6" w:space="0" w:color="000000"/>
              <w:bottom w:val="single" w:sz="6" w:space="0" w:color="000000"/>
              <w:right w:val="single" w:sz="6" w:space="0" w:color="000000"/>
            </w:tcBorders>
          </w:tcPr>
          <w:p>
            <w:pPr>
              <w:pStyle w:val="TAL"/>
              <w:rPr/>
            </w:pPr>
            <w:r>
              <w:rPr>
                <w:rFonts w:cs="Arial"/>
              </w:rPr>
              <w:t xml:space="preserve">This field contains the sequence number of the charging service invocation </w:t>
            </w:r>
            <w:r>
              <w:rPr/>
              <w:t>by the NF consumer</w:t>
            </w:r>
            <w:r>
              <w:rPr>
                <w:lang w:val="en-GB"/>
              </w:rPr>
              <w:t xml:space="preserve"> </w:t>
            </w:r>
            <w:r>
              <w:rPr/>
              <w:t>in a charging session</w:t>
            </w:r>
            <w:r>
              <w:rPr>
                <w:rFonts w:cs="Arial"/>
              </w:rPr>
              <w:t>.</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rPr/>
            </w:pPr>
            <w:r>
              <w:rPr/>
              <w:t>Retransmission Indicator</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szCs w:val="18"/>
              </w:rPr>
              <w:t>O</w:t>
            </w:r>
            <w:r>
              <w:rPr>
                <w:szCs w:val="18"/>
                <w:vertAlign w:val="subscript"/>
              </w:rPr>
              <w:t>C</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lang w:val="fr-FR" w:bidi="ar-IQ"/>
              </w:rPr>
              <w:t>O</w:t>
            </w:r>
            <w:r>
              <w:rPr>
                <w:vertAlign w:val="subscript"/>
                <w:lang w:val="fr-FR" w:bidi="ar-IQ"/>
              </w:rPr>
              <w:t>C</w:t>
            </w:r>
          </w:p>
        </w:tc>
        <w:tc>
          <w:tcPr>
            <w:tcW w:w="488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 xml:space="preserve">This field indicates if included,  this is a </w:t>
            </w:r>
            <w:r>
              <w:rPr>
                <w:lang w:val="en-US" w:eastAsia="en-US"/>
              </w:rPr>
              <w:t xml:space="preserve">retransmitted </w:t>
            </w:r>
            <w:r>
              <w:rPr/>
              <w:t>request message.</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One-time Event</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lang w:val="fr-FR" w:bidi="ar-IQ"/>
              </w:rPr>
              <w:t>O</w:t>
            </w:r>
            <w:r>
              <w:rPr>
                <w:vertAlign w:val="subscript"/>
                <w:lang w:val="fr-FR" w:bidi="ar-IQ"/>
              </w:rPr>
              <w:t>C</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lang w:val="fr-FR" w:eastAsia="en-US"/>
              </w:rPr>
              <w:t>-</w:t>
            </w:r>
          </w:p>
        </w:tc>
        <w:tc>
          <w:tcPr>
            <w:tcW w:w="4888" w:type="dxa"/>
            <w:tcBorders>
              <w:top w:val="single" w:sz="6" w:space="0" w:color="000000"/>
              <w:left w:val="single" w:sz="6" w:space="0" w:color="000000"/>
              <w:bottom w:val="single" w:sz="6" w:space="0" w:color="000000"/>
              <w:right w:val="single" w:sz="6" w:space="0" w:color="000000"/>
            </w:tcBorders>
          </w:tcPr>
          <w:p>
            <w:pPr>
              <w:pStyle w:val="TAL"/>
              <w:rPr/>
            </w:pPr>
            <w:r>
              <w:rPr>
                <w:rFonts w:cs="Arial"/>
              </w:rPr>
              <w:t>This field indicates, if included, that this is  event based charging</w:t>
            </w:r>
            <w:r>
              <w:rPr>
                <w:rFonts w:cs="Arial"/>
                <w:lang w:val="en-GB"/>
              </w:rPr>
              <w:t xml:space="preserve"> </w:t>
            </w:r>
            <w:r>
              <w:rPr>
                <w:rFonts w:cs="Arial"/>
              </w:rPr>
              <w:t xml:space="preserve">and whether this is a one-time event </w:t>
            </w:r>
            <w:r>
              <w:rPr>
                <w:rFonts w:cs="Arial"/>
              </w:rPr>
              <w:t>in</w:t>
            </w:r>
            <w:r>
              <w:rPr>
                <w:rFonts w:cs="Arial"/>
                <w:lang w:val="en-GB"/>
              </w:rPr>
              <w:t xml:space="preserve"> </w:t>
            </w:r>
            <w:r>
              <w:rPr>
                <w:rFonts w:cs="Arial"/>
              </w:rPr>
              <w:t>that there will be no update or termination.</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cs="Arial"/>
              </w:rPr>
              <w:t>O</w:t>
            </w:r>
            <w:r>
              <w:rPr>
                <w:rFonts w:cs="Arial"/>
              </w:rPr>
              <w:t>ne</w:t>
            </w:r>
            <w:r>
              <w:rPr>
                <w:rFonts w:cs="Arial"/>
              </w:rPr>
              <w:t>-time Event Type</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lang w:bidi="ar-IQ"/>
              </w:rPr>
            </w:pPr>
            <w:r>
              <w:rPr>
                <w:lang w:val="fr-FR" w:bidi="ar-IQ"/>
              </w:rPr>
              <w:t>O</w:t>
            </w:r>
            <w:r>
              <w:rPr>
                <w:vertAlign w:val="subscript"/>
                <w:lang w:val="fr-FR" w:bidi="ar-IQ"/>
              </w:rPr>
              <w:t>C</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rFonts w:cs="Arial"/>
                <w:lang w:val="fr-FR" w:eastAsia="en-US"/>
              </w:rPr>
            </w:pPr>
            <w:r>
              <w:rPr>
                <w:rFonts w:cs="Arial"/>
                <w:lang w:val="fr-FR" w:eastAsia="en-US"/>
              </w:rPr>
              <w:t>-</w:t>
            </w:r>
          </w:p>
        </w:tc>
        <w:tc>
          <w:tcPr>
            <w:tcW w:w="488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This field indicated the type of the one time event, i.e. Immediate or Post event charging.</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rPr/>
            </w:pPr>
            <w:r>
              <w:rPr/>
              <w:t>Notify URI</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szCs w:val="18"/>
                <w:lang w:bidi="ar-IQ"/>
              </w:rPr>
              <w:t>O</w:t>
            </w:r>
            <w:r>
              <w:rPr>
                <w:szCs w:val="18"/>
                <w:vertAlign w:val="subscript"/>
                <w:lang w:bidi="ar-IQ"/>
              </w:rPr>
              <w:t>C</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rFonts w:cs="Arial"/>
                <w:lang w:val="en-US" w:eastAsia="en-US"/>
              </w:rPr>
            </w:pPr>
            <w:r>
              <w:rPr>
                <w:lang w:val="fr-FR"/>
              </w:rPr>
              <w:t>-</w:t>
            </w:r>
          </w:p>
        </w:tc>
        <w:tc>
          <w:tcPr>
            <w:tcW w:w="4888" w:type="dxa"/>
            <w:tcBorders>
              <w:top w:val="single" w:sz="6" w:space="0" w:color="000000"/>
              <w:left w:val="single" w:sz="6" w:space="0" w:color="000000"/>
              <w:bottom w:val="single" w:sz="6" w:space="0" w:color="000000"/>
              <w:right w:val="single" w:sz="6" w:space="0" w:color="000000"/>
            </w:tcBorders>
          </w:tcPr>
          <w:p>
            <w:pPr>
              <w:pStyle w:val="TAL"/>
              <w:rPr>
                <w:lang w:bidi="ar-IQ"/>
              </w:rPr>
            </w:pPr>
            <w:r>
              <w:rPr>
                <w:rFonts w:cs="Arial"/>
                <w:lang w:val="en-US" w:eastAsia="en-US"/>
              </w:rPr>
              <w:t>This field contains</w:t>
            </w:r>
            <w:r>
              <w:rPr>
                <w:lang w:val="en-US" w:eastAsia="en-US"/>
              </w:rPr>
              <w:t xml:space="preserve"> URI </w:t>
            </w:r>
            <w:r>
              <w:rPr/>
              <w:t xml:space="preserve">to which notifications are </w:t>
            </w:r>
            <w:r>
              <w:rPr>
                <w:lang w:val="en-US" w:eastAsia="en-US"/>
              </w:rPr>
              <w:t>sent by the CHF.</w:t>
            </w:r>
            <w:r>
              <w:rPr/>
              <w:t xml:space="preserve"> The latest received value shall always be used at notifications.</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Supported Features</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lang w:eastAsia="zh-CN"/>
              </w:rPr>
              <w:t>O</w:t>
            </w:r>
            <w:r>
              <w:rPr>
                <w:vertAlign w:val="subscript"/>
                <w:lang w:eastAsia="zh-CN"/>
              </w:rPr>
              <w:t>C</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lang w:val="fr-FR"/>
              </w:rPr>
            </w:pPr>
            <w:r>
              <w:rPr>
                <w:szCs w:val="18"/>
                <w:lang w:val="fr-FR" w:bidi="ar-IQ"/>
              </w:rPr>
              <w:t>-</w:t>
            </w:r>
          </w:p>
        </w:tc>
        <w:tc>
          <w:tcPr>
            <w:tcW w:w="488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lang w:val="en-IE"/>
              </w:rPr>
              <w:t>This field indicates the features supported by the NF consumer.</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Service Specification Information</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szCs w:val="18"/>
                <w:lang w:bidi="ar-IQ"/>
              </w:rPr>
              <w:t>O</w:t>
            </w:r>
            <w:r>
              <w:rPr>
                <w:szCs w:val="18"/>
                <w:vertAlign w:val="subscript"/>
                <w:lang w:bidi="ar-IQ"/>
              </w:rPr>
              <w:t>C</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lang w:val="fr-FR"/>
              </w:rPr>
            </w:pPr>
            <w:r>
              <w:rPr>
                <w:lang w:val="fr-FR"/>
              </w:rPr>
              <w:t>-</w:t>
            </w:r>
          </w:p>
        </w:tc>
        <w:tc>
          <w:tcPr>
            <w:tcW w:w="488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t>This field identifies</w:t>
            </w:r>
            <w:r>
              <w:rPr>
                <w:lang w:val="en-US" w:eastAsia="en-US"/>
              </w:rPr>
              <w:t xml:space="preserve"> the technical specification for the service (e.g. TS 32.255) and release version (e.g. Release 16) that applies to the request. It is for information.</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bidi="ar-IQ"/>
              </w:rPr>
              <w:t>Triggers</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lang w:eastAsia="zh-CN"/>
              </w:rPr>
              <w:t>O</w:t>
            </w:r>
            <w:r>
              <w:rPr>
                <w:vertAlign w:val="subscript"/>
                <w:lang w:eastAsia="zh-CN"/>
              </w:rPr>
              <w:t>C</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pPr>
            <w:r>
              <w:rPr>
                <w:szCs w:val="18"/>
                <w:lang w:val="fr-FR"/>
              </w:rPr>
              <w:t>O</w:t>
            </w:r>
            <w:r>
              <w:rPr>
                <w:szCs w:val="18"/>
                <w:vertAlign w:val="subscript"/>
                <w:lang w:val="fr-FR"/>
              </w:rPr>
              <w:t>C</w:t>
            </w:r>
          </w:p>
        </w:tc>
        <w:tc>
          <w:tcPr>
            <w:tcW w:w="4888" w:type="dxa"/>
            <w:tcBorders>
              <w:top w:val="single" w:sz="6" w:space="0" w:color="000000"/>
              <w:left w:val="single" w:sz="6" w:space="0" w:color="000000"/>
              <w:bottom w:val="single" w:sz="6" w:space="0" w:color="000000"/>
              <w:right w:val="single" w:sz="6" w:space="0" w:color="000000"/>
            </w:tcBorders>
          </w:tcPr>
          <w:p>
            <w:pPr>
              <w:pStyle w:val="TAL"/>
              <w:rPr>
                <w:lang w:eastAsia="zh-CN" w:bidi="ar-IQ"/>
              </w:rPr>
            </w:pPr>
            <w:r>
              <w:rPr/>
              <w:t>This field identifies the event(s) triggering the request and is common to all Multiple Unit Usage occurrences.</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rPr>
                <w:rFonts w:eastAsia="MS Mincho;MS Mincho"/>
              </w:rPr>
            </w:pPr>
            <w:r>
              <w:rPr/>
              <w:t xml:space="preserve">Multiple </w:t>
            </w:r>
            <w:r>
              <w:rPr>
                <w:lang w:eastAsia="zh-CN"/>
              </w:rPr>
              <w:t>Unit</w:t>
            </w:r>
            <w:r>
              <w:rPr/>
              <w:t xml:space="preserve"> Usage </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rFonts w:eastAsia="SimSun;宋体"/>
                <w:szCs w:val="18"/>
                <w:lang w:bidi="ar-IQ"/>
              </w:rPr>
            </w:pPr>
            <w:r>
              <w:rPr>
                <w:szCs w:val="18"/>
                <w:lang w:bidi="ar-IQ"/>
              </w:rPr>
              <w:t>O</w:t>
            </w:r>
            <w:r>
              <w:rPr>
                <w:szCs w:val="18"/>
                <w:vertAlign w:val="subscript"/>
                <w:lang w:bidi="ar-IQ"/>
              </w:rPr>
              <w:t>C</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rFonts w:cs="Arial"/>
                <w:lang w:val="en-US" w:eastAsia="en-US"/>
              </w:rPr>
            </w:pPr>
            <w:r>
              <w:rPr>
                <w:szCs w:val="18"/>
                <w:lang w:val="fr-FR" w:bidi="ar-IQ"/>
              </w:rPr>
              <w:t>O</w:t>
            </w:r>
            <w:r>
              <w:rPr>
                <w:szCs w:val="18"/>
                <w:vertAlign w:val="subscript"/>
                <w:lang w:val="fr-FR" w:bidi="ar-IQ"/>
              </w:rPr>
              <w:t>C</w:t>
            </w:r>
          </w:p>
        </w:tc>
        <w:tc>
          <w:tcPr>
            <w:tcW w:w="4888" w:type="dxa"/>
            <w:tcBorders>
              <w:top w:val="single" w:sz="6" w:space="0" w:color="000000"/>
              <w:left w:val="single" w:sz="6" w:space="0" w:color="000000"/>
              <w:bottom w:val="single" w:sz="6" w:space="0" w:color="000000"/>
              <w:right w:val="single" w:sz="6" w:space="0" w:color="000000"/>
            </w:tcBorders>
          </w:tcPr>
          <w:p>
            <w:pPr>
              <w:pStyle w:val="TAL"/>
              <w:rPr>
                <w:lang w:bidi="ar-IQ"/>
              </w:rPr>
            </w:pPr>
            <w:r>
              <w:rPr>
                <w:rFonts w:cs="Arial"/>
                <w:lang w:val="en-US" w:eastAsia="en-US"/>
              </w:rPr>
              <w:t xml:space="preserve">This field contains the parameters for the quota management request and/or usage reporting. It may have multiple </w:t>
            </w:r>
            <w:r>
              <w:rPr>
                <w:rFonts w:cs="Arial"/>
              </w:rPr>
              <w:t>occurrences</w:t>
            </w:r>
            <w:r>
              <w:rPr>
                <w:rFonts w:cs="Arial"/>
                <w:lang w:val="en-US" w:eastAsia="en-US"/>
              </w:rPr>
              <w:t>.</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ind w:left="284" w:hanging="0"/>
              <w:rPr/>
            </w:pPr>
            <w:r>
              <w:rPr>
                <w:lang w:eastAsia="zh-CN" w:bidi="ar-IQ"/>
              </w:rPr>
              <w:t>Rating</w:t>
            </w:r>
            <w:r>
              <w:rPr>
                <w:lang w:eastAsia="zh-CN" w:bidi="ar-IQ"/>
              </w:rPr>
              <w:t xml:space="preserve"> Group</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szCs w:val="18"/>
                <w:lang w:eastAsia="zh-CN" w:bidi="ar-IQ"/>
              </w:rPr>
            </w:pPr>
            <w:r>
              <w:rPr>
                <w:szCs w:val="18"/>
                <w:lang w:eastAsia="zh-CN" w:bidi="ar-IQ"/>
              </w:rPr>
              <w:t>M</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rFonts w:eastAsia="MS Mincho;MS Mincho"/>
                <w:lang w:val="fr-FR"/>
              </w:rPr>
            </w:pPr>
            <w:r>
              <w:rPr>
                <w:rFonts w:eastAsia="MS Mincho;MS Mincho"/>
                <w:lang w:val="fr-FR"/>
              </w:rPr>
              <w:t>M</w:t>
            </w:r>
          </w:p>
        </w:tc>
        <w:tc>
          <w:tcPr>
            <w:tcW w:w="4888" w:type="dxa"/>
            <w:tcBorders>
              <w:top w:val="single" w:sz="6" w:space="0" w:color="000000"/>
              <w:left w:val="single" w:sz="6" w:space="0" w:color="000000"/>
              <w:bottom w:val="single" w:sz="6" w:space="0" w:color="000000"/>
              <w:right w:val="single" w:sz="6" w:space="0" w:color="000000"/>
            </w:tcBorders>
          </w:tcPr>
          <w:p>
            <w:pPr>
              <w:pStyle w:val="TAL"/>
              <w:rPr/>
            </w:pPr>
            <w:r>
              <w:rPr/>
              <w:t>This field holds the identifier of a rating group.</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ind w:left="284" w:hanging="0"/>
              <w:rPr/>
            </w:pPr>
            <w:r>
              <w:rPr>
                <w:lang w:eastAsia="zh-CN" w:bidi="ar-IQ"/>
              </w:rPr>
              <w:t>Requested Unit</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szCs w:val="18"/>
                <w:lang w:bidi="ar-IQ"/>
              </w:rPr>
              <w:t>O</w:t>
            </w:r>
            <w:r>
              <w:rPr>
                <w:szCs w:val="18"/>
                <w:vertAlign w:val="subscript"/>
                <w:lang w:bidi="ar-IQ"/>
              </w:rPr>
              <w:t>C</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rFonts w:eastAsia="MS Mincho;MS Mincho"/>
              </w:rPr>
            </w:pPr>
            <w:r>
              <w:rPr>
                <w:lang w:val="fr-FR"/>
              </w:rPr>
              <w:t>-</w:t>
            </w:r>
          </w:p>
        </w:tc>
        <w:tc>
          <w:tcPr>
            <w:tcW w:w="4888" w:type="dxa"/>
            <w:tcBorders>
              <w:top w:val="single" w:sz="6" w:space="0" w:color="000000"/>
              <w:left w:val="single" w:sz="6" w:space="0" w:color="000000"/>
              <w:bottom w:val="single" w:sz="6" w:space="0" w:color="000000"/>
              <w:right w:val="single" w:sz="6" w:space="0" w:color="000000"/>
            </w:tcBorders>
          </w:tcPr>
          <w:p>
            <w:pPr>
              <w:pStyle w:val="TAL"/>
              <w:rPr/>
            </w:pPr>
            <w:r>
              <w:rPr>
                <w:rFonts w:eastAsia="MS Mincho;MS Mincho"/>
              </w:rPr>
              <w:t>This field indicates, if included, that quota management is required. It may additionally contain the amount of requested service units for a particular category.</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ind w:left="568" w:hanging="0"/>
              <w:rPr>
                <w:lang w:eastAsia="zh-CN" w:bidi="ar-IQ"/>
              </w:rPr>
            </w:pPr>
            <w:r>
              <w:rPr/>
              <w:t>Time</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lang w:eastAsia="zh-CN"/>
              </w:rPr>
              <w:t>O</w:t>
            </w:r>
            <w:r>
              <w:rPr>
                <w:vertAlign w:val="subscript"/>
                <w:lang w:eastAsia="zh-CN"/>
              </w:rPr>
              <w:t>C</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lang w:val="fr-FR" w:eastAsia="zh-CN"/>
              </w:rPr>
            </w:pPr>
            <w:r>
              <w:rPr>
                <w:lang w:val="fr-FR" w:eastAsia="zh-CN"/>
              </w:rPr>
              <w:t>-</w:t>
            </w:r>
          </w:p>
        </w:tc>
        <w:tc>
          <w:tcPr>
            <w:tcW w:w="4888" w:type="dxa"/>
            <w:tcBorders>
              <w:top w:val="single" w:sz="6" w:space="0" w:color="000000"/>
              <w:left w:val="single" w:sz="6" w:space="0" w:color="000000"/>
              <w:bottom w:val="single" w:sz="6" w:space="0" w:color="000000"/>
              <w:right w:val="single" w:sz="6" w:space="0" w:color="000000"/>
            </w:tcBorders>
          </w:tcPr>
          <w:p>
            <w:pPr>
              <w:pStyle w:val="TAL"/>
              <w:rPr>
                <w:rFonts w:eastAsia="MS Mincho;MS Mincho"/>
              </w:rPr>
            </w:pPr>
            <w:r>
              <w:rPr/>
              <w:t>This field holds the amount of requested time.</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ind w:left="568" w:hanging="0"/>
              <w:rPr>
                <w:lang w:eastAsia="zh-CN" w:bidi="ar-IQ"/>
              </w:rPr>
            </w:pPr>
            <w:r>
              <w:rPr/>
              <w:t>Total Volume</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lang w:eastAsia="zh-CN"/>
              </w:rPr>
              <w:t>O</w:t>
            </w:r>
            <w:r>
              <w:rPr>
                <w:vertAlign w:val="subscript"/>
                <w:lang w:eastAsia="zh-CN"/>
              </w:rPr>
              <w:t>C</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lang w:val="fr-FR" w:eastAsia="zh-CN"/>
              </w:rPr>
            </w:pPr>
            <w:r>
              <w:rPr>
                <w:lang w:val="fr-FR" w:eastAsia="zh-CN"/>
              </w:rPr>
              <w:t>-</w:t>
            </w:r>
          </w:p>
        </w:tc>
        <w:tc>
          <w:tcPr>
            <w:tcW w:w="4888" w:type="dxa"/>
            <w:tcBorders>
              <w:top w:val="single" w:sz="6" w:space="0" w:color="000000"/>
              <w:left w:val="single" w:sz="6" w:space="0" w:color="000000"/>
              <w:bottom w:val="single" w:sz="6" w:space="0" w:color="000000"/>
              <w:right w:val="single" w:sz="6" w:space="0" w:color="000000"/>
            </w:tcBorders>
          </w:tcPr>
          <w:p>
            <w:pPr>
              <w:pStyle w:val="TAL"/>
              <w:rPr>
                <w:rFonts w:eastAsia="MS Mincho;MS Mincho"/>
              </w:rPr>
            </w:pPr>
            <w:r>
              <w:rPr/>
              <w:t>This field holds the amount of requested volume in both uplink and downlink directions.</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ind w:left="568" w:hanging="0"/>
              <w:rPr>
                <w:lang w:eastAsia="zh-CN" w:bidi="ar-IQ"/>
              </w:rPr>
            </w:pPr>
            <w:r>
              <w:rPr/>
              <w:t>Uplink Volume</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lang w:eastAsia="zh-CN"/>
              </w:rPr>
              <w:t>O</w:t>
            </w:r>
            <w:r>
              <w:rPr>
                <w:vertAlign w:val="subscript"/>
                <w:lang w:eastAsia="zh-CN"/>
              </w:rPr>
              <w:t>C</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lang w:val="fr-FR" w:eastAsia="zh-CN"/>
              </w:rPr>
            </w:pPr>
            <w:r>
              <w:rPr>
                <w:lang w:val="fr-FR" w:eastAsia="zh-CN"/>
              </w:rPr>
              <w:t>-</w:t>
            </w:r>
          </w:p>
        </w:tc>
        <w:tc>
          <w:tcPr>
            <w:tcW w:w="4888" w:type="dxa"/>
            <w:tcBorders>
              <w:top w:val="single" w:sz="6" w:space="0" w:color="000000"/>
              <w:left w:val="single" w:sz="6" w:space="0" w:color="000000"/>
              <w:bottom w:val="single" w:sz="6" w:space="0" w:color="000000"/>
              <w:right w:val="single" w:sz="6" w:space="0" w:color="000000"/>
            </w:tcBorders>
          </w:tcPr>
          <w:p>
            <w:pPr>
              <w:pStyle w:val="TAL"/>
              <w:rPr>
                <w:rFonts w:eastAsia="MS Mincho;MS Mincho"/>
              </w:rPr>
            </w:pPr>
            <w:r>
              <w:rPr/>
              <w:t>This field holds the amount of requested volume in uplink direction.</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ind w:left="568" w:hanging="0"/>
              <w:rPr>
                <w:lang w:eastAsia="zh-CN" w:bidi="ar-IQ"/>
              </w:rPr>
            </w:pPr>
            <w:r>
              <w:rPr/>
              <w:t>Downlink Volume</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lang w:eastAsia="zh-CN"/>
              </w:rPr>
              <w:t>O</w:t>
            </w:r>
            <w:r>
              <w:rPr>
                <w:vertAlign w:val="subscript"/>
                <w:lang w:eastAsia="zh-CN"/>
              </w:rPr>
              <w:t>C</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lang w:val="fr-FR" w:eastAsia="zh-CN"/>
              </w:rPr>
            </w:pPr>
            <w:r>
              <w:rPr>
                <w:lang w:val="fr-FR" w:eastAsia="zh-CN"/>
              </w:rPr>
              <w:t>-</w:t>
            </w:r>
          </w:p>
        </w:tc>
        <w:tc>
          <w:tcPr>
            <w:tcW w:w="4888" w:type="dxa"/>
            <w:tcBorders>
              <w:top w:val="single" w:sz="6" w:space="0" w:color="000000"/>
              <w:left w:val="single" w:sz="6" w:space="0" w:color="000000"/>
              <w:bottom w:val="single" w:sz="6" w:space="0" w:color="000000"/>
              <w:right w:val="single" w:sz="6" w:space="0" w:color="000000"/>
            </w:tcBorders>
          </w:tcPr>
          <w:p>
            <w:pPr>
              <w:pStyle w:val="TAL"/>
              <w:rPr>
                <w:rFonts w:eastAsia="MS Mincho;MS Mincho"/>
              </w:rPr>
            </w:pPr>
            <w:r>
              <w:rPr/>
              <w:t>This field holds the amount of requested volume in downlink direction.</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ind w:left="568" w:hanging="0"/>
              <w:rPr>
                <w:lang w:eastAsia="zh-CN" w:bidi="ar-IQ"/>
              </w:rPr>
            </w:pPr>
            <w:r>
              <w:rPr/>
              <w:t>Service Specific Units</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lang w:eastAsia="zh-CN"/>
              </w:rPr>
              <w:t>O</w:t>
            </w:r>
            <w:r>
              <w:rPr>
                <w:vertAlign w:val="subscript"/>
                <w:lang w:eastAsia="zh-CN"/>
              </w:rPr>
              <w:t>C</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lang w:val="fr-FR" w:eastAsia="zh-CN"/>
              </w:rPr>
            </w:pPr>
            <w:r>
              <w:rPr>
                <w:lang w:val="fr-FR" w:eastAsia="zh-CN"/>
              </w:rPr>
              <w:t>-</w:t>
            </w:r>
          </w:p>
        </w:tc>
        <w:tc>
          <w:tcPr>
            <w:tcW w:w="4888" w:type="dxa"/>
            <w:tcBorders>
              <w:top w:val="single" w:sz="6" w:space="0" w:color="000000"/>
              <w:left w:val="single" w:sz="6" w:space="0" w:color="000000"/>
              <w:bottom w:val="single" w:sz="6" w:space="0" w:color="000000"/>
              <w:right w:val="single" w:sz="6" w:space="0" w:color="000000"/>
            </w:tcBorders>
          </w:tcPr>
          <w:p>
            <w:pPr>
              <w:pStyle w:val="TAL"/>
              <w:rPr>
                <w:rFonts w:eastAsia="MS Mincho;MS Mincho"/>
              </w:rPr>
            </w:pPr>
            <w:r>
              <w:rPr/>
              <w:t>This field holds the amount of requested service specific units.</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ind w:left="284" w:hanging="0"/>
              <w:rPr>
                <w:lang w:val="fr-FR" w:eastAsia="zh-CN"/>
              </w:rPr>
            </w:pPr>
            <w:r>
              <w:rPr>
                <w:lang w:eastAsia="zh-CN"/>
              </w:rPr>
              <w:t>Used Unit</w:t>
            </w:r>
            <w:r>
              <w:rPr>
                <w:lang w:val="fr-FR" w:eastAsia="zh-CN"/>
              </w:rPr>
              <w:t xml:space="preserve"> </w:t>
            </w:r>
            <w:r>
              <w:rPr>
                <w:lang w:eastAsia="zh-CN"/>
              </w:rPr>
              <w:t>Containe</w:t>
            </w:r>
            <w:r>
              <w:rPr>
                <w:lang w:val="fr-FR" w:eastAsia="zh-CN"/>
              </w:rPr>
              <w:t>r</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szCs w:val="18"/>
                <w:lang w:bidi="ar-IQ"/>
              </w:rPr>
              <w:t>O</w:t>
            </w:r>
            <w:r>
              <w:rPr>
                <w:szCs w:val="18"/>
                <w:vertAlign w:val="subscript"/>
                <w:lang w:bidi="ar-IQ"/>
              </w:rPr>
              <w:t>C</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rFonts w:eastAsia="MS Mincho;MS Mincho"/>
                <w:lang w:val="en-US" w:eastAsia="en-US"/>
              </w:rPr>
            </w:pPr>
            <w:r>
              <w:rPr>
                <w:szCs w:val="18"/>
                <w:lang w:val="fr-FR"/>
              </w:rPr>
              <w:t>O</w:t>
            </w:r>
            <w:r>
              <w:rPr>
                <w:szCs w:val="18"/>
                <w:vertAlign w:val="subscript"/>
                <w:lang w:val="fr-FR"/>
              </w:rPr>
              <w:t>C</w:t>
            </w:r>
          </w:p>
        </w:tc>
        <w:tc>
          <w:tcPr>
            <w:tcW w:w="4888" w:type="dxa"/>
            <w:tcBorders>
              <w:top w:val="single" w:sz="6" w:space="0" w:color="000000"/>
              <w:left w:val="single" w:sz="6" w:space="0" w:color="000000"/>
              <w:bottom w:val="single" w:sz="6" w:space="0" w:color="000000"/>
              <w:right w:val="single" w:sz="6" w:space="0" w:color="000000"/>
            </w:tcBorders>
          </w:tcPr>
          <w:p>
            <w:pPr>
              <w:pStyle w:val="TAL"/>
              <w:rPr/>
            </w:pPr>
            <w:r>
              <w:rPr>
                <w:rFonts w:eastAsia="MS Mincho;MS Mincho"/>
                <w:lang w:val="en-US" w:eastAsia="en-US"/>
              </w:rPr>
              <w:t xml:space="preserve">This field contains the amount of used non-monetary service units measured </w:t>
            </w:r>
            <w:r>
              <w:rPr/>
              <w:t xml:space="preserve">up to the triggers and trigger timestamp. </w:t>
            </w:r>
            <w:r>
              <w:rPr>
                <w:rFonts w:cs="Arial"/>
              </w:rPr>
              <w:t>It may have multiple occurrences.</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ind w:left="568" w:hanging="0"/>
              <w:rPr>
                <w:lang w:eastAsia="zh-CN"/>
              </w:rPr>
            </w:pPr>
            <w:r>
              <w:rPr>
                <w:rFonts w:cs="Arial"/>
                <w:szCs w:val="18"/>
              </w:rPr>
              <w:t>Service Identifier</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szCs w:val="18"/>
              </w:rPr>
              <w:t>O</w:t>
            </w:r>
            <w:r>
              <w:rPr>
                <w:szCs w:val="18"/>
                <w:vertAlign w:val="subscript"/>
              </w:rPr>
              <w:t>C</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pPr>
            <w:r>
              <w:rPr>
                <w:lang w:val="fr-FR" w:eastAsia="zh-CN"/>
              </w:rPr>
              <w:t>O</w:t>
            </w:r>
            <w:r>
              <w:rPr>
                <w:vertAlign w:val="subscript"/>
                <w:lang w:val="fr-FR" w:eastAsia="zh-CN"/>
              </w:rPr>
              <w:t>C</w:t>
            </w:r>
          </w:p>
        </w:tc>
        <w:tc>
          <w:tcPr>
            <w:tcW w:w="4888"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t>This field holds the Service Identifier.</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ind w:left="568" w:hanging="0"/>
              <w:rPr>
                <w:lang w:eastAsia="zh-CN"/>
              </w:rPr>
            </w:pPr>
            <w:r>
              <w:rPr>
                <w:lang w:eastAsia="zh-CN" w:bidi="ar-IQ"/>
              </w:rPr>
              <w:t>Quota management Indicator</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lang w:eastAsia="zh-CN"/>
              </w:rPr>
              <w:t>O</w:t>
            </w:r>
            <w:r>
              <w:rPr>
                <w:vertAlign w:val="subscript"/>
                <w:lang w:eastAsia="zh-CN"/>
              </w:rPr>
              <w:t>C</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lang w:val="fr-FR" w:eastAsia="zh-CN"/>
              </w:rPr>
            </w:pPr>
            <w:r>
              <w:rPr>
                <w:lang w:val="fr-FR" w:eastAsia="zh-CN"/>
              </w:rPr>
              <w:t>-</w:t>
            </w:r>
          </w:p>
        </w:tc>
        <w:tc>
          <w:tcPr>
            <w:tcW w:w="4888"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t>This field holds an indicator on whether the reported used units are with quota management control, without quota management control</w:t>
            </w:r>
            <w:r>
              <w:rPr>
                <w:lang w:val="en-GB"/>
              </w:rPr>
              <w:t xml:space="preserve"> </w:t>
            </w:r>
            <w:r>
              <w:rPr/>
              <w:t xml:space="preserve">or with quota management control temporary suspended. If the field is not present, it indicates the used unit is without quota </w:t>
            </w:r>
            <w:r>
              <w:rPr>
                <w:lang w:eastAsia="zh-CN" w:bidi="ar-IQ"/>
              </w:rPr>
              <w:t>management</w:t>
            </w:r>
            <w:r>
              <w:rPr/>
              <w:t xml:space="preserve"> applied. </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ind w:left="568" w:hanging="0"/>
              <w:rPr>
                <w:lang w:eastAsia="zh-CN"/>
              </w:rPr>
            </w:pPr>
            <w:r>
              <w:rPr>
                <w:lang w:eastAsia="zh-CN" w:bidi="ar-IQ"/>
              </w:rPr>
              <w:t>Triggers</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lang w:eastAsia="zh-CN"/>
              </w:rPr>
              <w:t>O</w:t>
            </w:r>
            <w:r>
              <w:rPr>
                <w:vertAlign w:val="subscript"/>
                <w:lang w:eastAsia="zh-CN"/>
              </w:rPr>
              <w:t>C</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lang w:val="fr-FR" w:eastAsia="zh-CN"/>
              </w:rPr>
            </w:pPr>
            <w:r>
              <w:rPr>
                <w:lang w:val="fr-FR" w:eastAsia="zh-CN"/>
              </w:rPr>
              <w:t>Oc</w:t>
            </w:r>
          </w:p>
        </w:tc>
        <w:tc>
          <w:tcPr>
            <w:tcW w:w="4888" w:type="dxa"/>
            <w:tcBorders>
              <w:top w:val="single" w:sz="6" w:space="0" w:color="000000"/>
              <w:left w:val="single" w:sz="6" w:space="0" w:color="000000"/>
              <w:bottom w:val="single" w:sz="6" w:space="0" w:color="000000"/>
              <w:right w:val="single" w:sz="6" w:space="0" w:color="000000"/>
            </w:tcBorders>
          </w:tcPr>
          <w:p>
            <w:pPr>
              <w:pStyle w:val="TAL"/>
              <w:rPr>
                <w:lang w:bidi="ar-IQ"/>
              </w:rPr>
            </w:pPr>
            <w:r>
              <w:rPr/>
              <w:t>This field holds reason for charging information reporting or closing</w:t>
            </w:r>
            <w:r>
              <w:rPr>
                <w:lang w:eastAsia="zh-CN"/>
              </w:rPr>
              <w:t xml:space="preserve"> for the used unit container</w:t>
            </w:r>
            <w:r>
              <w:rPr/>
              <w:t>.</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ind w:left="568" w:hanging="0"/>
              <w:rPr>
                <w:lang w:eastAsia="zh-CN" w:bidi="ar-IQ"/>
              </w:rPr>
            </w:pPr>
            <w:r>
              <w:rPr>
                <w:rFonts w:cs="Arial"/>
                <w:szCs w:val="18"/>
              </w:rPr>
              <w:t>Trigger Timestamp</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lang w:eastAsia="zh-CN"/>
              </w:rPr>
            </w:pPr>
            <w:r>
              <w:rPr>
                <w:lang w:eastAsia="zh-CN"/>
              </w:rPr>
              <w:t>O</w:t>
            </w:r>
            <w:r>
              <w:rPr>
                <w:vertAlign w:val="subscript"/>
                <w:lang w:eastAsia="zh-CN"/>
              </w:rPr>
              <w:t>C</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pPr>
            <w:r>
              <w:rPr>
                <w:lang w:val="fr-FR" w:eastAsia="zh-CN"/>
              </w:rPr>
              <w:t>O</w:t>
            </w:r>
            <w:r>
              <w:rPr>
                <w:vertAlign w:val="subscript"/>
                <w:lang w:val="fr-FR" w:eastAsia="zh-CN"/>
              </w:rPr>
              <w:t>C</w:t>
            </w:r>
          </w:p>
        </w:tc>
        <w:tc>
          <w:tcPr>
            <w:tcW w:w="4888" w:type="dxa"/>
            <w:tcBorders>
              <w:top w:val="single" w:sz="6" w:space="0" w:color="000000"/>
              <w:left w:val="single" w:sz="6" w:space="0" w:color="000000"/>
              <w:bottom w:val="single" w:sz="6" w:space="0" w:color="000000"/>
              <w:right w:val="single" w:sz="6" w:space="0" w:color="000000"/>
            </w:tcBorders>
          </w:tcPr>
          <w:p>
            <w:pPr>
              <w:pStyle w:val="TAL"/>
              <w:rPr/>
            </w:pPr>
            <w:r>
              <w:rPr/>
              <w:t>This field holds the timestamp of the trigger.</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ind w:left="568" w:hanging="0"/>
              <w:rPr>
                <w:lang w:eastAsia="zh-CN" w:bidi="ar-IQ"/>
              </w:rPr>
            </w:pPr>
            <w:r>
              <w:rPr/>
              <w:t>Time</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lang w:eastAsia="zh-CN"/>
              </w:rPr>
            </w:pPr>
            <w:r>
              <w:rPr>
                <w:lang w:eastAsia="zh-CN"/>
              </w:rPr>
              <w:t>O</w:t>
            </w:r>
            <w:r>
              <w:rPr>
                <w:vertAlign w:val="subscript"/>
                <w:lang w:eastAsia="zh-CN"/>
              </w:rPr>
              <w:t>C</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pPr>
            <w:r>
              <w:rPr>
                <w:lang w:val="fr-FR" w:eastAsia="zh-CN"/>
              </w:rPr>
              <w:t>O</w:t>
            </w:r>
            <w:r>
              <w:rPr>
                <w:vertAlign w:val="subscript"/>
                <w:lang w:val="fr-FR" w:eastAsia="zh-CN"/>
              </w:rPr>
              <w:t>C</w:t>
            </w:r>
          </w:p>
        </w:tc>
        <w:tc>
          <w:tcPr>
            <w:tcW w:w="4888" w:type="dxa"/>
            <w:tcBorders>
              <w:top w:val="single" w:sz="6" w:space="0" w:color="000000"/>
              <w:left w:val="single" w:sz="6" w:space="0" w:color="000000"/>
              <w:bottom w:val="single" w:sz="6" w:space="0" w:color="000000"/>
              <w:right w:val="single" w:sz="6" w:space="0" w:color="000000"/>
            </w:tcBorders>
          </w:tcPr>
          <w:p>
            <w:pPr>
              <w:pStyle w:val="TAL"/>
              <w:rPr/>
            </w:pPr>
            <w:r>
              <w:rPr/>
              <w:t>This field holds the amount of used time.</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ind w:left="568" w:hanging="0"/>
              <w:rPr>
                <w:lang w:eastAsia="zh-CN" w:bidi="ar-IQ"/>
              </w:rPr>
            </w:pPr>
            <w:r>
              <w:rPr/>
              <w:t>Total Volume</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lang w:eastAsia="zh-CN"/>
              </w:rPr>
            </w:pPr>
            <w:r>
              <w:rPr>
                <w:lang w:eastAsia="zh-CN"/>
              </w:rPr>
              <w:t>O</w:t>
            </w:r>
            <w:r>
              <w:rPr>
                <w:vertAlign w:val="subscript"/>
                <w:lang w:eastAsia="zh-CN"/>
              </w:rPr>
              <w:t>C</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pPr>
            <w:r>
              <w:rPr>
                <w:lang w:val="fr-FR" w:eastAsia="zh-CN"/>
              </w:rPr>
              <w:t>O</w:t>
            </w:r>
            <w:r>
              <w:rPr>
                <w:vertAlign w:val="subscript"/>
                <w:lang w:val="fr-FR" w:eastAsia="zh-CN"/>
              </w:rPr>
              <w:t>C</w:t>
            </w:r>
          </w:p>
        </w:tc>
        <w:tc>
          <w:tcPr>
            <w:tcW w:w="4888" w:type="dxa"/>
            <w:tcBorders>
              <w:top w:val="single" w:sz="6" w:space="0" w:color="000000"/>
              <w:left w:val="single" w:sz="6" w:space="0" w:color="000000"/>
              <w:bottom w:val="single" w:sz="6" w:space="0" w:color="000000"/>
              <w:right w:val="single" w:sz="6" w:space="0" w:color="000000"/>
            </w:tcBorders>
          </w:tcPr>
          <w:p>
            <w:pPr>
              <w:pStyle w:val="TAL"/>
              <w:rPr/>
            </w:pPr>
            <w:r>
              <w:rPr/>
              <w:t>This field holds the amount of used volume in both uplink and downlink directions.</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ind w:left="568" w:hanging="0"/>
              <w:rPr>
                <w:lang w:eastAsia="zh-CN" w:bidi="ar-IQ"/>
              </w:rPr>
            </w:pPr>
            <w:r>
              <w:rPr/>
              <w:t>Uplink Volume</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lang w:eastAsia="zh-CN"/>
              </w:rPr>
            </w:pPr>
            <w:r>
              <w:rPr>
                <w:lang w:eastAsia="zh-CN"/>
              </w:rPr>
              <w:t>O</w:t>
            </w:r>
            <w:r>
              <w:rPr>
                <w:vertAlign w:val="subscript"/>
                <w:lang w:eastAsia="zh-CN"/>
              </w:rPr>
              <w:t>C</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pPr>
            <w:r>
              <w:rPr>
                <w:lang w:val="fr-FR" w:eastAsia="zh-CN"/>
              </w:rPr>
              <w:t>O</w:t>
            </w:r>
            <w:r>
              <w:rPr>
                <w:vertAlign w:val="subscript"/>
                <w:lang w:val="fr-FR" w:eastAsia="zh-CN"/>
              </w:rPr>
              <w:t>C</w:t>
            </w:r>
          </w:p>
        </w:tc>
        <w:tc>
          <w:tcPr>
            <w:tcW w:w="4888" w:type="dxa"/>
            <w:tcBorders>
              <w:top w:val="single" w:sz="6" w:space="0" w:color="000000"/>
              <w:left w:val="single" w:sz="6" w:space="0" w:color="000000"/>
              <w:bottom w:val="single" w:sz="6" w:space="0" w:color="000000"/>
              <w:right w:val="single" w:sz="6" w:space="0" w:color="000000"/>
            </w:tcBorders>
          </w:tcPr>
          <w:p>
            <w:pPr>
              <w:pStyle w:val="TAL"/>
              <w:rPr/>
            </w:pPr>
            <w:r>
              <w:rPr/>
              <w:t>This field holds the amount of used volume in uplink direction.</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ind w:left="568" w:hanging="0"/>
              <w:rPr>
                <w:lang w:eastAsia="zh-CN" w:bidi="ar-IQ"/>
              </w:rPr>
            </w:pPr>
            <w:r>
              <w:rPr/>
              <w:t>Downlink Volume</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lang w:eastAsia="zh-CN"/>
              </w:rPr>
            </w:pPr>
            <w:r>
              <w:rPr>
                <w:lang w:eastAsia="zh-CN"/>
              </w:rPr>
              <w:t>O</w:t>
            </w:r>
            <w:r>
              <w:rPr>
                <w:vertAlign w:val="subscript"/>
                <w:lang w:eastAsia="zh-CN"/>
              </w:rPr>
              <w:t>C</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pPr>
            <w:r>
              <w:rPr>
                <w:lang w:val="fr-FR" w:eastAsia="zh-CN"/>
              </w:rPr>
              <w:t>O</w:t>
            </w:r>
            <w:r>
              <w:rPr>
                <w:vertAlign w:val="subscript"/>
                <w:lang w:val="fr-FR" w:eastAsia="zh-CN"/>
              </w:rPr>
              <w:t>C</w:t>
            </w:r>
          </w:p>
        </w:tc>
        <w:tc>
          <w:tcPr>
            <w:tcW w:w="4888" w:type="dxa"/>
            <w:tcBorders>
              <w:top w:val="single" w:sz="6" w:space="0" w:color="000000"/>
              <w:left w:val="single" w:sz="6" w:space="0" w:color="000000"/>
              <w:bottom w:val="single" w:sz="6" w:space="0" w:color="000000"/>
              <w:right w:val="single" w:sz="6" w:space="0" w:color="000000"/>
            </w:tcBorders>
          </w:tcPr>
          <w:p>
            <w:pPr>
              <w:pStyle w:val="TAL"/>
              <w:rPr/>
            </w:pPr>
            <w:r>
              <w:rPr/>
              <w:t>This field holds the amount of used volume in downlink direction.</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ind w:left="568" w:hanging="0"/>
              <w:rPr>
                <w:lang w:eastAsia="zh-CN" w:bidi="ar-IQ"/>
              </w:rPr>
            </w:pPr>
            <w:r>
              <w:rPr/>
              <w:t>Service Specific Unit</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lang w:eastAsia="zh-CN"/>
              </w:rPr>
            </w:pPr>
            <w:r>
              <w:rPr>
                <w:lang w:eastAsia="zh-CN"/>
              </w:rPr>
              <w:t>O</w:t>
            </w:r>
            <w:r>
              <w:rPr>
                <w:vertAlign w:val="subscript"/>
                <w:lang w:eastAsia="zh-CN"/>
              </w:rPr>
              <w:t>C</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pPr>
            <w:r>
              <w:rPr>
                <w:lang w:val="fr-FR" w:eastAsia="zh-CN"/>
              </w:rPr>
              <w:t>O</w:t>
            </w:r>
            <w:r>
              <w:rPr>
                <w:vertAlign w:val="subscript"/>
                <w:lang w:val="fr-FR" w:eastAsia="zh-CN"/>
              </w:rPr>
              <w:t>C</w:t>
            </w:r>
          </w:p>
        </w:tc>
        <w:tc>
          <w:tcPr>
            <w:tcW w:w="4888" w:type="dxa"/>
            <w:tcBorders>
              <w:top w:val="single" w:sz="6" w:space="0" w:color="000000"/>
              <w:left w:val="single" w:sz="6" w:space="0" w:color="000000"/>
              <w:bottom w:val="single" w:sz="6" w:space="0" w:color="000000"/>
              <w:right w:val="single" w:sz="6" w:space="0" w:color="000000"/>
            </w:tcBorders>
          </w:tcPr>
          <w:p>
            <w:pPr>
              <w:pStyle w:val="TAL"/>
              <w:rPr/>
            </w:pPr>
            <w:r>
              <w:rPr/>
              <w:t>This field holds the amount of used service specific units.</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ind w:left="568" w:hanging="0"/>
              <w:rPr>
                <w:lang w:eastAsia="zh-CN" w:bidi="ar-IQ"/>
              </w:rPr>
            </w:pPr>
            <w:r>
              <w:rPr/>
              <w:t>Event Time Stamps</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lang w:eastAsia="zh-CN"/>
              </w:rPr>
            </w:pPr>
            <w:r>
              <w:rPr>
                <w:lang w:eastAsia="zh-CN"/>
              </w:rPr>
              <w:t>O</w:t>
            </w:r>
            <w:r>
              <w:rPr>
                <w:vertAlign w:val="subscript"/>
                <w:lang w:eastAsia="zh-CN"/>
              </w:rPr>
              <w:t>C</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pPr>
            <w:r>
              <w:rPr>
                <w:lang w:val="fr-FR" w:eastAsia="zh-CN"/>
              </w:rPr>
              <w:t>O</w:t>
            </w:r>
            <w:r>
              <w:rPr>
                <w:vertAlign w:val="subscript"/>
                <w:lang w:val="fr-FR" w:eastAsia="zh-CN"/>
              </w:rPr>
              <w:t>C</w:t>
            </w:r>
          </w:p>
        </w:tc>
        <w:tc>
          <w:tcPr>
            <w:tcW w:w="4888" w:type="dxa"/>
            <w:tcBorders>
              <w:top w:val="single" w:sz="6" w:space="0" w:color="000000"/>
              <w:left w:val="single" w:sz="6" w:space="0" w:color="000000"/>
              <w:bottom w:val="single" w:sz="6" w:space="0" w:color="000000"/>
              <w:right w:val="single" w:sz="6" w:space="0" w:color="000000"/>
            </w:tcBorders>
          </w:tcPr>
          <w:p>
            <w:pPr>
              <w:pStyle w:val="TAL"/>
              <w:rPr/>
            </w:pPr>
            <w:r>
              <w:rPr/>
              <w:t xml:space="preserve">This field holds the timestamps of the event reported in the Service Specific Units, if the reported units are event based. </w:t>
            </w:r>
          </w:p>
        </w:tc>
      </w:tr>
      <w:tr>
        <w:trPr>
          <w:cantSplit w:val="true"/>
        </w:trPr>
        <w:tc>
          <w:tcPr>
            <w:tcW w:w="2380" w:type="dxa"/>
            <w:tcBorders>
              <w:top w:val="single" w:sz="6" w:space="0" w:color="000000"/>
              <w:left w:val="single" w:sz="6" w:space="0" w:color="000000"/>
              <w:bottom w:val="single" w:sz="6" w:space="0" w:color="000000"/>
              <w:right w:val="single" w:sz="6" w:space="0" w:color="000000"/>
            </w:tcBorders>
          </w:tcPr>
          <w:p>
            <w:pPr>
              <w:pStyle w:val="TAL"/>
              <w:ind w:left="568" w:hanging="0"/>
              <w:rPr>
                <w:lang w:eastAsia="zh-CN" w:bidi="ar-IQ"/>
              </w:rPr>
            </w:pPr>
            <w:r>
              <w:rPr>
                <w:lang w:eastAsia="zh-CN" w:bidi="ar-IQ"/>
              </w:rPr>
              <w:t xml:space="preserve">Local Sequence Number </w:t>
            </w:r>
          </w:p>
        </w:tc>
        <w:tc>
          <w:tcPr>
            <w:tcW w:w="1232" w:type="dxa"/>
            <w:tcBorders>
              <w:top w:val="single" w:sz="6" w:space="0" w:color="000000"/>
              <w:left w:val="single" w:sz="6" w:space="0" w:color="000000"/>
              <w:bottom w:val="single" w:sz="6" w:space="0" w:color="000000"/>
              <w:right w:val="single" w:sz="6" w:space="0" w:color="000000"/>
            </w:tcBorders>
          </w:tcPr>
          <w:p>
            <w:pPr>
              <w:pStyle w:val="TAL"/>
              <w:jc w:val="center"/>
              <w:rPr>
                <w:lang w:eastAsia="zh-CN"/>
              </w:rPr>
            </w:pPr>
            <w:r>
              <w:rPr>
                <w:lang w:eastAsia="zh-CN"/>
              </w:rPr>
              <w:t>O</w:t>
            </w:r>
            <w:r>
              <w:rPr>
                <w:vertAlign w:val="subscript"/>
                <w:lang w:eastAsia="zh-CN"/>
              </w:rPr>
              <w:t>M</w:t>
            </w:r>
          </w:p>
        </w:tc>
        <w:tc>
          <w:tcPr>
            <w:tcW w:w="1276" w:type="dxa"/>
            <w:tcBorders>
              <w:top w:val="single" w:sz="6" w:space="0" w:color="000000"/>
              <w:left w:val="single" w:sz="6" w:space="0" w:color="000000"/>
              <w:bottom w:val="single" w:sz="6" w:space="0" w:color="000000"/>
              <w:right w:val="single" w:sz="6" w:space="0" w:color="000000"/>
            </w:tcBorders>
          </w:tcPr>
          <w:p>
            <w:pPr>
              <w:pStyle w:val="TAL"/>
              <w:jc w:val="center"/>
              <w:rPr>
                <w:lang w:val="en-US" w:eastAsia="en-US"/>
              </w:rPr>
            </w:pPr>
            <w:r>
              <w:rPr>
                <w:lang w:val="fr-FR" w:eastAsia="zh-CN"/>
              </w:rPr>
              <w:t>O</w:t>
            </w:r>
            <w:r>
              <w:rPr>
                <w:vertAlign w:val="subscript"/>
                <w:lang w:val="fr-FR" w:eastAsia="zh-CN"/>
              </w:rPr>
              <w:t>M</w:t>
            </w:r>
          </w:p>
        </w:tc>
        <w:tc>
          <w:tcPr>
            <w:tcW w:w="4888"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 xml:space="preserve">This field holds the </w:t>
            </w:r>
            <w:r>
              <w:rPr>
                <w:lang w:eastAsia="zh-CN" w:bidi="ar-IQ"/>
              </w:rPr>
              <w:t>container</w:t>
            </w:r>
            <w:r>
              <w:rPr>
                <w:lang w:val="en-US" w:eastAsia="en-US"/>
              </w:rPr>
              <w:t xml:space="preserve"> sequence number.</w:t>
            </w:r>
          </w:p>
        </w:tc>
      </w:tr>
    </w:tbl>
    <w:p>
      <w:pPr>
        <w:pStyle w:val="Normal"/>
        <w:rPr/>
      </w:pPr>
      <w:r>
        <w:rPr/>
      </w:r>
    </w:p>
    <w:p>
      <w:pPr>
        <w:pStyle w:val="Normal"/>
        <w:rPr/>
      </w:pPr>
      <w:r>
        <w:rPr/>
      </w:r>
    </w:p>
    <w:p>
      <w:pPr>
        <w:pStyle w:val="Normal"/>
        <w:rPr/>
      </w:pPr>
      <w:r>
        <w:rPr/>
        <w:t xml:space="preserve">Table 7.2 describes the data structure which is common to operations in response semantics. </w:t>
      </w:r>
    </w:p>
    <w:p>
      <w:pPr>
        <w:pStyle w:val="TH"/>
        <w:rPr/>
      </w:pPr>
      <w:r>
        <w:rPr/>
        <w:t xml:space="preserve">Table 7.2: Common Data structure of Charging Data </w:t>
      </w:r>
      <w:r>
        <w:rPr>
          <w:rFonts w:eastAsia="MS Mincho;MS Mincho"/>
        </w:rPr>
        <w:t xml:space="preserve">Response </w:t>
      </w:r>
    </w:p>
    <w:tbl>
      <w:tblPr>
        <w:tblW w:w="9776" w:type="dxa"/>
        <w:jc w:val="center"/>
        <w:tblInd w:w="0" w:type="dxa"/>
        <w:tblLayout w:type="fixed"/>
        <w:tblCellMar>
          <w:top w:w="0" w:type="dxa"/>
          <w:left w:w="28" w:type="dxa"/>
          <w:bottom w:w="0" w:type="dxa"/>
          <w:right w:w="107" w:type="dxa"/>
        </w:tblCellMar>
      </w:tblPr>
      <w:tblGrid>
        <w:gridCol w:w="2261"/>
        <w:gridCol w:w="1076"/>
        <w:gridCol w:w="1409"/>
        <w:gridCol w:w="5030"/>
      </w:tblGrid>
      <w:tr>
        <w:trPr>
          <w:tblHeader w:val="true"/>
        </w:trPr>
        <w:tc>
          <w:tcPr>
            <w:tcW w:w="2261" w:type="dxa"/>
            <w:tcBorders>
              <w:top w:val="single" w:sz="4" w:space="0" w:color="000000"/>
              <w:left w:val="single" w:sz="4" w:space="0" w:color="000000"/>
              <w:bottom w:val="single" w:sz="4" w:space="0" w:color="000000"/>
              <w:right w:val="single" w:sz="4" w:space="0" w:color="000000"/>
            </w:tcBorders>
            <w:shd w:fill="CCCCCC" w:val="clear"/>
          </w:tcPr>
          <w:p>
            <w:pPr>
              <w:pStyle w:val="Normal"/>
              <w:keepNext w:val="true"/>
              <w:spacing w:before="0" w:after="0"/>
              <w:jc w:val="center"/>
              <w:rPr/>
            </w:pPr>
            <w:r>
              <w:rPr>
                <w:rFonts w:cs="Arial" w:ascii="Arial" w:hAnsi="Arial"/>
                <w:b/>
                <w:sz w:val="18"/>
                <w:lang w:eastAsia="zh-CN" w:bidi="ar-IQ"/>
              </w:rPr>
              <w:t>Information Element</w:t>
            </w:r>
          </w:p>
        </w:tc>
        <w:tc>
          <w:tcPr>
            <w:tcW w:w="1076" w:type="dxa"/>
            <w:tcBorders>
              <w:top w:val="single" w:sz="4" w:space="0" w:color="000000"/>
              <w:left w:val="single" w:sz="4" w:space="0" w:color="000000"/>
              <w:bottom w:val="single" w:sz="4" w:space="0" w:color="000000"/>
              <w:right w:val="single" w:sz="4" w:space="0" w:color="000000"/>
            </w:tcBorders>
            <w:shd w:fill="CCCCCC" w:val="clear"/>
          </w:tcPr>
          <w:p>
            <w:pPr>
              <w:pStyle w:val="Normal"/>
              <w:keepNext w:val="true"/>
              <w:spacing w:before="0" w:after="0"/>
              <w:jc w:val="center"/>
              <w:rPr>
                <w:rFonts w:ascii="Arial" w:hAnsi="Arial" w:cs="Arial"/>
                <w:b/>
                <w:b/>
                <w:sz w:val="18"/>
                <w:lang w:bidi="ar-IQ"/>
              </w:rPr>
            </w:pPr>
            <w:r>
              <w:rPr>
                <w:rFonts w:cs="Arial" w:ascii="Arial" w:hAnsi="Arial"/>
                <w:b/>
                <w:sz w:val="18"/>
                <w:lang w:bidi="ar-IQ"/>
              </w:rPr>
              <w:t>Converged Charging</w:t>
            </w:r>
          </w:p>
          <w:p>
            <w:pPr>
              <w:pStyle w:val="Normal"/>
              <w:keepNext w:val="true"/>
              <w:spacing w:before="0" w:after="0"/>
              <w:jc w:val="center"/>
              <w:rPr>
                <w:rFonts w:ascii="Arial" w:hAnsi="Arial" w:cs="Arial"/>
                <w:b/>
                <w:b/>
                <w:sz w:val="18"/>
                <w:lang w:bidi="ar-IQ"/>
              </w:rPr>
            </w:pPr>
            <w:r>
              <w:rPr>
                <w:rFonts w:cs="Arial" w:ascii="Arial" w:hAnsi="Arial"/>
                <w:b/>
                <w:sz w:val="18"/>
                <w:lang w:bidi="ar-IQ"/>
              </w:rPr>
              <w:t>Category</w:t>
            </w:r>
          </w:p>
        </w:tc>
        <w:tc>
          <w:tcPr>
            <w:tcW w:w="1409" w:type="dxa"/>
            <w:tcBorders>
              <w:top w:val="single" w:sz="4" w:space="0" w:color="000000"/>
              <w:left w:val="single" w:sz="4" w:space="0" w:color="000000"/>
              <w:bottom w:val="single" w:sz="4" w:space="0" w:color="000000"/>
              <w:right w:val="single" w:sz="4" w:space="0" w:color="000000"/>
            </w:tcBorders>
            <w:shd w:fill="CCCCCC" w:val="clear"/>
          </w:tcPr>
          <w:p>
            <w:pPr>
              <w:pStyle w:val="Normal"/>
              <w:keepNext w:val="true"/>
              <w:spacing w:before="0" w:after="0"/>
              <w:jc w:val="center"/>
              <w:rPr>
                <w:rFonts w:ascii="Arial" w:hAnsi="Arial" w:cs="Arial"/>
                <w:b/>
                <w:b/>
                <w:sz w:val="18"/>
                <w:lang w:bidi="ar-IQ"/>
              </w:rPr>
            </w:pPr>
            <w:r>
              <w:rPr>
                <w:rFonts w:cs="Arial" w:ascii="Arial" w:hAnsi="Arial"/>
                <w:b/>
                <w:sz w:val="18"/>
                <w:lang w:val="fr-FR" w:bidi="ar-IQ"/>
              </w:rPr>
              <w:t>Offline Only Charging Category</w:t>
            </w:r>
          </w:p>
        </w:tc>
        <w:tc>
          <w:tcPr>
            <w:tcW w:w="5030" w:type="dxa"/>
            <w:tcBorders>
              <w:top w:val="single" w:sz="4" w:space="0" w:color="000000"/>
              <w:left w:val="single" w:sz="4" w:space="0" w:color="000000"/>
              <w:bottom w:val="single" w:sz="4" w:space="0" w:color="000000"/>
              <w:right w:val="single" w:sz="4" w:space="0" w:color="000000"/>
            </w:tcBorders>
            <w:shd w:fill="CCCCCC" w:val="clear"/>
          </w:tcPr>
          <w:p>
            <w:pPr>
              <w:pStyle w:val="Normal"/>
              <w:keepNext w:val="true"/>
              <w:spacing w:before="0" w:after="0"/>
              <w:jc w:val="center"/>
              <w:rPr>
                <w:rFonts w:ascii="Arial" w:hAnsi="Arial" w:cs="Arial"/>
                <w:b/>
                <w:b/>
                <w:sz w:val="18"/>
                <w:lang w:bidi="ar-IQ"/>
              </w:rPr>
            </w:pPr>
            <w:r>
              <w:rPr>
                <w:rFonts w:cs="Arial" w:ascii="Arial" w:hAnsi="Arial"/>
                <w:b/>
                <w:sz w:val="18"/>
                <w:lang w:bidi="ar-IQ"/>
              </w:rPr>
              <w:t>Description</w:t>
            </w:r>
          </w:p>
        </w:tc>
      </w:tr>
      <w:tr>
        <w:trPr>
          <w:cantSplit w:val="true"/>
        </w:trPr>
        <w:tc>
          <w:tcPr>
            <w:tcW w:w="2261" w:type="dxa"/>
            <w:tcBorders>
              <w:top w:val="single" w:sz="6" w:space="0" w:color="000000"/>
              <w:left w:val="single" w:sz="6" w:space="0" w:color="000000"/>
              <w:bottom w:val="single" w:sz="6" w:space="0" w:color="000000"/>
              <w:right w:val="single" w:sz="6" w:space="0" w:color="000000"/>
            </w:tcBorders>
          </w:tcPr>
          <w:p>
            <w:pPr>
              <w:pStyle w:val="TAL"/>
              <w:rPr/>
            </w:pPr>
            <w:r>
              <w:rPr/>
              <w:t>Session Identifier</w:t>
            </w:r>
          </w:p>
        </w:tc>
        <w:tc>
          <w:tcPr>
            <w:tcW w:w="107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szCs w:val="18"/>
              </w:rPr>
              <w:t>O</w:t>
            </w:r>
            <w:r>
              <w:rPr>
                <w:szCs w:val="18"/>
                <w:vertAlign w:val="subscript"/>
              </w:rPr>
              <w:t>C</w:t>
            </w:r>
          </w:p>
        </w:tc>
        <w:tc>
          <w:tcPr>
            <w:tcW w:w="1409"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szCs w:val="18"/>
                <w:lang w:val="fr-FR"/>
              </w:rPr>
              <w:t>O</w:t>
            </w:r>
            <w:r>
              <w:rPr>
                <w:szCs w:val="18"/>
                <w:vertAlign w:val="subscript"/>
                <w:lang w:val="fr-FR"/>
              </w:rPr>
              <w:t>C</w:t>
            </w:r>
          </w:p>
        </w:tc>
        <w:tc>
          <w:tcPr>
            <w:tcW w:w="5030" w:type="dxa"/>
            <w:tcBorders>
              <w:top w:val="single" w:sz="6" w:space="0" w:color="000000"/>
              <w:left w:val="single" w:sz="6" w:space="0" w:color="000000"/>
              <w:bottom w:val="single" w:sz="6" w:space="0" w:color="000000"/>
              <w:right w:val="single" w:sz="6" w:space="0" w:color="000000"/>
            </w:tcBorders>
          </w:tcPr>
          <w:p>
            <w:pPr>
              <w:pStyle w:val="TAL"/>
              <w:rPr/>
            </w:pPr>
            <w:r>
              <w:rPr>
                <w:rFonts w:cs="Arial"/>
              </w:rPr>
              <w:t xml:space="preserve">This field identifies the </w:t>
            </w:r>
            <w:r>
              <w:rPr>
                <w:rFonts w:cs="Arial"/>
                <w:lang w:val="en-US" w:eastAsia="en-US"/>
              </w:rPr>
              <w:t>charging</w:t>
            </w:r>
            <w:r>
              <w:rPr>
                <w:rFonts w:cs="Arial"/>
              </w:rPr>
              <w:t xml:space="preserve"> session.</w:t>
            </w:r>
          </w:p>
        </w:tc>
      </w:tr>
      <w:tr>
        <w:trPr>
          <w:cantSplit w:val="true"/>
        </w:trPr>
        <w:tc>
          <w:tcPr>
            <w:tcW w:w="2261" w:type="dxa"/>
            <w:tcBorders>
              <w:top w:val="single" w:sz="6" w:space="0" w:color="000000"/>
              <w:left w:val="single" w:sz="6" w:space="0" w:color="000000"/>
              <w:bottom w:val="single" w:sz="6" w:space="0" w:color="000000"/>
              <w:right w:val="single" w:sz="6" w:space="0" w:color="000000"/>
            </w:tcBorders>
          </w:tcPr>
          <w:p>
            <w:pPr>
              <w:pStyle w:val="TAL"/>
              <w:rPr/>
            </w:pPr>
            <w:r>
              <w:rPr>
                <w:lang w:bidi="ar-IQ"/>
              </w:rPr>
              <w:t>Invocation Timestamp</w:t>
            </w:r>
          </w:p>
        </w:tc>
        <w:tc>
          <w:tcPr>
            <w:tcW w:w="107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lang w:eastAsia="zh-CN"/>
              </w:rPr>
              <w:t>M</w:t>
            </w:r>
          </w:p>
        </w:tc>
        <w:tc>
          <w:tcPr>
            <w:tcW w:w="1409"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lang w:val="fr-FR" w:eastAsia="zh-CN"/>
              </w:rPr>
            </w:pPr>
            <w:r>
              <w:rPr>
                <w:lang w:val="fr-FR" w:eastAsia="zh-CN"/>
              </w:rPr>
              <w:t>M</w:t>
            </w:r>
          </w:p>
        </w:tc>
        <w:tc>
          <w:tcPr>
            <w:tcW w:w="50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rPr>
            </w:pPr>
            <w:r>
              <w:rPr/>
              <w:t>This field holds</w:t>
            </w:r>
            <w:r>
              <w:rPr>
                <w:lang w:bidi="ar-IQ"/>
              </w:rPr>
              <w:t xml:space="preserve"> </w:t>
            </w:r>
            <w:r>
              <w:rPr/>
              <w:t>the timestamp of the charging service response from the CHF.</w:t>
            </w:r>
          </w:p>
        </w:tc>
      </w:tr>
      <w:tr>
        <w:trPr>
          <w:cantSplit w:val="true"/>
        </w:trPr>
        <w:tc>
          <w:tcPr>
            <w:tcW w:w="2261" w:type="dxa"/>
            <w:tcBorders>
              <w:top w:val="single" w:sz="6" w:space="0" w:color="000000"/>
              <w:left w:val="single" w:sz="6" w:space="0" w:color="000000"/>
              <w:bottom w:val="single" w:sz="6" w:space="0" w:color="000000"/>
              <w:right w:val="single" w:sz="6" w:space="0" w:color="000000"/>
            </w:tcBorders>
          </w:tcPr>
          <w:p>
            <w:pPr>
              <w:pStyle w:val="TAL"/>
              <w:rPr/>
            </w:pPr>
            <w:r>
              <w:rPr/>
              <w:t>Invocation Result</w:t>
            </w:r>
          </w:p>
        </w:tc>
        <w:tc>
          <w:tcPr>
            <w:tcW w:w="107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szCs w:val="18"/>
              </w:rPr>
              <w:t>O</w:t>
            </w:r>
            <w:r>
              <w:rPr>
                <w:szCs w:val="18"/>
                <w:vertAlign w:val="subscript"/>
              </w:rPr>
              <w:t>C</w:t>
            </w:r>
          </w:p>
        </w:tc>
        <w:tc>
          <w:tcPr>
            <w:tcW w:w="1409"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cs="Arial"/>
              </w:rPr>
            </w:pPr>
            <w:r>
              <w:rPr>
                <w:szCs w:val="18"/>
                <w:lang w:val="fr-FR"/>
              </w:rPr>
              <w:t>O</w:t>
            </w:r>
            <w:r>
              <w:rPr>
                <w:szCs w:val="18"/>
                <w:vertAlign w:val="subscript"/>
                <w:lang w:val="fr-FR"/>
              </w:rPr>
              <w:t>C</w:t>
            </w:r>
          </w:p>
        </w:tc>
        <w:tc>
          <w:tcPr>
            <w:tcW w:w="50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 w:val="16"/>
                <w:szCs w:val="16"/>
              </w:rPr>
            </w:pPr>
            <w:r>
              <w:rPr>
                <w:rFonts w:cs="Arial"/>
              </w:rPr>
              <w:t xml:space="preserve">This field </w:t>
            </w:r>
            <w:r>
              <w:rPr/>
              <w:t>holds</w:t>
            </w:r>
            <w:r>
              <w:rPr>
                <w:rFonts w:cs="Arial"/>
              </w:rPr>
              <w:t xml:space="preserve"> the failure handling and in case of unsuccessful result of the charging service invocation </w:t>
            </w:r>
            <w:r>
              <w:rPr/>
              <w:t>by the NF consumer the result code.</w:t>
            </w:r>
          </w:p>
        </w:tc>
      </w:tr>
      <w:tr>
        <w:trPr>
          <w:trHeight w:val="224" w:hRule="exact"/>
          <w:cantSplit w:val="true"/>
        </w:trPr>
        <w:tc>
          <w:tcPr>
            <w:tcW w:w="2261"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Invocation Result Code</w:t>
            </w:r>
          </w:p>
        </w:tc>
        <w:tc>
          <w:tcPr>
            <w:tcW w:w="107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szCs w:val="18"/>
              </w:rPr>
              <w:t>O</w:t>
            </w:r>
            <w:r>
              <w:rPr>
                <w:szCs w:val="18"/>
                <w:vertAlign w:val="subscript"/>
              </w:rPr>
              <w:t>C</w:t>
            </w:r>
          </w:p>
        </w:tc>
        <w:tc>
          <w:tcPr>
            <w:tcW w:w="1409"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cs="Arial"/>
              </w:rPr>
            </w:pPr>
            <w:r>
              <w:rPr>
                <w:szCs w:val="18"/>
                <w:lang w:val="fr-FR"/>
              </w:rPr>
              <w:t>O</w:t>
            </w:r>
            <w:r>
              <w:rPr>
                <w:szCs w:val="18"/>
                <w:vertAlign w:val="subscript"/>
                <w:lang w:val="fr-FR"/>
              </w:rPr>
              <w:t>C</w:t>
            </w:r>
          </w:p>
        </w:tc>
        <w:tc>
          <w:tcPr>
            <w:tcW w:w="50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rPr>
              <w:t>This field contains the result code in case</w:t>
            </w:r>
            <w:r>
              <w:rPr>
                <w:rFonts w:cs="Arial"/>
                <w:lang w:val="en-GB"/>
              </w:rPr>
              <w:t xml:space="preserve"> </w:t>
            </w:r>
            <w:r>
              <w:rPr>
                <w:rFonts w:cs="Arial"/>
              </w:rPr>
              <w:t>of failure.</w:t>
            </w:r>
          </w:p>
        </w:tc>
      </w:tr>
      <w:tr>
        <w:trPr>
          <w:cantSplit w:val="true"/>
        </w:trPr>
        <w:tc>
          <w:tcPr>
            <w:tcW w:w="2261"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Failed parameter</w:t>
            </w:r>
          </w:p>
        </w:tc>
        <w:tc>
          <w:tcPr>
            <w:tcW w:w="107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szCs w:val="18"/>
              </w:rPr>
              <w:t>O</w:t>
            </w:r>
            <w:r>
              <w:rPr>
                <w:szCs w:val="18"/>
                <w:vertAlign w:val="subscript"/>
              </w:rPr>
              <w:t>C</w:t>
            </w:r>
          </w:p>
        </w:tc>
        <w:tc>
          <w:tcPr>
            <w:tcW w:w="1409"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cs="Arial"/>
              </w:rPr>
            </w:pPr>
            <w:r>
              <w:rPr>
                <w:szCs w:val="18"/>
                <w:lang w:val="fr-FR"/>
              </w:rPr>
              <w:t>O</w:t>
            </w:r>
            <w:r>
              <w:rPr>
                <w:szCs w:val="18"/>
                <w:vertAlign w:val="subscript"/>
                <w:lang w:val="fr-FR"/>
              </w:rPr>
              <w:t>C</w:t>
            </w:r>
          </w:p>
        </w:tc>
        <w:tc>
          <w:tcPr>
            <w:tcW w:w="50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rPr>
              <w:t xml:space="preserve">This field </w:t>
            </w:r>
            <w:r>
              <w:rPr/>
              <w:t>holds</w:t>
            </w:r>
            <w:r>
              <w:rPr>
                <w:rFonts w:cs="Arial"/>
              </w:rPr>
              <w:t xml:space="preserve"> missing and/or unsupported parameter that caused the failure.</w:t>
            </w:r>
          </w:p>
        </w:tc>
      </w:tr>
      <w:tr>
        <w:trPr>
          <w:cantSplit w:val="true"/>
        </w:trPr>
        <w:tc>
          <w:tcPr>
            <w:tcW w:w="2261" w:type="dxa"/>
            <w:tcBorders>
              <w:top w:val="single" w:sz="6" w:space="0" w:color="000000"/>
              <w:left w:val="single" w:sz="6" w:space="0" w:color="000000"/>
              <w:bottom w:val="single" w:sz="6" w:space="0" w:color="000000"/>
              <w:right w:val="single" w:sz="6" w:space="0" w:color="000000"/>
            </w:tcBorders>
          </w:tcPr>
          <w:p>
            <w:pPr>
              <w:pStyle w:val="TAL"/>
              <w:ind w:left="284" w:hanging="0"/>
              <w:rPr/>
            </w:pPr>
            <w:r>
              <w:rPr>
                <w:rFonts w:cs="Arial"/>
                <w:szCs w:val="18"/>
              </w:rPr>
              <w:t>Failure Handling</w:t>
            </w:r>
          </w:p>
        </w:tc>
        <w:tc>
          <w:tcPr>
            <w:tcW w:w="107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szCs w:val="18"/>
              </w:rPr>
              <w:t>O</w:t>
            </w:r>
            <w:r>
              <w:rPr>
                <w:szCs w:val="18"/>
                <w:vertAlign w:val="subscript"/>
              </w:rPr>
              <w:t>C</w:t>
            </w:r>
          </w:p>
        </w:tc>
        <w:tc>
          <w:tcPr>
            <w:tcW w:w="1409"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cs="Arial"/>
              </w:rPr>
            </w:pPr>
            <w:r>
              <w:rPr>
                <w:szCs w:val="18"/>
                <w:lang w:val="fr-FR"/>
              </w:rPr>
              <w:t>O</w:t>
            </w:r>
            <w:r>
              <w:rPr>
                <w:szCs w:val="18"/>
                <w:vertAlign w:val="subscript"/>
                <w:lang w:val="fr-FR"/>
              </w:rPr>
              <w:t>C</w:t>
            </w:r>
          </w:p>
        </w:tc>
        <w:tc>
          <w:tcPr>
            <w:tcW w:w="50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rPr>
              <w:t xml:space="preserve">This field </w:t>
            </w:r>
            <w:r>
              <w:rPr/>
              <w:t>holds</w:t>
            </w:r>
            <w:r>
              <w:rPr>
                <w:rFonts w:cs="Arial"/>
              </w:rPr>
              <w:t xml:space="preserve"> the failure handling to be performed by the NF consumer when failure.</w:t>
            </w:r>
          </w:p>
        </w:tc>
      </w:tr>
      <w:tr>
        <w:trPr>
          <w:cantSplit w:val="true"/>
        </w:trPr>
        <w:tc>
          <w:tcPr>
            <w:tcW w:w="2261" w:type="dxa"/>
            <w:tcBorders>
              <w:top w:val="single" w:sz="6" w:space="0" w:color="000000"/>
              <w:left w:val="single" w:sz="6" w:space="0" w:color="000000"/>
              <w:bottom w:val="single" w:sz="6" w:space="0" w:color="000000"/>
              <w:right w:val="single" w:sz="6" w:space="0" w:color="000000"/>
            </w:tcBorders>
          </w:tcPr>
          <w:p>
            <w:pPr>
              <w:pStyle w:val="TAL"/>
              <w:rPr/>
            </w:pPr>
            <w:r>
              <w:rPr/>
              <w:t>Invocation Sequence Number</w:t>
            </w:r>
          </w:p>
        </w:tc>
        <w:tc>
          <w:tcPr>
            <w:tcW w:w="107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szCs w:val="18"/>
              </w:rPr>
              <w:t>M</w:t>
            </w:r>
          </w:p>
        </w:tc>
        <w:tc>
          <w:tcPr>
            <w:tcW w:w="1409"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cs="Arial"/>
              </w:rPr>
            </w:pPr>
            <w:r>
              <w:rPr>
                <w:szCs w:val="18"/>
                <w:lang w:val="fr-FR"/>
              </w:rPr>
              <w:t>M</w:t>
            </w:r>
          </w:p>
        </w:tc>
        <w:tc>
          <w:tcPr>
            <w:tcW w:w="50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 w:val="16"/>
                <w:szCs w:val="16"/>
              </w:rPr>
            </w:pPr>
            <w:r>
              <w:rPr>
                <w:rFonts w:cs="Arial"/>
              </w:rPr>
              <w:t xml:space="preserve">This field </w:t>
            </w:r>
            <w:r>
              <w:rPr/>
              <w:t>holds</w:t>
            </w:r>
            <w:r>
              <w:rPr>
                <w:rFonts w:cs="Arial"/>
              </w:rPr>
              <w:t xml:space="preserve"> the sequence number of the charging service invocation </w:t>
            </w:r>
            <w:r>
              <w:rPr/>
              <w:t>by the NF consumer</w:t>
            </w:r>
            <w:r>
              <w:rPr>
                <w:rFonts w:cs="Arial"/>
              </w:rPr>
              <w:t>.</w:t>
            </w:r>
          </w:p>
        </w:tc>
      </w:tr>
      <w:tr>
        <w:trPr>
          <w:cantSplit w:val="true"/>
        </w:trPr>
        <w:tc>
          <w:tcPr>
            <w:tcW w:w="2261" w:type="dxa"/>
            <w:tcBorders>
              <w:top w:val="single" w:sz="6" w:space="0" w:color="000000"/>
              <w:left w:val="single" w:sz="6" w:space="0" w:color="000000"/>
              <w:bottom w:val="single" w:sz="6" w:space="0" w:color="000000"/>
              <w:right w:val="single" w:sz="6" w:space="0" w:color="000000"/>
            </w:tcBorders>
          </w:tcPr>
          <w:p>
            <w:pPr>
              <w:pStyle w:val="TAL"/>
              <w:rPr/>
            </w:pPr>
            <w:r>
              <w:rPr/>
              <w:t>Session Failover</w:t>
            </w:r>
          </w:p>
        </w:tc>
        <w:tc>
          <w:tcPr>
            <w:tcW w:w="107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1409"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szCs w:val="18"/>
                <w:lang w:val="fr-FR"/>
              </w:rPr>
              <w:t>O</w:t>
            </w:r>
            <w:r>
              <w:rPr>
                <w:szCs w:val="18"/>
                <w:vertAlign w:val="subscript"/>
                <w:lang w:val="fr-FR"/>
              </w:rPr>
              <w:t>C</w:t>
            </w:r>
          </w:p>
        </w:tc>
        <w:tc>
          <w:tcPr>
            <w:tcW w:w="5030" w:type="dxa"/>
            <w:tcBorders>
              <w:top w:val="single" w:sz="6" w:space="0" w:color="000000"/>
              <w:left w:val="single" w:sz="6" w:space="0" w:color="000000"/>
              <w:bottom w:val="single" w:sz="6" w:space="0" w:color="000000"/>
              <w:right w:val="single" w:sz="6" w:space="0" w:color="000000"/>
            </w:tcBorders>
          </w:tcPr>
          <w:p>
            <w:pPr>
              <w:pStyle w:val="TAL"/>
              <w:rPr/>
            </w:pPr>
            <w:r>
              <w:rPr>
                <w:rFonts w:cs="Arial"/>
              </w:rPr>
              <w:t xml:space="preserve">This field indicates whether alternative CHF is supported for ongoing charging service failover handling by NF consumer. </w:t>
            </w:r>
          </w:p>
        </w:tc>
      </w:tr>
      <w:tr>
        <w:trPr>
          <w:cantSplit w:val="true"/>
        </w:trPr>
        <w:tc>
          <w:tcPr>
            <w:tcW w:w="2261"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Supported Features</w:t>
            </w:r>
          </w:p>
        </w:tc>
        <w:tc>
          <w:tcPr>
            <w:tcW w:w="107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lang w:eastAsia="zh-CN"/>
              </w:rPr>
              <w:t>O</w:t>
            </w:r>
            <w:r>
              <w:rPr>
                <w:vertAlign w:val="subscript"/>
                <w:lang w:eastAsia="zh-CN"/>
              </w:rPr>
              <w:t>C</w:t>
            </w:r>
          </w:p>
        </w:tc>
        <w:tc>
          <w:tcPr>
            <w:tcW w:w="1409" w:type="dxa"/>
            <w:tcBorders>
              <w:top w:val="single" w:sz="6" w:space="0" w:color="000000"/>
              <w:left w:val="single" w:sz="6" w:space="0" w:color="000000"/>
              <w:bottom w:val="single" w:sz="6" w:space="0" w:color="000000"/>
              <w:right w:val="single" w:sz="6" w:space="0" w:color="000000"/>
            </w:tcBorders>
          </w:tcPr>
          <w:p>
            <w:pPr>
              <w:pStyle w:val="TAL"/>
              <w:jc w:val="center"/>
              <w:rPr>
                <w:szCs w:val="18"/>
                <w:lang w:val="fr-FR"/>
              </w:rPr>
            </w:pPr>
            <w:r>
              <w:rPr>
                <w:szCs w:val="18"/>
                <w:lang w:val="fr-FR" w:bidi="ar-IQ"/>
              </w:rPr>
              <w:t>-</w:t>
            </w:r>
          </w:p>
        </w:tc>
        <w:tc>
          <w:tcPr>
            <w:tcW w:w="5030" w:type="dxa"/>
            <w:tcBorders>
              <w:top w:val="single" w:sz="6" w:space="0" w:color="000000"/>
              <w:left w:val="single" w:sz="6" w:space="0" w:color="000000"/>
              <w:bottom w:val="single" w:sz="6" w:space="0" w:color="000000"/>
              <w:right w:val="single" w:sz="6" w:space="0" w:color="000000"/>
            </w:tcBorders>
          </w:tcPr>
          <w:p>
            <w:pPr>
              <w:pStyle w:val="TAL"/>
              <w:rPr>
                <w:rFonts w:cs="Arial"/>
              </w:rPr>
            </w:pPr>
            <w:r>
              <w:rPr>
                <w:lang w:val="en-IE"/>
              </w:rPr>
              <w:t>This field indicates from the supported features indicated by the NF consumer, those supported by the CHF.</w:t>
            </w:r>
          </w:p>
        </w:tc>
      </w:tr>
      <w:tr>
        <w:trPr>
          <w:cantSplit w:val="true"/>
        </w:trPr>
        <w:tc>
          <w:tcPr>
            <w:tcW w:w="2261" w:type="dxa"/>
            <w:tcBorders>
              <w:top w:val="single" w:sz="6" w:space="0" w:color="000000"/>
              <w:left w:val="single" w:sz="6" w:space="0" w:color="000000"/>
              <w:bottom w:val="single" w:sz="6" w:space="0" w:color="000000"/>
              <w:right w:val="single" w:sz="6" w:space="0" w:color="000000"/>
            </w:tcBorders>
          </w:tcPr>
          <w:p>
            <w:pPr>
              <w:pStyle w:val="TAL"/>
              <w:rPr>
                <w:lang w:eastAsia="zh-CN" w:bidi="ar-IQ"/>
              </w:rPr>
            </w:pPr>
            <w:r>
              <w:rPr>
                <w:lang w:eastAsia="zh-CN" w:bidi="ar-IQ"/>
              </w:rPr>
              <w:t xml:space="preserve">Triggers </w:t>
            </w:r>
          </w:p>
        </w:tc>
        <w:tc>
          <w:tcPr>
            <w:tcW w:w="107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lang w:eastAsia="zh-CN"/>
              </w:rPr>
              <w:t>O</w:t>
            </w:r>
            <w:r>
              <w:rPr>
                <w:vertAlign w:val="subscript"/>
                <w:lang w:eastAsia="zh-CN"/>
              </w:rPr>
              <w:t>C</w:t>
            </w:r>
          </w:p>
        </w:tc>
        <w:tc>
          <w:tcPr>
            <w:tcW w:w="140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lang w:val="fr-FR" w:eastAsia="zh-CN"/>
              </w:rPr>
              <w:t>O</w:t>
            </w:r>
            <w:r>
              <w:rPr>
                <w:vertAlign w:val="subscript"/>
                <w:lang w:val="fr-FR" w:eastAsia="zh-CN"/>
              </w:rPr>
              <w:t>C</w:t>
            </w:r>
          </w:p>
        </w:tc>
        <w:tc>
          <w:tcPr>
            <w:tcW w:w="5030" w:type="dxa"/>
            <w:tcBorders>
              <w:top w:val="single" w:sz="6" w:space="0" w:color="000000"/>
              <w:left w:val="single" w:sz="6" w:space="0" w:color="000000"/>
              <w:bottom w:val="single" w:sz="6" w:space="0" w:color="000000"/>
              <w:right w:val="single" w:sz="6" w:space="0" w:color="000000"/>
            </w:tcBorders>
          </w:tcPr>
          <w:p>
            <w:pPr>
              <w:pStyle w:val="TAL"/>
              <w:rPr>
                <w:rFonts w:cs="Arial"/>
              </w:rPr>
            </w:pPr>
            <w:r>
              <w:rPr>
                <w:szCs w:val="18"/>
              </w:rPr>
              <w:t xml:space="preserve">This field holds the triggers supplied from the CHF </w:t>
            </w:r>
            <w:r>
              <w:rPr>
                <w:szCs w:val="18"/>
                <w:lang w:val="en-US" w:eastAsia="en-US"/>
              </w:rPr>
              <w:t>for the charging session</w:t>
            </w:r>
            <w:r>
              <w:rPr>
                <w:szCs w:val="18"/>
              </w:rPr>
              <w:t xml:space="preserve"> that are independent of rating group for quota management and without quota management.</w:t>
            </w:r>
          </w:p>
        </w:tc>
      </w:tr>
      <w:tr>
        <w:trPr>
          <w:cantSplit w:val="true"/>
        </w:trPr>
        <w:tc>
          <w:tcPr>
            <w:tcW w:w="2261" w:type="dxa"/>
            <w:tcBorders>
              <w:top w:val="single" w:sz="6" w:space="0" w:color="000000"/>
              <w:left w:val="single" w:sz="6" w:space="0" w:color="000000"/>
              <w:bottom w:val="single" w:sz="6" w:space="0" w:color="000000"/>
              <w:right w:val="single" w:sz="6" w:space="0" w:color="000000"/>
            </w:tcBorders>
          </w:tcPr>
          <w:p>
            <w:pPr>
              <w:pStyle w:val="TAL"/>
              <w:rPr/>
            </w:pPr>
            <w:r>
              <w:rPr/>
              <w:t xml:space="preserve">Multiple </w:t>
            </w:r>
            <w:r>
              <w:rPr>
                <w:lang w:eastAsia="zh-CN"/>
              </w:rPr>
              <w:t>Unit</w:t>
            </w:r>
            <w:r>
              <w:rPr/>
              <w:t xml:space="preserve"> Information</w:t>
            </w:r>
          </w:p>
        </w:tc>
        <w:tc>
          <w:tcPr>
            <w:tcW w:w="107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1409"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cs="Arial"/>
              </w:rPr>
            </w:pPr>
            <w:r>
              <w:rPr>
                <w:rFonts w:cs="Arial"/>
                <w:lang w:val="fr-FR"/>
              </w:rPr>
              <w:t>-</w:t>
            </w:r>
          </w:p>
        </w:tc>
        <w:tc>
          <w:tcPr>
            <w:tcW w:w="50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 w:val="16"/>
                <w:szCs w:val="16"/>
              </w:rPr>
            </w:pPr>
            <w:r>
              <w:rPr>
                <w:rFonts w:cs="Arial"/>
              </w:rPr>
              <w:t xml:space="preserve">This field </w:t>
            </w:r>
            <w:r>
              <w:rPr/>
              <w:t>holds</w:t>
            </w:r>
            <w:r>
              <w:rPr>
                <w:rFonts w:cs="Arial"/>
              </w:rPr>
              <w:t xml:space="preserve"> the parameters for the quota management and/or usage reporting information. It may have multiple occurrences.</w:t>
            </w:r>
          </w:p>
        </w:tc>
      </w:tr>
      <w:tr>
        <w:trPr>
          <w:cantSplit w:val="true"/>
        </w:trPr>
        <w:tc>
          <w:tcPr>
            <w:tcW w:w="2261" w:type="dxa"/>
            <w:tcBorders>
              <w:top w:val="single" w:sz="6" w:space="0" w:color="000000"/>
              <w:left w:val="single" w:sz="6" w:space="0" w:color="000000"/>
              <w:bottom w:val="single" w:sz="6" w:space="0" w:color="000000"/>
              <w:right w:val="single" w:sz="6" w:space="0" w:color="000000"/>
            </w:tcBorders>
          </w:tcPr>
          <w:p>
            <w:pPr>
              <w:pStyle w:val="TAL"/>
              <w:ind w:left="284" w:hanging="0"/>
              <w:rPr/>
            </w:pPr>
            <w:r>
              <w:rPr>
                <w:lang w:eastAsia="zh-CN" w:bidi="ar-IQ"/>
              </w:rPr>
              <w:t>Result Code</w:t>
            </w:r>
          </w:p>
        </w:tc>
        <w:tc>
          <w:tcPr>
            <w:tcW w:w="107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szCs w:val="18"/>
                <w:lang w:val="en-US" w:eastAsia="en-US"/>
              </w:rPr>
              <w:t>O</w:t>
            </w:r>
            <w:r>
              <w:rPr>
                <w:szCs w:val="18"/>
                <w:vertAlign w:val="subscript"/>
                <w:lang w:val="en-US" w:eastAsia="en-US"/>
              </w:rPr>
              <w:t>C</w:t>
            </w:r>
          </w:p>
        </w:tc>
        <w:tc>
          <w:tcPr>
            <w:tcW w:w="1409"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szCs w:val="18"/>
                <w:lang w:val="fr-FR" w:eastAsia="en-US"/>
              </w:rPr>
              <w:t>-</w:t>
            </w:r>
          </w:p>
        </w:tc>
        <w:tc>
          <w:tcPr>
            <w:tcW w:w="5030" w:type="dxa"/>
            <w:tcBorders>
              <w:top w:val="single" w:sz="6" w:space="0" w:color="000000"/>
              <w:left w:val="single" w:sz="6" w:space="0" w:color="000000"/>
              <w:bottom w:val="single" w:sz="6" w:space="0" w:color="000000"/>
              <w:right w:val="single" w:sz="6" w:space="0" w:color="000000"/>
            </w:tcBorders>
          </w:tcPr>
          <w:p>
            <w:pPr>
              <w:pStyle w:val="TAL"/>
              <w:rPr/>
            </w:pPr>
            <w:r>
              <w:rPr>
                <w:szCs w:val="18"/>
                <w:lang w:val="en-US" w:eastAsia="en-US"/>
              </w:rPr>
              <w:t>This field contains the result of the Rating Group quota allocation.</w:t>
            </w:r>
          </w:p>
        </w:tc>
      </w:tr>
      <w:tr>
        <w:trPr>
          <w:cantSplit w:val="true"/>
        </w:trPr>
        <w:tc>
          <w:tcPr>
            <w:tcW w:w="2261" w:type="dxa"/>
            <w:tcBorders>
              <w:top w:val="single" w:sz="6" w:space="0" w:color="000000"/>
              <w:left w:val="single" w:sz="6" w:space="0" w:color="000000"/>
              <w:bottom w:val="single" w:sz="6" w:space="0" w:color="000000"/>
              <w:right w:val="single" w:sz="6" w:space="0" w:color="000000"/>
            </w:tcBorders>
          </w:tcPr>
          <w:p>
            <w:pPr>
              <w:pStyle w:val="TAL"/>
              <w:ind w:left="284" w:hanging="0"/>
              <w:rPr/>
            </w:pPr>
            <w:r>
              <w:rPr>
                <w:lang w:eastAsia="zh-CN" w:bidi="ar-IQ"/>
              </w:rPr>
              <w:t>Rating Group</w:t>
            </w:r>
          </w:p>
        </w:tc>
        <w:tc>
          <w:tcPr>
            <w:tcW w:w="107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r>
              <w:rPr>
                <w:vertAlign w:val="subscript"/>
                <w:lang w:eastAsia="zh-CN"/>
              </w:rPr>
              <w:t>M</w:t>
            </w:r>
          </w:p>
        </w:tc>
        <w:tc>
          <w:tcPr>
            <w:tcW w:w="1409" w:type="dxa"/>
            <w:tcBorders>
              <w:top w:val="single" w:sz="6" w:space="0" w:color="000000"/>
              <w:left w:val="single" w:sz="6" w:space="0" w:color="000000"/>
              <w:bottom w:val="single" w:sz="6" w:space="0" w:color="000000"/>
              <w:right w:val="single" w:sz="6" w:space="0" w:color="000000"/>
            </w:tcBorders>
          </w:tcPr>
          <w:p>
            <w:pPr>
              <w:pStyle w:val="TAL"/>
              <w:jc w:val="center"/>
              <w:rPr>
                <w:rFonts w:cs="Arial"/>
                <w:lang w:val="fr-FR"/>
              </w:rPr>
            </w:pPr>
            <w:r>
              <w:rPr>
                <w:rFonts w:cs="Arial"/>
                <w:lang w:val="fr-FR"/>
              </w:rPr>
              <w:t>-</w:t>
            </w:r>
          </w:p>
        </w:tc>
        <w:tc>
          <w:tcPr>
            <w:tcW w:w="5030" w:type="dxa"/>
            <w:tcBorders>
              <w:top w:val="single" w:sz="6" w:space="0" w:color="000000"/>
              <w:left w:val="single" w:sz="6" w:space="0" w:color="000000"/>
              <w:bottom w:val="single" w:sz="6" w:space="0" w:color="000000"/>
              <w:right w:val="single" w:sz="6" w:space="0" w:color="000000"/>
            </w:tcBorders>
          </w:tcPr>
          <w:p>
            <w:pPr>
              <w:pStyle w:val="TAL"/>
              <w:rPr/>
            </w:pPr>
            <w:r>
              <w:rPr/>
              <w:t>The identifier of a rating group.</w:t>
            </w:r>
          </w:p>
        </w:tc>
      </w:tr>
      <w:tr>
        <w:trPr>
          <w:cantSplit w:val="true"/>
        </w:trPr>
        <w:tc>
          <w:tcPr>
            <w:tcW w:w="2261" w:type="dxa"/>
            <w:tcBorders>
              <w:top w:val="single" w:sz="6" w:space="0" w:color="000000"/>
              <w:left w:val="single" w:sz="6" w:space="0" w:color="000000"/>
              <w:bottom w:val="single" w:sz="6" w:space="0" w:color="000000"/>
              <w:right w:val="single" w:sz="6" w:space="0" w:color="000000"/>
            </w:tcBorders>
          </w:tcPr>
          <w:p>
            <w:pPr>
              <w:pStyle w:val="TAL"/>
              <w:ind w:left="284" w:hanging="0"/>
              <w:rPr/>
            </w:pPr>
            <w:r>
              <w:rPr>
                <w:lang w:eastAsia="zh-CN" w:bidi="ar-IQ"/>
              </w:rPr>
              <w:t>Granted Unit</w:t>
            </w:r>
          </w:p>
        </w:tc>
        <w:tc>
          <w:tcPr>
            <w:tcW w:w="107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r>
              <w:rPr>
                <w:vertAlign w:val="subscript"/>
                <w:lang w:eastAsia="zh-CN"/>
              </w:rPr>
              <w:t>C</w:t>
            </w:r>
          </w:p>
        </w:tc>
        <w:tc>
          <w:tcPr>
            <w:tcW w:w="1409" w:type="dxa"/>
            <w:tcBorders>
              <w:top w:val="single" w:sz="6" w:space="0" w:color="000000"/>
              <w:left w:val="single" w:sz="6" w:space="0" w:color="000000"/>
              <w:bottom w:val="single" w:sz="6" w:space="0" w:color="000000"/>
              <w:right w:val="single" w:sz="6" w:space="0" w:color="000000"/>
            </w:tcBorders>
          </w:tcPr>
          <w:p>
            <w:pPr>
              <w:pStyle w:val="TAL"/>
              <w:jc w:val="center"/>
              <w:rPr>
                <w:szCs w:val="18"/>
                <w:lang w:val="fr-FR" w:eastAsia="en-US"/>
              </w:rPr>
            </w:pPr>
            <w:r>
              <w:rPr>
                <w:szCs w:val="18"/>
                <w:lang w:val="fr-FR" w:eastAsia="en-US"/>
              </w:rPr>
              <w:t>-</w:t>
            </w:r>
          </w:p>
        </w:tc>
        <w:tc>
          <w:tcPr>
            <w:tcW w:w="5030" w:type="dxa"/>
            <w:tcBorders>
              <w:top w:val="single" w:sz="6" w:space="0" w:color="000000"/>
              <w:left w:val="single" w:sz="6" w:space="0" w:color="000000"/>
              <w:bottom w:val="single" w:sz="6" w:space="0" w:color="000000"/>
              <w:right w:val="single" w:sz="6" w:space="0" w:color="000000"/>
            </w:tcBorders>
          </w:tcPr>
          <w:p>
            <w:pPr>
              <w:pStyle w:val="TAL"/>
              <w:rPr/>
            </w:pPr>
            <w:r>
              <w:rPr/>
              <w:t>This field holds the granted quota.</w:t>
            </w:r>
          </w:p>
        </w:tc>
      </w:tr>
      <w:tr>
        <w:trPr>
          <w:cantSplit w:val="true"/>
        </w:trPr>
        <w:tc>
          <w:tcPr>
            <w:tcW w:w="2261" w:type="dxa"/>
            <w:tcBorders>
              <w:top w:val="single" w:sz="6" w:space="0" w:color="000000"/>
              <w:left w:val="single" w:sz="6" w:space="0" w:color="000000"/>
              <w:bottom w:val="single" w:sz="6" w:space="0" w:color="000000"/>
              <w:right w:val="single" w:sz="6" w:space="0" w:color="000000"/>
            </w:tcBorders>
          </w:tcPr>
          <w:p>
            <w:pPr>
              <w:pStyle w:val="TAL"/>
              <w:ind w:left="568" w:hanging="0"/>
              <w:rPr>
                <w:lang w:eastAsia="zh-CN" w:bidi="ar-IQ"/>
              </w:rPr>
            </w:pPr>
            <w:r>
              <w:rPr>
                <w:lang w:eastAsia="zh-CN" w:bidi="ar-IQ"/>
              </w:rPr>
              <w:t>Tariff Time Change</w:t>
            </w:r>
          </w:p>
        </w:tc>
        <w:tc>
          <w:tcPr>
            <w:tcW w:w="107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r>
              <w:rPr>
                <w:vertAlign w:val="subscript"/>
                <w:lang w:eastAsia="zh-CN"/>
              </w:rPr>
              <w:t>C</w:t>
            </w:r>
          </w:p>
        </w:tc>
        <w:tc>
          <w:tcPr>
            <w:tcW w:w="1409"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eastAsia="zh-CN"/>
              </w:rPr>
            </w:pPr>
            <w:r>
              <w:rPr>
                <w:rFonts w:cs="Arial"/>
                <w:lang w:val="fr-FR"/>
              </w:rPr>
              <w:t>-</w:t>
            </w:r>
          </w:p>
        </w:tc>
        <w:tc>
          <w:tcPr>
            <w:tcW w:w="503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lang w:eastAsia="zh-CN"/>
              </w:rPr>
              <w:t>This field contains the switch time when the tariff will be changed.</w:t>
            </w:r>
          </w:p>
        </w:tc>
      </w:tr>
      <w:tr>
        <w:trPr>
          <w:cantSplit w:val="true"/>
        </w:trPr>
        <w:tc>
          <w:tcPr>
            <w:tcW w:w="2261" w:type="dxa"/>
            <w:tcBorders>
              <w:top w:val="single" w:sz="6" w:space="0" w:color="000000"/>
              <w:left w:val="single" w:sz="6" w:space="0" w:color="000000"/>
              <w:bottom w:val="single" w:sz="6" w:space="0" w:color="000000"/>
              <w:right w:val="single" w:sz="6" w:space="0" w:color="000000"/>
            </w:tcBorders>
          </w:tcPr>
          <w:p>
            <w:pPr>
              <w:pStyle w:val="TAL"/>
              <w:ind w:left="568" w:hanging="0"/>
              <w:rPr>
                <w:lang w:eastAsia="zh-CN" w:bidi="ar-IQ"/>
              </w:rPr>
            </w:pPr>
            <w:r>
              <w:rPr/>
              <w:t>Time</w:t>
            </w:r>
          </w:p>
        </w:tc>
        <w:tc>
          <w:tcPr>
            <w:tcW w:w="107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r>
              <w:rPr>
                <w:vertAlign w:val="subscript"/>
                <w:lang w:eastAsia="zh-CN"/>
              </w:rPr>
              <w:t>C</w:t>
            </w:r>
          </w:p>
        </w:tc>
        <w:tc>
          <w:tcPr>
            <w:tcW w:w="1409" w:type="dxa"/>
            <w:tcBorders>
              <w:top w:val="single" w:sz="6" w:space="0" w:color="000000"/>
              <w:left w:val="single" w:sz="6" w:space="0" w:color="000000"/>
              <w:bottom w:val="single" w:sz="6" w:space="0" w:color="000000"/>
              <w:right w:val="single" w:sz="6" w:space="0" w:color="000000"/>
            </w:tcBorders>
          </w:tcPr>
          <w:p>
            <w:pPr>
              <w:pStyle w:val="TAL"/>
              <w:jc w:val="center"/>
              <w:rPr>
                <w:szCs w:val="18"/>
                <w:lang w:val="fr-FR" w:eastAsia="en-US"/>
              </w:rPr>
            </w:pPr>
            <w:r>
              <w:rPr>
                <w:szCs w:val="18"/>
                <w:lang w:val="fr-FR" w:eastAsia="en-US"/>
              </w:rPr>
              <w:t>-</w:t>
            </w:r>
          </w:p>
        </w:tc>
        <w:tc>
          <w:tcPr>
            <w:tcW w:w="5030" w:type="dxa"/>
            <w:tcBorders>
              <w:top w:val="single" w:sz="6" w:space="0" w:color="000000"/>
              <w:left w:val="single" w:sz="6" w:space="0" w:color="000000"/>
              <w:bottom w:val="single" w:sz="6" w:space="0" w:color="000000"/>
              <w:right w:val="single" w:sz="6" w:space="0" w:color="000000"/>
            </w:tcBorders>
          </w:tcPr>
          <w:p>
            <w:pPr>
              <w:pStyle w:val="TAL"/>
              <w:rPr/>
            </w:pPr>
            <w:r>
              <w:rPr/>
              <w:t>This field holds the amount of granted time.</w:t>
            </w:r>
          </w:p>
        </w:tc>
      </w:tr>
      <w:tr>
        <w:trPr>
          <w:cantSplit w:val="true"/>
        </w:trPr>
        <w:tc>
          <w:tcPr>
            <w:tcW w:w="2261" w:type="dxa"/>
            <w:tcBorders>
              <w:top w:val="single" w:sz="6" w:space="0" w:color="000000"/>
              <w:left w:val="single" w:sz="6" w:space="0" w:color="000000"/>
              <w:bottom w:val="single" w:sz="6" w:space="0" w:color="000000"/>
              <w:right w:val="single" w:sz="6" w:space="0" w:color="000000"/>
            </w:tcBorders>
          </w:tcPr>
          <w:p>
            <w:pPr>
              <w:pStyle w:val="TAL"/>
              <w:ind w:left="568" w:hanging="0"/>
              <w:rPr>
                <w:lang w:eastAsia="zh-CN" w:bidi="ar-IQ"/>
              </w:rPr>
            </w:pPr>
            <w:r>
              <w:rPr/>
              <w:t>Total Volume</w:t>
            </w:r>
          </w:p>
        </w:tc>
        <w:tc>
          <w:tcPr>
            <w:tcW w:w="107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r>
              <w:rPr>
                <w:vertAlign w:val="subscript"/>
                <w:lang w:eastAsia="zh-CN"/>
              </w:rPr>
              <w:t>C</w:t>
            </w:r>
          </w:p>
        </w:tc>
        <w:tc>
          <w:tcPr>
            <w:tcW w:w="1409" w:type="dxa"/>
            <w:tcBorders>
              <w:top w:val="single" w:sz="6" w:space="0" w:color="000000"/>
              <w:left w:val="single" w:sz="6" w:space="0" w:color="000000"/>
              <w:bottom w:val="single" w:sz="6" w:space="0" w:color="000000"/>
              <w:right w:val="single" w:sz="6" w:space="0" w:color="000000"/>
            </w:tcBorders>
          </w:tcPr>
          <w:p>
            <w:pPr>
              <w:pStyle w:val="TAL"/>
              <w:jc w:val="center"/>
              <w:rPr>
                <w:rFonts w:cs="Arial"/>
                <w:lang w:val="fr-FR"/>
              </w:rPr>
            </w:pPr>
            <w:r>
              <w:rPr>
                <w:rFonts w:cs="Arial"/>
                <w:lang w:val="fr-FR"/>
              </w:rPr>
              <w:t>-</w:t>
            </w:r>
          </w:p>
        </w:tc>
        <w:tc>
          <w:tcPr>
            <w:tcW w:w="5030" w:type="dxa"/>
            <w:tcBorders>
              <w:top w:val="single" w:sz="6" w:space="0" w:color="000000"/>
              <w:left w:val="single" w:sz="6" w:space="0" w:color="000000"/>
              <w:bottom w:val="single" w:sz="6" w:space="0" w:color="000000"/>
              <w:right w:val="single" w:sz="6" w:space="0" w:color="000000"/>
            </w:tcBorders>
          </w:tcPr>
          <w:p>
            <w:pPr>
              <w:pStyle w:val="TAL"/>
              <w:rPr/>
            </w:pPr>
            <w:r>
              <w:rPr/>
              <w:t>This field holds the amount of granted volume in both uplink and downlink directions.</w:t>
            </w:r>
          </w:p>
        </w:tc>
      </w:tr>
      <w:tr>
        <w:trPr>
          <w:cantSplit w:val="true"/>
        </w:trPr>
        <w:tc>
          <w:tcPr>
            <w:tcW w:w="2261" w:type="dxa"/>
            <w:tcBorders>
              <w:top w:val="single" w:sz="6" w:space="0" w:color="000000"/>
              <w:left w:val="single" w:sz="6" w:space="0" w:color="000000"/>
              <w:bottom w:val="single" w:sz="6" w:space="0" w:color="000000"/>
              <w:right w:val="single" w:sz="6" w:space="0" w:color="000000"/>
            </w:tcBorders>
          </w:tcPr>
          <w:p>
            <w:pPr>
              <w:pStyle w:val="TAL"/>
              <w:ind w:left="568" w:hanging="0"/>
              <w:rPr>
                <w:lang w:eastAsia="zh-CN" w:bidi="ar-IQ"/>
              </w:rPr>
            </w:pPr>
            <w:r>
              <w:rPr/>
              <w:t>Uplink Volume</w:t>
            </w:r>
          </w:p>
        </w:tc>
        <w:tc>
          <w:tcPr>
            <w:tcW w:w="107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r>
              <w:rPr>
                <w:vertAlign w:val="subscript"/>
                <w:lang w:eastAsia="zh-CN"/>
              </w:rPr>
              <w:t>C</w:t>
            </w:r>
          </w:p>
        </w:tc>
        <w:tc>
          <w:tcPr>
            <w:tcW w:w="1409" w:type="dxa"/>
            <w:tcBorders>
              <w:top w:val="single" w:sz="6" w:space="0" w:color="000000"/>
              <w:left w:val="single" w:sz="6" w:space="0" w:color="000000"/>
              <w:bottom w:val="single" w:sz="6" w:space="0" w:color="000000"/>
              <w:right w:val="single" w:sz="6" w:space="0" w:color="000000"/>
            </w:tcBorders>
          </w:tcPr>
          <w:p>
            <w:pPr>
              <w:pStyle w:val="TAL"/>
              <w:jc w:val="center"/>
              <w:rPr>
                <w:szCs w:val="18"/>
                <w:lang w:val="fr-FR" w:eastAsia="en-US"/>
              </w:rPr>
            </w:pPr>
            <w:r>
              <w:rPr>
                <w:szCs w:val="18"/>
                <w:lang w:val="fr-FR" w:eastAsia="en-US"/>
              </w:rPr>
              <w:t>-</w:t>
            </w:r>
          </w:p>
        </w:tc>
        <w:tc>
          <w:tcPr>
            <w:tcW w:w="5030" w:type="dxa"/>
            <w:tcBorders>
              <w:top w:val="single" w:sz="6" w:space="0" w:color="000000"/>
              <w:left w:val="single" w:sz="6" w:space="0" w:color="000000"/>
              <w:bottom w:val="single" w:sz="6" w:space="0" w:color="000000"/>
              <w:right w:val="single" w:sz="6" w:space="0" w:color="000000"/>
            </w:tcBorders>
          </w:tcPr>
          <w:p>
            <w:pPr>
              <w:pStyle w:val="TAL"/>
              <w:rPr/>
            </w:pPr>
            <w:r>
              <w:rPr/>
              <w:t>This field holds the amount of granted volume in uplink direction.</w:t>
            </w:r>
          </w:p>
        </w:tc>
      </w:tr>
      <w:tr>
        <w:trPr>
          <w:cantSplit w:val="true"/>
        </w:trPr>
        <w:tc>
          <w:tcPr>
            <w:tcW w:w="2261" w:type="dxa"/>
            <w:tcBorders>
              <w:top w:val="single" w:sz="6" w:space="0" w:color="000000"/>
              <w:left w:val="single" w:sz="6" w:space="0" w:color="000000"/>
              <w:bottom w:val="single" w:sz="6" w:space="0" w:color="000000"/>
              <w:right w:val="single" w:sz="6" w:space="0" w:color="000000"/>
            </w:tcBorders>
          </w:tcPr>
          <w:p>
            <w:pPr>
              <w:pStyle w:val="TAL"/>
              <w:ind w:left="568" w:hanging="0"/>
              <w:rPr>
                <w:lang w:eastAsia="zh-CN" w:bidi="ar-IQ"/>
              </w:rPr>
            </w:pPr>
            <w:r>
              <w:rPr/>
              <w:t>Downlink Volume</w:t>
            </w:r>
          </w:p>
        </w:tc>
        <w:tc>
          <w:tcPr>
            <w:tcW w:w="107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r>
              <w:rPr>
                <w:vertAlign w:val="subscript"/>
                <w:lang w:eastAsia="zh-CN"/>
              </w:rPr>
              <w:t>C</w:t>
            </w:r>
          </w:p>
        </w:tc>
        <w:tc>
          <w:tcPr>
            <w:tcW w:w="1409" w:type="dxa"/>
            <w:tcBorders>
              <w:top w:val="single" w:sz="6" w:space="0" w:color="000000"/>
              <w:left w:val="single" w:sz="6" w:space="0" w:color="000000"/>
              <w:bottom w:val="single" w:sz="6" w:space="0" w:color="000000"/>
              <w:right w:val="single" w:sz="6" w:space="0" w:color="000000"/>
            </w:tcBorders>
          </w:tcPr>
          <w:p>
            <w:pPr>
              <w:pStyle w:val="TAL"/>
              <w:jc w:val="center"/>
              <w:rPr>
                <w:rFonts w:cs="Arial"/>
                <w:lang w:val="fr-FR"/>
              </w:rPr>
            </w:pPr>
            <w:r>
              <w:rPr>
                <w:rFonts w:cs="Arial"/>
                <w:lang w:val="fr-FR"/>
              </w:rPr>
              <w:t>-</w:t>
            </w:r>
          </w:p>
        </w:tc>
        <w:tc>
          <w:tcPr>
            <w:tcW w:w="5030" w:type="dxa"/>
            <w:tcBorders>
              <w:top w:val="single" w:sz="6" w:space="0" w:color="000000"/>
              <w:left w:val="single" w:sz="6" w:space="0" w:color="000000"/>
              <w:bottom w:val="single" w:sz="6" w:space="0" w:color="000000"/>
              <w:right w:val="single" w:sz="6" w:space="0" w:color="000000"/>
            </w:tcBorders>
          </w:tcPr>
          <w:p>
            <w:pPr>
              <w:pStyle w:val="TAL"/>
              <w:rPr/>
            </w:pPr>
            <w:r>
              <w:rPr/>
              <w:t xml:space="preserve">This field holds the amount of granted volume in downlink direction. </w:t>
            </w:r>
          </w:p>
        </w:tc>
      </w:tr>
      <w:tr>
        <w:trPr>
          <w:cantSplit w:val="true"/>
        </w:trPr>
        <w:tc>
          <w:tcPr>
            <w:tcW w:w="2261" w:type="dxa"/>
            <w:tcBorders>
              <w:top w:val="single" w:sz="6" w:space="0" w:color="000000"/>
              <w:left w:val="single" w:sz="6" w:space="0" w:color="000000"/>
              <w:bottom w:val="single" w:sz="6" w:space="0" w:color="000000"/>
              <w:right w:val="single" w:sz="6" w:space="0" w:color="000000"/>
            </w:tcBorders>
          </w:tcPr>
          <w:p>
            <w:pPr>
              <w:pStyle w:val="TAL"/>
              <w:ind w:left="568" w:hanging="0"/>
              <w:rPr>
                <w:lang w:eastAsia="zh-CN" w:bidi="ar-IQ"/>
              </w:rPr>
            </w:pPr>
            <w:r>
              <w:rPr/>
              <w:t>Service Specific Units</w:t>
            </w:r>
          </w:p>
        </w:tc>
        <w:tc>
          <w:tcPr>
            <w:tcW w:w="107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r>
              <w:rPr>
                <w:vertAlign w:val="subscript"/>
                <w:lang w:eastAsia="zh-CN"/>
              </w:rPr>
              <w:t>C</w:t>
            </w:r>
          </w:p>
        </w:tc>
        <w:tc>
          <w:tcPr>
            <w:tcW w:w="1409" w:type="dxa"/>
            <w:tcBorders>
              <w:top w:val="single" w:sz="6" w:space="0" w:color="000000"/>
              <w:left w:val="single" w:sz="6" w:space="0" w:color="000000"/>
              <w:bottom w:val="single" w:sz="6" w:space="0" w:color="000000"/>
              <w:right w:val="single" w:sz="6" w:space="0" w:color="000000"/>
            </w:tcBorders>
          </w:tcPr>
          <w:p>
            <w:pPr>
              <w:pStyle w:val="TAL"/>
              <w:jc w:val="center"/>
              <w:rPr>
                <w:szCs w:val="18"/>
                <w:lang w:val="fr-FR" w:eastAsia="en-US"/>
              </w:rPr>
            </w:pPr>
            <w:r>
              <w:rPr>
                <w:szCs w:val="18"/>
                <w:lang w:val="fr-FR" w:eastAsia="en-US"/>
              </w:rPr>
              <w:t>-</w:t>
            </w:r>
          </w:p>
        </w:tc>
        <w:tc>
          <w:tcPr>
            <w:tcW w:w="5030"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zh-CN"/>
              </w:rPr>
            </w:pPr>
            <w:r>
              <w:rPr/>
              <w:t>This field holds the amount of granted requested service specific units.</w:t>
            </w:r>
          </w:p>
        </w:tc>
      </w:tr>
      <w:tr>
        <w:trPr>
          <w:cantSplit w:val="true"/>
        </w:trPr>
        <w:tc>
          <w:tcPr>
            <w:tcW w:w="2261" w:type="dxa"/>
            <w:tcBorders>
              <w:top w:val="single" w:sz="6" w:space="0" w:color="000000"/>
              <w:left w:val="single" w:sz="6" w:space="0" w:color="000000"/>
              <w:bottom w:val="single" w:sz="6" w:space="0" w:color="000000"/>
              <w:right w:val="single" w:sz="6" w:space="0" w:color="000000"/>
            </w:tcBorders>
          </w:tcPr>
          <w:p>
            <w:pPr>
              <w:pStyle w:val="TAL"/>
              <w:ind w:left="284" w:hanging="0"/>
              <w:rPr>
                <w:lang w:eastAsia="zh-CN" w:bidi="ar-IQ"/>
              </w:rPr>
            </w:pPr>
            <w:r>
              <w:rPr>
                <w:lang w:eastAsia="zh-CN" w:bidi="ar-IQ"/>
              </w:rPr>
              <w:t>Validity Time</w:t>
            </w:r>
          </w:p>
        </w:tc>
        <w:tc>
          <w:tcPr>
            <w:tcW w:w="107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r>
              <w:rPr>
                <w:vertAlign w:val="subscript"/>
                <w:lang w:eastAsia="zh-CN"/>
              </w:rPr>
              <w:t>C</w:t>
            </w:r>
          </w:p>
        </w:tc>
        <w:tc>
          <w:tcPr>
            <w:tcW w:w="140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rFonts w:cs="Arial"/>
                <w:lang w:val="fr-FR"/>
              </w:rPr>
              <w:t>-</w:t>
            </w:r>
          </w:p>
        </w:tc>
        <w:tc>
          <w:tcPr>
            <w:tcW w:w="5030"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defines the time in order to limit the validity of the granted quota for a given category instance.</w:t>
            </w:r>
          </w:p>
        </w:tc>
      </w:tr>
      <w:tr>
        <w:trPr>
          <w:cantSplit w:val="true"/>
        </w:trPr>
        <w:tc>
          <w:tcPr>
            <w:tcW w:w="2261" w:type="dxa"/>
            <w:tcBorders>
              <w:top w:val="single" w:sz="6" w:space="0" w:color="000000"/>
              <w:left w:val="single" w:sz="6" w:space="0" w:color="000000"/>
              <w:bottom w:val="single" w:sz="6" w:space="0" w:color="000000"/>
              <w:right w:val="single" w:sz="6" w:space="0" w:color="000000"/>
            </w:tcBorders>
          </w:tcPr>
          <w:p>
            <w:pPr>
              <w:pStyle w:val="TAL"/>
              <w:ind w:left="284" w:hanging="0"/>
              <w:rPr/>
            </w:pPr>
            <w:r>
              <w:rPr>
                <w:lang w:eastAsia="zh-CN" w:bidi="ar-IQ"/>
              </w:rPr>
              <w:t>Final Unit Indication</w:t>
            </w:r>
          </w:p>
        </w:tc>
        <w:tc>
          <w:tcPr>
            <w:tcW w:w="107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r>
              <w:rPr>
                <w:vertAlign w:val="subscript"/>
                <w:lang w:eastAsia="zh-CN"/>
              </w:rPr>
              <w:t>C</w:t>
            </w:r>
          </w:p>
        </w:tc>
        <w:tc>
          <w:tcPr>
            <w:tcW w:w="140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lang w:val="fr-FR" w:eastAsia="en-US"/>
              </w:rPr>
              <w:t>-</w:t>
            </w:r>
          </w:p>
        </w:tc>
        <w:tc>
          <w:tcPr>
            <w:tcW w:w="5030"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indicates the granted final units for the service.</w:t>
            </w:r>
          </w:p>
        </w:tc>
      </w:tr>
      <w:tr>
        <w:trPr>
          <w:cantSplit w:val="true"/>
        </w:trPr>
        <w:tc>
          <w:tcPr>
            <w:tcW w:w="2261" w:type="dxa"/>
            <w:tcBorders>
              <w:top w:val="single" w:sz="6" w:space="0" w:color="000000"/>
              <w:left w:val="single" w:sz="6" w:space="0" w:color="000000"/>
              <w:bottom w:val="single" w:sz="6" w:space="0" w:color="000000"/>
              <w:right w:val="single" w:sz="6" w:space="0" w:color="000000"/>
            </w:tcBorders>
          </w:tcPr>
          <w:p>
            <w:pPr>
              <w:pStyle w:val="TAL"/>
              <w:ind w:left="284" w:hanging="0"/>
              <w:rPr>
                <w:lang w:eastAsia="zh-CN" w:bidi="ar-IQ"/>
              </w:rPr>
            </w:pPr>
            <w:r>
              <w:rPr>
                <w:lang w:bidi="ar-IQ"/>
              </w:rPr>
              <w:t xml:space="preserve">Time Quota Threshold </w:t>
            </w:r>
          </w:p>
        </w:tc>
        <w:tc>
          <w:tcPr>
            <w:tcW w:w="107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szCs w:val="18"/>
                <w:lang w:bidi="ar-IQ"/>
              </w:rPr>
              <w:t>O</w:t>
            </w:r>
            <w:r>
              <w:rPr>
                <w:position w:val="-6"/>
                <w:sz w:val="14"/>
                <w:szCs w:val="14"/>
                <w:lang w:bidi="ar-IQ"/>
              </w:rPr>
              <w:t>C</w:t>
            </w:r>
          </w:p>
        </w:tc>
        <w:tc>
          <w:tcPr>
            <w:tcW w:w="1409"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rFonts w:cs="Arial"/>
                <w:lang w:val="fr-FR"/>
              </w:rPr>
              <w:t>-</w:t>
            </w:r>
          </w:p>
        </w:tc>
        <w:tc>
          <w:tcPr>
            <w:tcW w:w="5030"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lang w:val="en-US" w:eastAsia="en-US"/>
              </w:rPr>
              <w:t xml:space="preserve">This field </w:t>
            </w:r>
            <w:r>
              <w:rPr>
                <w:lang w:val="en-US" w:eastAsia="en-US"/>
              </w:rPr>
              <w:t>indicates the threshold in seconds when the granted quota is time</w:t>
            </w:r>
          </w:p>
        </w:tc>
      </w:tr>
      <w:tr>
        <w:trPr>
          <w:cantSplit w:val="true"/>
        </w:trPr>
        <w:tc>
          <w:tcPr>
            <w:tcW w:w="2261" w:type="dxa"/>
            <w:tcBorders>
              <w:top w:val="single" w:sz="6" w:space="0" w:color="000000"/>
              <w:left w:val="single" w:sz="6" w:space="0" w:color="000000"/>
              <w:bottom w:val="single" w:sz="6" w:space="0" w:color="000000"/>
              <w:right w:val="single" w:sz="6" w:space="0" w:color="000000"/>
            </w:tcBorders>
          </w:tcPr>
          <w:p>
            <w:pPr>
              <w:pStyle w:val="TAL"/>
              <w:ind w:left="284" w:hanging="0"/>
              <w:rPr>
                <w:lang w:eastAsia="zh-CN" w:bidi="ar-IQ"/>
              </w:rPr>
            </w:pPr>
            <w:r>
              <w:rPr>
                <w:lang w:bidi="ar-IQ"/>
              </w:rPr>
              <w:t xml:space="preserve">Volume Quota Threshold </w:t>
            </w:r>
          </w:p>
        </w:tc>
        <w:tc>
          <w:tcPr>
            <w:tcW w:w="107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szCs w:val="18"/>
                <w:lang w:bidi="ar-IQ"/>
              </w:rPr>
              <w:t>O</w:t>
            </w:r>
            <w:r>
              <w:rPr>
                <w:position w:val="-6"/>
                <w:sz w:val="14"/>
                <w:szCs w:val="14"/>
                <w:lang w:bidi="ar-IQ"/>
              </w:rPr>
              <w:t>C</w:t>
            </w:r>
          </w:p>
        </w:tc>
        <w:tc>
          <w:tcPr>
            <w:tcW w:w="1409"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szCs w:val="18"/>
                <w:lang w:val="fr-FR" w:eastAsia="en-US"/>
              </w:rPr>
              <w:t>-</w:t>
            </w:r>
          </w:p>
        </w:tc>
        <w:tc>
          <w:tcPr>
            <w:tcW w:w="5030"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lang w:val="en-US" w:eastAsia="en-US"/>
              </w:rPr>
              <w:t xml:space="preserve">This field </w:t>
            </w:r>
            <w:r>
              <w:rPr>
                <w:lang w:val="en-US" w:eastAsia="en-US"/>
              </w:rPr>
              <w:t>indicates the threshold in octets when the granted quota is volume</w:t>
            </w:r>
          </w:p>
        </w:tc>
      </w:tr>
      <w:tr>
        <w:trPr>
          <w:cantSplit w:val="true"/>
        </w:trPr>
        <w:tc>
          <w:tcPr>
            <w:tcW w:w="2261" w:type="dxa"/>
            <w:tcBorders>
              <w:top w:val="single" w:sz="6" w:space="0" w:color="000000"/>
              <w:left w:val="single" w:sz="6" w:space="0" w:color="000000"/>
              <w:bottom w:val="single" w:sz="6" w:space="0" w:color="000000"/>
              <w:right w:val="single" w:sz="6" w:space="0" w:color="000000"/>
            </w:tcBorders>
          </w:tcPr>
          <w:p>
            <w:pPr>
              <w:pStyle w:val="TAL"/>
              <w:ind w:left="284" w:hanging="0"/>
              <w:rPr>
                <w:lang w:eastAsia="zh-CN" w:bidi="ar-IQ"/>
              </w:rPr>
            </w:pPr>
            <w:r>
              <w:rPr>
                <w:lang w:bidi="ar-IQ"/>
              </w:rPr>
              <w:t>Unit Quota Threshold</w:t>
            </w:r>
            <w:r>
              <w:rPr/>
              <w:t xml:space="preserve"> </w:t>
            </w:r>
          </w:p>
        </w:tc>
        <w:tc>
          <w:tcPr>
            <w:tcW w:w="107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szCs w:val="18"/>
                <w:lang w:bidi="ar-IQ"/>
              </w:rPr>
              <w:t>O</w:t>
            </w:r>
            <w:r>
              <w:rPr>
                <w:position w:val="-6"/>
                <w:sz w:val="14"/>
                <w:szCs w:val="14"/>
                <w:lang w:bidi="ar-IQ"/>
              </w:rPr>
              <w:t>C</w:t>
            </w:r>
          </w:p>
        </w:tc>
        <w:tc>
          <w:tcPr>
            <w:tcW w:w="1409"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rFonts w:cs="Arial"/>
                <w:lang w:val="fr-FR"/>
              </w:rPr>
              <w:t>-</w:t>
            </w:r>
          </w:p>
        </w:tc>
        <w:tc>
          <w:tcPr>
            <w:tcW w:w="5030"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lang w:val="en-US" w:eastAsia="en-US"/>
              </w:rPr>
              <w:t xml:space="preserve">This field </w:t>
            </w:r>
            <w:r>
              <w:rPr>
                <w:lang w:val="en-US" w:eastAsia="en-US"/>
              </w:rPr>
              <w:t>indicates the threshold in service specific units, that are defined in the service specific documents, when the granted quota is service specific</w:t>
            </w:r>
          </w:p>
        </w:tc>
      </w:tr>
      <w:tr>
        <w:trPr>
          <w:cantSplit w:val="true"/>
        </w:trPr>
        <w:tc>
          <w:tcPr>
            <w:tcW w:w="2261" w:type="dxa"/>
            <w:tcBorders>
              <w:top w:val="single" w:sz="6" w:space="0" w:color="000000"/>
              <w:left w:val="single" w:sz="6" w:space="0" w:color="000000"/>
              <w:bottom w:val="single" w:sz="6" w:space="0" w:color="000000"/>
              <w:right w:val="single" w:sz="6" w:space="0" w:color="000000"/>
            </w:tcBorders>
          </w:tcPr>
          <w:p>
            <w:pPr>
              <w:pStyle w:val="TAL"/>
              <w:ind w:left="284" w:hanging="0"/>
              <w:rPr/>
            </w:pPr>
            <w:r>
              <w:rPr>
                <w:lang w:eastAsia="zh-CN" w:bidi="ar-IQ"/>
              </w:rPr>
              <w:t>Quota Holding Time</w:t>
            </w:r>
          </w:p>
        </w:tc>
        <w:tc>
          <w:tcPr>
            <w:tcW w:w="107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r>
              <w:rPr>
                <w:vertAlign w:val="subscript"/>
                <w:lang w:eastAsia="zh-CN"/>
              </w:rPr>
              <w:t>C</w:t>
            </w:r>
          </w:p>
        </w:tc>
        <w:tc>
          <w:tcPr>
            <w:tcW w:w="1409" w:type="dxa"/>
            <w:tcBorders>
              <w:top w:val="single" w:sz="6" w:space="0" w:color="000000"/>
              <w:left w:val="single" w:sz="6" w:space="0" w:color="000000"/>
              <w:bottom w:val="single" w:sz="6" w:space="0" w:color="000000"/>
              <w:right w:val="single" w:sz="6" w:space="0" w:color="000000"/>
            </w:tcBorders>
          </w:tcPr>
          <w:p>
            <w:pPr>
              <w:pStyle w:val="TAL"/>
              <w:jc w:val="center"/>
              <w:rPr>
                <w:szCs w:val="18"/>
                <w:lang w:val="fr-FR" w:eastAsia="en-US"/>
              </w:rPr>
            </w:pPr>
            <w:r>
              <w:rPr>
                <w:szCs w:val="18"/>
                <w:lang w:val="fr-FR" w:eastAsia="en-US"/>
              </w:rPr>
              <w:t>-</w:t>
            </w:r>
          </w:p>
        </w:tc>
        <w:tc>
          <w:tcPr>
            <w:tcW w:w="5030" w:type="dxa"/>
            <w:tcBorders>
              <w:top w:val="single" w:sz="6" w:space="0" w:color="000000"/>
              <w:left w:val="single" w:sz="6" w:space="0" w:color="000000"/>
              <w:bottom w:val="single" w:sz="6" w:space="0" w:color="000000"/>
              <w:right w:val="single" w:sz="6" w:space="0" w:color="000000"/>
            </w:tcBorders>
          </w:tcPr>
          <w:p>
            <w:pPr>
              <w:pStyle w:val="TAL"/>
              <w:rPr>
                <w:szCs w:val="18"/>
              </w:rPr>
            </w:pPr>
            <w:r>
              <w:rPr/>
              <w:t>This field holds</w:t>
            </w:r>
            <w:r>
              <w:rPr>
                <w:lang w:val="en-US" w:eastAsia="en-US"/>
              </w:rPr>
              <w:t xml:space="preserve"> the quota holding time in seconds.</w:t>
            </w:r>
          </w:p>
        </w:tc>
      </w:tr>
      <w:tr>
        <w:trPr>
          <w:cantSplit w:val="true"/>
        </w:trPr>
        <w:tc>
          <w:tcPr>
            <w:tcW w:w="2261" w:type="dxa"/>
            <w:tcBorders>
              <w:top w:val="single" w:sz="6" w:space="0" w:color="000000"/>
              <w:left w:val="single" w:sz="6" w:space="0" w:color="000000"/>
              <w:bottom w:val="single" w:sz="6" w:space="0" w:color="000000"/>
              <w:right w:val="single" w:sz="6" w:space="0" w:color="000000"/>
            </w:tcBorders>
          </w:tcPr>
          <w:p>
            <w:pPr>
              <w:pStyle w:val="TAL"/>
              <w:ind w:left="284" w:hanging="0"/>
              <w:rPr>
                <w:lang w:eastAsia="zh-CN" w:bidi="ar-IQ"/>
              </w:rPr>
            </w:pPr>
            <w:r>
              <w:rPr>
                <w:lang w:eastAsia="zh-CN" w:bidi="ar-IQ"/>
              </w:rPr>
              <w:t>Triggers</w:t>
            </w:r>
          </w:p>
        </w:tc>
        <w:tc>
          <w:tcPr>
            <w:tcW w:w="107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r>
              <w:rPr>
                <w:vertAlign w:val="subscript"/>
                <w:lang w:eastAsia="zh-CN"/>
              </w:rPr>
              <w:t>C</w:t>
            </w:r>
          </w:p>
        </w:tc>
        <w:tc>
          <w:tcPr>
            <w:tcW w:w="1409" w:type="dxa"/>
            <w:tcBorders>
              <w:top w:val="single" w:sz="6" w:space="0" w:color="000000"/>
              <w:left w:val="single" w:sz="6" w:space="0" w:color="000000"/>
              <w:bottom w:val="single" w:sz="6" w:space="0" w:color="000000"/>
              <w:right w:val="single" w:sz="6" w:space="0" w:color="000000"/>
            </w:tcBorders>
          </w:tcPr>
          <w:p>
            <w:pPr>
              <w:pStyle w:val="TAL"/>
              <w:jc w:val="center"/>
              <w:rPr/>
            </w:pPr>
            <w:r>
              <w:rPr>
                <w:lang w:val="fr-FR" w:eastAsia="zh-CN"/>
              </w:rPr>
              <w:t>O</w:t>
            </w:r>
            <w:r>
              <w:rPr>
                <w:vertAlign w:val="subscript"/>
                <w:lang w:val="fr-FR" w:eastAsia="zh-CN"/>
              </w:rPr>
              <w:t>C</w:t>
            </w:r>
          </w:p>
        </w:tc>
        <w:tc>
          <w:tcPr>
            <w:tcW w:w="5030" w:type="dxa"/>
            <w:tcBorders>
              <w:top w:val="single" w:sz="6" w:space="0" w:color="000000"/>
              <w:left w:val="single" w:sz="6" w:space="0" w:color="000000"/>
              <w:bottom w:val="single" w:sz="6" w:space="0" w:color="000000"/>
              <w:right w:val="single" w:sz="6" w:space="0" w:color="000000"/>
            </w:tcBorders>
          </w:tcPr>
          <w:p>
            <w:pPr>
              <w:pStyle w:val="TAL"/>
              <w:rPr>
                <w:szCs w:val="18"/>
              </w:rPr>
            </w:pPr>
            <w:r>
              <w:rPr/>
              <w:t xml:space="preserve">This field holds triggers for usage reporting </w:t>
            </w:r>
            <w:r>
              <w:rPr>
                <w:lang w:val="en-US" w:eastAsia="en-US"/>
              </w:rPr>
              <w:t xml:space="preserve">associated to the rating group, which is </w:t>
            </w:r>
            <w:r>
              <w:rPr>
                <w:szCs w:val="18"/>
                <w:lang w:val="en-US" w:eastAsia="en-US"/>
              </w:rPr>
              <w:t>supplied from the CHF</w:t>
            </w:r>
            <w:r>
              <w:rPr>
                <w:lang w:val="en-US" w:eastAsia="en-US"/>
              </w:rPr>
              <w:t>.</w:t>
            </w:r>
          </w:p>
        </w:tc>
      </w:tr>
    </w:tbl>
    <w:p>
      <w:pPr>
        <w:pStyle w:val="TH"/>
        <w:rPr>
          <w:rFonts w:eastAsia="MS Mincho;MS Mincho"/>
        </w:rPr>
      </w:pPr>
      <w:r>
        <w:rPr>
          <w:rFonts w:eastAsia="MS Mincho;MS Mincho"/>
        </w:rPr>
      </w:r>
    </w:p>
    <w:p>
      <w:pPr>
        <w:pStyle w:val="Normal"/>
        <w:keepNext w:val="true"/>
        <w:rPr/>
      </w:pPr>
      <w:r>
        <w:rPr/>
        <w:t>The CTF NF consumer specific structures which are specified in the middle tier TSs, are defined as extensions of:</w:t>
      </w:r>
    </w:p>
    <w:p>
      <w:pPr>
        <w:pStyle w:val="B1"/>
        <w:rPr/>
      </w:pPr>
      <w:r>
        <w:rPr/>
        <w:t>-</w:t>
        <w:tab/>
        <w:t>common part structure of Charging Data Request and Charging Data Response.</w:t>
      </w:r>
    </w:p>
    <w:p>
      <w:pPr>
        <w:pStyle w:val="B1"/>
        <w:rPr/>
      </w:pPr>
      <w:r>
        <w:rPr/>
        <w:t>-</w:t>
        <w:tab/>
        <w:t xml:space="preserve">structure of Multiple </w:t>
      </w:r>
      <w:r>
        <w:rPr>
          <w:lang w:val="en-GB"/>
        </w:rPr>
        <w:t>Unit</w:t>
      </w:r>
      <w:r>
        <w:rPr/>
        <w:t xml:space="preserve"> Usage.</w:t>
      </w:r>
    </w:p>
    <w:p>
      <w:pPr>
        <w:pStyle w:val="B1"/>
        <w:rPr/>
      </w:pPr>
      <w:r>
        <w:rPr/>
        <w:t>-</w:t>
        <w:tab/>
        <w:t xml:space="preserve">structure of Multiple </w:t>
      </w:r>
      <w:r>
        <w:rPr>
          <w:lang w:val="en-GB"/>
        </w:rPr>
        <w:t>Unit</w:t>
      </w:r>
      <w:r>
        <w:rPr/>
        <w:t xml:space="preserve"> Information.</w:t>
      </w:r>
    </w:p>
    <w:p>
      <w:pPr>
        <w:pStyle w:val="Normal"/>
        <w:rPr/>
      </w:pPr>
      <w:r>
        <w:rPr/>
        <w:t xml:space="preserve">Table 7.3 describes the data structure which is common to Charging Notify Request. </w:t>
      </w:r>
    </w:p>
    <w:p>
      <w:pPr>
        <w:pStyle w:val="TH"/>
        <w:rPr/>
      </w:pPr>
      <w:r>
        <w:rPr>
          <w:rFonts w:eastAsia="MS Mincho;MS Mincho"/>
        </w:rPr>
        <w:t>Table 7.</w:t>
      </w:r>
      <w:r>
        <w:rPr>
          <w:rFonts w:eastAsia="MS Mincho;MS Mincho"/>
          <w:lang w:val="en-GB"/>
        </w:rPr>
        <w:t>3</w:t>
      </w:r>
      <w:r>
        <w:rPr>
          <w:rFonts w:eastAsia="MS Mincho;MS Mincho"/>
        </w:rPr>
        <w:t xml:space="preserve">: Common Data structure of Charging Notify </w:t>
      </w:r>
      <w:r>
        <w:rPr/>
        <w:t xml:space="preserve">Request </w:t>
      </w:r>
    </w:p>
    <w:tbl>
      <w:tblPr>
        <w:tblW w:w="9217" w:type="dxa"/>
        <w:jc w:val="center"/>
        <w:tblInd w:w="0" w:type="dxa"/>
        <w:tblLayout w:type="fixed"/>
        <w:tblCellMar>
          <w:top w:w="0" w:type="dxa"/>
          <w:left w:w="28" w:type="dxa"/>
          <w:bottom w:w="0" w:type="dxa"/>
          <w:right w:w="107" w:type="dxa"/>
        </w:tblCellMar>
      </w:tblPr>
      <w:tblGrid>
        <w:gridCol w:w="2910"/>
        <w:gridCol w:w="1061"/>
        <w:gridCol w:w="5246"/>
      </w:tblGrid>
      <w:tr>
        <w:trPr>
          <w:tblHeader w:val="true"/>
          <w:cantSplit w:val="true"/>
        </w:trPr>
        <w:tc>
          <w:tcPr>
            <w:tcW w:w="2910" w:type="dxa"/>
            <w:tcBorders>
              <w:top w:val="single" w:sz="4" w:space="0" w:color="000000"/>
              <w:left w:val="single" w:sz="4" w:space="0" w:color="000000"/>
              <w:bottom w:val="single" w:sz="4" w:space="0" w:color="000000"/>
              <w:right w:val="single" w:sz="4" w:space="0" w:color="000000"/>
            </w:tcBorders>
            <w:shd w:fill="CCCCCC" w:val="clear"/>
          </w:tcPr>
          <w:p>
            <w:pPr>
              <w:pStyle w:val="TAH"/>
              <w:keepLines w:val="false"/>
              <w:rPr>
                <w:lang w:eastAsia="en-GB"/>
              </w:rPr>
            </w:pPr>
            <w:r>
              <w:rPr>
                <w:lang w:eastAsia="en-GB"/>
              </w:rPr>
              <w:t>Information Element</w:t>
            </w:r>
          </w:p>
        </w:tc>
        <w:tc>
          <w:tcPr>
            <w:tcW w:w="1061" w:type="dxa"/>
            <w:tcBorders>
              <w:top w:val="single" w:sz="4" w:space="0" w:color="000000"/>
              <w:left w:val="single" w:sz="4" w:space="0" w:color="000000"/>
              <w:bottom w:val="single" w:sz="4" w:space="0" w:color="000000"/>
              <w:right w:val="single" w:sz="4" w:space="0" w:color="000000"/>
            </w:tcBorders>
            <w:shd w:fill="CCCCCC" w:val="clear"/>
          </w:tcPr>
          <w:p>
            <w:pPr>
              <w:pStyle w:val="TAH"/>
              <w:keepLines w:val="false"/>
              <w:rPr>
                <w:szCs w:val="18"/>
                <w:lang w:eastAsia="en-GB"/>
              </w:rPr>
            </w:pPr>
            <w:r>
              <w:rPr>
                <w:szCs w:val="18"/>
              </w:rPr>
              <w:t>Converged Charging</w:t>
            </w:r>
          </w:p>
          <w:p>
            <w:pPr>
              <w:pStyle w:val="TAH"/>
              <w:keepLines w:val="false"/>
              <w:rPr>
                <w:szCs w:val="18"/>
                <w:lang w:eastAsia="en-GB"/>
              </w:rPr>
            </w:pPr>
            <w:r>
              <w:rPr>
                <w:szCs w:val="18"/>
                <w:lang w:eastAsia="en-GB"/>
              </w:rPr>
              <w:t>Category</w:t>
            </w:r>
          </w:p>
        </w:tc>
        <w:tc>
          <w:tcPr>
            <w:tcW w:w="5246" w:type="dxa"/>
            <w:tcBorders>
              <w:top w:val="single" w:sz="4" w:space="0" w:color="000000"/>
              <w:left w:val="single" w:sz="4" w:space="0" w:color="000000"/>
              <w:bottom w:val="single" w:sz="4" w:space="0" w:color="000000"/>
              <w:right w:val="single" w:sz="4" w:space="0" w:color="000000"/>
            </w:tcBorders>
            <w:shd w:fill="CCCCCC" w:val="clear"/>
          </w:tcPr>
          <w:p>
            <w:pPr>
              <w:pStyle w:val="TAH"/>
              <w:keepLines w:val="false"/>
              <w:rPr>
                <w:lang w:eastAsia="en-GB"/>
              </w:rPr>
            </w:pPr>
            <w:r>
              <w:rPr>
                <w:lang w:eastAsia="en-GB"/>
              </w:rPr>
              <w:t>Description</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rPr>
                <w:lang w:eastAsia="en-GB"/>
              </w:rPr>
            </w:pPr>
            <w:r>
              <w:rPr>
                <w:rFonts w:eastAsia="MS Mincho;MS Mincho"/>
                <w:lang w:val="en-US" w:eastAsia="en-US"/>
              </w:rPr>
              <w:t>Notify URI</w:t>
            </w:r>
          </w:p>
        </w:tc>
        <w:tc>
          <w:tcPr>
            <w:tcW w:w="1061"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lang w:eastAsia="en-GB"/>
              </w:rPr>
            </w:pPr>
            <w:r>
              <w:rPr>
                <w:szCs w:val="18"/>
                <w:lang w:eastAsia="en-GB"/>
              </w:rPr>
              <w:t>M</w:t>
            </w:r>
          </w:p>
        </w:tc>
        <w:tc>
          <w:tcPr>
            <w:tcW w:w="5246" w:type="dxa"/>
            <w:tcBorders>
              <w:top w:val="single" w:sz="6" w:space="0" w:color="000000"/>
              <w:left w:val="single" w:sz="6" w:space="0" w:color="000000"/>
              <w:bottom w:val="single" w:sz="6" w:space="0" w:color="000000"/>
              <w:right w:val="single" w:sz="6" w:space="0" w:color="000000"/>
            </w:tcBorders>
          </w:tcPr>
          <w:p>
            <w:pPr>
              <w:pStyle w:val="TAL"/>
              <w:keepLines w:val="false"/>
              <w:rPr>
                <w:lang w:eastAsia="en-GB"/>
              </w:rPr>
            </w:pPr>
            <w:r>
              <w:rPr>
                <w:rFonts w:cs="Arial"/>
                <w:lang w:val="en-US" w:eastAsia="en-US"/>
              </w:rPr>
              <w:t>This field holds</w:t>
            </w:r>
            <w:r>
              <w:rPr>
                <w:lang w:val="en-US" w:eastAsia="en-US"/>
              </w:rPr>
              <w:t xml:space="preserve"> the URI previously supplied by the CHF for notifications associated to the charging session. </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rPr/>
            </w:pPr>
            <w:r>
              <w:rPr>
                <w:lang w:eastAsia="en-GB"/>
              </w:rPr>
              <w:t>Notification type</w:t>
            </w:r>
          </w:p>
        </w:tc>
        <w:tc>
          <w:tcPr>
            <w:tcW w:w="1061"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lang w:eastAsia="en-GB"/>
              </w:rPr>
            </w:pPr>
            <w:r>
              <w:rPr>
                <w:rFonts w:cs="Arial"/>
                <w:szCs w:val="18"/>
                <w:lang w:eastAsia="en-GB"/>
              </w:rPr>
              <w:t>M</w:t>
            </w:r>
          </w:p>
        </w:tc>
        <w:tc>
          <w:tcPr>
            <w:tcW w:w="5246" w:type="dxa"/>
            <w:tcBorders>
              <w:top w:val="single" w:sz="6" w:space="0" w:color="000000"/>
              <w:left w:val="single" w:sz="6" w:space="0" w:color="000000"/>
              <w:bottom w:val="single" w:sz="6" w:space="0" w:color="000000"/>
              <w:right w:val="single" w:sz="6" w:space="0" w:color="000000"/>
            </w:tcBorders>
          </w:tcPr>
          <w:p>
            <w:pPr>
              <w:pStyle w:val="TAL"/>
              <w:rPr>
                <w:lang w:eastAsia="en-GB"/>
              </w:rPr>
            </w:pPr>
            <w:r>
              <w:rPr>
                <w:lang w:eastAsia="en-GB"/>
              </w:rPr>
              <w:t>This field holds the type of notification indicating re-authorization or termination.</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rPr>
                <w:lang w:eastAsia="en-GB"/>
              </w:rPr>
            </w:pPr>
            <w:r>
              <w:rPr>
                <w:lang w:val="en-US" w:eastAsia="en-US"/>
              </w:rPr>
              <w:t>Reauthorization Details</w:t>
            </w:r>
          </w:p>
        </w:tc>
        <w:tc>
          <w:tcPr>
            <w:tcW w:w="1061"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lang w:eastAsia="en-GB"/>
              </w:rPr>
            </w:pPr>
            <w:r>
              <w:rPr>
                <w:szCs w:val="18"/>
                <w:lang w:eastAsia="en-GB"/>
              </w:rPr>
              <w:t>O</w:t>
            </w:r>
            <w:r>
              <w:rPr>
                <w:szCs w:val="18"/>
                <w:vertAlign w:val="subscript"/>
                <w:lang w:eastAsia="en-GB"/>
              </w:rPr>
              <w:t>C</w:t>
            </w:r>
          </w:p>
        </w:tc>
        <w:tc>
          <w:tcPr>
            <w:tcW w:w="5246" w:type="dxa"/>
            <w:tcBorders>
              <w:top w:val="single" w:sz="6" w:space="0" w:color="000000"/>
              <w:left w:val="single" w:sz="6" w:space="0" w:color="000000"/>
              <w:bottom w:val="single" w:sz="6" w:space="0" w:color="000000"/>
              <w:right w:val="single" w:sz="6" w:space="0" w:color="000000"/>
            </w:tcBorders>
          </w:tcPr>
          <w:p>
            <w:pPr>
              <w:pStyle w:val="TAL"/>
              <w:rPr/>
            </w:pPr>
            <w:r>
              <w:rPr>
                <w:szCs w:val="18"/>
                <w:lang w:val="en-US" w:eastAsia="en-US"/>
              </w:rPr>
              <w:t xml:space="preserve">This field holds the details of </w:t>
            </w:r>
            <w:r>
              <w:rPr>
                <w:lang w:val="en-US" w:eastAsia="en-US"/>
              </w:rPr>
              <w:t>re-authorization.</w:t>
            </w:r>
          </w:p>
          <w:p>
            <w:pPr>
              <w:pStyle w:val="TAL"/>
              <w:rPr>
                <w:lang w:eastAsia="en-GB"/>
              </w:rPr>
            </w:pPr>
            <w:r>
              <w:rPr>
                <w:lang w:val="en-US" w:eastAsia="en-US"/>
              </w:rPr>
              <w:t>It’s only present when type of notification is re-authorization.If not present and type of notification is re-</w:t>
            </w:r>
            <w:r>
              <w:rPr>
                <w:lang w:eastAsia="zh-CN"/>
              </w:rPr>
              <w:t>authorization</w:t>
            </w:r>
            <w:r>
              <w:rPr>
                <w:lang w:val="en-US" w:eastAsia="en-US"/>
              </w:rPr>
              <w:t xml:space="preserve">, </w:t>
            </w:r>
            <w:r>
              <w:rPr/>
              <w:t>the re-authorization notification applies to all units.</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ind w:left="284" w:hanging="0"/>
              <w:rPr>
                <w:lang w:val="en-US" w:eastAsia="en-US"/>
              </w:rPr>
            </w:pPr>
            <w:r>
              <w:rPr>
                <w:rFonts w:cs="Arial"/>
                <w:szCs w:val="18"/>
                <w:lang w:eastAsia="en-GB"/>
              </w:rPr>
              <w:t>Service Identifier</w:t>
            </w:r>
          </w:p>
        </w:tc>
        <w:tc>
          <w:tcPr>
            <w:tcW w:w="1061"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lang w:eastAsia="en-GB"/>
              </w:rPr>
            </w:pPr>
            <w:r>
              <w:rPr>
                <w:szCs w:val="18"/>
                <w:lang w:eastAsia="en-GB"/>
              </w:rPr>
              <w:t>O</w:t>
            </w:r>
            <w:r>
              <w:rPr>
                <w:szCs w:val="18"/>
                <w:vertAlign w:val="subscript"/>
                <w:lang w:eastAsia="en-GB"/>
              </w:rPr>
              <w:t>C</w:t>
            </w:r>
          </w:p>
        </w:tc>
        <w:tc>
          <w:tcPr>
            <w:tcW w:w="5246" w:type="dxa"/>
            <w:tcBorders>
              <w:top w:val="single" w:sz="6" w:space="0" w:color="000000"/>
              <w:left w:val="single" w:sz="6" w:space="0" w:color="000000"/>
              <w:bottom w:val="single" w:sz="6" w:space="0" w:color="000000"/>
              <w:right w:val="single" w:sz="6" w:space="0" w:color="000000"/>
            </w:tcBorders>
          </w:tcPr>
          <w:p>
            <w:pPr>
              <w:pStyle w:val="TAL"/>
              <w:rPr>
                <w:lang w:eastAsia="en-GB"/>
              </w:rPr>
            </w:pPr>
            <w:r>
              <w:rPr>
                <w:lang w:eastAsia="en-GB"/>
              </w:rPr>
              <w:t xml:space="preserve">This field holds the Service Identifier to which re-authorization </w:t>
            </w:r>
            <w:r>
              <w:rPr/>
              <w:t>notification</w:t>
            </w:r>
            <w:r>
              <w:rPr>
                <w:lang w:eastAsia="en-GB"/>
              </w:rPr>
              <w:t xml:space="preserve"> applies.</w:t>
            </w:r>
            <w:r>
              <w:rPr/>
              <w:t xml:space="preserve"> If present, the rating group shall also be present. If not present the re-authorization notification applies to all service identifiers. </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ind w:left="284" w:hanging="0"/>
              <w:rPr>
                <w:lang w:val="en-US" w:eastAsia="en-US"/>
              </w:rPr>
            </w:pPr>
            <w:r>
              <w:rPr>
                <w:lang w:eastAsia="zh-CN" w:bidi="ar-IQ"/>
              </w:rPr>
              <w:t>Rating Group</w:t>
            </w:r>
          </w:p>
        </w:tc>
        <w:tc>
          <w:tcPr>
            <w:tcW w:w="1061"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lang w:eastAsia="en-GB"/>
              </w:rPr>
            </w:pPr>
            <w:r>
              <w:rPr>
                <w:szCs w:val="18"/>
                <w:lang w:eastAsia="en-GB"/>
              </w:rPr>
              <w:t>O</w:t>
            </w:r>
            <w:r>
              <w:rPr>
                <w:szCs w:val="18"/>
                <w:vertAlign w:val="subscript"/>
                <w:lang w:eastAsia="en-GB"/>
              </w:rPr>
              <w:t>C</w:t>
            </w:r>
          </w:p>
        </w:tc>
        <w:tc>
          <w:tcPr>
            <w:tcW w:w="5246" w:type="dxa"/>
            <w:tcBorders>
              <w:top w:val="single" w:sz="6" w:space="0" w:color="000000"/>
              <w:left w:val="single" w:sz="6" w:space="0" w:color="000000"/>
              <w:bottom w:val="single" w:sz="6" w:space="0" w:color="000000"/>
              <w:right w:val="single" w:sz="6" w:space="0" w:color="000000"/>
            </w:tcBorders>
          </w:tcPr>
          <w:p>
            <w:pPr>
              <w:pStyle w:val="TAL"/>
              <w:rPr/>
            </w:pPr>
            <w:r>
              <w:rPr>
                <w:lang w:eastAsia="en-GB"/>
              </w:rPr>
              <w:t xml:space="preserve">This field holds the rating group to which re-authorization </w:t>
            </w:r>
            <w:r>
              <w:rPr/>
              <w:t>notification</w:t>
            </w:r>
            <w:r>
              <w:rPr>
                <w:lang w:eastAsia="en-GB"/>
              </w:rPr>
              <w:t xml:space="preserve"> applies.</w:t>
            </w:r>
            <w:r>
              <w:rPr/>
              <w:t xml:space="preserve"> If not present the re-authorization notification applies to all rating groups.</w:t>
            </w:r>
            <w:r>
              <w:rPr>
                <w:lang w:eastAsia="en-GB"/>
              </w:rPr>
              <w:t xml:space="preserve"> </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ind w:left="284" w:hanging="0"/>
              <w:rPr>
                <w:lang w:val="en-US" w:eastAsia="en-US"/>
              </w:rPr>
            </w:pPr>
            <w:r>
              <w:rPr>
                <w:lang w:eastAsia="zh-CN" w:bidi="ar-IQ"/>
              </w:rPr>
              <w:t>Quota management Indicator</w:t>
            </w:r>
          </w:p>
        </w:tc>
        <w:tc>
          <w:tcPr>
            <w:tcW w:w="1061"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lang w:eastAsia="en-GB"/>
              </w:rPr>
            </w:pPr>
            <w:r>
              <w:rPr>
                <w:lang w:eastAsia="zh-CN"/>
              </w:rPr>
              <w:t>O</w:t>
            </w:r>
            <w:r>
              <w:rPr>
                <w:vertAlign w:val="subscript"/>
                <w:lang w:eastAsia="zh-CN"/>
              </w:rPr>
              <w:t>C</w:t>
            </w:r>
          </w:p>
        </w:tc>
        <w:tc>
          <w:tcPr>
            <w:tcW w:w="5246" w:type="dxa"/>
            <w:tcBorders>
              <w:top w:val="single" w:sz="6" w:space="0" w:color="000000"/>
              <w:left w:val="single" w:sz="6" w:space="0" w:color="000000"/>
              <w:bottom w:val="single" w:sz="6" w:space="0" w:color="000000"/>
              <w:right w:val="single" w:sz="6" w:space="0" w:color="000000"/>
            </w:tcBorders>
          </w:tcPr>
          <w:p>
            <w:pPr>
              <w:pStyle w:val="TAL"/>
              <w:rPr/>
            </w:pPr>
            <w:r>
              <w:rPr>
                <w:lang w:eastAsia="en-GB"/>
              </w:rPr>
              <w:t xml:space="preserve">This field holds </w:t>
            </w:r>
            <w:r>
              <w:rPr/>
              <w:t xml:space="preserve">an indicator on whether the re-authorization notification is for quota management control or not. If not present the re-authorization notification applies to both units with and without quota management.  </w:t>
            </w:r>
            <w:r>
              <w:rPr>
                <w:lang w:val="en-US" w:eastAsia="en-US"/>
              </w:rPr>
              <w:t xml:space="preserve">  </w:t>
            </w:r>
          </w:p>
        </w:tc>
      </w:tr>
    </w:tbl>
    <w:p>
      <w:pPr>
        <w:pStyle w:val="Normal"/>
        <w:rPr>
          <w:rFonts w:eastAsia="MS Mincho;MS Mincho"/>
        </w:rPr>
      </w:pPr>
      <w:r>
        <w:rPr>
          <w:rFonts w:eastAsia="MS Mincho;MS Mincho"/>
        </w:rPr>
      </w:r>
    </w:p>
    <w:p>
      <w:pPr>
        <w:pStyle w:val="Normal"/>
        <w:rPr/>
      </w:pPr>
      <w:r>
        <w:rPr/>
        <w:t xml:space="preserve">Table 7.4 describes the data structure which is common to Charging Notify Response. </w:t>
      </w:r>
    </w:p>
    <w:p>
      <w:pPr>
        <w:pStyle w:val="TH"/>
        <w:rPr>
          <w:rFonts w:eastAsia="MS Mincho;MS Mincho"/>
        </w:rPr>
      </w:pPr>
      <w:r>
        <w:rPr>
          <w:rFonts w:eastAsia="MS Mincho;MS Mincho"/>
        </w:rPr>
        <w:t>Table 7.</w:t>
      </w:r>
      <w:r>
        <w:rPr>
          <w:rFonts w:eastAsia="MS Mincho;MS Mincho"/>
          <w:lang w:val="en-GB"/>
        </w:rPr>
        <w:t>4</w:t>
      </w:r>
      <w:r>
        <w:rPr>
          <w:rFonts w:eastAsia="MS Mincho;MS Mincho"/>
        </w:rPr>
        <w:t xml:space="preserve">: Common Data structure of Charging Notify Response </w:t>
      </w:r>
    </w:p>
    <w:tbl>
      <w:tblPr>
        <w:tblW w:w="9217" w:type="dxa"/>
        <w:jc w:val="center"/>
        <w:tblInd w:w="0" w:type="dxa"/>
        <w:tblLayout w:type="fixed"/>
        <w:tblCellMar>
          <w:top w:w="0" w:type="dxa"/>
          <w:left w:w="28" w:type="dxa"/>
          <w:bottom w:w="0" w:type="dxa"/>
          <w:right w:w="107" w:type="dxa"/>
        </w:tblCellMar>
      </w:tblPr>
      <w:tblGrid>
        <w:gridCol w:w="2910"/>
        <w:gridCol w:w="1061"/>
        <w:gridCol w:w="5246"/>
      </w:tblGrid>
      <w:tr>
        <w:trPr>
          <w:tblHeader w:val="true"/>
          <w:cantSplit w:val="true"/>
        </w:trPr>
        <w:tc>
          <w:tcPr>
            <w:tcW w:w="2910" w:type="dxa"/>
            <w:tcBorders>
              <w:top w:val="single" w:sz="4" w:space="0" w:color="000000"/>
              <w:left w:val="single" w:sz="4" w:space="0" w:color="000000"/>
              <w:bottom w:val="single" w:sz="4" w:space="0" w:color="000000"/>
              <w:right w:val="single" w:sz="4" w:space="0" w:color="000000"/>
            </w:tcBorders>
            <w:shd w:fill="CCCCCC" w:val="clear"/>
          </w:tcPr>
          <w:p>
            <w:pPr>
              <w:pStyle w:val="TAH"/>
              <w:keepLines w:val="false"/>
              <w:rPr>
                <w:lang w:eastAsia="en-GB"/>
              </w:rPr>
            </w:pPr>
            <w:r>
              <w:rPr>
                <w:lang w:eastAsia="en-GB"/>
              </w:rPr>
              <w:t>Information Element</w:t>
            </w:r>
          </w:p>
        </w:tc>
        <w:tc>
          <w:tcPr>
            <w:tcW w:w="1061" w:type="dxa"/>
            <w:tcBorders>
              <w:top w:val="single" w:sz="4" w:space="0" w:color="000000"/>
              <w:left w:val="single" w:sz="4" w:space="0" w:color="000000"/>
              <w:bottom w:val="single" w:sz="4" w:space="0" w:color="000000"/>
              <w:right w:val="single" w:sz="4" w:space="0" w:color="000000"/>
            </w:tcBorders>
            <w:shd w:fill="CCCCCC" w:val="clear"/>
          </w:tcPr>
          <w:p>
            <w:pPr>
              <w:pStyle w:val="TAH"/>
              <w:keepLines w:val="false"/>
              <w:rPr>
                <w:szCs w:val="18"/>
                <w:lang w:eastAsia="en-GB"/>
              </w:rPr>
            </w:pPr>
            <w:r>
              <w:rPr>
                <w:szCs w:val="18"/>
                <w:lang w:eastAsia="en-GB"/>
              </w:rPr>
              <w:t>Category</w:t>
            </w:r>
          </w:p>
        </w:tc>
        <w:tc>
          <w:tcPr>
            <w:tcW w:w="5246" w:type="dxa"/>
            <w:tcBorders>
              <w:top w:val="single" w:sz="4" w:space="0" w:color="000000"/>
              <w:left w:val="single" w:sz="4" w:space="0" w:color="000000"/>
              <w:bottom w:val="single" w:sz="4" w:space="0" w:color="000000"/>
              <w:right w:val="single" w:sz="4" w:space="0" w:color="000000"/>
            </w:tcBorders>
            <w:shd w:fill="CCCCCC" w:val="clear"/>
          </w:tcPr>
          <w:p>
            <w:pPr>
              <w:pStyle w:val="TAH"/>
              <w:keepLines w:val="false"/>
              <w:rPr>
                <w:lang w:eastAsia="en-GB"/>
              </w:rPr>
            </w:pPr>
            <w:r>
              <w:rPr>
                <w:lang w:eastAsia="en-GB"/>
              </w:rPr>
              <w:t>Description</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rPr>
                <w:lang w:eastAsia="zh-CN" w:bidi="ar-IQ"/>
              </w:rPr>
            </w:pPr>
            <w:r>
              <w:rPr/>
              <w:t>Invocation Result</w:t>
            </w:r>
          </w:p>
        </w:tc>
        <w:tc>
          <w:tcPr>
            <w:tcW w:w="1061"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GB"/>
              </w:rPr>
            </w:pPr>
            <w:r>
              <w:rPr>
                <w:szCs w:val="18"/>
              </w:rPr>
              <w:t>O</w:t>
            </w:r>
            <w:r>
              <w:rPr>
                <w:szCs w:val="18"/>
                <w:vertAlign w:val="subscript"/>
              </w:rPr>
              <w:t>C</w:t>
            </w:r>
          </w:p>
        </w:tc>
        <w:tc>
          <w:tcPr>
            <w:tcW w:w="5246" w:type="dxa"/>
            <w:tcBorders>
              <w:top w:val="single" w:sz="6" w:space="0" w:color="000000"/>
              <w:left w:val="single" w:sz="6" w:space="0" w:color="000000"/>
              <w:bottom w:val="single" w:sz="6" w:space="0" w:color="000000"/>
              <w:right w:val="single" w:sz="6" w:space="0" w:color="000000"/>
            </w:tcBorders>
          </w:tcPr>
          <w:p>
            <w:pPr>
              <w:pStyle w:val="TAL"/>
              <w:rPr>
                <w:lang w:eastAsia="en-GB"/>
              </w:rPr>
            </w:pPr>
            <w:r>
              <w:rPr>
                <w:rFonts w:cs="Arial"/>
              </w:rPr>
              <w:t xml:space="preserve">This field </w:t>
            </w:r>
            <w:r>
              <w:rPr/>
              <w:t>holds</w:t>
            </w:r>
            <w:r>
              <w:rPr>
                <w:rFonts w:cs="Arial"/>
              </w:rPr>
              <w:t xml:space="preserve"> </w:t>
            </w:r>
            <w:r>
              <w:rPr/>
              <w:t>the result code</w:t>
            </w:r>
            <w:r>
              <w:rPr>
                <w:rFonts w:cs="Arial"/>
              </w:rPr>
              <w:t xml:space="preserve"> in case of unsuccessful result of the charging notify request</w:t>
            </w:r>
            <w:r>
              <w:rPr/>
              <w:t>.</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Invocation Result Code</w:t>
            </w:r>
          </w:p>
        </w:tc>
        <w:tc>
          <w:tcPr>
            <w:tcW w:w="1061"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246"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This field contains the result code in case of failure.</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Failed parameter</w:t>
            </w:r>
          </w:p>
        </w:tc>
        <w:tc>
          <w:tcPr>
            <w:tcW w:w="1061"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246"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 xml:space="preserve">This field </w:t>
            </w:r>
            <w:r>
              <w:rPr/>
              <w:t>holds</w:t>
            </w:r>
            <w:r>
              <w:rPr>
                <w:rFonts w:cs="Arial"/>
              </w:rPr>
              <w:t xml:space="preserve"> missing and/or unsupported parameter that caused the failure.</w:t>
            </w:r>
          </w:p>
        </w:tc>
      </w:tr>
    </w:tbl>
    <w:p>
      <w:pPr>
        <w:pStyle w:val="Normal"/>
        <w:rPr/>
      </w:pPr>
      <w:r>
        <w:rPr/>
      </w:r>
    </w:p>
    <w:p>
      <w:pPr>
        <w:pStyle w:val="Heading8"/>
        <w:ind w:left="0" w:hanging="0"/>
        <w:rPr/>
      </w:pPr>
      <w:bookmarkStart w:id="84" w:name="__RefHeading___Toc90566409"/>
      <w:bookmarkStart w:id="85" w:name="historyclause"/>
      <w:bookmarkEnd w:id="84"/>
      <w:bookmarkEnd w:id="85"/>
      <w:r>
        <w:rPr/>
        <w:t>Annex A (informative):</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1094"/>
        <w:gridCol w:w="567"/>
        <w:gridCol w:w="425"/>
        <w:gridCol w:w="425"/>
        <w:gridCol w:w="4820"/>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lang w:val="en-GB"/>
              </w:rPr>
            </w:pPr>
            <w:r>
              <w:rPr>
                <w:b/>
                <w:lang w:val="en-G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lang w:val="en-GB"/>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lang w:val="en-GB"/>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lang w:val="en-GB"/>
              </w:rPr>
              <w:t>Cat</w:t>
            </w:r>
          </w:p>
        </w:tc>
        <w:tc>
          <w:tcPr>
            <w:tcW w:w="482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lang w:val="en-GB"/>
              </w:rPr>
              <w:t>New version</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2018-06</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SA#80</w:t>
            </w:r>
          </w:p>
        </w:tc>
        <w:tc>
          <w:tcPr>
            <w:tcW w:w="1094" w:type="dxa"/>
            <w:tcBorders>
              <w:top w:val="single" w:sz="6" w:space="0" w:color="000000"/>
              <w:left w:val="single" w:sz="6" w:space="0" w:color="000000"/>
              <w:bottom w:val="single" w:sz="6" w:space="0" w:color="000000"/>
              <w:right w:val="single" w:sz="6" w:space="0" w:color="000000"/>
            </w:tcBorders>
          </w:tcPr>
          <w:p>
            <w:pPr>
              <w:pStyle w:val="TAL"/>
              <w:snapToGrid w:val="false"/>
              <w:jc w:val="center"/>
              <w:rPr>
                <w:rFonts w:cs="Arial"/>
                <w:color w:val="000000"/>
                <w:sz w:val="16"/>
                <w:szCs w:val="16"/>
                <w:lang w:val="en-GB" w:eastAsia="zh-CN"/>
              </w:rPr>
            </w:pPr>
            <w:r>
              <w:rPr>
                <w:rFonts w:cs="Arial"/>
                <w:color w:val="000000"/>
                <w:sz w:val="16"/>
                <w:szCs w:val="16"/>
                <w:lang w:val="en-GB" w:eastAsia="zh-CN"/>
              </w:rPr>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color w:val="000000"/>
                <w:sz w:val="16"/>
                <w:szCs w:val="16"/>
                <w:lang w:val="en-GB" w:eastAsia="zh-CN"/>
              </w:rPr>
            </w:pPr>
            <w:r>
              <w:rPr>
                <w:rFonts w:cs="Arial"/>
                <w:color w:val="000000"/>
                <w:sz w:val="16"/>
                <w:szCs w:val="16"/>
                <w:lang w:val="en-GB" w:eastAsia="zh-CN"/>
              </w:rPr>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rPr>
                <w:b/>
                <w:b/>
                <w:sz w:val="16"/>
                <w:lang w:val="en-GB"/>
              </w:rPr>
            </w:pPr>
            <w:r>
              <w:rPr>
                <w:b/>
                <w:sz w:val="16"/>
                <w:lang w:val="en-GB"/>
              </w:rPr>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rPr>
                <w:b/>
                <w:b/>
                <w:sz w:val="16"/>
                <w:lang w:val="en-GB"/>
              </w:rPr>
            </w:pPr>
            <w:r>
              <w:rPr>
                <w:b/>
                <w:sz w:val="16"/>
                <w:lang w:val="en-GB"/>
              </w:rPr>
            </w:r>
          </w:p>
        </w:tc>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cs="Arial"/>
                <w:color w:val="000000"/>
                <w:sz w:val="16"/>
                <w:szCs w:val="16"/>
                <w:lang w:val="en-GB"/>
              </w:rPr>
              <w:t>Upgrade to change control version</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GB" w:eastAsia="zh-CN"/>
              </w:rPr>
              <w:t>15.0.0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2018-09</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SA#81</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pPr>
            <w:r>
              <w:rPr>
                <w:rFonts w:cs="Arial"/>
                <w:color w:val="000000"/>
                <w:sz w:val="16"/>
                <w:szCs w:val="16"/>
                <w:lang w:val="en-GB" w:eastAsia="zh-CN"/>
              </w:rPr>
              <w:t>SP-180832</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0002</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B</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rPr>
            </w:pPr>
            <w:r>
              <w:rPr>
                <w:rFonts w:cs="Arial"/>
                <w:color w:val="000000"/>
                <w:sz w:val="16"/>
                <w:szCs w:val="16"/>
                <w:lang w:val="en-GB"/>
              </w:rPr>
              <w:t>Charging Session Definition</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GB" w:eastAsia="zh-CN"/>
              </w:rPr>
              <w:t>15.1.0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2018-09</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SA#81</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pPr>
            <w:r>
              <w:rPr>
                <w:rFonts w:cs="Arial"/>
                <w:color w:val="000000"/>
                <w:sz w:val="16"/>
                <w:szCs w:val="16"/>
                <w:lang w:val="en-GB" w:eastAsia="zh-CN"/>
              </w:rPr>
              <w:t>SP-180832</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0003</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Correction on CTF in 5G Charging</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GB" w:eastAsia="zh-CN"/>
              </w:rPr>
              <w:t>15.1.0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2018-09</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GB" w:eastAsia="zh-CN"/>
              </w:rPr>
              <w:t>SA#81</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pPr>
            <w:r>
              <w:rPr>
                <w:rFonts w:cs="Arial"/>
                <w:color w:val="000000"/>
                <w:sz w:val="16"/>
                <w:szCs w:val="16"/>
                <w:lang w:val="en-GB" w:eastAsia="zh-CN"/>
              </w:rPr>
              <w:t>SP-180832</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0004</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B</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Introduce Use of NRF Framework</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15.1.0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rFonts w:cs="Arial"/>
                <w:color w:val="000000"/>
                <w:sz w:val="16"/>
                <w:szCs w:val="16"/>
                <w:lang w:val="en-GB" w:eastAsia="zh-CN"/>
              </w:rPr>
              <w:t>2018-09</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GB" w:eastAsia="zh-CN"/>
              </w:rPr>
              <w:t>SA#81</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SP-180832</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0005</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B</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Update combined scenarios</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GB" w:eastAsia="zh-CN"/>
              </w:rPr>
              <w:t>15.1.0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2018-09</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SA#81</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pPr>
            <w:r>
              <w:rPr>
                <w:rFonts w:cs="Arial"/>
                <w:color w:val="000000"/>
                <w:sz w:val="16"/>
                <w:szCs w:val="16"/>
                <w:lang w:val="en-GB" w:eastAsia="zh-CN"/>
              </w:rPr>
              <w:t>SP-180832</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0008</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B</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Correction on Message content</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15.1.0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2018-09</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GB" w:eastAsia="zh-CN"/>
              </w:rPr>
              <w:t>SA#81</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pPr>
            <w:r>
              <w:rPr>
                <w:rFonts w:cs="Arial"/>
                <w:color w:val="000000"/>
                <w:sz w:val="16"/>
                <w:szCs w:val="16"/>
                <w:lang w:val="en-GB" w:eastAsia="zh-CN"/>
              </w:rPr>
              <w:t>SP-180832</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0009</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B</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rPr>
            </w:pPr>
            <w:r>
              <w:rPr>
                <w:rFonts w:cs="Arial"/>
                <w:color w:val="000000"/>
                <w:sz w:val="16"/>
                <w:szCs w:val="16"/>
                <w:lang w:val="en-GB" w:eastAsia="zh-CN"/>
              </w:rPr>
              <w:t>Correction on Nchf_ConvergedCharging_Notify Service Operation</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15.1.0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2018-09</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SA#81</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pPr>
            <w:r>
              <w:rPr>
                <w:rFonts w:cs="Arial"/>
                <w:color w:val="000000"/>
                <w:sz w:val="16"/>
                <w:szCs w:val="16"/>
                <w:lang w:val="en-GB" w:eastAsia="zh-CN"/>
              </w:rPr>
              <w:t>SP-180832</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0010</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B</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Correction on the requirement for Converged Charging</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15.1.0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2018-09</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SA#81</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SP-180832</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0011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B</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rPr>
            </w:pPr>
            <w:r>
              <w:rPr>
                <w:rFonts w:cs="Arial"/>
                <w:color w:val="000000"/>
                <w:sz w:val="16"/>
                <w:szCs w:val="16"/>
                <w:lang w:val="en-GB" w:eastAsia="zh-CN"/>
              </w:rPr>
              <w:t>Update of service operation</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15.1.0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rFonts w:cs="Arial"/>
                <w:color w:val="000000"/>
                <w:sz w:val="16"/>
                <w:szCs w:val="16"/>
                <w:lang w:val="en-GB" w:eastAsia="zh-CN"/>
              </w:rPr>
              <w:t>2018-09</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GB" w:eastAsia="zh-CN"/>
              </w:rPr>
              <w:t>SA#81</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SP-180832</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0013</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B</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rPr>
            </w:pPr>
            <w:r>
              <w:rPr>
                <w:rFonts w:cs="Arial"/>
                <w:color w:val="000000"/>
                <w:sz w:val="16"/>
                <w:szCs w:val="16"/>
                <w:lang w:val="en-GB" w:eastAsia="zh-CN"/>
              </w:rPr>
              <w:t>Update of scenarios</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GB" w:eastAsia="zh-CN"/>
              </w:rPr>
              <w:t>15.1.0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2018-09</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SA#81</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pPr>
            <w:r>
              <w:rPr>
                <w:rFonts w:cs="Arial"/>
                <w:color w:val="000000"/>
                <w:sz w:val="16"/>
                <w:szCs w:val="16"/>
                <w:lang w:val="en-GB" w:eastAsia="zh-CN"/>
              </w:rPr>
              <w:t>SP-180832</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0017</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B</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rPr>
            </w:pPr>
            <w:r>
              <w:rPr>
                <w:rFonts w:cs="Arial"/>
                <w:color w:val="000000"/>
                <w:sz w:val="16"/>
                <w:szCs w:val="16"/>
                <w:lang w:val="en-GB" w:eastAsia="zh-CN"/>
              </w:rPr>
              <w:t>Converged Charging service definition update</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15.1.0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2018-12</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SA#82</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pPr>
            <w:r>
              <w:rPr>
                <w:rFonts w:cs="Arial"/>
                <w:color w:val="000000"/>
                <w:sz w:val="16"/>
                <w:szCs w:val="16"/>
                <w:lang w:val="en-GB" w:eastAsia="zh-CN"/>
              </w:rPr>
              <w:t>SP-181059</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0019</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Clarification of requested units handling</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GB" w:eastAsia="zh-CN"/>
              </w:rPr>
              <w:t>15.2.0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2018-12</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SA#82</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SP-181059</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sz w:val="16"/>
                <w:lang w:val="en-GB"/>
              </w:rPr>
              <w:t>0020</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cs="Arial"/>
                <w:color w:val="000000"/>
                <w:sz w:val="16"/>
                <w:szCs w:val="16"/>
                <w:lang w:val="en-GB" w:eastAsia="zh-CN"/>
              </w:rPr>
              <w:t>Allow updating of Notify URI</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15.2.0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rFonts w:cs="Arial"/>
                <w:color w:val="000000"/>
                <w:sz w:val="16"/>
                <w:szCs w:val="16"/>
                <w:lang w:val="en-GB" w:eastAsia="zh-CN"/>
              </w:rPr>
              <w:t>2018-12</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SA#82</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pPr>
            <w:r>
              <w:rPr>
                <w:rFonts w:cs="Arial"/>
                <w:color w:val="000000"/>
                <w:sz w:val="16"/>
                <w:szCs w:val="16"/>
                <w:lang w:val="en-GB" w:eastAsia="zh-CN"/>
              </w:rPr>
              <w:t>SP-181059</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0021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Correction of Invocation result at http ok</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15.2.0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rFonts w:cs="Arial"/>
                <w:color w:val="000000"/>
                <w:sz w:val="16"/>
                <w:szCs w:val="16"/>
                <w:lang w:val="en-GB" w:eastAsia="zh-CN"/>
              </w:rPr>
              <w:t>2018-12</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SA#82</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pPr>
            <w:r>
              <w:rPr>
                <w:rFonts w:cs="Arial"/>
                <w:color w:val="000000"/>
                <w:sz w:val="16"/>
                <w:szCs w:val="16"/>
                <w:lang w:val="en-GB" w:eastAsia="zh-CN"/>
              </w:rPr>
              <w:t>SP-181052</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0022</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B</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eastAsia="zh-CN"/>
              </w:rPr>
              <w:t>Addition of event charging</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15.2.0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2018-12</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SA#82</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pPr>
            <w:r>
              <w:rPr>
                <w:rFonts w:cs="Arial"/>
                <w:color w:val="000000"/>
                <w:sz w:val="16"/>
                <w:szCs w:val="16"/>
                <w:lang w:val="en-GB" w:eastAsia="zh-CN"/>
              </w:rPr>
              <w:t>SP-181059</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sz w:val="16"/>
                <w:lang w:val="en-GB"/>
              </w:rPr>
              <w:t>0023</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cs="Arial"/>
                <w:color w:val="000000"/>
                <w:sz w:val="16"/>
                <w:szCs w:val="16"/>
                <w:lang w:val="en-GB" w:eastAsia="zh-CN"/>
              </w:rPr>
              <w:t xml:space="preserve">Add description for Charging Notification  </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15.2.0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2019-03</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SA#83</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pPr>
            <w:r>
              <w:rPr>
                <w:rFonts w:cs="Arial"/>
                <w:color w:val="000000"/>
                <w:sz w:val="16"/>
                <w:szCs w:val="16"/>
                <w:lang w:val="en-GB" w:eastAsia="zh-CN"/>
              </w:rPr>
              <w:t>SP-190116</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0024</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cs="Arial"/>
                <w:color w:val="000000"/>
                <w:sz w:val="16"/>
                <w:szCs w:val="16"/>
                <w:lang w:val="en-GB" w:eastAsia="zh-CN"/>
              </w:rPr>
              <w:t xml:space="preserve">Correction of NF Consumer Information </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15.3.0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rFonts w:cs="Arial"/>
                <w:color w:val="000000"/>
                <w:sz w:val="16"/>
                <w:szCs w:val="16"/>
                <w:lang w:val="en-GB" w:eastAsia="zh-CN"/>
              </w:rPr>
              <w:t>2019-03</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SA#83</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SP-190117</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sz w:val="16"/>
                <w:lang w:val="en-GB"/>
              </w:rPr>
              <w:t>0027</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cs="Arial"/>
                <w:color w:val="000000"/>
                <w:sz w:val="16"/>
                <w:szCs w:val="16"/>
                <w:lang w:val="en-GB" w:eastAsia="zh-CN"/>
              </w:rPr>
              <w:t xml:space="preserve">Correction of SMSF as NF Consumer </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15.3.0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2019-03</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SA#83</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SP-190116</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0030</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 xml:space="preserve">Correction of create operation for subscriber identifier </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15.3.0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rFonts w:cs="Arial"/>
                <w:color w:val="000000"/>
                <w:sz w:val="16"/>
                <w:szCs w:val="16"/>
                <w:lang w:val="en-GB" w:eastAsia="zh-CN"/>
              </w:rPr>
              <w:t>2019-03</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SA#83</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pPr>
            <w:r>
              <w:rPr>
                <w:rFonts w:cs="Arial"/>
                <w:color w:val="000000"/>
                <w:sz w:val="16"/>
                <w:szCs w:val="16"/>
                <w:lang w:val="en-GB" w:eastAsia="zh-CN"/>
              </w:rPr>
              <w:t>SP-190116</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0031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cs="Arial"/>
                <w:color w:val="000000"/>
                <w:sz w:val="16"/>
                <w:szCs w:val="16"/>
                <w:lang w:val="en-GB" w:eastAsia="zh-CN"/>
              </w:rPr>
              <w:t>Correction of Multiple Unit Information in ChargingDataResponse</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15.3.0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rFonts w:cs="Arial"/>
                <w:color w:val="000000"/>
                <w:sz w:val="16"/>
                <w:szCs w:val="16"/>
                <w:lang w:val="en-GB" w:eastAsia="zh-CN"/>
              </w:rPr>
              <w:t>2019-03</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SA#83</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SP-190116</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0034</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cs="Arial"/>
                <w:color w:val="000000"/>
                <w:sz w:val="16"/>
                <w:szCs w:val="16"/>
                <w:lang w:val="en-GB" w:eastAsia="zh-CN"/>
              </w:rPr>
              <w:t>Addition of error handling</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GB" w:eastAsia="zh-CN"/>
              </w:rPr>
              <w:t>15.3.0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2019-03</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GB" w:eastAsia="zh-CN"/>
              </w:rPr>
              <w:t>SA#83</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pPr>
            <w:r>
              <w:rPr>
                <w:rFonts w:cs="Arial"/>
                <w:color w:val="000000"/>
                <w:sz w:val="16"/>
                <w:szCs w:val="16"/>
                <w:lang w:val="en-GB" w:eastAsia="zh-CN"/>
              </w:rPr>
              <w:t>SP-190127</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sz w:val="16"/>
                <w:lang w:val="en-GB"/>
              </w:rPr>
              <w:t>0025</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B</w:t>
            </w:r>
          </w:p>
        </w:tc>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cs="Arial"/>
                <w:color w:val="000000"/>
                <w:sz w:val="16"/>
                <w:szCs w:val="16"/>
                <w:lang w:val="en-GB" w:eastAsia="zh-CN"/>
              </w:rPr>
              <w:t>Add offline only charging</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GB" w:eastAsia="zh-CN"/>
              </w:rPr>
              <w:t>16.0.0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2019-03</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SA#83</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pPr>
            <w:r>
              <w:rPr>
                <w:rFonts w:cs="Arial"/>
                <w:color w:val="000000"/>
                <w:sz w:val="16"/>
                <w:szCs w:val="16"/>
                <w:lang w:val="en-GB" w:eastAsia="zh-CN"/>
              </w:rPr>
              <w:t>SP-190127</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0026</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B</w:t>
            </w:r>
          </w:p>
        </w:tc>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cs="Arial"/>
                <w:color w:val="000000"/>
                <w:sz w:val="16"/>
                <w:szCs w:val="16"/>
                <w:lang w:val="en-GB" w:eastAsia="zh-CN"/>
              </w:rPr>
              <w:t>Add offline only charging service definition</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16.0.0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2019-03</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SA#83</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pPr>
            <w:r>
              <w:rPr>
                <w:rFonts w:cs="Arial"/>
                <w:color w:val="000000"/>
                <w:sz w:val="16"/>
                <w:szCs w:val="16"/>
                <w:lang w:val="en-GB" w:eastAsia="zh-CN"/>
              </w:rPr>
              <w:t>SP-190127</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sz w:val="16"/>
                <w:lang w:val="en-GB"/>
              </w:rPr>
              <w:t>0035</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B</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Add offline only charging service scenario</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16.0.0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2019-06</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SA#84</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pPr>
            <w:r>
              <w:rPr>
                <w:rFonts w:cs="Arial"/>
                <w:color w:val="000000"/>
                <w:sz w:val="16"/>
                <w:szCs w:val="16"/>
                <w:lang w:val="en-GB" w:eastAsia="zh-CN"/>
              </w:rPr>
              <w:t>SP-190384</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0037</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A</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Clarify the trigger mechanism</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2019-06</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SA#84</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pPr>
            <w:r>
              <w:rPr>
                <w:rFonts w:cs="Arial"/>
                <w:color w:val="000000"/>
                <w:sz w:val="16"/>
                <w:szCs w:val="16"/>
                <w:lang w:val="en-GB" w:eastAsia="zh-CN"/>
              </w:rPr>
              <w:t>SP-190387</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0039</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C</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Addition of message retry</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2019-06</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SA#84</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pPr>
            <w:r>
              <w:rPr>
                <w:rFonts w:cs="Arial"/>
                <w:color w:val="000000"/>
                <w:sz w:val="16"/>
                <w:szCs w:val="16"/>
                <w:lang w:val="en-GB" w:eastAsia="zh-CN"/>
              </w:rPr>
              <w:t>SP-190384</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0042</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A</w:t>
            </w:r>
          </w:p>
        </w:tc>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cs="Arial"/>
                <w:color w:val="000000"/>
                <w:sz w:val="16"/>
                <w:szCs w:val="16"/>
                <w:lang w:val="en-GB" w:eastAsia="zh-CN"/>
              </w:rPr>
              <w:t xml:space="preserve">Correction on error handling </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2019-06</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SA#84</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SP-190382</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0043</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 xml:space="preserve">1 </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 xml:space="preserve">B </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Correct offline only charging service API name</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rFonts w:cs="Arial"/>
                <w:color w:val="000000"/>
                <w:sz w:val="16"/>
                <w:szCs w:val="16"/>
                <w:lang w:val="en-GB" w:eastAsia="zh-CN"/>
              </w:rPr>
              <w:t>2019-06</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SA#84</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SP-190384</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0051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A</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Correction of service operation name for Release</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2019-09</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SA#85</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SP-190758</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0052</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B</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Add offline only charging service message content</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2019-09</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SA#85</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SP-190761</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0053</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A</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 xml:space="preserve">Introduce event offline scenario </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2019-09</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SA#85</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SP-190763</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0055</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B</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Introduce AMF as a new NF consumer</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2019-09</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SA#85</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SP-190761</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0057</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A</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Correction of Multiple Quota reference</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2019-09</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SA#85</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SP-190761</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0068</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A</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Add the NF services</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2019-09</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SA#85</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SP-190761</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0070</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A</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Add the Service Specification Information</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2019-09</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SA#85</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SP-190761</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0071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A</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Correction on Trigger Mechanism</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2019-09</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SA#85</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SP-190761</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0072</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A</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Clarification of Retry handling</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2019-09</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SA#85</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SP-190761</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0074</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A</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Correction of failure handling</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2019-09</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SA#85</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SP-190761</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0076</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A</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Event based charging mechanism</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2019-09</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SA#85</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SP-190761</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0077</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A</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Correction on response code handling</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2019-09</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SA#85</w:t>
            </w:r>
          </w:p>
        </w:tc>
        <w:tc>
          <w:tcPr>
            <w:tcW w:w="1094" w:type="dxa"/>
            <w:tcBorders>
              <w:top w:val="single" w:sz="6" w:space="0" w:color="000000"/>
              <w:left w:val="single" w:sz="6" w:space="0" w:color="000000"/>
              <w:bottom w:val="single" w:sz="6" w:space="0" w:color="000000"/>
              <w:right w:val="single" w:sz="6" w:space="0" w:color="000000"/>
            </w:tcBorders>
          </w:tcPr>
          <w:p>
            <w:pPr>
              <w:pStyle w:val="TAL"/>
              <w:snapToGrid w:val="false"/>
              <w:jc w:val="center"/>
              <w:rPr>
                <w:rFonts w:cs="Arial"/>
                <w:color w:val="000000"/>
                <w:sz w:val="16"/>
                <w:szCs w:val="16"/>
                <w:lang w:val="en-GB" w:eastAsia="zh-CN"/>
              </w:rPr>
            </w:pPr>
            <w:r>
              <w:rPr>
                <w:rFonts w:cs="Arial"/>
                <w:color w:val="000000"/>
                <w:sz w:val="16"/>
                <w:szCs w:val="16"/>
                <w:lang w:val="en-GB" w:eastAsia="zh-CN"/>
              </w:rPr>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color w:val="000000"/>
                <w:sz w:val="16"/>
                <w:szCs w:val="16"/>
                <w:lang w:val="en-GB" w:eastAsia="zh-CN"/>
              </w:rPr>
            </w:pPr>
            <w:r>
              <w:rPr>
                <w:rFonts w:cs="Arial"/>
                <w:color w:val="000000"/>
                <w:sz w:val="16"/>
                <w:szCs w:val="16"/>
                <w:lang w:val="en-GB" w:eastAsia="zh-CN"/>
              </w:rPr>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rPr>
                <w:sz w:val="16"/>
                <w:lang w:val="en-GB"/>
              </w:rPr>
            </w:pPr>
            <w:r>
              <w:rPr>
                <w:sz w:val="16"/>
                <w:lang w:val="en-GB"/>
              </w:rPr>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rPr>
                <w:sz w:val="16"/>
                <w:lang w:val="en-GB"/>
              </w:rPr>
            </w:pPr>
            <w:r>
              <w:rPr>
                <w:sz w:val="16"/>
                <w:lang w:val="en-GB"/>
              </w:rPr>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Correction in CR0053 (MCC)</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16.2.1</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2019-12</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SA#86</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SP-191160</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0084</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A</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fldChar w:fldCharType="begin"/>
            </w:r>
            <w:r>
              <w:rPr>
                <w:sz w:val="16"/>
                <w:szCs w:val="16"/>
                <w:rFonts w:cs="Arial"/>
                <w:color w:val="000000"/>
                <w:lang w:val="en-GB" w:eastAsia="zh-CN"/>
              </w:rPr>
              <w:instrText xml:space="preserve"> DOCPROPERTY "CrTitle"</w:instrText>
            </w:r>
            <w:r>
              <w:rPr>
                <w:sz w:val="16"/>
                <w:szCs w:val="16"/>
                <w:rFonts w:cs="Arial"/>
                <w:color w:val="000000"/>
                <w:lang w:val="en-GB" w:eastAsia="zh-CN"/>
              </w:rPr>
              <w:fldChar w:fldCharType="separate"/>
            </w:r>
            <w:r>
              <w:rPr>
                <w:sz w:val="16"/>
                <w:szCs w:val="16"/>
                <w:rFonts w:cs="Arial"/>
                <w:color w:val="000000"/>
                <w:lang w:val="en-GB" w:eastAsia="zh-CN"/>
              </w:rPr>
              <w:t>Add clarifications to failure handling</w:t>
            </w:r>
            <w:r>
              <w:rPr>
                <w:sz w:val="16"/>
                <w:szCs w:val="16"/>
                <w:rFonts w:cs="Arial"/>
                <w:color w:val="000000"/>
                <w:lang w:val="en-GB" w:eastAsia="zh-CN"/>
              </w:rPr>
              <w:fldChar w:fldCharType="end"/>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2019-12</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SA#86</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SP-191159</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0086</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Explanation of when Units Usage must be reported</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2019-12</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SA#86</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SP-191159</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0087</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Clarification of Units Usage reporting</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2019-12</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SA#86</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SP-191160</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0088</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D</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Wrong name on CR</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2019-12</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SA#86</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SP-191159</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0091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Correction of Converged Charging principles</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2019-12</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SA#86</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SP-191160</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0093</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A</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Correction of ChargingNotifyResponse description</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2019-12</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SA#86</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SP-191159</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0094</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 xml:space="preserve">Clarify Retransmission IE  </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2019-12</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SA#86</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SP-191160</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0098</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A</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Correction of notify response</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2019-12</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SA#86</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SP-191159</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0101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Add the group id for CHF registration</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2019-12</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SA#86</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SP-191160</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0103</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A</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Correction to NF consumer identification</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2020-07</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SA#88-e</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SP-200484</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0114</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Correction on Service Termination</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16.4.0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2020-07</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SA#88-e</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SP-200485</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0117</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Correction of two SCUR Scenarios figure title and message description</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16.4.0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2020-07</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SA#88-e</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SP-200509</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0118</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Correction of NF Consumers AMF for Nchf_ConvergedCharging_Release</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16.4.0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2020-07</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SA#88-e</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SP-200508</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0119</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B</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Add CHF-Controlled Quota Management functionality</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16.4.0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2020-07</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SA#88-e</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SP-200508</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0123</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B</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Flows for switch to offline</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16.4.0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2020-09</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SA#89e</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SP-200741</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0128</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Add the attributes for CHFQM</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16.5.0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2020-09</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SA#89e</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SP-200813</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0130</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Correction on Converged Charging and Requested Unit handling</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16.5.0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2020-12</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SA#90e</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SP-201051</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0132</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Failure handling for InvocationSequemceNumber</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16.6.0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2020-12</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SA#90e</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SP-201051</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0134</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Correction on missing PGW-C+SMF and NEF as NF consumers</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16.6.0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2020-12</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SA#90e</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SP-201051</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0135</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Correcting trigger of usage reporting</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16.6.0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2020-12</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SA#90e</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SP-201049</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0137</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A</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Correcting handling of charging identifier</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16.6.0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2020-12</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SA#90e</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SP-201069</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0138</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 xml:space="preserve">Correction on quota managed scenario  </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16.6.0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2020-12</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SA#90e</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SP-201088</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0140</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Add the NB Mode disable</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16.6.0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2020-12</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SA#90e</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SP-201051</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0142</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Correction on the Quota Management Mode</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16.6.0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2021-03</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SA#91e</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SP-210146</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0145</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Correction on coverged session based charging</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16.7.0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2021-03</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SA#91e</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SP-210158</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0148</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 xml:space="preserve">Correction on missing NS charging NF Consumers  </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16.7.0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2021-03</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SA#91e</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SP-210146</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0150</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 xml:space="preserve">Correction on Supported Features attribute  </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16.7.0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2021-03</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SA#91e</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SP-210146</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0152</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Trigger Clarification</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16.7.0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2021-06</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SA#92e</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SP-210418</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0161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Correction on support of CHF set and CHF service set</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16.8.0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2021-09</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SA#93e</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SP-210886</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0166</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Correcting of trigger type usage</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16.9.0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2021-09</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SA#93e</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SP-210886</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0168</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Quota threshold clarification</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16.9.0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2021-12</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SA#94e</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SP-211485</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0171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Addition of the Threshold based re-authorization triggers</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16.10.0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2021-12</w:t>
            </w:r>
          </w:p>
        </w:tc>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SA#94e</w:t>
            </w:r>
          </w:p>
        </w:tc>
        <w:tc>
          <w:tcPr>
            <w:tcW w:w="1094" w:type="dxa"/>
            <w:tcBorders>
              <w:top w:val="single" w:sz="6" w:space="0" w:color="000000"/>
              <w:left w:val="single" w:sz="6" w:space="0" w:color="000000"/>
              <w:bottom w:val="single" w:sz="6" w:space="0" w:color="000000"/>
              <w:right w:val="single" w:sz="6" w:space="0" w:color="000000"/>
            </w:tcBorders>
          </w:tcPr>
          <w:p>
            <w:pPr>
              <w:pStyle w:val="TAL"/>
              <w:jc w:val="center"/>
              <w:rPr>
                <w:rFonts w:cs="Arial"/>
                <w:color w:val="000000"/>
                <w:sz w:val="16"/>
                <w:szCs w:val="16"/>
                <w:lang w:val="en-GB" w:eastAsia="zh-CN"/>
              </w:rPr>
            </w:pPr>
            <w:r>
              <w:rPr>
                <w:rFonts w:cs="Arial"/>
                <w:color w:val="000000"/>
                <w:sz w:val="16"/>
                <w:szCs w:val="16"/>
                <w:lang w:val="en-GB" w:eastAsia="zh-CN"/>
              </w:rPr>
              <w:t>SP-211485</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0175</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GB" w:eastAsia="zh-CN"/>
              </w:rPr>
            </w:pPr>
            <w:r>
              <w:rPr>
                <w:rFonts w:cs="Arial"/>
                <w:color w:val="000000"/>
                <w:sz w:val="16"/>
                <w:szCs w:val="16"/>
                <w:lang w:val="en-GB" w:eastAsia="zh-CN"/>
              </w:rPr>
              <w:t>Clarify the NF Consumers</w:t>
            </w:r>
          </w:p>
        </w:tc>
        <w:tc>
          <w:tcPr>
            <w:tcW w:w="708" w:type="dxa"/>
            <w:tcBorders>
              <w:top w:val="single" w:sz="6" w:space="0" w:color="000000"/>
              <w:left w:val="single" w:sz="6" w:space="0" w:color="000000"/>
              <w:bottom w:val="single" w:sz="6" w:space="0" w:color="000000"/>
              <w:right w:val="single" w:sz="6" w:space="0" w:color="000000"/>
            </w:tcBorders>
          </w:tcPr>
          <w:p>
            <w:pPr>
              <w:pStyle w:val="TAL"/>
              <w:rPr>
                <w:sz w:val="16"/>
                <w:szCs w:val="16"/>
                <w:lang w:val="en-GB" w:eastAsia="zh-CN"/>
              </w:rPr>
            </w:pPr>
            <w:r>
              <w:rPr>
                <w:sz w:val="16"/>
                <w:szCs w:val="16"/>
                <w:lang w:val="en-GB" w:eastAsia="zh-CN"/>
              </w:rPr>
              <w:t>16.10.0</w:t>
            </w:r>
          </w:p>
        </w:tc>
      </w:tr>
    </w:tbl>
    <w:p>
      <w:pPr>
        <w:pStyle w:val="Normal"/>
        <w:widowControl/>
        <w:overflowPunct w:val="false"/>
        <w:autoSpaceDE w:val="false"/>
        <w:bidi w:val="0"/>
        <w:spacing w:before="0" w:after="180"/>
        <w:textAlignment w:val="baseline"/>
        <w:rPr/>
      </w:pPr>
      <w:r>
        <w:rPr/>
      </w:r>
      <w:bookmarkStart w:id="86" w:name="historyclause"/>
      <w:bookmarkStart w:id="87" w:name="historyclause"/>
      <w:bookmarkEnd w:id="87"/>
    </w:p>
    <w:sectPr>
      <w:headerReference w:type="default" r:id="rId26"/>
      <w:footerReference w:type="default" r:id="rId27"/>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Segoe UI">
    <w:charset w:val="00"/>
    <w:family w:val="swiss"/>
    <w:pitch w:val="variable"/>
  </w:font>
  <w:font w:name="Liberation Sans">
    <w:altName w:val="Arial"/>
    <w:charset w:val="01"/>
    <w:family w:val="swiss"/>
    <w:pitch w:val="variable"/>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737"/>
        </w:tabs>
        <w:ind w:left="737" w:hanging="453"/>
      </w:pPr>
      <w:rPr>
        <w:rFonts w:ascii="Symbol" w:hAnsi="Symbol" w:cs="Symbol" w:hint="default"/>
        <w:color w:val="000000"/>
      </w:rPr>
    </w:lvl>
  </w:abstractNum>
  <w:abstractNum w:abstractNumId="3">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lang w:val="en-US"/>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7z0">
    <w:name w:val="WW8Num7z0"/>
    <w:qFormat/>
    <w:rPr>
      <w:rFonts w:ascii="Symbol" w:hAnsi="Symbol" w:cs="Symbol"/>
    </w:rPr>
  </w:style>
  <w:style w:type="character" w:styleId="WW8Num10z0">
    <w:name w:val="WW8Num10z0"/>
    <w:qFormat/>
    <w:rPr>
      <w:rFonts w:ascii="Symbol" w:hAnsi="Symbol" w:cs="Symbol"/>
      <w:color w:val="000000"/>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rFonts w:ascii="Times New Roman" w:hAnsi="Times New Roman" w:eastAsia="Times New Roman" w:cs="Times New Roman"/>
    </w:rPr>
  </w:style>
  <w:style w:type="character" w:styleId="WW8Num11z1">
    <w:name w:val="WW8Num11z1"/>
    <w:qFormat/>
    <w:rPr>
      <w:rFonts w:ascii="Wingdings" w:hAnsi="Wingdings" w:cs="Wingdings"/>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B1Car">
    <w:name w:val="B1+ Car"/>
    <w:qFormat/>
    <w:rPr>
      <w:rFonts w:eastAsia="Times New Roman"/>
    </w:rPr>
  </w:style>
  <w:style w:type="character" w:styleId="TALChar">
    <w:name w:val="TAL Char"/>
    <w:qFormat/>
    <w:rPr>
      <w:rFonts w:ascii="Arial" w:hAnsi="Arial" w:eastAsia="Times New Roman" w:cs="Arial"/>
      <w:sz w:val="18"/>
    </w:rPr>
  </w:style>
  <w:style w:type="character" w:styleId="CommentReference">
    <w:name w:val="Comment Reference"/>
    <w:qFormat/>
    <w:rPr>
      <w:sz w:val="16"/>
      <w:szCs w:val="16"/>
    </w:rPr>
  </w:style>
  <w:style w:type="character" w:styleId="CommentTextChar">
    <w:name w:val="Comment Text Char"/>
    <w:qFormat/>
    <w:rPr>
      <w:lang w:val="en-GB"/>
    </w:rPr>
  </w:style>
  <w:style w:type="character" w:styleId="CommentSubjectChar">
    <w:name w:val="Comment Subject Char"/>
    <w:qFormat/>
    <w:rPr>
      <w:b/>
      <w:bCs/>
      <w:lang w:val="en-GB"/>
    </w:rPr>
  </w:style>
  <w:style w:type="character" w:styleId="BalloonTextChar">
    <w:name w:val="Balloon Text Char"/>
    <w:qFormat/>
    <w:rPr>
      <w:rFonts w:ascii="Segoe UI" w:hAnsi="Segoe UI" w:cs="Segoe UI"/>
      <w:sz w:val="18"/>
      <w:szCs w:val="18"/>
      <w:lang w:val="en-GB"/>
    </w:rPr>
  </w:style>
  <w:style w:type="character" w:styleId="InternetLink">
    <w:name w:val="Hyperlink"/>
    <w:rPr>
      <w:color w:val="0000FF"/>
      <w:u w:val="single"/>
    </w:rPr>
  </w:style>
  <w:style w:type="character" w:styleId="B1Char">
    <w:name w:val="B1 Char"/>
    <w:qFormat/>
    <w:rPr>
      <w:rFonts w:eastAsia="Times New Roman"/>
    </w:rPr>
  </w:style>
  <w:style w:type="character" w:styleId="EXCar">
    <w:name w:val="EX Car"/>
    <w:qFormat/>
    <w:rPr>
      <w:rFonts w:eastAsia="Times New Roman"/>
    </w:rPr>
  </w:style>
  <w:style w:type="character" w:styleId="B2Char1">
    <w:name w:val="B2 Char1"/>
    <w:qFormat/>
    <w:rPr>
      <w:rFonts w:eastAsia="Times New Roman"/>
    </w:rPr>
  </w:style>
  <w:style w:type="character" w:styleId="Heading3Char">
    <w:name w:val="Heading 3 Char"/>
    <w:qFormat/>
    <w:rPr>
      <w:rFonts w:ascii="Arial" w:hAnsi="Arial" w:eastAsia="Times New Roman" w:cs="Arial"/>
      <w:sz w:val="28"/>
    </w:rPr>
  </w:style>
  <w:style w:type="character" w:styleId="TFChar">
    <w:name w:val="TF Char"/>
    <w:qFormat/>
    <w:rPr>
      <w:rFonts w:ascii="Arial" w:hAnsi="Arial" w:eastAsia="Times New Roman" w:cs="Arial"/>
      <w:b/>
    </w:rPr>
  </w:style>
  <w:style w:type="character" w:styleId="EditorsNoteChar">
    <w:name w:val="Editor's Note Char"/>
    <w:qFormat/>
    <w:rPr>
      <w:rFonts w:eastAsia="Times New Roman"/>
      <w:color w:val="FF0000"/>
    </w:rPr>
  </w:style>
  <w:style w:type="character" w:styleId="3">
    <w:name w:val="标题 3 字符"/>
    <w:qFormat/>
    <w:rPr>
      <w:rFonts w:ascii="Arial" w:hAnsi="Arial" w:cs="Arial"/>
      <w:sz w:val="28"/>
      <w:lang w:val="en-GB"/>
    </w:rPr>
  </w:style>
  <w:style w:type="character" w:styleId="Heading2Char">
    <w:name w:val="Heading 2 Char"/>
    <w:qFormat/>
    <w:rPr>
      <w:rFonts w:ascii="Arial" w:hAnsi="Arial" w:eastAsia="Times New Roman" w:cs="Arial"/>
      <w:sz w:val="32"/>
    </w:rPr>
  </w:style>
  <w:style w:type="character" w:styleId="THChar">
    <w:name w:val="TH Char"/>
    <w:qFormat/>
    <w:rPr>
      <w:rFonts w:ascii="Arial" w:hAnsi="Arial" w:eastAsia="Times New Roman" w:cs="Arial"/>
      <w:b/>
    </w:rPr>
  </w:style>
  <w:style w:type="character" w:styleId="TAHCar">
    <w:name w:val="TAH Car"/>
    <w:qFormat/>
    <w:rPr>
      <w:rFonts w:ascii="Arial" w:hAnsi="Arial" w:eastAsia="Times New Roman" w:cs="Arial"/>
      <w:b/>
      <w:sz w:val="18"/>
    </w:rPr>
  </w:style>
  <w:style w:type="character" w:styleId="TACChar">
    <w:name w:val="TAC Char"/>
    <w:qFormat/>
    <w:rPr>
      <w:rFonts w:ascii="Arial" w:hAnsi="Arial" w:eastAsia="Times New Roman" w:cs="Arial"/>
      <w:sz w:val="18"/>
    </w:rPr>
  </w:style>
  <w:style w:type="character" w:styleId="EditorsNoteZchn">
    <w:name w:val="Editor's Note Zchn"/>
    <w:qFormat/>
    <w:rPr>
      <w:rFonts w:ascii="Times New Roman" w:hAnsi="Times New Roman" w:cs="Times New Roman"/>
      <w:color w:val="FF0000"/>
      <w:lang w:val="en-GB"/>
    </w:rPr>
  </w:style>
  <w:style w:type="character" w:styleId="FootnoteCharacters">
    <w:name w:val="Footnote Characters"/>
    <w:qFormat/>
    <w:rPr>
      <w:b/>
      <w:sz w:val="16"/>
      <w:vertAlign w:val="superscript"/>
    </w:rPr>
  </w:style>
  <w:style w:type="character" w:styleId="FootnoteTextChar">
    <w:name w:val="Footnote Text Char"/>
    <w:qFormat/>
    <w:rPr>
      <w:rFonts w:eastAsia="Times New Roman"/>
      <w:sz w:val="16"/>
    </w:rPr>
  </w:style>
  <w:style w:type="character" w:styleId="TALChar1">
    <w:name w:val="TAL Char1"/>
    <w:qFormat/>
    <w:rPr>
      <w:rFonts w:ascii="Arial" w:hAnsi="Arial" w:cs="Arial"/>
      <w:sz w:val="18"/>
      <w:lang w:val="en-GB"/>
    </w:rPr>
  </w:style>
  <w:style w:type="character" w:styleId="NOChar">
    <w:name w:val="NO Char"/>
    <w:qFormat/>
    <w:rPr>
      <w:rFonts w:eastAsia="Times New Roman"/>
    </w:rPr>
  </w:style>
  <w:style w:type="character" w:styleId="EWChar">
    <w:name w:val="EW Char"/>
    <w:qFormat/>
    <w:rPr>
      <w:rFonts w:eastAsia="Times New Roman"/>
      <w:lang w:val="en-US"/>
    </w:rPr>
  </w:style>
  <w:style w:type="character" w:styleId="Heading4Char">
    <w:name w:val="Heading 4 Char"/>
    <w:qFormat/>
    <w:rPr>
      <w:rFonts w:ascii="Arial" w:hAnsi="Arial" w:eastAsia="Times New Roman" w:cs="Arial"/>
      <w:sz w:val="24"/>
      <w:lang w:val="en-US"/>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ind w:lef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lang w:val="en-US"/>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lang w:val="en-US"/>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lang w:val="en-US"/>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lang w:val="en-US"/>
    </w:rPr>
  </w:style>
  <w:style w:type="paragraph" w:styleId="TH">
    <w:name w:val="TH"/>
    <w:basedOn w:val="Normal"/>
    <w:qFormat/>
    <w:pPr>
      <w:keepNext w:val="true"/>
      <w:keepLines/>
      <w:spacing w:before="60" w:after="180"/>
      <w:jc w:val="center"/>
    </w:pPr>
    <w:rPr>
      <w:rFonts w:ascii="Arial" w:hAnsi="Arial" w:cs="Arial"/>
      <w:b/>
      <w:lang w:val="en-US"/>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2">
    <w:name w:val="List Bullet 3"/>
    <w:basedOn w:val="List"/>
    <w:pPr>
      <w:ind w:left="851" w:hanging="284"/>
    </w:pPr>
    <w:rPr/>
  </w:style>
  <w:style w:type="paragraph" w:styleId="B2">
    <w:name w:val="B2"/>
    <w:basedOn w:val="List2"/>
    <w:qFormat/>
    <w:pPr/>
    <w:rPr>
      <w:lang w:val="en-US"/>
    </w:rPr>
  </w:style>
  <w:style w:type="paragraph" w:styleId="List3">
    <w:name w:val="List Bullet 4"/>
    <w:basedOn w:val="List2"/>
    <w:pPr>
      <w:ind w:left="1135" w:hanging="284"/>
    </w:pPr>
    <w:rPr/>
  </w:style>
  <w:style w:type="paragraph" w:styleId="B3">
    <w:name w:val="B3"/>
    <w:basedOn w:val="List3"/>
    <w:qFormat/>
    <w:pPr/>
    <w:rPr/>
  </w:style>
  <w:style w:type="paragraph" w:styleId="List4">
    <w:name w:val="List Bullet 5"/>
    <w:basedOn w:val="List3"/>
    <w:pPr>
      <w:ind w:left="1418" w:hanging="284"/>
    </w:pPr>
    <w:rPr/>
  </w:style>
  <w:style w:type="paragraph" w:styleId="B4">
    <w:name w:val="B4"/>
    <w:basedOn w:val="List4"/>
    <w:qFormat/>
    <w:pPr/>
    <w:rPr/>
  </w:style>
  <w:style w:type="paragraph" w:styleId="List5">
    <w:name w:val="List Number"/>
    <w:basedOn w:val="List4"/>
    <w:pPr>
      <w:ind w:left="1702" w:hanging="284"/>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B11">
    <w:name w:val="B1+"/>
    <w:basedOn w:val="B1"/>
    <w:qFormat/>
    <w:pPr>
      <w:numPr>
        <w:ilvl w:val="0"/>
        <w:numId w:val="2"/>
      </w:numPr>
    </w:pPr>
    <w:rPr/>
  </w:style>
  <w:style w:type="paragraph" w:styleId="CommentText">
    <w:name w:val="Comment Text"/>
    <w:basedOn w:val="Normal"/>
    <w:qFormat/>
    <w:pPr/>
    <w:rPr>
      <w:rFonts w:eastAsia="SimSun;宋体"/>
    </w:rPr>
  </w:style>
  <w:style w:type="paragraph" w:styleId="CommentSubject">
    <w:name w:val="Comment Subject"/>
    <w:basedOn w:val="CommentText"/>
    <w:next w:val="CommentText"/>
    <w:qFormat/>
    <w:pPr/>
    <w:rPr>
      <w:b/>
      <w:bCs/>
    </w:rPr>
  </w:style>
  <w:style w:type="paragraph" w:styleId="BalloonText">
    <w:name w:val="Balloon Text"/>
    <w:basedOn w:val="Normal"/>
    <w:qFormat/>
    <w:pPr>
      <w:spacing w:before="0" w:after="0"/>
    </w:pPr>
    <w:rPr>
      <w:rFonts w:ascii="Segoe UI" w:hAnsi="Segoe UI" w:eastAsia="SimSun;宋体" w:cs="Segoe UI"/>
      <w:sz w:val="18"/>
      <w:szCs w:val="18"/>
    </w:rPr>
  </w:style>
  <w:style w:type="paragraph" w:styleId="Footnote">
    <w:name w:val="Footnote Text"/>
    <w:basedOn w:val="Normal"/>
    <w:pPr>
      <w:keepLines/>
      <w:ind w:left="454" w:hanging="454"/>
    </w:pPr>
    <w:rPr>
      <w:sz w:val="16"/>
      <w:lang w:val="en-US"/>
    </w:rPr>
  </w:style>
  <w:style w:type="paragraph" w:styleId="Index1">
    <w:name w:val="Index 1"/>
    <w:basedOn w:val="Normal"/>
    <w:pPr>
      <w:keepLines/>
    </w:pPr>
    <w:rPr/>
  </w:style>
  <w:style w:type="paragraph" w:styleId="Index2">
    <w:name w:val="Index 2"/>
    <w:basedOn w:val="Index1"/>
    <w:pPr>
      <w:ind w:left="284" w:hanging="0"/>
    </w:pPr>
    <w:rPr/>
  </w:style>
  <w:style w:type="paragraph" w:styleId="ListBullet">
    <w:name w:val="List Bullet"/>
    <w:basedOn w:val="List"/>
    <w:qFormat/>
    <w:pPr>
      <w:numPr>
        <w:ilvl w:val="0"/>
        <w:numId w:val="3"/>
      </w:numPr>
    </w:pPr>
    <w:rPr/>
  </w:style>
  <w:style w:type="paragraph" w:styleId="ListBullet2">
    <w:name w:val="List Bullet 2"/>
    <w:basedOn w:val="ListBullet"/>
    <w:qFormat/>
    <w:pPr>
      <w:numPr>
        <w:ilvl w:val="0"/>
        <w:numId w:val="4"/>
      </w:numPr>
      <w:ind w:left="851" w:hanging="284"/>
    </w:pPr>
    <w:rPr/>
  </w:style>
  <w:style w:type="paragraph" w:styleId="ListBullet3">
    <w:name w:val="List Bullet 3"/>
    <w:basedOn w:val="ListBullet2"/>
    <w:qFormat/>
    <w:pPr>
      <w:ind w:left="1135"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ListNumber">
    <w:name w:val="List Number"/>
    <w:basedOn w:val="List"/>
    <w:qFormat/>
    <w:pPr>
      <w:numPr>
        <w:ilvl w:val="0"/>
        <w:numId w:val="5"/>
      </w:numPr>
    </w:pPr>
    <w:rPr/>
  </w:style>
  <w:style w:type="paragraph" w:styleId="ListNumber2">
    <w:name w:val="List Number 2"/>
    <w:basedOn w:val="ListNumber"/>
    <w:qFormat/>
    <w:pPr>
      <w:numPr>
        <w:ilvl w:val="0"/>
        <w:numId w:val="6"/>
      </w:numPr>
      <w:ind w:left="851" w:hanging="284"/>
    </w:pPr>
    <w:rPr/>
  </w:style>
  <w:style w:type="paragraph" w:styleId="FL">
    <w:name w:val="FL"/>
    <w:basedOn w:val="Normal"/>
    <w:qFormat/>
    <w:pPr>
      <w:keepNext w:val="true"/>
      <w:keepLines/>
      <w:spacing w:before="60" w:after="180"/>
      <w:jc w:val="center"/>
    </w:pPr>
    <w:rPr>
      <w:rFonts w:ascii="Arial" w:hAnsi="Arial" w:cs="Arial"/>
      <w:b/>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CRCoverPage">
    <w:name w:val="CR Cover Page"/>
    <w:qFormat/>
    <w:pPr>
      <w:widowControl/>
      <w:bidi w:val="0"/>
      <w:spacing w:before="0" w:after="120"/>
    </w:pPr>
    <w:rPr>
      <w:rFonts w:ascii="Arial" w:hAnsi="Arial" w:eastAsia="DengXian;等线" w:cs="Arial"/>
      <w:color w:val="auto"/>
      <w:sz w:val="20"/>
      <w:szCs w:val="20"/>
      <w:lang w:val="en-GB" w:bidi="ar-SA" w:eastAsia="zh-CN"/>
    </w:rPr>
  </w:style>
  <w:style w:type="paragraph" w:styleId="NoSpacing">
    <w:name w:val="No Spacing"/>
    <w:qFormat/>
    <w:pPr>
      <w:widowControl/>
      <w:bidi w:val="0"/>
    </w:pPr>
    <w:rPr>
      <w:rFonts w:ascii="Times New Roman" w:hAnsi="Times New Roman" w:eastAsia="Times New Roman" w:cs="Times New Roman"/>
      <w:color w:val="auto"/>
      <w:sz w:val="20"/>
      <w:szCs w:val="20"/>
      <w:lang w:val="en-GB" w:bidi="ar-SA" w:eastAsia="zh-C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2021-12-23T10:05:00Z</dcterms:created>
  <dc:creator/>
  <dc:description/>
  <cp:keywords/>
  <dc:language>en-US</dc:language>
  <cp:lastModifiedBy/>
  <dcterms:modified xsi:type="dcterms:W3CDTF">2021-12-23T10:05:00Z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32.290%Rel-16%%32.290%Rel-16%0002%32.290%Rel-16%0003%32.290%Rel-16%0004%32.290%Rel-16%0005%32.290%Rel-16%0008%32.290%Rel-16%0009%32.290%Rel-16%0010%32.290%Rel-16%0011%32.290%Rel-16%0013%32.290%Rel-16%0017%32.290%Rel-16%0019%32.290%Rel-16%0020%32.290%Rel-1</vt:lpwstr>
  </property>
  <property fmtid="{D5CDD505-2E9C-101B-9397-08002B2CF9AE}" pid="3" name="MCCCRsImpl1">
    <vt:lpwstr>6%0021%32.290%Rel-16%0022%32.290%Rel-16%0023%32.290%Rel-16%0024%32.290%Rel-16%0027%32.290%Rel-16%0030%32.290%Rel-16%0031%32.290%Rel-16%0034%32.290%Rel-16%0025%32.290%Rel-16%0026%32.290%Rel-16%0035%32.290%Rel-16%0037%32.290%Rel-16%0039%32.290%Rel-16%0042%3</vt:lpwstr>
  </property>
  <property fmtid="{D5CDD505-2E9C-101B-9397-08002B2CF9AE}" pid="4" name="MCCCRsImpl2">
    <vt:lpwstr>2.290%Rel-16%0043%32.290%Rel-16%0051%32.290%Rel-16%0052%32.290%Rel-16%0053%32.290%Rel-16%0055%32.290%Rel-16%0057%32.290%Rel-16%0068%32.290%Rel-16%0070%32.290%Rel-16%0071%32.290%Rel-16%0072%32.290%Rel-16%0074%32.290%Rel-16%0076%32.290%Rel-16%0077%32.290%Re</vt:lpwstr>
  </property>
  <property fmtid="{D5CDD505-2E9C-101B-9397-08002B2CF9AE}" pid="5" name="MCCCRsImpl3">
    <vt:lpwstr>.290%Rel-16%0119%32.290%Rel-16%0123%32.290%Rel-16%0128%32.290%Rel-16%0130%32.290%Rel-16%0132%32.290%Rel-16%0134%32.290%Rel-16%0135%32.290%Rel-16%0137%32.290%Rel-16%0138%32.290%R16%0140%32.290%R16%0142%32.290%Rel-16%0148%32.290%Rel-16%0150%32.290%Rel-16%01</vt:lpwstr>
  </property>
  <property fmtid="{D5CDD505-2E9C-101B-9397-08002B2CF9AE}" pid="6" name="MCCCRsImpl5">
    <vt:lpwstr>52%</vt:lpwstr>
  </property>
</Properties>
</file>