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CommentText"/>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32.301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32.301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Configuration Management (CM);</w:t>
                            </w:r>
                          </w:p>
                          <w:p>
                            <w:pPr>
                              <w:pStyle w:val="ZT"/>
                              <w:rPr/>
                            </w:pPr>
                            <w:r>
                              <w:rPr/>
                              <w:t>Notification Integration Reference Point (IRP);</w:t>
                            </w:r>
                          </w:p>
                          <w:p>
                            <w:pPr>
                              <w:pStyle w:val="ZT"/>
                              <w:rPr/>
                            </w:pP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Configuration Management (CM);</w:t>
                      </w:r>
                    </w:p>
                    <w:p>
                      <w:pPr>
                        <w:pStyle w:val="ZT"/>
                        <w:rPr/>
                      </w:pPr>
                      <w:r>
                        <w:rPr/>
                        <w:t>Notification Integration Reference Point (IRP);</w:t>
                      </w:r>
                    </w:p>
                    <w:p>
                      <w:pPr>
                        <w:pStyle w:val="ZT"/>
                        <w:rPr/>
                      </w:pP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572135</wp:posOffset>
                </wp:positionH>
                <wp:positionV relativeFrom="page">
                  <wp:posOffset>9582785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4.55pt;mso-position-vertical-relative:page;margin-left:45.05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8372787">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Introduction</w:t>
            <w:tab/>
          </w:r>
          <w:hyperlink w:anchor="__RefHeading___Toc168372788">
            <w:r>
              <w:rPr>
                <w:rStyle w:val="IndexLink"/>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168372789">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168372790">
            <w:r>
              <w:rPr>
                <w:rStyle w:val="IndexLink"/>
              </w:rPr>
              <w:t>6</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168372791">
            <w:r>
              <w:rPr>
                <w:rStyle w:val="IndexLink"/>
              </w:rPr>
              <w:t>6</w:t>
            </w:r>
          </w:hyperlink>
        </w:p>
        <w:p>
          <w:pPr>
            <w:pStyle w:val="Contents2"/>
            <w:rPr>
              <w:sz w:val="24"/>
              <w:szCs w:val="24"/>
              <w:lang w:val="en-US" w:eastAsia="en-US"/>
            </w:rPr>
          </w:pPr>
          <w:r>
            <w:rPr/>
            <w:t>3.1</w:t>
          </w:r>
          <w:r>
            <w:rPr>
              <w:sz w:val="24"/>
              <w:szCs w:val="24"/>
              <w:lang w:val="en-US" w:eastAsia="en-US"/>
            </w:rPr>
            <w:tab/>
          </w:r>
          <w:r>
            <w:rPr/>
            <w:t>Definitions</w:t>
            <w:tab/>
          </w:r>
          <w:hyperlink w:anchor="__RefHeading___Toc168372792">
            <w:r>
              <w:rPr>
                <w:rStyle w:val="IndexLink"/>
              </w:rPr>
              <w:t>6</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168372793">
            <w:r>
              <w:rPr>
                <w:rStyle w:val="IndexLink"/>
              </w:rPr>
              <w:t>7</w:t>
            </w:r>
          </w:hyperlink>
        </w:p>
        <w:p>
          <w:pPr>
            <w:pStyle w:val="Contents1"/>
            <w:rPr>
              <w:sz w:val="24"/>
              <w:szCs w:val="24"/>
              <w:lang w:val="en-US" w:eastAsia="en-US"/>
            </w:rPr>
          </w:pPr>
          <w:r>
            <w:rPr/>
            <w:t>4</w:t>
          </w:r>
          <w:r>
            <w:rPr>
              <w:sz w:val="24"/>
              <w:szCs w:val="24"/>
              <w:lang w:val="en-US" w:eastAsia="en-US"/>
            </w:rPr>
            <w:tab/>
          </w:r>
          <w:r>
            <w:rPr/>
            <w:t>Notification management functions over Itf-N</w:t>
            <w:tab/>
          </w:r>
          <w:hyperlink w:anchor="__RefHeading___Toc168372794">
            <w:r>
              <w:rPr>
                <w:rStyle w:val="IndexLink"/>
              </w:rPr>
              <w:t>7</w:t>
            </w:r>
          </w:hyperlink>
        </w:p>
        <w:p>
          <w:pPr>
            <w:pStyle w:val="Contents2"/>
            <w:rPr>
              <w:sz w:val="24"/>
              <w:szCs w:val="24"/>
              <w:lang w:val="en-US" w:eastAsia="en-US"/>
            </w:rPr>
          </w:pPr>
          <w:r>
            <w:rPr/>
            <w:t>4.1</w:t>
          </w:r>
          <w:r>
            <w:rPr>
              <w:sz w:val="24"/>
              <w:szCs w:val="24"/>
              <w:lang w:val="en-US" w:eastAsia="en-US"/>
            </w:rPr>
            <w:tab/>
          </w:r>
          <w:r>
            <w:rPr/>
            <w:t>Notification mechanism subscription functions</w:t>
            <w:tab/>
          </w:r>
          <w:hyperlink w:anchor="__RefHeading___Toc168372795">
            <w:r>
              <w:rPr>
                <w:rStyle w:val="IndexLink"/>
              </w:rPr>
              <w:t>7</w:t>
            </w:r>
          </w:hyperlink>
        </w:p>
        <w:p>
          <w:pPr>
            <w:pStyle w:val="Contents2"/>
            <w:rPr>
              <w:sz w:val="24"/>
              <w:szCs w:val="24"/>
              <w:lang w:val="en-US" w:eastAsia="en-US"/>
            </w:rPr>
          </w:pPr>
          <w:r>
            <w:rPr/>
            <w:t>4.2</w:t>
          </w:r>
          <w:r>
            <w:rPr>
              <w:sz w:val="24"/>
              <w:szCs w:val="24"/>
              <w:lang w:val="en-US" w:eastAsia="en-US"/>
            </w:rPr>
            <w:tab/>
          </w:r>
          <w:r>
            <w:rPr/>
            <w:t>Subscription control functions</w:t>
            <w:tab/>
          </w:r>
          <w:hyperlink w:anchor="__RefHeading___Toc168372796">
            <w:r>
              <w:rPr>
                <w:rStyle w:val="IndexLink"/>
              </w:rPr>
              <w:t>7</w:t>
            </w:r>
          </w:hyperlink>
        </w:p>
        <w:p>
          <w:pPr>
            <w:pStyle w:val="Contents2"/>
            <w:rPr>
              <w:sz w:val="24"/>
              <w:szCs w:val="24"/>
              <w:lang w:val="en-US" w:eastAsia="en-US"/>
            </w:rPr>
          </w:pPr>
          <w:r>
            <w:rPr/>
            <w:t>4.3</w:t>
          </w:r>
          <w:r>
            <w:rPr>
              <w:sz w:val="24"/>
              <w:szCs w:val="24"/>
              <w:lang w:val="en-US" w:eastAsia="en-US"/>
            </w:rPr>
            <w:tab/>
          </w:r>
          <w:r>
            <w:rPr/>
            <w:t>Notification control functions</w:t>
            <w:tab/>
          </w:r>
          <w:hyperlink w:anchor="__RefHeading___Toc168372797">
            <w:r>
              <w:rPr>
                <w:rStyle w:val="IndexLink"/>
              </w:rPr>
              <w:t>7</w:t>
            </w:r>
          </w:hyperlink>
        </w:p>
        <w:p>
          <w:pPr>
            <w:pStyle w:val="Contents2"/>
            <w:rPr>
              <w:sz w:val="24"/>
              <w:szCs w:val="24"/>
              <w:lang w:val="en-US" w:eastAsia="en-US"/>
            </w:rPr>
          </w:pPr>
          <w:r>
            <w:rPr/>
            <w:t>4.4</w:t>
          </w:r>
          <w:r>
            <w:rPr>
              <w:sz w:val="24"/>
              <w:szCs w:val="24"/>
              <w:lang w:val="en-US" w:eastAsia="en-US"/>
            </w:rPr>
            <w:tab/>
          </w:r>
          <w:r>
            <w:rPr/>
            <w:t>Function to discover notification capabilities</w:t>
            <w:tab/>
          </w:r>
          <w:hyperlink w:anchor="__RefHeading___Toc168372798">
            <w:r>
              <w:rPr>
                <w:rStyle w:val="IndexLink"/>
              </w:rPr>
              <w:t>7</w:t>
            </w:r>
          </w:hyperlink>
        </w:p>
        <w:p>
          <w:pPr>
            <w:pStyle w:val="Contents2"/>
            <w:rPr>
              <w:sz w:val="24"/>
              <w:szCs w:val="24"/>
              <w:lang w:val="en-US" w:eastAsia="en-US"/>
            </w:rPr>
          </w:pPr>
          <w:r>
            <w:rPr/>
            <w:t>4.5</w:t>
          </w:r>
          <w:r>
            <w:rPr>
              <w:sz w:val="24"/>
              <w:szCs w:val="24"/>
              <w:lang w:val="en-US" w:eastAsia="en-US"/>
            </w:rPr>
            <w:tab/>
          </w:r>
          <w:r>
            <w:rPr/>
            <w:t>Generic notification header</w:t>
            <w:tab/>
          </w:r>
          <w:hyperlink w:anchor="__RefHeading___Toc168372799">
            <w:r>
              <w:rPr>
                <w:rStyle w:val="IndexLink"/>
              </w:rPr>
              <w:t>8</w:t>
            </w:r>
          </w:hyperlink>
        </w:p>
        <w:p>
          <w:pPr>
            <w:pStyle w:val="Contents8"/>
            <w:rPr>
              <w:sz w:val="24"/>
              <w:szCs w:val="24"/>
              <w:lang w:val="en-US" w:eastAsia="en-US"/>
            </w:rPr>
          </w:pPr>
          <w:r>
            <w:rPr>
              <w:b w:val="false"/>
            </w:rPr>
            <w:t>Annex A (informative):</w:t>
            <w:tab/>
            <w:t>Change history</w:t>
            <w:tab/>
          </w:r>
          <w:hyperlink w:anchor="__RefHeading___Toc168372800">
            <w:r>
              <w:rPr>
                <w:rStyle w:val="IndexLink"/>
                <w:b w:val="false"/>
              </w:rPr>
              <w:t>9</w:t>
            </w:r>
          </w:hyperlink>
          <w:r>
            <w:rPr>
              <w:rStyle w:val="IndexLink"/>
              <w:b w:val="false"/>
            </w:rPr>
            <w:fldChar w:fldCharType="end"/>
          </w:r>
        </w:p>
      </w:sdtContent>
    </w:sdt>
    <w:p>
      <w:pPr>
        <w:pStyle w:val="Normal"/>
        <w:rPr>
          <w:b/>
          <w:b/>
          <w:caps/>
          <w:sz w:val="22"/>
          <w:szCs w:val="24"/>
          <w:lang w:val="en-US" w:eastAsia="en-US"/>
        </w:rPr>
      </w:pPr>
      <w:r>
        <w:rPr>
          <w:b/>
          <w:caps/>
          <w:sz w:val="22"/>
          <w:szCs w:val="24"/>
          <w:lang w:val="en-US" w:eastAsia="en-US"/>
        </w:rPr>
      </w:r>
      <w:r>
        <w:br w:type="page"/>
      </w:r>
    </w:p>
    <w:p>
      <w:pPr>
        <w:pStyle w:val="Heading1"/>
        <w:ind w:left="1134" w:hanging="1134"/>
        <w:rPr/>
      </w:pPr>
      <w:bookmarkStart w:id="6" w:name="__RefHeading___Toc168372787"/>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168372788"/>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b/>
          <w:b/>
          <w:sz w:val="24"/>
          <w:szCs w:val="24"/>
          <w:lang w:val="en-US" w:eastAsia="ko-KR"/>
        </w:rPr>
      </w:pPr>
      <w:r>
        <w:rPr>
          <w:rFonts w:eastAsia="Batang;바탕"/>
          <w:b/>
          <w:lang w:val="en-US" w:eastAsia="ko-KR"/>
        </w:rPr>
        <w:t>32.301:</w:t>
        <w:tab/>
        <w:t>Configuration Management (CM); Notification Integration Reference Point (IRP): Requirements.</w:t>
      </w:r>
    </w:p>
    <w:p>
      <w:pPr>
        <w:pStyle w:val="B1"/>
        <w:rPr>
          <w:rFonts w:eastAsia="Batang;바탕"/>
          <w:sz w:val="24"/>
          <w:szCs w:val="24"/>
          <w:lang w:val="en-US" w:eastAsia="ko-KR"/>
        </w:rPr>
      </w:pPr>
      <w:r>
        <w:rPr>
          <w:rFonts w:eastAsia="Batang;바탕"/>
          <w:lang w:val="en-US" w:eastAsia="ko-KR"/>
        </w:rPr>
        <w:t>32.302:</w:t>
        <w:tab/>
        <w:t>Configuration Management (CM); Notification Integration Reference Point (IRP): Information Service (IS).</w:t>
      </w:r>
    </w:p>
    <w:p>
      <w:pPr>
        <w:pStyle w:val="B1"/>
        <w:rPr>
          <w:rFonts w:eastAsia="Batang;바탕"/>
          <w:lang w:val="en-US" w:eastAsia="ko-KR"/>
        </w:rPr>
      </w:pPr>
      <w:r>
        <w:rPr>
          <w:rFonts w:eastAsia="Batang;바탕"/>
          <w:lang w:val="en-US" w:eastAsia="ko-KR"/>
        </w:rPr>
        <w:t>32.306:</w:t>
        <w:tab/>
        <w:t>Configuration Management (CM); Notification Integration Reference Point (IRP): Solution Set (SS) definitions.</w:t>
      </w:r>
    </w:p>
    <w:p>
      <w:pPr>
        <w:pStyle w:val="Normal"/>
        <w:rPr/>
      </w:pPr>
      <w:r>
        <w:rPr/>
        <w:t>The Itf-N interface is built up by a number of Integration Reference Points (IRPs) and a related Name Convention, which realise the functional capabilities over this interface. The basic structure of the IRPs is defined in 3GPP TS 32.101 [1] and 3GPP TS  32.102 [2].</w:t>
      </w:r>
    </w:p>
    <w:p>
      <w:pPr>
        <w:pStyle w:val="Normal"/>
        <w:rPr/>
      </w:pPr>
      <w:r>
        <w:rPr/>
        <w:t>Network Elements (NEs) under management and element managers generate notifications of events about occurrences within the network. Different kinds of events carry different kinds of information. For instance a new alarm as specified in Alarm IRP: Information Service [3], is one possible kind of event, an object creation as specified in Basic CM IRP: Information Service [4] is another possible kind of event.</w:t>
      </w:r>
    </w:p>
    <w:p>
      <w:pPr>
        <w:pStyle w:val="Normal"/>
        <w:rPr/>
      </w:pPr>
      <w:r>
        <w:rPr/>
        <w:t>Information of an event is carried in notification. An IRPAgent (typically an EM or a NE) emits notifications. IRPManager (typically a network management system) receives notifications. The purpose of Notification IRP is to define an interface through which an IRPManager can subscribe to IRPAgent for receiving notifications.</w:t>
      </w:r>
    </w:p>
    <w:p>
      <w:pPr>
        <w:pStyle w:val="Normal"/>
        <w:spacing w:before="0" w:after="120"/>
        <w:rPr/>
      </w:pPr>
      <w:r>
        <w:rPr/>
        <w:t>This IRP bases its design on work captured in ITU-T Recommendation X.734 [5], OMG Notification Service [6]. The central design ideas are:</w:t>
      </w:r>
    </w:p>
    <w:p>
      <w:pPr>
        <w:pStyle w:val="B1"/>
        <w:rPr/>
      </w:pPr>
      <w:r>
        <w:rPr/>
        <w:t>-</w:t>
        <w:tab/>
        <w:t>Separation of notification Consumers (IRPManagers) from Producers (IRPAgents);</w:t>
      </w:r>
    </w:p>
    <w:p>
      <w:pPr>
        <w:pStyle w:val="B1"/>
        <w:rPr/>
      </w:pPr>
      <w:r>
        <w:rPr/>
        <w:t>-</w:t>
        <w:tab/>
        <w:t>Notifications are sent to IRPManagers without the need for IRPManagers to periodically check for new notifications.</w:t>
      </w:r>
    </w:p>
    <w:p>
      <w:pPr>
        <w:pStyle w:val="Normal"/>
        <w:spacing w:before="0" w:after="0"/>
        <w:rPr/>
      </w:pPr>
      <w:r>
        <w:rPr/>
        <w:t>Common characteristics related to notifications in all other IRPs are gathered in one IRP.</w:t>
      </w:r>
      <w:r>
        <w:br w:type="page"/>
      </w:r>
    </w:p>
    <w:p>
      <w:pPr>
        <w:pStyle w:val="Heading1"/>
        <w:keepNext w:val="false"/>
        <w:keepLines w:val="false"/>
        <w:ind w:left="1134" w:hanging="1134"/>
        <w:rPr/>
      </w:pPr>
      <w:bookmarkStart w:id="8" w:name="__RefHeading___Toc168372789"/>
      <w:bookmarkEnd w:id="8"/>
      <w:r>
        <w:rPr/>
        <w:t>1</w:t>
        <w:tab/>
        <w:t>Scope</w:t>
      </w:r>
    </w:p>
    <w:p>
      <w:pPr>
        <w:pStyle w:val="Normal"/>
        <w:rPr/>
      </w:pPr>
      <w:r>
        <w:rPr/>
        <w:t>The purpose of Notification IRP is to define an interface through which an IRPManager can subscribe to an IRPAgent for receiving notifications. The present document is the "Requirements" of Notification IRP. It defines, for the purpose of subscribing to an IRPAgent for receiving notifications, the basic requirements that shall be fulfilled on Itf-N.</w:t>
      </w:r>
    </w:p>
    <w:p>
      <w:pPr>
        <w:pStyle w:val="Normal"/>
        <w:rPr/>
      </w:pPr>
      <w:r>
        <w:rPr/>
        <w:t>How IRPManager discovers the IRPAgent's address or reference (so that IRPManager can invoke an operation) is outside the scope of the present document.</w:t>
      </w:r>
    </w:p>
    <w:p>
      <w:pPr>
        <w:pStyle w:val="Heading1"/>
        <w:ind w:left="1134" w:hanging="1134"/>
        <w:rPr/>
      </w:pPr>
      <w:bookmarkStart w:id="9" w:name="__RefHeading___Toc16837279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32.111-2: "Telecommunication management; Fault Management; Part 2: Alarm Integration Reference Point (IRP): Information Service (IS)".</w:t>
      </w:r>
    </w:p>
    <w:p>
      <w:pPr>
        <w:pStyle w:val="EX"/>
        <w:rPr/>
      </w:pPr>
      <w:r>
        <w:rPr/>
        <w:t>[4]</w:t>
        <w:tab/>
        <w:t>3GPP TS 32.602: "Telecommunication management; Configuration Management (CM); Basic CM Integration Reference Point (IRP): Information Service (IS)".</w:t>
      </w:r>
    </w:p>
    <w:p>
      <w:pPr>
        <w:pStyle w:val="EX"/>
        <w:spacing w:before="0" w:after="60"/>
        <w:rPr/>
      </w:pPr>
      <w:r>
        <w:rPr/>
        <w:t>[5]</w:t>
        <w:tab/>
        <w:t>ITU-T Recommendation X.734: "Information technology - Open Systems Interconnection - Systems Management: Event report management function".</w:t>
      </w:r>
    </w:p>
    <w:p>
      <w:pPr>
        <w:pStyle w:val="EX"/>
        <w:rPr/>
      </w:pPr>
      <w:r>
        <w:rPr/>
        <w:t>[6]</w:t>
        <w:tab/>
        <w:t>OMG: "OMG Notification Service".</w:t>
      </w:r>
    </w:p>
    <w:p>
      <w:pPr>
        <w:pStyle w:val="Heading1"/>
        <w:ind w:left="1134" w:hanging="1134"/>
        <w:rPr/>
      </w:pPr>
      <w:bookmarkStart w:id="10" w:name="__RefHeading___Toc168372791"/>
      <w:bookmarkEnd w:id="10"/>
      <w:r>
        <w:rPr/>
        <w:t>3</w:t>
        <w:tab/>
        <w:t>Definitions and abbreviations</w:t>
      </w:r>
    </w:p>
    <w:p>
      <w:pPr>
        <w:pStyle w:val="Heading2"/>
        <w:rPr/>
      </w:pPr>
      <w:bookmarkStart w:id="11" w:name="__RefHeading___Toc168372792"/>
      <w:bookmarkEnd w:id="11"/>
      <w:r>
        <w:rPr/>
        <w:t>3.1</w:t>
        <w:tab/>
        <w:t>Definitions</w:t>
      </w:r>
    </w:p>
    <w:p>
      <w:pPr>
        <w:pStyle w:val="Normal"/>
        <w:rPr/>
      </w:pPr>
      <w:r>
        <w:rPr/>
        <w:t>For the purposes of the present document, the following terms and definitions apply:</w:t>
      </w:r>
    </w:p>
    <w:p>
      <w:pPr>
        <w:pStyle w:val="Normal"/>
        <w:rPr/>
      </w:pPr>
      <w:r>
        <w:rPr>
          <w:b/>
        </w:rPr>
        <w:t xml:space="preserve">Element Manager (EM): </w:t>
      </w:r>
      <w:r>
        <w:rPr/>
        <w:t>See 3GPP TS 32.101 [1].</w:t>
      </w:r>
    </w:p>
    <w:p>
      <w:pPr>
        <w:pStyle w:val="Normal"/>
        <w:rPr/>
      </w:pPr>
      <w:r>
        <w:rPr>
          <w:b/>
        </w:rPr>
        <w:t>IRPAgent:</w:t>
      </w:r>
      <w:r>
        <w:rPr/>
        <w:t xml:space="preserve"> See 3GPP TS 32.102 [2].</w:t>
      </w:r>
    </w:p>
    <w:p>
      <w:pPr>
        <w:pStyle w:val="Normal"/>
        <w:rPr/>
      </w:pPr>
      <w:r>
        <w:rPr>
          <w:b/>
        </w:rPr>
        <w:t>IRPManager:</w:t>
      </w:r>
      <w:r>
        <w:rPr/>
        <w:t xml:space="preserve"> See 3GPP TS 32.102 [2].</w:t>
      </w:r>
    </w:p>
    <w:p>
      <w:pPr>
        <w:pStyle w:val="Normal"/>
        <w:rPr/>
      </w:pPr>
      <w:r>
        <w:rPr>
          <w:b/>
        </w:rPr>
        <w:t xml:space="preserve">Network Manager (NM): </w:t>
      </w:r>
      <w:r>
        <w:rPr/>
        <w:t>See 3GPP TS 32.101 [1].</w:t>
      </w:r>
    </w:p>
    <w:p>
      <w:pPr>
        <w:pStyle w:val="Heading2"/>
        <w:rPr/>
      </w:pPr>
      <w:bookmarkStart w:id="12" w:name="__RefHeading___Toc168372793"/>
      <w:bookmarkEnd w:id="12"/>
      <w:r>
        <w:rPr/>
        <w:t>3.2</w:t>
        <w:tab/>
        <w:t>Abbreviations</w:t>
      </w:r>
    </w:p>
    <w:p>
      <w:pPr>
        <w:pStyle w:val="Normal"/>
        <w:keepNext w:val="true"/>
        <w:keepLines/>
        <w:rPr/>
      </w:pPr>
      <w:r>
        <w:rPr/>
        <w:t>For the purposes of the present document, the following abbreviations apply:</w:t>
      </w:r>
    </w:p>
    <w:p>
      <w:pPr>
        <w:pStyle w:val="EW"/>
        <w:keepNext w:val="true"/>
        <w:rPr/>
      </w:pPr>
      <w:r>
        <w:rPr/>
        <w:t>CM</w:t>
        <w:tab/>
        <w:t>Configuration Management</w:t>
      </w:r>
    </w:p>
    <w:p>
      <w:pPr>
        <w:pStyle w:val="EW"/>
        <w:rPr/>
      </w:pPr>
      <w:r>
        <w:rPr/>
        <w:t>CORBA</w:t>
        <w:tab/>
        <w:t>Common Object Request Broker Architecture</w:t>
      </w:r>
    </w:p>
    <w:p>
      <w:pPr>
        <w:pStyle w:val="EW"/>
        <w:rPr/>
      </w:pPr>
      <w:r>
        <w:rPr/>
        <w:t>EM</w:t>
        <w:tab/>
        <w:t>Element Manager</w:t>
      </w:r>
    </w:p>
    <w:p>
      <w:pPr>
        <w:pStyle w:val="EW"/>
        <w:rPr/>
      </w:pPr>
      <w:r>
        <w:rPr/>
        <w:t>FM</w:t>
        <w:tab/>
        <w:t>Fault Management</w:t>
      </w:r>
    </w:p>
    <w:p>
      <w:pPr>
        <w:pStyle w:val="EW"/>
        <w:rPr/>
      </w:pPr>
      <w:r>
        <w:rPr/>
        <w:t>IRP</w:t>
        <w:tab/>
        <w:t>Integration Reference Point</w:t>
      </w:r>
    </w:p>
    <w:p>
      <w:pPr>
        <w:pStyle w:val="EW"/>
        <w:rPr/>
      </w:pPr>
      <w:r>
        <w:rPr/>
        <w:t>ITU-T</w:t>
        <w:tab/>
        <w:t>International Telecommunication Union - Telecommunication</w:t>
      </w:r>
    </w:p>
    <w:p>
      <w:pPr>
        <w:pStyle w:val="EW"/>
        <w:rPr/>
      </w:pPr>
      <w:r>
        <w:rPr/>
        <w:t>MIB</w:t>
        <w:tab/>
        <w:t>Management Information Base</w:t>
      </w:r>
    </w:p>
    <w:p>
      <w:pPr>
        <w:pStyle w:val="EW"/>
        <w:rPr/>
      </w:pPr>
      <w:r>
        <w:rPr/>
        <w:t>NE</w:t>
        <w:tab/>
        <w:t>Network Element</w:t>
      </w:r>
    </w:p>
    <w:p>
      <w:pPr>
        <w:pStyle w:val="EW"/>
        <w:rPr/>
      </w:pPr>
      <w:r>
        <w:rPr/>
        <w:t>NR</w:t>
        <w:tab/>
        <w:t>Network Resource</w:t>
      </w:r>
    </w:p>
    <w:p>
      <w:pPr>
        <w:pStyle w:val="EW"/>
        <w:rPr/>
      </w:pPr>
      <w:r>
        <w:rPr/>
        <w:t>OMG</w:t>
        <w:tab/>
        <w:t>Object Management Group</w:t>
      </w:r>
    </w:p>
    <w:p>
      <w:pPr>
        <w:pStyle w:val="EW"/>
        <w:rPr/>
      </w:pPr>
      <w:r>
        <w:rPr/>
        <w:t>OS</w:t>
        <w:tab/>
        <w:t>Operations System</w:t>
      </w:r>
    </w:p>
    <w:p>
      <w:pPr>
        <w:pStyle w:val="EW"/>
        <w:rPr/>
      </w:pPr>
      <w:r>
        <w:rPr/>
        <w:t>TM</w:t>
        <w:tab/>
        <w:t>Telecom Management</w:t>
      </w:r>
    </w:p>
    <w:p>
      <w:pPr>
        <w:pStyle w:val="EX"/>
        <w:rPr/>
      </w:pPr>
      <w:r>
        <w:rPr/>
        <w:t>UMTS</w:t>
        <w:tab/>
        <w:t>Universal Mobile Telecommunications System</w:t>
      </w:r>
    </w:p>
    <w:p>
      <w:pPr>
        <w:pStyle w:val="Heading1"/>
        <w:ind w:left="1134" w:hanging="1134"/>
        <w:rPr/>
      </w:pPr>
      <w:bookmarkStart w:id="13" w:name="__RefHeading___Toc168372794"/>
      <w:bookmarkEnd w:id="13"/>
      <w:r>
        <w:rPr/>
        <w:t>4</w:t>
        <w:tab/>
        <w:t>Notification management functions over Itf-N</w:t>
      </w:r>
    </w:p>
    <w:p>
      <w:pPr>
        <w:pStyle w:val="Heading2"/>
        <w:rPr/>
      </w:pPr>
      <w:bookmarkStart w:id="14" w:name="__RefHeading___Toc168372795"/>
      <w:bookmarkEnd w:id="14"/>
      <w:r>
        <w:rPr/>
        <w:t>4.1</w:t>
        <w:tab/>
        <w:t>Notification mechanism subscription functions</w:t>
      </w:r>
    </w:p>
    <w:p>
      <w:pPr>
        <w:pStyle w:val="Normal"/>
        <w:rPr/>
      </w:pPr>
      <w:r>
        <w:rPr/>
        <w:t>The IRPAgent shall provide IRPManagers with the capabilities to subscribe and unsubscribe to the notification mechanism. An IRPManager shall be able to specify the types of notifications IRPAgent should emit to IRPManager during subscription, to specify filtering criteria that shall be applied by the notification mechanism. An IRPManager shall be able to subscribe several times in order to include in a subscription different types of notifications. An IRPManager shall also be able to request multiple subscriptions, which is equivalent, from the IRPAgent perspective, to multiple IRPManagers each providing one subscription.</w:t>
      </w:r>
    </w:p>
    <w:p>
      <w:pPr>
        <w:pStyle w:val="Heading2"/>
        <w:rPr/>
      </w:pPr>
      <w:bookmarkStart w:id="15" w:name="__RefHeading___Toc168372796"/>
      <w:bookmarkEnd w:id="15"/>
      <w:r>
        <w:rPr/>
        <w:t>4.2</w:t>
        <w:tab/>
        <w:t>Subscription control functions</w:t>
      </w:r>
    </w:p>
    <w:p>
      <w:pPr>
        <w:pStyle w:val="Normal"/>
        <w:rPr/>
      </w:pPr>
      <w:r>
        <w:rPr/>
        <w:t>The IRPAgent may provide to IRPManagers capabilities to control its subscriptions. An IRPManager may then be able to check whether its subscription is still active or not, to know the details of a particular subscription and to know the list of all subscriptions it has opened.</w:t>
      </w:r>
    </w:p>
    <w:p>
      <w:pPr>
        <w:pStyle w:val="Heading2"/>
        <w:rPr/>
      </w:pPr>
      <w:bookmarkStart w:id="16" w:name="__RefHeading___Toc168372797"/>
      <w:bookmarkEnd w:id="16"/>
      <w:r>
        <w:rPr/>
        <w:t>4.3</w:t>
        <w:tab/>
        <w:t>Notification control functions</w:t>
      </w:r>
    </w:p>
    <w:p>
      <w:pPr>
        <w:pStyle w:val="Normal"/>
        <w:keepNext w:val="true"/>
        <w:keepLines/>
        <w:rPr/>
      </w:pPr>
      <w:r>
        <w:rPr/>
        <w:t>In principle, notifications are forwarded to the IRPManagers as soon as they are available. The real-time forwarding of these notifications occurs via appropriate filtering mechanisms ("discriminators" on CMIP interfaces, "subscription" on CORBA interfaces) in accordance with ITU-T Recommendation X.734 [5] or OMG event/notification service. Any IRPManager may be able to set and change filter criteria applicable during the life-cycle of one if its subscriptions in order to ensure that only the notifications which fulfil pre-defined criteria are sent.. An IRPManager may also be able to enable and disable the emission of notifications corresponding to its subscriptions.</w:t>
      </w:r>
    </w:p>
    <w:p>
      <w:pPr>
        <w:pStyle w:val="Heading2"/>
        <w:rPr/>
      </w:pPr>
      <w:bookmarkStart w:id="17" w:name="__RefHeading___Toc168372798"/>
      <w:bookmarkEnd w:id="17"/>
      <w:r>
        <w:rPr/>
        <w:t>4.4</w:t>
        <w:tab/>
        <w:t>Function to discover notification capabilities</w:t>
      </w:r>
    </w:p>
    <w:p>
      <w:pPr>
        <w:pStyle w:val="Normal"/>
        <w:rPr/>
      </w:pPr>
      <w:r>
        <w:rPr/>
        <w:t>The IRPAgent may provide IRPManagers with a capability to discover the IRPs supported by the IRPAgent that are capable of sending notifications through the notification IRP. Those IRPs shall be identified with their version.</w:t>
      </w:r>
    </w:p>
    <w:p>
      <w:pPr>
        <w:pStyle w:val="Heading2"/>
        <w:rPr/>
      </w:pPr>
      <w:bookmarkStart w:id="18" w:name="__RefHeading___Toc168372799"/>
      <w:bookmarkEnd w:id="18"/>
      <w:r>
        <w:rPr/>
        <w:t>4.5</w:t>
        <w:tab/>
        <w:t>Generic notification header</w:t>
      </w:r>
    </w:p>
    <w:p>
      <w:pPr>
        <w:pStyle w:val="Normal"/>
        <w:keepNext w:val="true"/>
        <w:keepLines/>
        <w:rPr/>
      </w:pPr>
      <w:r>
        <w:rPr/>
        <w:t>Notifications are emitted by the notification IRP. Those notifications can be defined in any other IRP (e.g. a notification for a new alarm as specified in 3GPP TS 32.111-2 [3] Alarm IRP: Information Service). It is required that all notifications emitted by the notification IRP support the same header that contains enough information to identify the type of notification, the resource at the origin of the notification and the time of the notification.</w:t>
      </w:r>
      <w:r>
        <w:br w:type="page"/>
      </w:r>
    </w:p>
    <w:p>
      <w:pPr>
        <w:pStyle w:val="Heading8"/>
        <w:ind w:left="0" w:hanging="0"/>
        <w:rPr/>
      </w:pPr>
      <w:bookmarkStart w:id="19" w:name="__RefHeading___Toc168372800"/>
      <w:bookmarkEnd w:id="19"/>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SP-010283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at TSG SA #12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Mar 2002</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Cosmetics (changed styles/field codes on cover/page headings)</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4.0.1</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Mar 2002</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S_15</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Automatic upgrade to Rel-5 (no CR)</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4.0.1</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Dec 2002</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rFonts w:cs="Arial"/>
                <w:color w:val="000000"/>
                <w:sz w:val="16"/>
                <w:szCs w:val="18"/>
              </w:rPr>
              <w:t>Cosmetics</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5.0.1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SP-040105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Automatic upgrade to Rel-6 (no CR)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update : added 32.305 new TS-family member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color w:val="000000"/>
                <w:sz w:val="16"/>
                <w:szCs w:val="16"/>
              </w:rPr>
              <w:t>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Automatic upgrade to Rel-7 (no CR) at freeze of Rel-7. Deleted reference to CMIP SS, discontinued from R7 onwards.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sz w:val="16"/>
              </w:rPr>
              <w:t>6.0.1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b/>
                <w:b/>
                <w:color w:val="000000"/>
                <w:sz w:val="16"/>
                <w:szCs w:val="16"/>
                <w:lang w:eastAsia="ko-KR"/>
              </w:rPr>
            </w:pPr>
            <w:r>
              <w:rPr>
                <w:rFonts w:eastAsia="Batang;바탕"/>
                <w:b/>
                <w:color w:val="000000"/>
                <w:sz w:val="16"/>
                <w:szCs w:val="16"/>
                <w:lang w:eastAsia="ko-KR"/>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b/>
                <w:b/>
                <w:color w:val="000000"/>
                <w:sz w:val="16"/>
                <w:szCs w:val="16"/>
                <w:lang w:eastAsia="ko-KR"/>
              </w:rPr>
            </w:pPr>
            <w:r>
              <w:rPr>
                <w:rFonts w:eastAsia="Batang;바탕"/>
                <w:b/>
                <w:color w:val="000000"/>
                <w:sz w:val="16"/>
                <w:szCs w:val="16"/>
                <w:lang w:eastAsia="ko-KR"/>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b/>
                <w:b/>
                <w:color w:val="000000"/>
                <w:sz w:val="16"/>
                <w:szCs w:val="16"/>
                <w:lang w:eastAsia="ko-KR"/>
              </w:rPr>
            </w:pPr>
            <w:r>
              <w:rPr>
                <w:rFonts w:eastAsia="Batang;바탕"/>
                <w:b/>
                <w:color w:val="000000"/>
                <w:sz w:val="16"/>
                <w:szCs w:val="16"/>
                <w:lang w:eastAsia="ko-KR"/>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eastAsia="Batang;바탕"/>
                <w:color w:val="000000"/>
                <w:sz w:val="16"/>
                <w:szCs w:val="16"/>
                <w:lang w:eastAsia="ko-KR"/>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b/>
                <w:b/>
                <w:color w:val="000000"/>
                <w:sz w:val="16"/>
                <w:szCs w:val="16"/>
                <w:lang w:eastAsia="ko-KR"/>
              </w:rPr>
            </w:pPr>
            <w:r>
              <w:rPr>
                <w:rFonts w:eastAsia="Batang;바탕"/>
                <w:b/>
                <w:color w:val="000000"/>
                <w:sz w:val="16"/>
                <w:szCs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b/>
                <w:b/>
                <w:color w:val="000000"/>
                <w:sz w:val="16"/>
                <w:szCs w:val="16"/>
                <w:lang w:eastAsia="ko-KR"/>
              </w:rPr>
            </w:pPr>
            <w:r>
              <w:rPr>
                <w:rFonts w:eastAsia="Batang;바탕"/>
                <w:b/>
                <w:color w:val="000000"/>
                <w:sz w:val="16"/>
                <w:szCs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b/>
                <w:b/>
                <w:color w:val="000000"/>
                <w:sz w:val="16"/>
                <w:szCs w:val="16"/>
                <w:lang w:eastAsia="ko-KR"/>
              </w:rPr>
            </w:pPr>
            <w:r>
              <w:rPr>
                <w:rFonts w:eastAsia="Batang;바탕"/>
                <w:b/>
                <w:color w:val="000000"/>
                <w:sz w:val="16"/>
                <w:szCs w:val="16"/>
                <w:lang w:eastAsia="ko-KR"/>
              </w:rPr>
              <w:t>16.0.0</w:t>
            </w:r>
          </w:p>
        </w:tc>
      </w:tr>
    </w:tbl>
    <w:p>
      <w:pPr>
        <w:pStyle w:val="Normal"/>
        <w:rPr/>
      </w:pPr>
      <w:r>
        <w:rPr/>
      </w:r>
    </w:p>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b/>
        <w:b/>
        <w:i/>
        <w:i/>
      </w:rPr>
    </w:pPr>
    <w:r>
      <w:rPr>
        <w:b/>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15</w:t>
    </w:r>
    <w:r>
      <w:rPr/>
    </w:r>
    <w:r>
      <w:rPr/>
      <w:fldChar w:fldCharType="end"/>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32.301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32.301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2020-07-09T16:14:00Z</dcterms:created>
  <dc:creator>MCC Support</dc:creator>
  <dc:description/>
  <cp:keywords>management</cp:keywords>
  <dc:language>en-US</dc:language>
  <cp:lastModifiedBy>23.401_CR3602R2_(Rel-16)_5GS_Ph1, LTE_feMob-Core, </cp:lastModifiedBy>
  <cp:lastPrinted>2000-07-21T10:59:00Z</cp:lastPrinted>
  <dcterms:modified xsi:type="dcterms:W3CDTF">2020-07-09T16:14:00Z</dcterms:modified>
  <cp:revision>2</cp:revision>
  <dc:subject>Telecommunication management;  Configuration Management (CM); Notification Integration Reference Point (IRP); Requirements (Release 16)</dc:subject>
  <dc:title>3GPP TS 32.301</dc:title>
</cp:coreProperties>
</file>