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w:t>
                            </w:r>
                            <w:r>
                              <w:rPr>
                                <w:sz w:val="64"/>
                                <w:lang w:val="en-GB" w:eastAsia="zh-CN"/>
                              </w:rPr>
                              <w:t>S</w:t>
                            </w:r>
                            <w:r>
                              <w:rPr>
                                <w:sz w:val="64"/>
                                <w:lang w:val="en-GB" w:eastAsia="en-US"/>
                              </w:rPr>
                              <w:t xml:space="preserve"> </w:t>
                            </w:r>
                            <w:r>
                              <w:rPr>
                                <w:sz w:val="64"/>
                                <w:lang w:val="en-GB" w:eastAsia="zh-CN"/>
                              </w:rPr>
                              <w:t>32</w:t>
                            </w:r>
                            <w:r>
                              <w:rPr>
                                <w:sz w:val="64"/>
                                <w:lang w:val="en-GB" w:eastAsia="en-US"/>
                              </w:rPr>
                              <w:t>.</w:t>
                            </w:r>
                            <w:r>
                              <w:rPr>
                                <w:sz w:val="64"/>
                                <w:lang w:val="en-GB" w:eastAsia="zh-CN"/>
                              </w:rPr>
                              <w:t>351</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w:t>
                      </w:r>
                      <w:r>
                        <w:rPr>
                          <w:sz w:val="64"/>
                          <w:lang w:val="en-GB" w:eastAsia="zh-CN"/>
                        </w:rPr>
                        <w:t>S</w:t>
                      </w:r>
                      <w:r>
                        <w:rPr>
                          <w:sz w:val="64"/>
                          <w:lang w:val="en-GB" w:eastAsia="en-US"/>
                        </w:rPr>
                        <w:t xml:space="preserve"> </w:t>
                      </w:r>
                      <w:r>
                        <w:rPr>
                          <w:sz w:val="64"/>
                          <w:lang w:val="en-GB" w:eastAsia="zh-CN"/>
                        </w:rPr>
                        <w:t>32</w:t>
                      </w:r>
                      <w:r>
                        <w:rPr>
                          <w:sz w:val="64"/>
                          <w:lang w:val="en-GB" w:eastAsia="en-US"/>
                        </w:rPr>
                        <w:t>.</w:t>
                      </w:r>
                      <w:r>
                        <w:rPr>
                          <w:sz w:val="64"/>
                          <w:lang w:val="en-GB" w:eastAsia="zh-CN"/>
                        </w:rPr>
                        <w:t>351</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595745" cy="1737995"/>
                <wp:effectExtent l="0" t="0" r="0" b="0"/>
                <wp:wrapTopAndBottom/>
                <wp:docPr id="3" name="Frame3"/>
                <a:graphic xmlns:a="http://schemas.openxmlformats.org/drawingml/2006/main">
                  <a:graphicData uri="http://schemas.microsoft.com/office/word/2010/wordprocessingShape">
                    <wps:wsp>
                      <wps:cNvSpPr txBox="1"/>
                      <wps:spPr>
                        <a:xfrm>
                          <a:off x="0" y="0"/>
                          <a:ext cx="6595745"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pPr>
                            <w:r>
                              <w:rPr>
                                <w:lang w:eastAsia="zh-CN"/>
                              </w:rPr>
                              <w:t>Communication Surveillance</w:t>
                            </w:r>
                            <w:r>
                              <w:rPr>
                                <w:lang w:eastAsia="zh-CN"/>
                              </w:rPr>
                              <w:t xml:space="preserve"> (CS)</w:t>
                            </w:r>
                          </w:p>
                          <w:p>
                            <w:pPr>
                              <w:pStyle w:val="ZT"/>
                              <w:rPr>
                                <w:lang w:eastAsia="zh-CN"/>
                              </w:rPr>
                            </w:pPr>
                            <w:r>
                              <w:rPr/>
                              <w:t>Integration Reference Point</w:t>
                            </w:r>
                            <w:r>
                              <w:rPr/>
                              <w:t xml:space="preserve"> </w:t>
                            </w:r>
                            <w:r>
                              <w:rPr>
                                <w:rFonts w:eastAsia="Arial Unicode MS;Yu Gothic"/>
                                <w:lang w:eastAsia="zh-CN"/>
                              </w:rPr>
                              <w:t>(</w:t>
                            </w:r>
                            <w:r>
                              <w:rPr/>
                              <w:t>IRP</w:t>
                            </w:r>
                            <w:r>
                              <w:rPr/>
                              <w:t>)</w:t>
                            </w:r>
                            <w:r>
                              <w:rPr/>
                              <w:t>;</w:t>
                            </w:r>
                          </w:p>
                          <w:p>
                            <w:pPr>
                              <w:pStyle w:val="ZT"/>
                              <w:ind w:left="7668" w:hanging="0"/>
                              <w:rPr>
                                <w:lang w:eastAsia="zh-CN"/>
                              </w:rPr>
                            </w:pPr>
                            <w:r>
                              <w:rPr>
                                <w:lang w:eastAsia="zh-CN"/>
                              </w:rPr>
                              <w:t>Requirements</w:t>
                            </w:r>
                          </w:p>
                          <w:p>
                            <w:pPr>
                              <w:pStyle w:val="ZT"/>
                              <w:rPr>
                                <w:i/>
                                <w:i/>
                                <w:sz w:val="28"/>
                              </w:rPr>
                            </w:pPr>
                            <w:r>
                              <w:rPr>
                                <w:lang w:eastAsia="zh-CN"/>
                              </w:rPr>
                              <w:t>(</w:t>
                            </w:r>
                            <w:r>
                              <w:rPr>
                                <w:rStyle w:val="ZGSM"/>
                              </w:rPr>
                              <w:t>Release 16</w:t>
                            </w:r>
                            <w:r>
                              <w:rPr>
                                <w:lang w:eastAsia="zh-CN"/>
                              </w:rPr>
                              <w:t>)</w:t>
                            </w:r>
                          </w:p>
                        </w:txbxContent>
                      </wps:txbx>
                      <wps:bodyPr anchor="t" lIns="0" tIns="0" rIns="0" bIns="0">
                        <a:noAutofit/>
                      </wps:bodyPr>
                    </wps:wsp>
                  </a:graphicData>
                </a:graphic>
              </wp:anchor>
            </w:drawing>
          </mc:Choice>
          <mc:Fallback>
            <w:pict>
              <v:rect fillcolor="#FFFFFF" style="position:absolute;rotation:-0;width:519.35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t>Telecommunication management;</w:t>
                      </w:r>
                    </w:p>
                    <w:p>
                      <w:pPr>
                        <w:pStyle w:val="ZT"/>
                        <w:rPr/>
                      </w:pPr>
                      <w:r>
                        <w:rPr>
                          <w:lang w:eastAsia="zh-CN"/>
                        </w:rPr>
                        <w:t>Communication Surveillance</w:t>
                      </w:r>
                      <w:r>
                        <w:rPr>
                          <w:lang w:eastAsia="zh-CN"/>
                        </w:rPr>
                        <w:t xml:space="preserve"> (CS)</w:t>
                      </w:r>
                    </w:p>
                    <w:p>
                      <w:pPr>
                        <w:pStyle w:val="ZT"/>
                        <w:rPr>
                          <w:lang w:eastAsia="zh-CN"/>
                        </w:rPr>
                      </w:pPr>
                      <w:r>
                        <w:rPr/>
                        <w:t>Integration Reference Point</w:t>
                      </w:r>
                      <w:r>
                        <w:rPr/>
                        <w:t xml:space="preserve"> </w:t>
                      </w:r>
                      <w:r>
                        <w:rPr>
                          <w:rFonts w:eastAsia="Arial Unicode MS;Yu Gothic"/>
                          <w:lang w:eastAsia="zh-CN"/>
                        </w:rPr>
                        <w:t>(</w:t>
                      </w:r>
                      <w:r>
                        <w:rPr/>
                        <w:t>IRP</w:t>
                      </w:r>
                      <w:r>
                        <w:rPr/>
                        <w:t>)</w:t>
                      </w:r>
                      <w:r>
                        <w:rPr/>
                        <w:t>;</w:t>
                      </w:r>
                    </w:p>
                    <w:p>
                      <w:pPr>
                        <w:pStyle w:val="ZT"/>
                        <w:ind w:left="7668" w:hanging="0"/>
                        <w:rPr>
                          <w:lang w:eastAsia="zh-CN"/>
                        </w:rPr>
                      </w:pPr>
                      <w:r>
                        <w:rPr>
                          <w:lang w:eastAsia="zh-CN"/>
                        </w:rPr>
                        <w:t>Requirements</w:t>
                      </w:r>
                    </w:p>
                    <w:p>
                      <w:pPr>
                        <w:pStyle w:val="ZT"/>
                        <w:rPr>
                          <w:i/>
                          <w:i/>
                          <w:sz w:val="28"/>
                        </w:rPr>
                      </w:pPr>
                      <w:r>
                        <w:rPr>
                          <w:lang w:eastAsia="zh-CN"/>
                        </w:rPr>
                        <w:t>(</w:t>
                      </w:r>
                      <w:r>
                        <w:rPr>
                          <w:rStyle w:val="ZGSM"/>
                        </w:rPr>
                        <w:t>Release 16</w:t>
                      </w:r>
                      <w:r>
                        <w:rPr>
                          <w:lang w:eastAsia="zh-CN"/>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lang w:eastAsia="zh-CN"/>
                              </w:rPr>
                              <w:t>UMTS, management, security</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lang w:eastAsia="zh-CN"/>
                        </w:rPr>
                        <w:t>UMTS, management, security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71245180">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71245181">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71245182">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71245183">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71245184">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71245185">
            <w:r>
              <w:rPr>
                <w:rStyle w:val="IndexLink"/>
              </w:rPr>
              <w:t>5</w:t>
            </w:r>
          </w:hyperlink>
        </w:p>
        <w:p>
          <w:pPr>
            <w:pStyle w:val="Contents2"/>
            <w:rPr>
              <w:rFonts w:eastAsia="Batang;바탕"/>
              <w:sz w:val="24"/>
              <w:szCs w:val="24"/>
              <w:lang w:val="en-US" w:eastAsia="en-US"/>
            </w:rPr>
          </w:pPr>
          <w:r>
            <w:rPr/>
            <w:t>3.</w:t>
          </w:r>
          <w:r>
            <w:rPr>
              <w:lang w:val="en-US" w:eastAsia="en-US"/>
            </w:rPr>
            <w:t>2</w:t>
          </w:r>
          <w:r>
            <w:rPr>
              <w:rFonts w:eastAsia="Batang;바탕"/>
              <w:sz w:val="24"/>
              <w:szCs w:val="24"/>
              <w:lang w:val="en-US" w:eastAsia="en-US"/>
            </w:rPr>
            <w:tab/>
          </w:r>
          <w:r>
            <w:rPr/>
            <w:t>Abbreviations</w:t>
            <w:tab/>
          </w:r>
          <w:hyperlink w:anchor="__RefHeading___Toc171245186">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Communication Surveillance (CS) requirements</w:t>
            <w:tab/>
          </w:r>
          <w:hyperlink w:anchor="__RefHeading___Toc171245187">
            <w:r>
              <w:rPr>
                <w:rStyle w:val="IndexLink"/>
              </w:rPr>
              <w:t>6</w:t>
            </w:r>
          </w:hyperlink>
        </w:p>
        <w:p>
          <w:pPr>
            <w:pStyle w:val="Contents2"/>
            <w:rPr>
              <w:rFonts w:eastAsia="Batang;바탕"/>
              <w:sz w:val="24"/>
              <w:szCs w:val="24"/>
              <w:lang w:val="en-US" w:eastAsia="en-US"/>
            </w:rPr>
          </w:pPr>
          <w:r>
            <w:rPr/>
            <w:t>4.1</w:t>
          </w:r>
          <w:r>
            <w:rPr>
              <w:rFonts w:eastAsia="Batang;바탕"/>
              <w:sz w:val="24"/>
              <w:szCs w:val="24"/>
            </w:rPr>
            <w:tab/>
          </w:r>
          <w:r>
            <w:rPr/>
            <w:t>General</w:t>
            <w:tab/>
          </w:r>
          <w:hyperlink w:anchor="__RefHeading___Toc171245188">
            <w:r>
              <w:rPr>
                <w:rStyle w:val="IndexLink"/>
              </w:rPr>
              <w:t>6</w:t>
            </w:r>
          </w:hyperlink>
        </w:p>
        <w:p>
          <w:pPr>
            <w:pStyle w:val="Contents2"/>
            <w:rPr>
              <w:rFonts w:eastAsia="Batang;바탕"/>
              <w:sz w:val="24"/>
              <w:szCs w:val="24"/>
              <w:lang w:val="en-US" w:eastAsia="en-US"/>
            </w:rPr>
          </w:pPr>
          <w:r>
            <w:rPr/>
            <w:t>4.2</w:t>
          </w:r>
          <w:r>
            <w:rPr>
              <w:rFonts w:eastAsia="Batang;바탕"/>
              <w:sz w:val="24"/>
              <w:szCs w:val="24"/>
            </w:rPr>
            <w:tab/>
          </w:r>
          <w:r>
            <w:rPr/>
            <w:t>CS Management features</w:t>
            <w:tab/>
          </w:r>
          <w:hyperlink w:anchor="__RefHeading___Toc171245189">
            <w:r>
              <w:rPr>
                <w:rStyle w:val="IndexLink"/>
              </w:rPr>
              <w:t>7</w:t>
            </w:r>
          </w:hyperlink>
        </w:p>
        <w:p>
          <w:pPr>
            <w:pStyle w:val="Contents3"/>
            <w:rPr>
              <w:rFonts w:eastAsia="Batang;바탕"/>
              <w:sz w:val="24"/>
              <w:szCs w:val="24"/>
              <w:lang w:val="en-US" w:eastAsia="en-US"/>
            </w:rPr>
          </w:pPr>
          <w:r>
            <w:rPr/>
            <w:t>4.2.1</w:t>
          </w:r>
          <w:r>
            <w:rPr>
              <w:rFonts w:eastAsia="Batang;바탕"/>
              <w:sz w:val="24"/>
              <w:szCs w:val="24"/>
            </w:rPr>
            <w:tab/>
          </w:r>
          <w:r>
            <w:rPr/>
            <w:t>CS</w:t>
          </w:r>
          <w:r>
            <w:rPr>
              <w:lang w:val="en-US" w:eastAsia="en-US"/>
            </w:rPr>
            <w:t xml:space="preserve"> features from NM perspective</w:t>
          </w:r>
          <w:r>
            <w:rPr/>
            <w:tab/>
          </w:r>
          <w:hyperlink w:anchor="__RefHeading___Toc171245190">
            <w:r>
              <w:rPr>
                <w:rStyle w:val="IndexLink"/>
              </w:rPr>
              <w:t>7</w:t>
            </w:r>
          </w:hyperlink>
        </w:p>
        <w:p>
          <w:pPr>
            <w:pStyle w:val="Contents4"/>
            <w:rPr>
              <w:rFonts w:eastAsia="Batang;바탕"/>
              <w:sz w:val="24"/>
              <w:szCs w:val="24"/>
              <w:lang w:val="en-US" w:eastAsia="en-US"/>
            </w:rPr>
          </w:pPr>
          <w:r>
            <w:rPr/>
            <w:t>4.2.1.1</w:t>
          </w:r>
          <w:r>
            <w:rPr>
              <w:rFonts w:eastAsia="Batang;바탕"/>
              <w:sz w:val="24"/>
              <w:szCs w:val="24"/>
            </w:rPr>
            <w:tab/>
          </w:r>
          <w:r>
            <w:rPr/>
            <w:t>Query CS</w:t>
          </w:r>
          <w:r>
            <w:rPr>
              <w:lang w:val="en-US" w:eastAsia="en-US"/>
            </w:rPr>
            <w:t xml:space="preserve"> </w:t>
          </w:r>
          <w:r>
            <w:rPr/>
            <w:t>information</w:t>
            <w:tab/>
          </w:r>
          <w:hyperlink w:anchor="__RefHeading___Toc171245191">
            <w:r>
              <w:rPr>
                <w:rStyle w:val="IndexLink"/>
              </w:rPr>
              <w:t>7</w:t>
            </w:r>
          </w:hyperlink>
        </w:p>
        <w:p>
          <w:pPr>
            <w:pStyle w:val="Contents4"/>
            <w:rPr>
              <w:rFonts w:eastAsia="Batang;바탕"/>
              <w:sz w:val="24"/>
              <w:szCs w:val="24"/>
              <w:lang w:val="en-US" w:eastAsia="en-US"/>
            </w:rPr>
          </w:pPr>
          <w:r>
            <w:rPr/>
            <w:t>4.2.1.2</w:t>
          </w:r>
          <w:r>
            <w:rPr>
              <w:rFonts w:eastAsia="Batang;바탕"/>
              <w:sz w:val="24"/>
              <w:szCs w:val="24"/>
            </w:rPr>
            <w:tab/>
          </w:r>
          <w:r>
            <w:rPr/>
            <w:t>Modify CS</w:t>
          </w:r>
          <w:r>
            <w:rPr>
              <w:lang w:val="en-US" w:eastAsia="en-US"/>
            </w:rPr>
            <w:t xml:space="preserve"> </w:t>
          </w:r>
          <w:r>
            <w:rPr/>
            <w:t>information</w:t>
            <w:tab/>
          </w:r>
          <w:hyperlink w:anchor="__RefHeading___Toc171245192">
            <w:r>
              <w:rPr>
                <w:rStyle w:val="IndexLink"/>
              </w:rPr>
              <w:t>7</w:t>
            </w:r>
          </w:hyperlink>
        </w:p>
        <w:p>
          <w:pPr>
            <w:pStyle w:val="Contents4"/>
            <w:rPr>
              <w:rFonts w:eastAsia="Batang;바탕"/>
              <w:sz w:val="24"/>
              <w:szCs w:val="24"/>
              <w:lang w:val="en-US" w:eastAsia="en-US"/>
            </w:rPr>
          </w:pPr>
          <w:r>
            <w:rPr/>
            <w:t>4.2.1.3</w:t>
          </w:r>
          <w:r>
            <w:rPr>
              <w:rFonts w:eastAsia="Batang;바탕"/>
              <w:sz w:val="24"/>
              <w:szCs w:val="24"/>
            </w:rPr>
            <w:tab/>
          </w:r>
          <w:r>
            <w:rPr/>
            <w:t>Emission of CS notifications</w:t>
            <w:tab/>
          </w:r>
          <w:hyperlink w:anchor="__RefHeading___Toc171245193">
            <w:r>
              <w:rPr>
                <w:rStyle w:val="IndexLink"/>
              </w:rPr>
              <w:t>7</w:t>
            </w:r>
          </w:hyperlink>
        </w:p>
        <w:p>
          <w:pPr>
            <w:pStyle w:val="Contents4"/>
            <w:rPr>
              <w:rFonts w:eastAsia="Batang;바탕"/>
              <w:sz w:val="24"/>
              <w:szCs w:val="24"/>
              <w:lang w:val="en-US" w:eastAsia="en-US"/>
            </w:rPr>
          </w:pPr>
          <w:r>
            <w:rPr/>
            <w:t>4.2.1.4</w:t>
          </w:r>
          <w:r>
            <w:rPr>
              <w:rFonts w:eastAsia="Batang;바탕"/>
              <w:sz w:val="24"/>
              <w:szCs w:val="24"/>
            </w:rPr>
            <w:tab/>
          </w:r>
          <w:r>
            <w:rPr>
              <w:lang w:val="en-US" w:eastAsia="en-US"/>
            </w:rPr>
            <w:t xml:space="preserve">Trigger </w:t>
          </w:r>
          <w:r>
            <w:rPr/>
            <w:t>CS notification</w:t>
            <w:tab/>
          </w:r>
          <w:hyperlink w:anchor="__RefHeading___Toc171245194">
            <w:r>
              <w:rPr>
                <w:rStyle w:val="IndexLink"/>
              </w:rPr>
              <w:t>7</w:t>
            </w:r>
          </w:hyperlink>
        </w:p>
        <w:p>
          <w:pPr>
            <w:pStyle w:val="Contents8"/>
            <w:rPr>
              <w:rFonts w:eastAsia="Batang;바탕"/>
              <w:sz w:val="24"/>
              <w:szCs w:val="24"/>
              <w:lang w:val="en-US" w:eastAsia="en-US"/>
            </w:rPr>
          </w:pPr>
          <w:r>
            <w:rPr>
              <w:b w:val="false"/>
            </w:rPr>
            <w:t>Annex A (informative):</w:t>
            <w:tab/>
            <w:t>Change history</w:t>
            <w:tab/>
          </w:r>
          <w:hyperlink w:anchor="__RefHeading___Toc171245195">
            <w:r>
              <w:rPr>
                <w:rStyle w:val="IndexLink"/>
                <w:b w:val="false"/>
              </w:rPr>
              <w:t>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7124518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71245181"/>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b/>
        </w:rPr>
        <w:t>TS 32.</w:t>
      </w:r>
      <w:r>
        <w:rPr>
          <w:b/>
          <w:lang w:eastAsia="zh-CN"/>
        </w:rPr>
        <w:t>35</w:t>
      </w:r>
      <w:r>
        <w:rPr>
          <w:b/>
        </w:rPr>
        <w:t>1:</w:t>
        <w:tab/>
        <w:t>"</w:t>
      </w:r>
      <w:r>
        <w:rPr>
          <w:b/>
          <w:lang w:eastAsia="zh-CN"/>
        </w:rPr>
        <w:t>Communication Surveillance</w:t>
      </w:r>
      <w:r>
        <w:rPr>
          <w:b/>
          <w:lang w:eastAsia="zh-CN"/>
        </w:rPr>
        <w:t xml:space="preserve"> (CS) </w:t>
      </w:r>
      <w:r>
        <w:rPr>
          <w:b/>
        </w:rPr>
        <w:t>Integration Reference Point (IRP); Requirements";</w:t>
      </w:r>
    </w:p>
    <w:p>
      <w:pPr>
        <w:pStyle w:val="B1"/>
        <w:rPr/>
      </w:pPr>
      <w:r>
        <w:rPr/>
        <w:t>TS 32.352:</w:t>
      </w:r>
      <w:r>
        <w:rPr>
          <w:lang w:eastAsia="zh-CN"/>
        </w:rPr>
        <w:tab/>
      </w:r>
      <w:r>
        <w:rPr/>
        <w:t>"</w:t>
      </w:r>
      <w:r>
        <w:rPr>
          <w:lang w:eastAsia="zh-CN"/>
        </w:rPr>
        <w:t>Communication Surveillance</w:t>
      </w:r>
      <w:r>
        <w:rPr>
          <w:lang w:eastAsia="zh-CN"/>
        </w:rPr>
        <w:t xml:space="preserve"> (CS) </w:t>
      </w:r>
      <w:r>
        <w:rPr/>
        <w:t>Integration Reference Point (IRP); Information Service (IS)";</w:t>
      </w:r>
    </w:p>
    <w:p>
      <w:pPr>
        <w:pStyle w:val="B1"/>
        <w:rPr/>
      </w:pPr>
      <w:r>
        <w:rPr/>
        <w:t>TS 32.356:</w:t>
        <w:tab/>
        <w:t>"</w:t>
      </w:r>
      <w:r>
        <w:rPr>
          <w:lang w:eastAsia="zh-CN"/>
        </w:rPr>
        <w:t>Communication Surveillance</w:t>
      </w:r>
      <w:r>
        <w:rPr>
          <w:lang w:eastAsia="zh-CN"/>
        </w:rPr>
        <w:t xml:space="preserve"> (CS) </w:t>
      </w:r>
      <w:r>
        <w:rPr/>
        <w:t>Integration Reference Point (IRP); Solution Set (SS) defintions".</w:t>
      </w:r>
    </w:p>
    <w:p>
      <w:pPr>
        <w:pStyle w:val="Normal"/>
        <w:rPr/>
      </w:pPr>
      <w:r>
        <w:rPr/>
        <w:t>The present document is part of a set of technical specifications defining the Telecommunication Management (TM) of 3G systems. The TM principles are described in 3GPP TS 32.101 [</w:t>
      </w:r>
      <w:r>
        <w:rPr>
          <w:lang w:eastAsia="zh-CN"/>
        </w:rPr>
        <w:t>1</w:t>
      </w:r>
      <w:r>
        <w:rPr/>
        <w:t>]. The TM architecture is described in 3GPP TS 32.102 [</w:t>
      </w:r>
      <w:r>
        <w:rPr>
          <w:lang w:eastAsia="zh-CN"/>
        </w:rPr>
        <w:t>2</w:t>
      </w:r>
      <w:r>
        <w:rPr/>
        <w:t>]. The other specifications define the interface (I</w:t>
      </w:r>
      <w:r>
        <w:rPr>
          <w:lang w:eastAsia="zh-CN"/>
        </w:rPr>
        <w:t>tf</w:t>
      </w:r>
      <w:r>
        <w:rPr/>
        <w:t>-N) between the managing system (manager), which is in general the Network Manager (NM) and the managed system (agent), which is either an Element Manager (EM) or the managed NE itself. The Itf-N is composed of a number of Integration Reference Points (IRPs) defining the information in the agent that is visible for the manager, the operations that the manager may perform on this information and the notifications that are sent from the agent to the manager.</w:t>
      </w:r>
    </w:p>
    <w:p>
      <w:pPr>
        <w:pStyle w:val="Normal"/>
        <w:rPr/>
      </w:pPr>
      <w:r>
        <w:rPr/>
        <w:t>To ensure the availability and reliability of the management, a</w:t>
      </w:r>
      <w:r>
        <w:rPr/>
        <w:t>n automatic surveillance of the communication between NM</w:t>
      </w:r>
      <w:r>
        <w:rPr/>
        <w:t xml:space="preserve"> and the managed system</w:t>
      </w:r>
      <w:r>
        <w:rPr/>
        <w:t xml:space="preserve"> are required</w:t>
      </w:r>
      <w:r>
        <w:rPr/>
        <w:t xml:space="preserve">. </w:t>
      </w:r>
      <w:r>
        <w:rPr>
          <w:color w:val="000000"/>
          <w:lang w:eastAsia="zh-CN"/>
        </w:rPr>
        <w:t>Communication Surveillance</w:t>
      </w:r>
      <w:r>
        <w:rPr>
          <w:color w:val="000000"/>
          <w:lang w:eastAsia="zh-CN"/>
        </w:rPr>
        <w:t xml:space="preserve"> </w:t>
      </w:r>
      <w:r>
        <w:rPr/>
        <w:t>IRP</w:t>
      </w:r>
      <w:r>
        <w:rPr>
          <w:color w:val="000000"/>
        </w:rPr>
        <w:t xml:space="preserve"> (CSIRP)</w:t>
      </w:r>
      <w:r>
        <w:rPr/>
        <w:t xml:space="preserve"> is defined </w:t>
      </w:r>
      <w:r>
        <w:rPr/>
        <w:t xml:space="preserve">as a capability </w:t>
      </w:r>
      <w:r>
        <w:rPr/>
        <w:t xml:space="preserve">to achieve </w:t>
      </w:r>
      <w:r>
        <w:rPr/>
        <w:t>this</w:t>
      </w:r>
      <w:r>
        <w:rPr/>
        <w:t xml:space="preserve"> goal.</w:t>
      </w:r>
      <w:r>
        <w:br w:type="page"/>
      </w:r>
    </w:p>
    <w:p>
      <w:pPr>
        <w:pStyle w:val="Heading1"/>
        <w:ind w:left="1134" w:hanging="1134"/>
        <w:rPr/>
      </w:pPr>
      <w:bookmarkStart w:id="9" w:name="__RefHeading___Toc171245182"/>
      <w:bookmarkEnd w:id="9"/>
      <w:r>
        <w:rPr/>
        <w:t>1</w:t>
        <w:tab/>
        <w:t>Scope</w:t>
      </w:r>
    </w:p>
    <w:p>
      <w:pPr>
        <w:pStyle w:val="Normal"/>
        <w:rPr/>
      </w:pPr>
      <w:r>
        <w:rPr/>
        <w:t>The present document describes</w:t>
      </w:r>
      <w:r>
        <w:rPr>
          <w:lang w:eastAsia="zh-CN"/>
        </w:rPr>
        <w:t xml:space="preserve"> </w:t>
      </w:r>
      <w:r>
        <w:rPr/>
        <w:t xml:space="preserve">the requirements </w:t>
      </w:r>
      <w:r>
        <w:rPr>
          <w:lang w:eastAsia="zh-CN"/>
        </w:rPr>
        <w:t>of</w:t>
      </w:r>
      <w:r>
        <w:rPr/>
        <w:t xml:space="preserve"> the </w:t>
      </w:r>
      <w:r>
        <w:rPr>
          <w:lang w:eastAsia="zh-CN"/>
        </w:rPr>
        <w:t>C</w:t>
      </w:r>
      <w:r>
        <w:rPr/>
        <w:t>ommunication Surveillance IRP (CSIRP).</w:t>
      </w:r>
    </w:p>
    <w:p>
      <w:pPr>
        <w:pStyle w:val="Heading1"/>
        <w:ind w:left="1134" w:hanging="1134"/>
        <w:rPr/>
      </w:pPr>
      <w:bookmarkStart w:id="10" w:name="__RefHeading___Toc17124518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32.101: "Telecommunication management; </w:t>
      </w:r>
      <w:r>
        <w:rPr/>
        <w:t>P</w:t>
      </w:r>
      <w:r>
        <w:rPr/>
        <w:t>rinciples and high level requirements".</w:t>
      </w:r>
    </w:p>
    <w:p>
      <w:pPr>
        <w:pStyle w:val="EX"/>
        <w:rPr/>
      </w:pPr>
      <w:r>
        <w:rPr/>
        <w:t>[</w:t>
      </w:r>
      <w:r>
        <w:rPr/>
        <w:t>2</w:t>
      </w:r>
      <w:r>
        <w:rPr/>
        <w:t>]</w:t>
        <w:tab/>
        <w:t xml:space="preserve">3GPP TS 32.102: "Telecommunication management; </w:t>
      </w:r>
      <w:r>
        <w:rPr/>
        <w:t>A</w:t>
      </w:r>
      <w:r>
        <w:rPr/>
        <w:t>rchitecture".</w:t>
      </w:r>
    </w:p>
    <w:p>
      <w:pPr>
        <w:pStyle w:val="EX"/>
        <w:rPr/>
      </w:pPr>
      <w:r>
        <w:rPr/>
        <w:t>[</w:t>
      </w:r>
      <w:r>
        <w:rPr/>
        <w:t>3</w:t>
      </w:r>
      <w:r>
        <w:rPr/>
        <w:t>]</w:t>
        <w:tab/>
        <w:t>ITU-T Recommendation X.734: "Information technology - Open Systems Interconnection - Systems Management: Event report management function".</w:t>
      </w:r>
    </w:p>
    <w:p>
      <w:pPr>
        <w:pStyle w:val="EX"/>
        <w:rPr/>
      </w:pPr>
      <w:r>
        <w:rPr/>
        <w:t>[</w:t>
      </w:r>
      <w:r>
        <w:rPr/>
        <w:t>4</w:t>
      </w:r>
      <w:r>
        <w:rPr/>
        <w:t>]</w:t>
        <w:tab/>
        <w:t>3GPP TS 32.30</w:t>
      </w:r>
      <w:r>
        <w:rPr>
          <w:rFonts w:eastAsia="SimSun;宋体"/>
          <w:lang w:eastAsia="zh-CN"/>
        </w:rPr>
        <w:t>2</w:t>
      </w:r>
      <w:r>
        <w:rPr/>
        <w:t xml:space="preserve">: "Telecommunication management; Configuration Management (CM); Notification Integration Reference Point (IRP): </w:t>
      </w:r>
      <w:r>
        <w:rPr>
          <w:rFonts w:eastAsia="SimSun;宋体"/>
          <w:lang w:eastAsia="zh-CN"/>
        </w:rPr>
        <w:t>Information Service (IS)</w:t>
      </w:r>
      <w:r>
        <w:rPr/>
        <w:t>".</w:t>
      </w:r>
    </w:p>
    <w:p>
      <w:pPr>
        <w:pStyle w:val="Heading1"/>
        <w:ind w:left="1134" w:hanging="1134"/>
        <w:rPr/>
      </w:pPr>
      <w:bookmarkStart w:id="11" w:name="__RefHeading___Toc171245184"/>
      <w:bookmarkEnd w:id="11"/>
      <w:r>
        <w:rPr/>
        <w:t>3</w:t>
        <w:tab/>
        <w:t>Definitions and abbreviations</w:t>
      </w:r>
    </w:p>
    <w:p>
      <w:pPr>
        <w:pStyle w:val="Heading2"/>
        <w:rPr/>
      </w:pPr>
      <w:bookmarkStart w:id="12" w:name="__RefHeading___Toc171245185"/>
      <w:bookmarkEnd w:id="12"/>
      <w:r>
        <w:rPr/>
        <w:t>3.1</w:t>
        <w:tab/>
        <w:t>Definitions</w:t>
      </w:r>
    </w:p>
    <w:p>
      <w:pPr>
        <w:pStyle w:val="Normal"/>
        <w:rPr>
          <w:lang w:eastAsia="zh-CN"/>
        </w:rPr>
      </w:pPr>
      <w:r>
        <w:rPr/>
        <w:t>For the purposes of the present document, the terms and definitions given in 3GPP TS 32.101 [1], 3GPP TS 32.102 [2] and the following apply:</w:t>
      </w:r>
    </w:p>
    <w:p>
      <w:pPr>
        <w:pStyle w:val="Normal"/>
        <w:rPr>
          <w:bCs/>
          <w:lang w:eastAsia="zh-CN"/>
        </w:rPr>
      </w:pPr>
      <w:r>
        <w:rPr>
          <w:rFonts w:eastAsia="Arial Unicode MS;Yu Gothic"/>
          <w:b/>
          <w:lang w:eastAsia="zh-CN"/>
        </w:rPr>
        <w:t>C</w:t>
      </w:r>
      <w:r>
        <w:rPr>
          <w:b/>
        </w:rPr>
        <w:t xml:space="preserve">ommunication </w:t>
      </w:r>
      <w:r>
        <w:rPr>
          <w:rFonts w:eastAsia="Arial Unicode MS;Yu Gothic"/>
          <w:b/>
          <w:lang w:eastAsia="zh-CN"/>
        </w:rPr>
        <w:t>S</w:t>
      </w:r>
      <w:r>
        <w:rPr>
          <w:b/>
        </w:rPr>
        <w:t>urveillance (CS)</w:t>
      </w:r>
      <w:r>
        <w:rPr>
          <w:b/>
          <w:lang w:eastAsia="zh-CN"/>
        </w:rPr>
        <w:t>:</w:t>
      </w:r>
      <w:r>
        <w:rPr>
          <w:lang w:eastAsia="zh-CN"/>
        </w:rPr>
        <w:t xml:space="preserve"> </w:t>
      </w:r>
      <w:r>
        <w:rPr/>
        <w:t>capability to</w:t>
      </w:r>
      <w:r>
        <w:rPr/>
        <w:t xml:space="preserve"> monitor</w:t>
      </w:r>
      <w:r>
        <w:rPr/>
        <w:t xml:space="preserve"> the </w:t>
      </w:r>
      <w:r>
        <w:rPr/>
        <w:t>c</w:t>
      </w:r>
      <w:r>
        <w:rPr/>
        <w:t xml:space="preserve">ommunication between NM </w:t>
      </w:r>
      <w:r>
        <w:rPr/>
        <w:t>and managed system</w:t>
      </w:r>
      <w:r>
        <w:rPr/>
        <w:t xml:space="preserve"> and </w:t>
      </w:r>
      <w:r>
        <w:rPr/>
        <w:t xml:space="preserve">to discover </w:t>
      </w:r>
      <w:r>
        <w:rPr/>
        <w:t xml:space="preserve">their breaks </w:t>
      </w:r>
      <w:r>
        <w:rPr/>
        <w:t>a</w:t>
      </w:r>
      <w:r>
        <w:rPr/>
        <w:t>s earl</w:t>
      </w:r>
      <w:r>
        <w:rPr/>
        <w:t>y</w:t>
      </w:r>
      <w:r>
        <w:rPr/>
        <w:t xml:space="preserve"> as possible</w:t>
      </w:r>
    </w:p>
    <w:p>
      <w:pPr>
        <w:pStyle w:val="Normal"/>
        <w:rPr>
          <w:lang w:eastAsia="zh-CN"/>
        </w:rPr>
      </w:pPr>
      <w:r>
        <w:rPr>
          <w:rFonts w:eastAsia="Arial Unicode MS;Yu Gothic"/>
          <w:b/>
          <w:lang w:eastAsia="zh-CN"/>
        </w:rPr>
        <w:t>C</w:t>
      </w:r>
      <w:r>
        <w:rPr>
          <w:b/>
        </w:rPr>
        <w:t xml:space="preserve">ommunication </w:t>
      </w:r>
      <w:r>
        <w:rPr>
          <w:rFonts w:eastAsia="Arial Unicode MS;Yu Gothic"/>
          <w:b/>
          <w:lang w:eastAsia="zh-CN"/>
        </w:rPr>
        <w:t>L</w:t>
      </w:r>
      <w:r>
        <w:rPr>
          <w:b/>
        </w:rPr>
        <w:t>ink:</w:t>
      </w:r>
      <w:r>
        <w:rPr>
          <w:b/>
          <w:bCs/>
        </w:rPr>
        <w:t xml:space="preserve"> </w:t>
      </w:r>
      <w:r>
        <w:rPr/>
        <w:t>facility, which</w:t>
      </w:r>
      <w:r>
        <w:rPr/>
        <w:t xml:space="preserve"> support</w:t>
      </w:r>
      <w:r>
        <w:rPr/>
        <w:t>s</w:t>
      </w:r>
      <w:r>
        <w:rPr/>
        <w:t xml:space="preserve"> the communication </w:t>
      </w:r>
      <w:r>
        <w:rPr/>
        <w:t xml:space="preserve">between NM and </w:t>
      </w:r>
      <w:r>
        <w:rPr/>
        <w:t xml:space="preserve">IRPAgent(s) in managed system, </w:t>
      </w:r>
      <w:r>
        <w:rPr/>
        <w:t>including all the resources required for</w:t>
      </w:r>
      <w:r>
        <w:rPr/>
        <w:t xml:space="preserve"> </w:t>
      </w:r>
      <w:r>
        <w:rPr/>
        <w:t>this communication</w:t>
      </w:r>
    </w:p>
    <w:p>
      <w:pPr>
        <w:pStyle w:val="Normal"/>
        <w:rPr>
          <w:lang w:eastAsia="zh-CN"/>
        </w:rPr>
      </w:pPr>
      <w:r>
        <w:rPr>
          <w:b/>
          <w:bCs/>
          <w:lang w:eastAsia="zh-CN"/>
        </w:rPr>
        <w:t>Notification Distribution Service:</w:t>
      </w:r>
      <w:r>
        <w:rPr>
          <w:lang w:eastAsia="zh-CN"/>
        </w:rPr>
        <w:t xml:space="preserve"> in managed system</w:t>
      </w:r>
      <w:r>
        <w:rPr>
          <w:lang w:eastAsia="zh-CN"/>
        </w:rPr>
        <w:t>,</w:t>
      </w:r>
      <w:r>
        <w:rPr>
          <w:lang w:eastAsia="zh-CN"/>
        </w:rPr>
        <w:t xml:space="preserve"> provides notification controlling and forwarding functions </w:t>
      </w:r>
      <w:r>
        <w:rPr/>
        <w:t>ITU</w:t>
        <w:noBreakHyphen/>
        <w:t xml:space="preserve">T Recommendation </w:t>
      </w:r>
      <w:r>
        <w:rPr>
          <w:lang w:eastAsia="zh-CN"/>
        </w:rPr>
        <w:t xml:space="preserve">X.734 </w:t>
      </w:r>
      <w:r>
        <w:rPr>
          <w:lang w:eastAsia="zh-CN"/>
        </w:rPr>
        <w:t>[3]</w:t>
      </w:r>
    </w:p>
    <w:p>
      <w:pPr>
        <w:pStyle w:val="Normal"/>
        <w:rPr/>
      </w:pPr>
      <w:r>
        <w:rPr>
          <w:b/>
        </w:rPr>
        <w:t>Element Manager (EM)</w:t>
      </w:r>
      <w:r>
        <w:rPr>
          <w:b/>
          <w:lang w:eastAsia="zh-CN"/>
        </w:rPr>
        <w:t>:</w:t>
      </w:r>
      <w:r>
        <w:rPr>
          <w:b/>
        </w:rPr>
        <w:t xml:space="preserve"> </w:t>
      </w:r>
      <w:r>
        <w:rPr/>
        <w:t>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 xml:space="preserve">Network Manager (NM): </w:t>
      </w:r>
      <w:r>
        <w:rPr/>
        <w:t>See 3GPP TS 32.101 [1].</w:t>
      </w:r>
    </w:p>
    <w:p>
      <w:pPr>
        <w:pStyle w:val="Normal"/>
        <w:rPr/>
      </w:pPr>
      <w:r>
        <w:rPr>
          <w:rFonts w:eastAsia="Arial Unicode MS;Yu Gothic"/>
          <w:b/>
          <w:lang w:eastAsia="zh-CN"/>
        </w:rPr>
        <w:t>m</w:t>
      </w:r>
      <w:r>
        <w:rPr>
          <w:b/>
        </w:rPr>
        <w:t xml:space="preserve">anaged </w:t>
      </w:r>
      <w:r>
        <w:rPr>
          <w:rFonts w:eastAsia="Arial Unicode MS;Yu Gothic"/>
          <w:b/>
          <w:lang w:eastAsia="zh-CN"/>
        </w:rPr>
        <w:t>s</w:t>
      </w:r>
      <w:r>
        <w:rPr>
          <w:b/>
        </w:rPr>
        <w:t>ystem:</w:t>
      </w:r>
      <w:r>
        <w:rPr/>
        <w:t xml:space="preserve"> provides a package of </w:t>
      </w:r>
      <w:r>
        <w:rPr>
          <w:lang w:eastAsia="zh-CN"/>
        </w:rPr>
        <w:t>IRPs</w:t>
      </w:r>
      <w:r>
        <w:rPr/>
        <w:t xml:space="preserve">, </w:t>
      </w:r>
      <w:r>
        <w:rPr>
          <w:lang w:eastAsia="zh-CN"/>
        </w:rPr>
        <w:t>t</w:t>
      </w:r>
      <w:r>
        <w:rPr/>
        <w:t xml:space="preserve">hese </w:t>
      </w:r>
      <w:r>
        <w:rPr>
          <w:lang w:eastAsia="zh-CN"/>
        </w:rPr>
        <w:t>IRPs include Notification IRP (</w:t>
      </w:r>
      <w:r>
        <w:rPr>
          <w:lang w:eastAsia="zh-CN"/>
        </w:rPr>
        <w:t>n</w:t>
      </w:r>
      <w:r>
        <w:rPr>
          <w:lang w:eastAsia="zh-CN"/>
        </w:rPr>
        <w:t xml:space="preserve">otification </w:t>
      </w:r>
      <w:r>
        <w:rPr>
          <w:lang w:eastAsia="zh-CN"/>
        </w:rPr>
        <w:t>d</w:t>
      </w:r>
      <w:r>
        <w:rPr>
          <w:lang w:eastAsia="zh-CN"/>
        </w:rPr>
        <w:t xml:space="preserve">istribution </w:t>
      </w:r>
      <w:r>
        <w:rPr>
          <w:lang w:eastAsia="zh-CN"/>
        </w:rPr>
        <w:t>s</w:t>
      </w:r>
      <w:r>
        <w:rPr>
          <w:lang w:eastAsia="zh-CN"/>
        </w:rPr>
        <w:t>ervice) and other IRPs</w:t>
      </w:r>
    </w:p>
    <w:p>
      <w:pPr>
        <w:pStyle w:val="Heading2"/>
        <w:rPr/>
      </w:pPr>
      <w:bookmarkStart w:id="13" w:name="__RefHeading___Toc171245186"/>
      <w:bookmarkEnd w:id="13"/>
      <w:r>
        <w:rPr/>
        <w:t>3.</w:t>
      </w:r>
      <w:r>
        <w:rPr>
          <w:lang w:eastAsia="zh-CN"/>
        </w:rPr>
        <w:t>2</w:t>
      </w:r>
      <w:r>
        <w:rPr/>
        <w:tab/>
        <w:t>Abbreviations</w:t>
      </w:r>
    </w:p>
    <w:p>
      <w:pPr>
        <w:pStyle w:val="Normal"/>
        <w:keepNext w:val="true"/>
        <w:rPr>
          <w:lang w:eastAsia="zh-CN"/>
        </w:rPr>
      </w:pPr>
      <w:r>
        <w:rPr/>
        <w:t>For the purposes of the present document, the following abbreviations apply:</w:t>
      </w:r>
    </w:p>
    <w:p>
      <w:pPr>
        <w:pStyle w:val="EW"/>
        <w:keepNext w:val="true"/>
        <w:rPr>
          <w:lang w:eastAsia="zh-CN"/>
        </w:rPr>
      </w:pPr>
      <w:r>
        <w:rPr>
          <w:lang w:eastAsia="zh-CN"/>
        </w:rPr>
        <w:t>CS</w:t>
        <w:tab/>
      </w:r>
      <w:r>
        <w:rPr/>
        <w:t>Communication Surveillance</w:t>
      </w:r>
    </w:p>
    <w:p>
      <w:pPr>
        <w:pStyle w:val="EW"/>
        <w:keepNext w:val="true"/>
        <w:rPr/>
      </w:pPr>
      <w:r>
        <w:rPr/>
        <w:t>CSIRP</w:t>
        <w:tab/>
      </w:r>
      <w:r>
        <w:rPr>
          <w:lang w:eastAsia="zh-CN"/>
        </w:rPr>
        <w:t>C</w:t>
      </w:r>
      <w:r>
        <w:rPr/>
        <w:t xml:space="preserve">ommunication Surveillance </w:t>
      </w:r>
      <w:r>
        <w:rPr>
          <w:color w:val="000000"/>
        </w:rPr>
        <w:t>Integration Reference Point</w:t>
      </w:r>
    </w:p>
    <w:p>
      <w:pPr>
        <w:pStyle w:val="EW"/>
        <w:keepNext w:val="true"/>
        <w:rPr>
          <w:lang w:eastAsia="zh-CN"/>
        </w:rPr>
      </w:pPr>
      <w:r>
        <w:rPr/>
        <w:t>EM</w:t>
        <w:tab/>
        <w:t>Element Manager</w:t>
      </w:r>
    </w:p>
    <w:p>
      <w:pPr>
        <w:pStyle w:val="EW"/>
        <w:keepNext w:val="true"/>
        <w:rPr/>
      </w:pPr>
      <w:r>
        <w:rPr/>
        <w:t>IRP</w:t>
        <w:tab/>
      </w:r>
      <w:r>
        <w:rPr>
          <w:color w:val="000000"/>
        </w:rPr>
        <w:t>Integration Reference Point</w:t>
      </w:r>
    </w:p>
    <w:p>
      <w:pPr>
        <w:pStyle w:val="EW"/>
        <w:keepNext w:val="true"/>
        <w:rPr/>
      </w:pPr>
      <w:r>
        <w:rPr/>
        <w:t>NE</w:t>
        <w:tab/>
        <w:t>Network Element</w:t>
      </w:r>
    </w:p>
    <w:p>
      <w:pPr>
        <w:pStyle w:val="EX"/>
        <w:rPr/>
      </w:pPr>
      <w:r>
        <w:rPr/>
        <w:t>NM</w:t>
        <w:tab/>
        <w:t>Network Manager</w:t>
      </w:r>
    </w:p>
    <w:p>
      <w:pPr>
        <w:pStyle w:val="Heading1"/>
        <w:ind w:left="1134" w:hanging="1134"/>
        <w:rPr>
          <w:lang w:eastAsia="zh-CN"/>
        </w:rPr>
      </w:pPr>
      <w:bookmarkStart w:id="14" w:name="__RefHeading___Toc171245187"/>
      <w:bookmarkStart w:id="15" w:name="historyclause"/>
      <w:bookmarkEnd w:id="14"/>
      <w:bookmarkEnd w:id="15"/>
      <w:r>
        <w:rPr/>
        <w:t>4</w:t>
        <w:tab/>
        <w:t>Communication Surveillance</w:t>
      </w:r>
      <w:r>
        <w:rPr/>
        <w:t xml:space="preserve"> </w:t>
      </w:r>
      <w:r>
        <w:rPr/>
        <w:t>(CS) requirements</w:t>
      </w:r>
    </w:p>
    <w:p>
      <w:pPr>
        <w:pStyle w:val="Heading2"/>
        <w:rPr/>
      </w:pPr>
      <w:bookmarkStart w:id="16" w:name="__RefHeading___Toc171245188"/>
      <w:bookmarkEnd w:id="16"/>
      <w:r>
        <w:rPr>
          <w:lang w:eastAsia="zh-CN"/>
        </w:rPr>
        <w:t>4.1</w:t>
        <w:tab/>
      </w:r>
      <w:r>
        <w:rPr/>
        <w:t>General</w:t>
      </w:r>
    </w:p>
    <w:p>
      <w:pPr>
        <w:pStyle w:val="Normal"/>
        <w:rPr/>
      </w:pPr>
      <w:r>
        <w:rPr/>
        <w:t xml:space="preserve">The </w:t>
      </w:r>
      <w:r>
        <w:rPr/>
        <w:t xml:space="preserve">communication between NM </w:t>
      </w:r>
      <w:r>
        <w:rPr/>
        <w:t xml:space="preserve">and </w:t>
      </w:r>
      <w:r>
        <w:rPr/>
        <w:t>M</w:t>
      </w:r>
      <w:r>
        <w:rPr/>
        <w:t xml:space="preserve">anaged </w:t>
      </w:r>
      <w:r>
        <w:rPr/>
        <w:t>S</w:t>
      </w:r>
      <w:r>
        <w:rPr/>
        <w:t xml:space="preserve">ystem (NE or EM) </w:t>
      </w:r>
      <w:r>
        <w:rPr/>
        <w:t>shall be monitored</w:t>
      </w:r>
      <w:r>
        <w:rPr>
          <w:rFonts w:eastAsia="SimSun;宋体"/>
          <w:lang w:eastAsia="zh-CN"/>
        </w:rPr>
        <w:t>,</w:t>
      </w:r>
      <w:r>
        <w:rPr/>
        <w:t xml:space="preserve"> and link breaks</w:t>
      </w:r>
      <w:r>
        <w:rPr/>
        <w:t xml:space="preserve"> between NM and Managed System (NE or EM)</w:t>
      </w:r>
      <w:r>
        <w:rPr/>
        <w:t xml:space="preserve"> shall be </w:t>
      </w:r>
      <w:r>
        <w:rPr/>
        <w:t>discovered</w:t>
      </w:r>
      <w:r>
        <w:rPr/>
        <w:t xml:space="preserve"> </w:t>
      </w:r>
      <w:r>
        <w:rPr>
          <w:lang w:eastAsia="zh-CN"/>
        </w:rPr>
        <w:t xml:space="preserve">by NM </w:t>
      </w:r>
      <w:r>
        <w:rPr/>
        <w:t>as earl</w:t>
      </w:r>
      <w:r>
        <w:rPr>
          <w:lang w:eastAsia="zh-CN"/>
        </w:rPr>
        <w:t>y</w:t>
      </w:r>
      <w:r>
        <w:rPr/>
        <w:t xml:space="preserve"> as possible.</w:t>
      </w:r>
    </w:p>
    <w:p>
      <w:pPr>
        <w:pStyle w:val="Normal"/>
        <w:rPr>
          <w:lang w:eastAsia="zh-CN"/>
        </w:rPr>
      </w:pPr>
      <w:r>
        <w:rPr/>
        <w:t>In the CS context, the NM contains one or more IRPManagers.</w:t>
      </w:r>
    </w:p>
    <w:p>
      <w:pPr>
        <w:pStyle w:val="Normal"/>
        <w:rPr/>
      </w:pPr>
      <w:r>
        <w:rPr/>
        <w:t>Figure 1 illustrates the major components in the CS context.</w:t>
      </w:r>
    </w:p>
    <w:p>
      <w:pPr>
        <w:pStyle w:val="TH"/>
        <w:rPr>
          <w:lang w:eastAsia="zh-CN"/>
        </w:rPr>
      </w:pPr>
      <w:r>
        <w:rPr>
          <w:lang w:eastAsia="zh-CN"/>
        </w:rPr>
        <w:object w:dxaOrig="6869" w:dyaOrig="380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3.45pt;height:190.45pt" filled="f" o:ole="">
            <v:imagedata r:id="rId7" o:title=""/>
          </v:shape>
          <o:OLEObject Type="Embed" ProgID="" ShapeID="ole_rId6" DrawAspect="Content" ObjectID="_135976619" r:id="rId6"/>
        </w:object>
      </w:r>
    </w:p>
    <w:p>
      <w:pPr>
        <w:pStyle w:val="TF"/>
        <w:rPr>
          <w:lang w:eastAsia="zh-CN"/>
        </w:rPr>
      </w:pPr>
      <w:r>
        <w:rPr/>
        <w:t>Figure 1:</w:t>
      </w:r>
      <w:r>
        <w:rPr/>
        <w:t xml:space="preserve"> </w:t>
      </w:r>
      <w:r>
        <w:rPr/>
        <w:t xml:space="preserve">Communication </w:t>
      </w:r>
      <w:r>
        <w:rPr/>
        <w:t>surveillance c</w:t>
      </w:r>
      <w:r>
        <w:rPr/>
        <w:t>ontext</w:t>
      </w:r>
    </w:p>
    <w:p>
      <w:pPr>
        <w:pStyle w:val="Normal"/>
        <w:rPr>
          <w:rFonts w:eastAsia="SimSun;宋体"/>
          <w:lang w:eastAsia="zh-CN"/>
        </w:rPr>
      </w:pPr>
      <w:r>
        <w:rPr/>
        <w:t>Referring to figure 1, t</w:t>
      </w:r>
      <w:r>
        <w:rPr/>
        <w:t>he</w:t>
      </w:r>
      <w:r>
        <w:rPr/>
        <w:t xml:space="preserve"> scope of</w:t>
      </w:r>
      <w:r>
        <w:rPr/>
        <w:t xml:space="preserve"> </w:t>
      </w:r>
      <w:r>
        <w:rPr/>
        <w:t>CS involves the</w:t>
      </w:r>
      <w:r>
        <w:rPr/>
        <w:t xml:space="preserve"> monitor</w:t>
      </w:r>
      <w:r>
        <w:rPr/>
        <w:t>ing of</w:t>
      </w:r>
      <w:r>
        <w:rPr/>
        <w:t xml:space="preserve"> the communication </w:t>
      </w:r>
      <w:r>
        <w:rPr/>
        <w:t>between</w:t>
      </w:r>
      <w:r>
        <w:rPr/>
        <w:t xml:space="preserve"> NM entity and EM (or NE) entity at application level. </w:t>
      </w:r>
      <w:r>
        <w:rPr/>
        <w:t>At</w:t>
      </w:r>
      <w:r>
        <w:rPr/>
        <w:t xml:space="preserve"> this </w:t>
      </w:r>
      <w:r>
        <w:rPr/>
        <w:t>application level</w:t>
      </w:r>
      <w:r>
        <w:rPr/>
        <w:t xml:space="preserve">, there are three parts involved, which are NM, </w:t>
      </w:r>
      <w:r>
        <w:rPr/>
        <w:t>M</w:t>
      </w:r>
      <w:r>
        <w:rPr/>
        <w:t xml:space="preserve">anaged </w:t>
      </w:r>
      <w:r>
        <w:rPr/>
        <w:t>S</w:t>
      </w:r>
      <w:r>
        <w:rPr/>
        <w:t xml:space="preserve">ystem and the </w:t>
      </w:r>
      <w:r>
        <w:rPr/>
        <w:t>Communication L</w:t>
      </w:r>
      <w:r>
        <w:rPr/>
        <w:t>ink</w:t>
      </w:r>
      <w:r>
        <w:rPr/>
        <w:t>(s)</w:t>
      </w:r>
      <w:r>
        <w:rPr/>
        <w:t xml:space="preserve"> between them. From </w:t>
      </w:r>
      <w:r>
        <w:rPr/>
        <w:t>NM</w:t>
      </w:r>
      <w:r>
        <w:rPr/>
        <w:t xml:space="preserve"> side, to monitor the communication, is to know whether the other </w:t>
      </w:r>
      <w:r>
        <w:rPr/>
        <w:t>entity and/or the Communication Link</w:t>
      </w:r>
      <w:r>
        <w:rPr>
          <w:lang w:eastAsia="zh-CN"/>
        </w:rPr>
        <w:t>(</w:t>
      </w:r>
      <w:r>
        <w:rPr/>
        <w:t>s</w:t>
      </w:r>
      <w:r>
        <w:rPr>
          <w:lang w:eastAsia="zh-CN"/>
        </w:rPr>
        <w:t>)</w:t>
      </w:r>
      <w:r>
        <w:rPr/>
        <w:t xml:space="preserve"> between them</w:t>
      </w:r>
      <w:r>
        <w:rPr/>
        <w:t xml:space="preserve"> are functioning correctly</w:t>
      </w:r>
      <w:r>
        <w:rPr/>
        <w:t>.</w:t>
      </w:r>
      <w:r>
        <w:rPr>
          <w:lang w:eastAsia="zh-CN"/>
        </w:rPr>
        <w:t xml:space="preserve"> </w:t>
      </w:r>
      <w:r>
        <w:rPr/>
        <w:t xml:space="preserve">The behaviour of the IRPManager, after detection of </w:t>
      </w:r>
      <w:r>
        <w:rPr>
          <w:lang w:eastAsia="zh-CN"/>
        </w:rPr>
        <w:t>communication</w:t>
      </w:r>
      <w:r>
        <w:rPr/>
        <w:t xml:space="preserve"> failure, is outside the scope of this standardization.</w:t>
      </w:r>
    </w:p>
    <w:p>
      <w:pPr>
        <w:pStyle w:val="Normal"/>
        <w:rPr>
          <w:lang w:eastAsia="zh-CN"/>
        </w:rPr>
      </w:pPr>
      <w:r>
        <w:rPr/>
        <w:t>NM can detect whether link-a-1 or link-a-2 is functioning correctly by observing the operation responses.</w:t>
      </w:r>
      <w:r>
        <w:rPr/>
        <w:t xml:space="preserve"> (e.g. invoking </w:t>
      </w:r>
      <w:r>
        <w:rPr>
          <w:rFonts w:cs="Courier New" w:ascii="Courier New" w:hAnsi="Courier New"/>
        </w:rPr>
        <w:t>getIRPVersions</w:t>
      </w:r>
      <w:r>
        <w:rPr/>
        <w:t xml:space="preserve"> operation against one xxxIRP.)  The link</w:t>
        <w:noBreakHyphen/>
        <w:t>a</w:t>
        <w:noBreakHyphen/>
        <w:t>1 and link</w:t>
        <w:noBreakHyphen/>
        <w:t>a</w:t>
        <w:noBreakHyphen/>
        <w:t>2 are links used by the IRPManager and the various xxxIRPs to execute 3GPP Interface IRP defined operations (i.e., operation request and direct response to that request).</w:t>
      </w:r>
      <w:r>
        <w:rPr>
          <w:lang w:eastAsia="zh-CN"/>
        </w:rPr>
        <w:t xml:space="preserve"> </w:t>
      </w:r>
      <w:r>
        <w:rPr/>
        <w:t>The receipt of a response corresponding to a manager's operations via link-a-1 or link-a-2 implies that the particular link has correctly conveyed the</w:t>
      </w:r>
      <w:r>
        <w:rPr/>
        <w:t xml:space="preserve"> </w:t>
      </w:r>
      <w:r>
        <w:rPr/>
        <w:t>request and delivered the response at the exact point in time the response was received.</w:t>
      </w:r>
    </w:p>
    <w:p>
      <w:pPr>
        <w:pStyle w:val="Normal"/>
        <w:rPr/>
      </w:pPr>
      <w:r>
        <w:rPr/>
        <w:t xml:space="preserve">The Managed System shall </w:t>
      </w:r>
      <w:r>
        <w:rPr>
          <w:lang w:eastAsia="zh-CN"/>
        </w:rPr>
        <w:t>p</w:t>
      </w:r>
      <w:r>
        <w:rPr/>
        <w:t xml:space="preserve">rovide a service allowing NM to detect promptly </w:t>
      </w:r>
      <w:r>
        <w:rPr>
          <w:lang w:eastAsia="zh-CN"/>
        </w:rPr>
        <w:t>whether</w:t>
      </w:r>
      <w:r>
        <w:rPr/>
        <w:t xml:space="preserve"> link-b (including Notification Distribution Service) and NotificationIRP</w:t>
      </w:r>
      <w:r>
        <w:rPr>
          <w:lang w:eastAsia="zh-CN"/>
        </w:rPr>
        <w:t xml:space="preserve"> </w:t>
      </w:r>
      <w:r>
        <w:rPr>
          <w:lang w:eastAsia="zh-CN"/>
        </w:rPr>
        <w:t xml:space="preserve">defined in 3GPP </w:t>
      </w:r>
      <w:r>
        <w:rPr/>
        <w:t>TS 32.30</w:t>
      </w:r>
      <w:r>
        <w:rPr>
          <w:rFonts w:eastAsia="SimSun;宋体"/>
          <w:lang w:eastAsia="zh-CN"/>
        </w:rPr>
        <w:t>2</w:t>
      </w:r>
      <w:r>
        <w:rPr>
          <w:lang w:eastAsia="zh-CN"/>
        </w:rPr>
        <w:t xml:space="preserve"> [</w:t>
      </w:r>
      <w:r>
        <w:rPr>
          <w:lang w:eastAsia="zh-CN"/>
        </w:rPr>
        <w:t>4</w:t>
      </w:r>
      <w:r>
        <w:rPr>
          <w:lang w:eastAsia="zh-CN"/>
        </w:rPr>
        <w:t>]</w:t>
      </w:r>
      <w:r>
        <w:rPr/>
        <w:t xml:space="preserve"> are functioning correctly regarding notification sending.  The detection of a heartbeat via link-</w:t>
      </w:r>
      <w:r>
        <w:rPr/>
        <w:t>b</w:t>
      </w:r>
      <w:r>
        <w:rPr/>
        <w:t xml:space="preserve"> implies that the notification distribution service is able to send notifications, and that the link-b is able to deliver notifications at exactly </w:t>
      </w:r>
      <w:r>
        <w:rPr>
          <w:lang w:eastAsia="zh-CN"/>
        </w:rPr>
        <w:t>that point in</w:t>
      </w:r>
      <w:r>
        <w:rPr/>
        <w:t xml:space="preserve"> time.</w:t>
      </w:r>
    </w:p>
    <w:p>
      <w:pPr>
        <w:pStyle w:val="Normal"/>
        <w:rPr/>
      </w:pPr>
      <w:r>
        <w:rPr>
          <w:lang w:eastAsia="zh-CN"/>
        </w:rPr>
        <w:t xml:space="preserve">For detection of link-a-1 and link-a-2 failure, no </w:t>
      </w:r>
      <w:r>
        <w:rPr>
          <w:lang w:eastAsia="zh-CN"/>
        </w:rPr>
        <w:t>solution</w:t>
      </w:r>
      <w:r>
        <w:rPr>
          <w:lang w:eastAsia="zh-CN"/>
        </w:rPr>
        <w:t xml:space="preserve"> is required as existing capability are </w:t>
      </w:r>
      <w:r>
        <w:rPr>
          <w:lang w:eastAsia="zh-CN"/>
        </w:rPr>
        <w:t>sufficient</w:t>
      </w:r>
      <w:r>
        <w:rPr>
          <w:lang w:eastAsia="zh-CN"/>
        </w:rPr>
        <w:t>.</w:t>
      </w:r>
    </w:p>
    <w:p>
      <w:pPr>
        <w:pStyle w:val="Normal"/>
        <w:rPr>
          <w:color w:val="000000"/>
        </w:rPr>
      </w:pPr>
      <w:r>
        <w:rPr/>
        <w:t>The features to detect the correct functioning of link-b and notification distribution service are described in subclause 4.2.</w:t>
      </w:r>
    </w:p>
    <w:p>
      <w:pPr>
        <w:pStyle w:val="Heading2"/>
        <w:rPr>
          <w:lang w:eastAsia="zh-CN"/>
        </w:rPr>
      </w:pPr>
      <w:bookmarkStart w:id="17" w:name="__RefHeading___Toc171245189"/>
      <w:bookmarkEnd w:id="17"/>
      <w:r>
        <w:rPr>
          <w:lang w:eastAsia="zh-CN"/>
        </w:rPr>
        <w:t>4.2</w:t>
        <w:tab/>
      </w:r>
      <w:r>
        <w:rPr/>
        <w:t>CS Management features</w:t>
      </w:r>
    </w:p>
    <w:p>
      <w:pPr>
        <w:pStyle w:val="Normal"/>
        <w:keepNext w:val="true"/>
        <w:keepLines/>
        <w:rPr/>
      </w:pPr>
      <w:r>
        <w:rPr/>
        <w:t xml:space="preserve">The </w:t>
      </w:r>
      <w:r>
        <w:rPr>
          <w:lang w:eastAsia="zh-CN"/>
        </w:rPr>
        <w:t xml:space="preserve">Itf-N between </w:t>
      </w:r>
      <w:r>
        <w:rPr/>
        <w:t xml:space="preserve">IRPManagers (of the NM) </w:t>
      </w:r>
      <w:r>
        <w:rPr>
          <w:lang w:eastAsia="zh-CN"/>
        </w:rPr>
        <w:t xml:space="preserve">and </w:t>
      </w:r>
      <w:r>
        <w:rPr/>
        <w:t>managed system</w:t>
      </w:r>
      <w:r>
        <w:rPr>
          <w:lang w:eastAsia="zh-CN"/>
        </w:rPr>
        <w:t xml:space="preserve"> </w:t>
      </w:r>
      <w:r>
        <w:rPr/>
        <w:t>can</w:t>
      </w:r>
      <w:r>
        <w:rPr/>
        <w:t xml:space="preserve"> </w:t>
      </w:r>
      <w:r>
        <w:rPr/>
        <w:t>include the following CS Management features.</w:t>
      </w:r>
    </w:p>
    <w:p>
      <w:pPr>
        <w:pStyle w:val="Heading3"/>
        <w:rPr/>
      </w:pPr>
      <w:bookmarkStart w:id="18" w:name="__RefHeading___Toc171245190"/>
      <w:bookmarkEnd w:id="18"/>
      <w:r>
        <w:rPr>
          <w:lang w:eastAsia="zh-CN"/>
        </w:rPr>
        <w:t>4.</w:t>
      </w:r>
      <w:r>
        <w:rPr>
          <w:lang w:eastAsia="zh-CN"/>
        </w:rPr>
        <w:t>2.1</w:t>
      </w:r>
      <w:r>
        <w:rPr>
          <w:lang w:eastAsia="zh-CN"/>
        </w:rPr>
        <w:tab/>
      </w:r>
      <w:r>
        <w:rPr/>
        <w:t>CS</w:t>
      </w:r>
      <w:r>
        <w:rPr>
          <w:lang w:eastAsia="zh-CN"/>
        </w:rPr>
        <w:t xml:space="preserve"> </w:t>
      </w:r>
      <w:r>
        <w:rPr>
          <w:lang w:eastAsia="zh-CN"/>
        </w:rPr>
        <w:t>features from NM perspective</w:t>
      </w:r>
    </w:p>
    <w:p>
      <w:pPr>
        <w:pStyle w:val="Heading4"/>
        <w:ind w:left="1418" w:hanging="1418"/>
        <w:rPr>
          <w:lang w:eastAsia="zh-CN"/>
        </w:rPr>
      </w:pPr>
      <w:bookmarkStart w:id="19" w:name="__RefHeading___Toc171245191"/>
      <w:bookmarkEnd w:id="19"/>
      <w:r>
        <w:rPr>
          <w:lang w:eastAsia="zh-CN"/>
        </w:rPr>
        <w:t>4.</w:t>
      </w:r>
      <w:r>
        <w:rPr>
          <w:lang w:eastAsia="zh-CN"/>
        </w:rPr>
        <w:t>2.1.1</w:t>
      </w:r>
      <w:r>
        <w:rPr>
          <w:lang w:eastAsia="zh-CN"/>
        </w:rPr>
        <w:tab/>
      </w:r>
      <w:r>
        <w:rPr/>
        <w:t xml:space="preserve">Query </w:t>
      </w:r>
      <w:r>
        <w:rPr/>
        <w:t>CS</w:t>
      </w:r>
      <w:r>
        <w:rPr>
          <w:lang w:eastAsia="zh-CN"/>
        </w:rPr>
        <w:t xml:space="preserve"> </w:t>
      </w:r>
      <w:r>
        <w:rPr/>
        <w:t>information</w:t>
      </w:r>
    </w:p>
    <w:p>
      <w:pPr>
        <w:pStyle w:val="Normal"/>
        <w:rPr/>
      </w:pPr>
      <w:r>
        <w:rPr/>
        <w:t>This feature allows the NM to query the</w:t>
      </w:r>
      <w:r>
        <w:rPr>
          <w:lang w:eastAsia="zh-CN"/>
        </w:rPr>
        <w:t xml:space="preserve"> </w:t>
      </w:r>
      <w:r>
        <w:rPr/>
        <w:t>CS information from the managed system</w:t>
      </w:r>
      <w:r>
        <w:rPr>
          <w:lang w:eastAsia="zh-CN"/>
        </w:rPr>
        <w:t xml:space="preserve">. </w:t>
      </w:r>
      <w:r>
        <w:rPr/>
        <w:t xml:space="preserve">NM can query information of </w:t>
      </w:r>
      <w:r>
        <w:rPr/>
        <w:t>CS</w:t>
      </w:r>
      <w:r>
        <w:rPr/>
        <w:t>, including:</w:t>
      </w:r>
    </w:p>
    <w:p>
      <w:pPr>
        <w:pStyle w:val="B1"/>
        <w:rPr/>
      </w:pPr>
      <w:r>
        <w:rPr/>
        <w:t>-</w:t>
      </w:r>
      <w:r>
        <w:rPr/>
        <w:tab/>
      </w:r>
      <w:r>
        <w:rPr/>
        <w:t>Frequency</w:t>
      </w:r>
      <w:r>
        <w:rPr>
          <w:lang w:eastAsia="zh-CN"/>
        </w:rPr>
        <w:t xml:space="preserve"> </w:t>
      </w:r>
      <w:r>
        <w:rPr/>
        <w:t xml:space="preserve">of </w:t>
      </w:r>
      <w:r>
        <w:rPr/>
        <w:t>emission of CS</w:t>
      </w:r>
      <w:r>
        <w:rPr/>
        <w:t xml:space="preserve"> notifications.</w:t>
      </w:r>
    </w:p>
    <w:p>
      <w:pPr>
        <w:pStyle w:val="Heading4"/>
        <w:ind w:left="1418" w:hanging="1418"/>
        <w:rPr>
          <w:lang w:eastAsia="zh-CN"/>
        </w:rPr>
      </w:pPr>
      <w:bookmarkStart w:id="20" w:name="__RefHeading___Toc171245192"/>
      <w:bookmarkEnd w:id="20"/>
      <w:r>
        <w:rPr>
          <w:lang w:eastAsia="zh-CN"/>
        </w:rPr>
        <w:t>4.</w:t>
      </w:r>
      <w:r>
        <w:rPr>
          <w:lang w:eastAsia="zh-CN"/>
        </w:rPr>
        <w:t>2.1.2</w:t>
      </w:r>
      <w:r>
        <w:rPr>
          <w:lang w:eastAsia="zh-CN"/>
        </w:rPr>
        <w:tab/>
      </w:r>
      <w:r>
        <w:rPr/>
        <w:t xml:space="preserve">Modify </w:t>
      </w:r>
      <w:r>
        <w:rPr/>
        <w:t>CS</w:t>
      </w:r>
      <w:r>
        <w:rPr>
          <w:lang w:eastAsia="zh-CN"/>
        </w:rPr>
        <w:t xml:space="preserve"> </w:t>
      </w:r>
      <w:r>
        <w:rPr/>
        <w:t>information</w:t>
      </w:r>
    </w:p>
    <w:p>
      <w:pPr>
        <w:pStyle w:val="Normal"/>
        <w:rPr/>
      </w:pPr>
      <w:r>
        <w:rPr/>
        <w:t xml:space="preserve">This feature allows the NM to </w:t>
      </w:r>
      <w:r>
        <w:rPr/>
        <w:t>modify</w:t>
      </w:r>
      <w:r>
        <w:rPr/>
        <w:t xml:space="preserve"> the CS information from the managed system</w:t>
      </w:r>
      <w:r>
        <w:rPr>
          <w:lang w:eastAsia="zh-CN"/>
        </w:rPr>
        <w:t>, including</w:t>
      </w:r>
      <w:r>
        <w:rPr/>
        <w:t>:</w:t>
      </w:r>
    </w:p>
    <w:p>
      <w:pPr>
        <w:pStyle w:val="B1"/>
        <w:rPr/>
      </w:pPr>
      <w:r>
        <w:rPr>
          <w:lang w:eastAsia="zh-CN"/>
        </w:rPr>
        <w:t>-</w:t>
        <w:tab/>
        <w:t>Frequency</w:t>
      </w:r>
      <w:r>
        <w:rPr>
          <w:lang w:eastAsia="zh-CN"/>
        </w:rPr>
        <w:t xml:space="preserve"> </w:t>
      </w:r>
      <w:r>
        <w:rPr/>
        <w:t xml:space="preserve">of </w:t>
      </w:r>
      <w:r>
        <w:rPr/>
        <w:t>emission of</w:t>
      </w:r>
      <w:r>
        <w:rPr/>
        <w:t xml:space="preserve"> </w:t>
      </w:r>
      <w:r>
        <w:rPr/>
        <w:t>CS</w:t>
      </w:r>
      <w:r>
        <w:rPr>
          <w:lang w:eastAsia="zh-CN"/>
        </w:rPr>
        <w:t xml:space="preserve"> </w:t>
      </w:r>
      <w:r>
        <w:rPr/>
        <w:t>notifications</w:t>
      </w:r>
      <w:r>
        <w:rPr>
          <w:lang w:eastAsia="zh-CN"/>
        </w:rPr>
        <w:t>.</w:t>
      </w:r>
    </w:p>
    <w:p>
      <w:pPr>
        <w:pStyle w:val="B1"/>
        <w:rPr>
          <w:lang w:eastAsia="zh-CN"/>
        </w:rPr>
      </w:pPr>
      <w:r>
        <w:rPr>
          <w:lang w:eastAsia="zh-CN"/>
        </w:rPr>
        <w:t>-</w:t>
        <w:tab/>
        <w:t>Starting and stopping of Communication Surveillance notifications.</w:t>
      </w:r>
    </w:p>
    <w:p>
      <w:pPr>
        <w:pStyle w:val="Heading4"/>
        <w:ind w:left="1418" w:hanging="1418"/>
        <w:rPr>
          <w:lang w:eastAsia="zh-CN"/>
        </w:rPr>
      </w:pPr>
      <w:bookmarkStart w:id="21" w:name="__RefHeading___Toc171245193"/>
      <w:bookmarkEnd w:id="21"/>
      <w:r>
        <w:rPr>
          <w:lang w:eastAsia="zh-CN"/>
        </w:rPr>
        <w:t>4.2.</w:t>
      </w:r>
      <w:r>
        <w:rPr>
          <w:lang w:eastAsia="zh-CN"/>
        </w:rPr>
        <w:t>1.</w:t>
      </w:r>
      <w:r>
        <w:rPr>
          <w:lang w:eastAsia="zh-CN"/>
        </w:rPr>
        <w:t>3</w:t>
        <w:tab/>
      </w:r>
      <w:r>
        <w:rPr/>
        <w:t>Emission</w:t>
      </w:r>
      <w:r>
        <w:rPr/>
        <w:t xml:space="preserve"> of </w:t>
      </w:r>
      <w:r>
        <w:rPr/>
        <w:t>CS</w:t>
      </w:r>
      <w:r>
        <w:rPr/>
        <w:t xml:space="preserve"> notifications</w:t>
      </w:r>
    </w:p>
    <w:p>
      <w:pPr>
        <w:pStyle w:val="Normal"/>
        <w:rPr>
          <w:lang w:eastAsia="zh-CN"/>
        </w:rPr>
      </w:pPr>
      <w:r>
        <w:rPr/>
        <w:t>This feature allows the manage</w:t>
      </w:r>
      <w:r>
        <w:rPr/>
        <w:t>d</w:t>
      </w:r>
      <w:r>
        <w:rPr/>
        <w:t xml:space="preserve"> system to send CS notifications to the NM</w:t>
      </w:r>
      <w:r>
        <w:rPr/>
        <w:t>.</w:t>
      </w:r>
    </w:p>
    <w:p>
      <w:pPr>
        <w:pStyle w:val="Normal"/>
        <w:rPr>
          <w:lang w:eastAsia="zh-CN"/>
        </w:rPr>
      </w:pPr>
      <w:r>
        <w:rPr>
          <w:lang w:eastAsia="zh-CN"/>
        </w:rPr>
        <w:t>M</w:t>
      </w:r>
      <w:r>
        <w:rPr/>
        <w:t xml:space="preserve">anaged system will emit </w:t>
      </w:r>
      <w:r>
        <w:rPr/>
        <w:t>CS</w:t>
      </w:r>
      <w:r>
        <w:rPr/>
        <w:t xml:space="preserve"> notifications to NM according to the specified</w:t>
      </w:r>
      <w:r>
        <w:rPr>
          <w:lang w:eastAsia="zh-CN"/>
        </w:rPr>
        <w:t xml:space="preserve"> </w:t>
      </w:r>
      <w:r>
        <w:rPr/>
        <w:t>frequency.</w:t>
      </w:r>
    </w:p>
    <w:p>
      <w:pPr>
        <w:pStyle w:val="Heading4"/>
        <w:ind w:left="1418" w:hanging="1418"/>
        <w:rPr>
          <w:lang w:eastAsia="zh-CN"/>
        </w:rPr>
      </w:pPr>
      <w:bookmarkStart w:id="22" w:name="__RefHeading___Toc171245194"/>
      <w:bookmarkEnd w:id="22"/>
      <w:r>
        <w:rPr>
          <w:lang w:eastAsia="zh-CN"/>
        </w:rPr>
        <w:t>4.2.</w:t>
      </w:r>
      <w:r>
        <w:rPr>
          <w:lang w:eastAsia="zh-CN"/>
        </w:rPr>
        <w:t>1.</w:t>
      </w:r>
      <w:r>
        <w:rPr>
          <w:lang w:eastAsia="zh-CN"/>
        </w:rPr>
        <w:t>4</w:t>
        <w:tab/>
        <w:t xml:space="preserve">Trigger </w:t>
      </w:r>
      <w:r>
        <w:rPr/>
        <w:t>CS</w:t>
      </w:r>
      <w:r>
        <w:rPr/>
        <w:t xml:space="preserve"> notification</w:t>
      </w:r>
    </w:p>
    <w:p>
      <w:pPr>
        <w:pStyle w:val="Normal"/>
        <w:rPr>
          <w:lang w:eastAsia="zh-CN"/>
        </w:rPr>
      </w:pPr>
      <w:r>
        <w:rPr>
          <w:lang w:eastAsia="zh-CN"/>
        </w:rPr>
        <w:t xml:space="preserve">The </w:t>
      </w:r>
      <w:r>
        <w:rPr/>
        <w:t>frequency</w:t>
      </w:r>
      <w:r>
        <w:rPr>
          <w:lang w:eastAsia="zh-CN"/>
        </w:rPr>
        <w:t xml:space="preserve"> </w:t>
      </w:r>
      <w:r>
        <w:rPr/>
        <w:t xml:space="preserve">of </w:t>
      </w:r>
      <w:r>
        <w:rPr/>
        <w:t>emission of</w:t>
      </w:r>
      <w:r>
        <w:rPr/>
        <w:t xml:space="preserve"> </w:t>
      </w:r>
      <w:r>
        <w:rPr/>
        <w:t>CS</w:t>
      </w:r>
      <w:r>
        <w:rPr>
          <w:lang w:eastAsia="zh-CN"/>
        </w:rPr>
        <w:t xml:space="preserve"> </w:t>
      </w:r>
      <w:r>
        <w:rPr/>
        <w:t>notifications</w:t>
      </w:r>
      <w:r>
        <w:rPr>
          <w:lang w:eastAsia="zh-CN"/>
        </w:rPr>
        <w:t xml:space="preserve"> may not be short for payload consideration. In case NM suspects the link breaks before receiving next </w:t>
      </w:r>
      <w:r>
        <w:rPr/>
        <w:t>CS</w:t>
      </w:r>
      <w:r>
        <w:rPr>
          <w:lang w:eastAsia="zh-CN"/>
        </w:rPr>
        <w:t xml:space="preserve"> </w:t>
      </w:r>
      <w:r>
        <w:rPr/>
        <w:t>notifications</w:t>
      </w:r>
      <w:r>
        <w:rPr>
          <w:lang w:eastAsia="zh-CN"/>
        </w:rPr>
        <w:t xml:space="preserve"> and needs to make decision at once, t</w:t>
      </w:r>
      <w:r>
        <w:rPr/>
        <w:t xml:space="preserve">his </w:t>
      </w:r>
      <w:r>
        <w:rPr>
          <w:lang w:eastAsia="zh-CN"/>
        </w:rPr>
        <w:t xml:space="preserve">complementary </w:t>
      </w:r>
      <w:r>
        <w:rPr/>
        <w:t xml:space="preserve">feature allows </w:t>
      </w:r>
      <w:r>
        <w:rPr>
          <w:lang w:eastAsia="zh-CN"/>
        </w:rPr>
        <w:t xml:space="preserve">NM to ask </w:t>
      </w:r>
      <w:r>
        <w:rPr/>
        <w:t>manage</w:t>
      </w:r>
      <w:r>
        <w:rPr/>
        <w:t>d</w:t>
      </w:r>
      <w:r>
        <w:rPr/>
        <w:t xml:space="preserve"> system to send CS notifications to the </w:t>
      </w:r>
      <w:r>
        <w:rPr>
          <w:lang w:eastAsia="zh-CN"/>
        </w:rPr>
        <w:t xml:space="preserve">triggering </w:t>
      </w:r>
      <w:r>
        <w:rPr/>
        <w:t>NM</w:t>
      </w:r>
      <w:r>
        <w:rPr>
          <w:lang w:eastAsia="zh-CN"/>
        </w:rPr>
        <w:t xml:space="preserve"> immediately</w:t>
      </w:r>
      <w:r>
        <w:rPr/>
        <w:t>.</w:t>
      </w:r>
    </w:p>
    <w:p>
      <w:pPr>
        <w:pStyle w:val="Normal"/>
        <w:rPr>
          <w:lang w:eastAsia="zh-CN"/>
        </w:rPr>
      </w:pPr>
      <w:r>
        <w:rPr>
          <w:lang w:eastAsia="zh-CN"/>
        </w:rPr>
        <w:t xml:space="preserve">The triggered </w:t>
      </w:r>
      <w:r>
        <w:rPr/>
        <w:t>CS</w:t>
      </w:r>
      <w:r>
        <w:rPr/>
        <w:t xml:space="preserve"> notification</w:t>
      </w:r>
      <w:r>
        <w:rPr>
          <w:lang w:eastAsia="zh-CN"/>
        </w:rPr>
        <w:t xml:space="preserve"> should be emitted only to the triggering NM. In this </w:t>
      </w:r>
      <w:r>
        <w:rPr/>
        <w:t>CS</w:t>
      </w:r>
      <w:r>
        <w:rPr/>
        <w:t xml:space="preserve"> notification</w:t>
      </w:r>
      <w:r>
        <w:rPr>
          <w:lang w:eastAsia="zh-CN"/>
        </w:rPr>
        <w:t xml:space="preserve">, </w:t>
      </w:r>
      <w:r>
        <w:rPr>
          <w:lang w:eastAsia="zh-CN"/>
        </w:rPr>
        <w:t>additional</w:t>
      </w:r>
      <w:r>
        <w:rPr>
          <w:lang w:eastAsia="zh-CN"/>
        </w:rPr>
        <w:t xml:space="preserve"> description will be given to help NM distinguish it from spontaneous </w:t>
      </w:r>
      <w:r>
        <w:rPr>
          <w:lang w:eastAsia="zh-CN"/>
        </w:rPr>
        <w:t>(or scheduled)</w:t>
      </w:r>
      <w:r>
        <w:rPr>
          <w:lang w:eastAsia="zh-CN"/>
        </w:rPr>
        <w:t xml:space="preserve"> </w:t>
      </w:r>
      <w:r>
        <w:rPr/>
        <w:t>CS</w:t>
      </w:r>
      <w:r>
        <w:rPr/>
        <w:t xml:space="preserve"> notification</w:t>
      </w:r>
      <w:r>
        <w:rPr>
          <w:lang w:eastAsia="zh-CN"/>
        </w:rPr>
        <w:t xml:space="preserve">s described in </w:t>
      </w:r>
      <w:r>
        <w:rPr>
          <w:lang w:eastAsia="zh-CN"/>
        </w:rPr>
        <w:t>sub</w:t>
      </w:r>
      <w:r>
        <w:rPr>
          <w:lang w:eastAsia="zh-CN"/>
        </w:rPr>
        <w:t>clause</w:t>
      </w:r>
      <w:r>
        <w:rPr>
          <w:lang w:eastAsia="zh-CN"/>
        </w:rPr>
        <w:t> </w:t>
      </w:r>
      <w:r>
        <w:rPr>
          <w:lang w:eastAsia="zh-CN"/>
        </w:rPr>
        <w:t>4.2.</w:t>
      </w:r>
      <w:r>
        <w:rPr>
          <w:lang w:eastAsia="zh-CN"/>
        </w:rPr>
        <w:t>1.</w:t>
      </w:r>
      <w:r>
        <w:rPr>
          <w:lang w:eastAsia="zh-CN"/>
        </w:rPr>
        <w:t xml:space="preserve">3. This feature has no impact on the spontaneous </w:t>
      </w:r>
      <w:r>
        <w:rPr>
          <w:lang w:eastAsia="zh-CN"/>
        </w:rPr>
        <w:t>(or scheduled)</w:t>
      </w:r>
      <w:r>
        <w:rPr>
          <w:lang w:eastAsia="zh-CN"/>
        </w:rPr>
        <w:t xml:space="preserve"> </w:t>
      </w:r>
      <w:r>
        <w:rPr/>
        <w:t>CS</w:t>
      </w:r>
      <w:r>
        <w:rPr/>
        <w:t xml:space="preserve"> </w:t>
      </w:r>
      <w:r>
        <w:rPr>
          <w:lang w:eastAsia="zh-CN"/>
        </w:rPr>
        <w:t xml:space="preserve">heartbeat </w:t>
      </w:r>
      <w:r>
        <w:rPr/>
        <w:t>notification</w:t>
      </w:r>
      <w:r>
        <w:rPr>
          <w:lang w:eastAsia="zh-CN"/>
        </w:rPr>
        <w:t xml:space="preserve"> feature.</w:t>
      </w:r>
      <w:r>
        <w:br w:type="page"/>
      </w:r>
    </w:p>
    <w:p>
      <w:pPr>
        <w:pStyle w:val="Heading8"/>
        <w:ind w:left="0" w:hanging="0"/>
        <w:rPr/>
      </w:pPr>
      <w:bookmarkStart w:id="23" w:name="historyclause"/>
      <w:bookmarkStart w:id="24" w:name="__RefHeading___Toc171245195"/>
      <w:bookmarkEnd w:id="23"/>
      <w:bookmarkEnd w:id="24"/>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SP-030632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SA#22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pPr>
            <w:r>
              <w:rPr>
                <w:rFonts w:cs="Arial"/>
                <w:b w:val="false"/>
                <w:bCs/>
                <w:sz w:val="16"/>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S_23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SP-040125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color w:val="000000"/>
                <w:sz w:val="16"/>
              </w:rPr>
            </w:pPr>
            <w:r>
              <w:rPr>
                <w:rFonts w:cs="Arial"/>
                <w:b w:val="false"/>
                <w:bCs/>
                <w:sz w:val="16"/>
              </w:rPr>
              <w:t>Submitted to TSG SA#23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color w:val="000000"/>
                <w:sz w:val="16"/>
              </w:rPr>
            </w:pPr>
            <w:r>
              <w:rPr>
                <w:rFonts w:cs="Arial"/>
                <w:b w:val="false"/>
                <w:bCs/>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Jul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history table.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sz w:val="16"/>
                <w:szCs w:val="16"/>
                <w:lang w:eastAsia="zh-TW" w:bidi="en-US"/>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left</wp:align>
              </wp:positionH>
              <wp:positionV relativeFrom="paragraph">
                <wp:posOffset>635</wp:posOffset>
              </wp:positionV>
              <wp:extent cx="1460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rPr/>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TS 32.351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TS 32.351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641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8</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8</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1.15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2020-07-09T16:20:00Z</dcterms:created>
  <dc:creator>MCC Support</dc:creator>
  <dc:description/>
  <cp:keywords>UMTS management security</cp:keywords>
  <dc:language>en-US</dc:language>
  <cp:lastModifiedBy>23.401_CR3602R2_(Rel-16)_5GS_Ph1, LTE_feMob-Core, </cp:lastModifiedBy>
  <cp:lastPrinted>2003-11-26T11:26:00Z</cp:lastPrinted>
  <dcterms:modified xsi:type="dcterms:W3CDTF">2020-07-09T16:20:00Z</dcterms:modified>
  <cp:revision>2</cp:revision>
  <dc:subject>Telecommunication management; Communication Surveillance (CS) Integration Reference Point (IRP); Requirements (Release 16)</dc:subject>
  <dc:title>3GPP TS 32.351</dc:title>
</cp:coreProperties>
</file>