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foot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32.381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32.381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514985</wp:posOffset>
                </wp:positionH>
                <wp:positionV relativeFrom="page">
                  <wp:posOffset>1781810</wp:posOffset>
                </wp:positionV>
                <wp:extent cx="6479540" cy="1769110"/>
                <wp:effectExtent l="0" t="0" r="0" b="0"/>
                <wp:wrapTopAndBottom/>
                <wp:docPr id="3" name="Frame3"/>
                <a:graphic xmlns:a="http://schemas.openxmlformats.org/drawingml/2006/main">
                  <a:graphicData uri="http://schemas.microsoft.com/office/word/2010/wordprocessingShape">
                    <wps:wsp>
                      <wps:cNvSpPr txBox="1"/>
                      <wps:spPr>
                        <a:xfrm>
                          <a:off x="0" y="0"/>
                          <a:ext cx="6479540" cy="17691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bCs/>
                                <w:iCs/>
                              </w:rPr>
                              <w:t xml:space="preserve">Partial suspension of Itf-N </w:t>
                            </w:r>
                            <w:r>
                              <w:rPr/>
                              <w:t>Integration Reference Point (IRP);</w:t>
                            </w:r>
                          </w:p>
                          <w:p>
                            <w:pPr>
                              <w:pStyle w:val="ZT"/>
                              <w:rPr/>
                            </w:pPr>
                            <w:r>
                              <w:rPr>
                                <w:lang w:eastAsia="zh-CN"/>
                              </w:rPr>
                              <w:t>Requirements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9.3pt;mso-wrap-distance-left:0pt;mso-wrap-distance-right:0pt;mso-wrap-distance-top:0pt;mso-wrap-distance-bottom:0pt;margin-top:140.3pt;mso-position-vertical-relative:page;margin-left:40.55pt;mso-position-horizontal-relative:page">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bCs/>
                          <w:iCs/>
                        </w:rPr>
                        <w:t xml:space="preserve">Partial suspension of Itf-N </w:t>
                      </w:r>
                      <w:r>
                        <w:rPr/>
                        <w:t>Integration Reference Point (IRP);</w:t>
                      </w:r>
                    </w:p>
                    <w:p>
                      <w:pPr>
                        <w:pStyle w:val="ZT"/>
                        <w:rPr/>
                      </w:pPr>
                      <w:r>
                        <w:rPr>
                          <w:lang w:eastAsia="zh-CN"/>
                        </w:rPr>
                        <w:t>Requirements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3"/>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4"/>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5"/>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6"/>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page">
                  <wp:posOffset>549275</wp:posOffset>
                </wp:positionH>
                <wp:positionV relativeFrom="page">
                  <wp:posOffset>9604375</wp:posOffset>
                </wp:positionV>
                <wp:extent cx="6343015" cy="664845"/>
                <wp:effectExtent l="0" t="0" r="0" b="0"/>
                <wp:wrapTopAndBottom/>
                <wp:docPr id="9" name="Frame5"/>
                <a:graphic xmlns:a="http://schemas.openxmlformats.org/drawingml/2006/main">
                  <a:graphicData uri="http://schemas.microsoft.com/office/word/2010/wordprocessingShape">
                    <wps:wsp>
                      <wps:cNvSpPr txBox="1"/>
                      <wps:spPr>
                        <a:xfrm>
                          <a:off x="0" y="0"/>
                          <a:ext cx="6343015" cy="664845"/>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9.45pt;height:52.35pt;mso-wrap-distance-left:0pt;mso-wrap-distance-right:0pt;mso-wrap-distance-top:0pt;mso-wrap-distance-bottom:0pt;margin-top:756.25pt;mso-position-vertical-relative:page;margin-left:43.25pt;mso-position-horizontal-relative:page">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management</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management</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79.4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61544763">
            <w:r>
              <w:rPr>
                <w:rStyle w:val="IndexLink"/>
                <w:rFonts w:eastAsia="Times New Roman" w:cs="Times New Roman"/>
                <w:color w:val="auto"/>
                <w:sz w:val="22"/>
                <w:szCs w:val="20"/>
                <w:lang w:val="en-GB" w:eastAsia="en-US" w:bidi="ar-SA"/>
              </w:rPr>
              <w:t>4</w:t>
            </w:r>
          </w:hyperlink>
        </w:p>
        <w:p>
          <w:pPr>
            <w:pStyle w:val="Contents1"/>
            <w:rPr>
              <w:rFonts w:eastAsia="Batang;바탕"/>
              <w:sz w:val="24"/>
              <w:szCs w:val="24"/>
              <w:lang w:val="en-US" w:eastAsia="en-US"/>
            </w:rPr>
          </w:pPr>
          <w:r>
            <w:rPr/>
            <w:t>Introduction</w:t>
            <w:tab/>
          </w:r>
          <w:hyperlink w:anchor="__RefHeading___Toc161544764">
            <w:r>
              <w:rPr>
                <w:rStyle w:val="IndexLink"/>
              </w:rPr>
              <w:t>4</w:t>
            </w:r>
          </w:hyperlink>
        </w:p>
        <w:p>
          <w:pPr>
            <w:pStyle w:val="Contents1"/>
            <w:rPr>
              <w:rFonts w:eastAsia="Batang;바탕"/>
              <w:sz w:val="24"/>
              <w:szCs w:val="24"/>
              <w:lang w:val="en-US" w:eastAsia="en-US"/>
            </w:rPr>
          </w:pPr>
          <w:r>
            <w:rPr/>
            <w:t>1</w:t>
          </w:r>
          <w:r>
            <w:rPr>
              <w:rFonts w:eastAsia="Batang;바탕"/>
              <w:sz w:val="24"/>
              <w:szCs w:val="24"/>
            </w:rPr>
            <w:tab/>
          </w:r>
          <w:r>
            <w:rPr>
              <w:lang w:val="en-US" w:eastAsia="en-US"/>
            </w:rPr>
            <w:t>Scope</w:t>
          </w:r>
          <w:r>
            <w:rPr/>
            <w:tab/>
          </w:r>
          <w:hyperlink w:anchor="__RefHeading___Toc161544765">
            <w:r>
              <w:rPr>
                <w:rStyle w:val="IndexLink"/>
              </w:rPr>
              <w:t>5</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161544766">
            <w:r>
              <w:rPr>
                <w:rStyle w:val="IndexLink"/>
              </w:rPr>
              <w:t>5</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161544767">
            <w:r>
              <w:rPr>
                <w:rStyle w:val="IndexLink"/>
              </w:rPr>
              <w:t>6</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161544768">
            <w:r>
              <w:rPr>
                <w:rStyle w:val="IndexLink"/>
              </w:rPr>
              <w:t>6</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161544769">
            <w:r>
              <w:rPr>
                <w:rStyle w:val="IndexLink"/>
              </w:rPr>
              <w:t>6</w:t>
            </w:r>
          </w:hyperlink>
        </w:p>
        <w:p>
          <w:pPr>
            <w:pStyle w:val="Contents1"/>
            <w:rPr>
              <w:rFonts w:eastAsia="Batang;바탕"/>
              <w:sz w:val="24"/>
              <w:szCs w:val="24"/>
              <w:lang w:val="en-US" w:eastAsia="en-US"/>
            </w:rPr>
          </w:pPr>
          <w:r>
            <w:rPr/>
            <w:t>4</w:t>
          </w:r>
          <w:r>
            <w:rPr>
              <w:rFonts w:eastAsia="Batang;바탕"/>
              <w:sz w:val="24"/>
              <w:szCs w:val="24"/>
              <w:lang w:val="en-US" w:eastAsia="en-US"/>
            </w:rPr>
            <w:tab/>
          </w:r>
          <w:r>
            <w:rPr/>
            <w:t>Requirements for partial suspension of Itf-N</w:t>
            <w:tab/>
          </w:r>
          <w:hyperlink w:anchor="__RefHeading___Toc161544770">
            <w:r>
              <w:rPr>
                <w:rStyle w:val="IndexLink"/>
              </w:rPr>
              <w:t>7</w:t>
            </w:r>
          </w:hyperlink>
        </w:p>
        <w:p>
          <w:pPr>
            <w:pStyle w:val="Contents2"/>
            <w:rPr>
              <w:rFonts w:eastAsia="Batang;바탕"/>
              <w:sz w:val="24"/>
              <w:szCs w:val="24"/>
              <w:lang w:val="en-US" w:eastAsia="en-US"/>
            </w:rPr>
          </w:pPr>
          <w:r>
            <w:rPr/>
            <w:t>4.1</w:t>
          </w:r>
          <w:r>
            <w:rPr>
              <w:rFonts w:eastAsia="Batang;바탕"/>
              <w:sz w:val="24"/>
              <w:szCs w:val="24"/>
              <w:lang w:val="en-US" w:eastAsia="en-US"/>
            </w:rPr>
            <w:tab/>
          </w:r>
          <w:r>
            <w:rPr/>
            <w:t>General requirements</w:t>
            <w:tab/>
          </w:r>
          <w:hyperlink w:anchor="__RefHeading___Toc161544771">
            <w:r>
              <w:rPr>
                <w:rStyle w:val="IndexLink"/>
              </w:rPr>
              <w:t>7</w:t>
            </w:r>
          </w:hyperlink>
        </w:p>
        <w:p>
          <w:pPr>
            <w:pStyle w:val="Contents2"/>
            <w:rPr>
              <w:rFonts w:eastAsia="Batang;바탕"/>
              <w:sz w:val="24"/>
              <w:szCs w:val="24"/>
              <w:lang w:val="en-US" w:eastAsia="en-US"/>
            </w:rPr>
          </w:pPr>
          <w:r>
            <w:rPr/>
            <w:t>4.2</w:t>
          </w:r>
          <w:r>
            <w:rPr>
              <w:rFonts w:eastAsia="Batang;바탕"/>
              <w:sz w:val="24"/>
              <w:szCs w:val="24"/>
              <w:lang w:val="en-US" w:eastAsia="en-US"/>
            </w:rPr>
            <w:tab/>
          </w:r>
          <w:r>
            <w:rPr/>
            <w:t>Requirements for notifications</w:t>
            <w:tab/>
          </w:r>
          <w:hyperlink w:anchor="__RefHeading___Toc161544772">
            <w:r>
              <w:rPr>
                <w:rStyle w:val="IndexLink"/>
              </w:rPr>
              <w:t>7</w:t>
            </w:r>
          </w:hyperlink>
        </w:p>
        <w:p>
          <w:pPr>
            <w:pStyle w:val="Contents2"/>
            <w:rPr>
              <w:rFonts w:eastAsia="Batang;바탕"/>
              <w:sz w:val="24"/>
              <w:szCs w:val="24"/>
              <w:lang w:val="en-US" w:eastAsia="en-US"/>
            </w:rPr>
          </w:pPr>
          <w:r>
            <w:rPr/>
            <w:t>4.3</w:t>
          </w:r>
          <w:r>
            <w:rPr>
              <w:rFonts w:eastAsia="Batang;바탕"/>
              <w:sz w:val="24"/>
              <w:szCs w:val="24"/>
              <w:lang w:val="en-US" w:eastAsia="en-US"/>
            </w:rPr>
            <w:tab/>
          </w:r>
          <w:r>
            <w:rPr/>
            <w:t>Security related requirements</w:t>
            <w:tab/>
          </w:r>
          <w:hyperlink w:anchor="__RefHeading___Toc161544773">
            <w:r>
              <w:rPr>
                <w:rStyle w:val="IndexLink"/>
              </w:rPr>
              <w:t>7</w:t>
            </w:r>
          </w:hyperlink>
        </w:p>
        <w:p>
          <w:pPr>
            <w:pStyle w:val="Contents2"/>
            <w:rPr>
              <w:rFonts w:eastAsia="Batang;바탕"/>
              <w:sz w:val="24"/>
              <w:szCs w:val="24"/>
              <w:lang w:val="en-US" w:eastAsia="en-US"/>
            </w:rPr>
          </w:pPr>
          <w:r>
            <w:rPr/>
            <w:t>4.4</w:t>
          </w:r>
          <w:r>
            <w:rPr>
              <w:rFonts w:eastAsia="Batang;바탕"/>
              <w:sz w:val="24"/>
              <w:szCs w:val="24"/>
              <w:lang w:val="en-US" w:eastAsia="en-US"/>
            </w:rPr>
            <w:tab/>
          </w:r>
          <w:r>
            <w:rPr/>
            <w:t>Multi-Manager Related Requirements</w:t>
            <w:tab/>
          </w:r>
          <w:hyperlink w:anchor="__RefHeading___Toc161544774">
            <w:r>
              <w:rPr>
                <w:rStyle w:val="IndexLink"/>
              </w:rPr>
              <w:t>7</w:t>
            </w:r>
          </w:hyperlink>
        </w:p>
        <w:p>
          <w:pPr>
            <w:pStyle w:val="Contents8"/>
            <w:rPr>
              <w:rFonts w:eastAsia="Batang;바탕"/>
              <w:sz w:val="24"/>
              <w:szCs w:val="24"/>
              <w:lang w:val="en-US" w:eastAsia="en-US"/>
            </w:rPr>
          </w:pPr>
          <w:r>
            <w:rPr>
              <w:b w:val="false"/>
            </w:rPr>
            <w:t xml:space="preserve">Annex </w:t>
          </w:r>
          <w:r>
            <w:rPr>
              <w:b w:val="false"/>
              <w:lang w:val="en-US" w:eastAsia="en-US"/>
            </w:rPr>
            <w:t>A (informative):</w:t>
            <w:tab/>
          </w:r>
          <w:r>
            <w:rPr>
              <w:b w:val="false"/>
            </w:rPr>
            <w:t>Change history</w:t>
            <w:tab/>
          </w:r>
          <w:hyperlink w:anchor="__RefHeading___Toc161544775">
            <w:r>
              <w:rPr>
                <w:rStyle w:val="IndexLink"/>
                <w:b w:val="false"/>
              </w:rPr>
              <w:t>8</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6" w:name="__RefHeading___Toc161544763"/>
      <w:bookmarkEnd w:id="6"/>
      <w:r>
        <w:rPr/>
        <w:t>Foreword</w:t>
      </w:r>
    </w:p>
    <w:p>
      <w:pPr>
        <w:pStyle w:val="Normal"/>
        <w:rPr>
          <w:lang w:eastAsia="zh-CN"/>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lang w:eastAsia="zh-CN"/>
        </w:rPr>
      </w:pPr>
      <w:bookmarkStart w:id="7" w:name="__RefHeading___Toc161544764"/>
      <w:bookmarkEnd w:id="7"/>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rFonts w:eastAsia="Batang;바탕"/>
          <w:b/>
          <w:b/>
          <w:sz w:val="24"/>
          <w:szCs w:val="24"/>
          <w:lang w:eastAsia="ko-KR"/>
        </w:rPr>
      </w:pPr>
      <w:r>
        <w:rPr>
          <w:rFonts w:eastAsia="Batang;바탕"/>
          <w:b/>
          <w:lang w:eastAsia="ko-KR"/>
        </w:rPr>
        <w:t>32.381:</w:t>
        <w:tab/>
      </w:r>
      <w:r>
        <w:rPr>
          <w:b/>
          <w:lang w:eastAsia="zh-CN"/>
        </w:rPr>
        <w:t xml:space="preserve">Partial Suspension of Itf-N </w:t>
      </w:r>
      <w:r>
        <w:rPr>
          <w:b/>
        </w:rPr>
        <w:t>Integration Reference Point (IRP);</w:t>
      </w:r>
      <w:r>
        <w:rPr>
          <w:b/>
          <w:lang w:eastAsia="zh-CN"/>
        </w:rPr>
        <w:t xml:space="preserve"> R</w:t>
      </w:r>
      <w:r>
        <w:rPr>
          <w:rFonts w:eastAsia="Batang;바탕"/>
          <w:b/>
          <w:lang w:eastAsia="ko-KR"/>
        </w:rPr>
        <w:t>equirement</w:t>
      </w:r>
      <w:r>
        <w:rPr>
          <w:b/>
          <w:lang w:eastAsia="zh-CN"/>
        </w:rPr>
        <w:t>s.</w:t>
      </w:r>
    </w:p>
    <w:p>
      <w:pPr>
        <w:pStyle w:val="B1"/>
        <w:rPr>
          <w:lang w:eastAsia="zh-CN"/>
        </w:rPr>
      </w:pPr>
      <w:r>
        <w:rPr>
          <w:lang w:eastAsia="zh-CN"/>
        </w:rPr>
        <w:t>32.382:</w:t>
        <w:tab/>
        <w:t xml:space="preserve">Partial Suspension of Itf-N </w:t>
      </w:r>
      <w:r>
        <w:rPr/>
        <w:t>Integration Reference Point (IRP);</w:t>
      </w:r>
      <w:r>
        <w:rPr>
          <w:lang w:eastAsia="zh-CN"/>
        </w:rPr>
        <w:t xml:space="preserve"> Information Service (IS).</w:t>
      </w:r>
    </w:p>
    <w:p>
      <w:pPr>
        <w:pStyle w:val="B1"/>
        <w:rPr>
          <w:lang w:eastAsia="zh-CN"/>
        </w:rPr>
      </w:pPr>
      <w:r>
        <w:rPr>
          <w:lang w:eastAsia="zh-CN"/>
        </w:rPr>
        <w:t>32.386:</w:t>
        <w:tab/>
        <w:t xml:space="preserve">Partial Suspension of Itf-N </w:t>
      </w:r>
      <w:r>
        <w:rPr/>
        <w:t xml:space="preserve">Integration Reference Point (IRP); </w:t>
      </w:r>
      <w:r>
        <w:rPr>
          <w:lang w:eastAsia="zh-CN"/>
        </w:rPr>
        <w:t>Solution Set (SS) definitions.</w:t>
      </w:r>
    </w:p>
    <w:p>
      <w:pPr>
        <w:pStyle w:val="Normal"/>
        <w:rPr/>
      </w:pPr>
      <w:r>
        <w:rPr/>
        <w:t>The Itf-N interface is built up by a number of IRPs and a related Name Convention, which realise the functional capabilities over this interface. The basic structure of the IRPs is defined in 3GPP TS 32.101 [1] and 3GPP TS 32.102 [2].</w:t>
      </w:r>
    </w:p>
    <w:p>
      <w:pPr>
        <w:pStyle w:val="Normal"/>
        <w:rPr>
          <w:lang w:eastAsia="zh-CN"/>
        </w:rPr>
      </w:pPr>
      <w:r>
        <w:rPr/>
        <w:t xml:space="preserve">Information of an event is carried in a notification. An IRPAgent (typically an EM or a NE) emits notifications (see 3GPP TS 32.302 [3]. The IRPManager (typically a Network Management System) receives notifications. </w:t>
      </w:r>
      <w:r>
        <w:rPr>
          <w:lang w:eastAsia="zh-CN"/>
        </w:rPr>
        <w:t>In certain scenarios floods of unwanted notifications including alarms would be sent to the IRP manager by network object instances. Thereby the interface and the management systems bear unnecessary load. Even worse: the Operator's awareness is drawn away from really urgent events.</w:t>
      </w:r>
      <w:r>
        <w:br w:type="page"/>
      </w:r>
    </w:p>
    <w:p>
      <w:pPr>
        <w:pStyle w:val="Heading1"/>
        <w:ind w:left="1134" w:hanging="1134"/>
        <w:rPr>
          <w:lang w:eastAsia="zh-CN"/>
        </w:rPr>
      </w:pPr>
      <w:bookmarkStart w:id="8" w:name="__RefHeading___Toc161544765"/>
      <w:bookmarkEnd w:id="8"/>
      <w:r>
        <w:rPr>
          <w:lang w:eastAsia="zh-CN"/>
        </w:rPr>
        <w:t>1</w:t>
        <w:tab/>
        <w:t>Scope</w:t>
      </w:r>
    </w:p>
    <w:p>
      <w:pPr>
        <w:pStyle w:val="Normal"/>
        <w:rPr/>
      </w:pPr>
      <w:r>
        <w:rPr/>
        <w:t>The purpose of Partial Suspension of Itf-N IRP is to define an interface through which an IRPManager can suspend the forwarding of notifications via Itf-N which were generated in parts of the managed systems.</w:t>
      </w:r>
    </w:p>
    <w:p>
      <w:pPr>
        <w:pStyle w:val="Normal"/>
        <w:rPr/>
      </w:pPr>
      <w:r>
        <w:rPr/>
        <w:t>The present document contains the Requirements of Partial Suspension of Itf-N IRP. It defines, for the purpose of generally suspending the forwarding of notifications, the basic requirements to be fulfilled on Itf-N.</w:t>
      </w:r>
    </w:p>
    <w:p>
      <w:pPr>
        <w:pStyle w:val="Heading1"/>
        <w:ind w:left="1134" w:hanging="1134"/>
        <w:rPr/>
      </w:pPr>
      <w:bookmarkStart w:id="9" w:name="__RefHeading___Toc161544766"/>
      <w:bookmarkEnd w:id="9"/>
      <w:r>
        <w:rPr/>
        <w:t>2</w:t>
        <w:tab/>
        <w:t>References</w:t>
      </w:r>
    </w:p>
    <w:p>
      <w:pPr>
        <w:pStyle w:val="Normal"/>
        <w:rPr/>
      </w:pPr>
      <w:r>
        <w:rPr/>
        <w:t>The following documents contain provisions that,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 in the same Release as the present document.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32.302: "Telecommunication management; Configuration Management (CM); Notification Integration Reference Point (IRP); Information Service (IS)".</w:t>
      </w:r>
      <w:r>
        <w:br w:type="page"/>
      </w:r>
    </w:p>
    <w:p>
      <w:pPr>
        <w:pStyle w:val="Heading1"/>
        <w:ind w:left="1134" w:hanging="1134"/>
        <w:rPr/>
      </w:pPr>
      <w:bookmarkStart w:id="10" w:name="__RefHeading___Toc161544767"/>
      <w:bookmarkEnd w:id="10"/>
      <w:r>
        <w:rPr/>
        <w:t>3</w:t>
        <w:tab/>
        <w:t>Definitions and abbreviations</w:t>
      </w:r>
    </w:p>
    <w:p>
      <w:pPr>
        <w:pStyle w:val="Heading2"/>
        <w:rPr/>
      </w:pPr>
      <w:bookmarkStart w:id="11" w:name="__RefHeading___Toc161544768"/>
      <w:bookmarkEnd w:id="11"/>
      <w:r>
        <w:rPr/>
        <w:t>3.1</w:t>
        <w:tab/>
        <w:t>Definitions</w:t>
      </w:r>
    </w:p>
    <w:p>
      <w:pPr>
        <w:pStyle w:val="Normal"/>
        <w:rPr/>
      </w:pPr>
      <w:r>
        <w:rPr/>
        <w:t>For the purposes of the present document, the following terms and definitions apply:</w:t>
      </w:r>
    </w:p>
    <w:p>
      <w:pPr>
        <w:pStyle w:val="Normal"/>
        <w:rPr/>
      </w:pPr>
      <w:r>
        <w:rPr>
          <w:b/>
        </w:rPr>
        <w:t>IRP:</w:t>
      </w:r>
      <w:r>
        <w:rPr/>
        <w:t xml:space="preserve"> See 3GPP TS 32.101 [1].</w:t>
      </w:r>
    </w:p>
    <w:p>
      <w:pPr>
        <w:pStyle w:val="Normal"/>
        <w:rPr/>
      </w:pPr>
      <w:r>
        <w:rPr>
          <w:b/>
        </w:rPr>
        <w:t>IRPAgent:</w:t>
      </w:r>
      <w:r>
        <w:rPr/>
        <w:t xml:space="preserve"> See 3GPP TS 32.102 [2].</w:t>
      </w:r>
    </w:p>
    <w:p>
      <w:pPr>
        <w:pStyle w:val="Normal"/>
        <w:rPr/>
      </w:pPr>
      <w:r>
        <w:rPr>
          <w:b/>
        </w:rPr>
        <w:t>IRPManager:</w:t>
      </w:r>
      <w:r>
        <w:rPr/>
        <w:t xml:space="preserve"> See 3GPP TS 32.102 [2].</w:t>
      </w:r>
    </w:p>
    <w:p>
      <w:pPr>
        <w:pStyle w:val="Normal"/>
        <w:rPr/>
      </w:pPr>
      <w:r>
        <w:rPr>
          <w:b/>
        </w:rPr>
        <w:t>Itf-N suspended managed instance:</w:t>
      </w:r>
      <w:r>
        <w:rPr/>
        <w:t xml:space="preserve"> instance whose notifications are temporarily not forwarded via Itf-N</w:t>
      </w:r>
    </w:p>
    <w:p>
      <w:pPr>
        <w:pStyle w:val="Normal"/>
        <w:rPr/>
      </w:pPr>
      <w:r>
        <w:rPr>
          <w:b/>
        </w:rPr>
        <w:t>Partial suspension of Itf-N:</w:t>
      </w:r>
      <w:r>
        <w:rPr/>
        <w:t xml:space="preserve"> the forwarding of all notifications via Itf-N generated by some or all managed objects is suspended</w:t>
        <w:br/>
        <w:t>If a bulk CM file was transported into the IRPAgent and is activated there shortly before suspension or not via Itf-N during suspension, then Itf-N notifications resulting from the execution of the file are suspended.</w:t>
      </w:r>
    </w:p>
    <w:p>
      <w:pPr>
        <w:pStyle w:val="Normal"/>
        <w:rPr/>
      </w:pPr>
      <w:r>
        <w:rPr>
          <w:b/>
        </w:rPr>
        <w:t>suspended notification:</w:t>
      </w:r>
      <w:r>
        <w:rPr/>
        <w:t xml:space="preserve"> notification which would be sent under normal circumstances via Itf-N, but is not because a corresponding suspension request was previously received</w:t>
      </w:r>
    </w:p>
    <w:p>
      <w:pPr>
        <w:pStyle w:val="Heading2"/>
        <w:rPr/>
      </w:pPr>
      <w:bookmarkStart w:id="12" w:name="__RefHeading___Toc161544769"/>
      <w:bookmarkEnd w:id="12"/>
      <w:r>
        <w:rPr/>
        <w:t>3.2</w:t>
        <w:tab/>
        <w:t>Abbreviations</w:t>
      </w:r>
    </w:p>
    <w:p>
      <w:pPr>
        <w:pStyle w:val="Normal"/>
        <w:keepNext w:val="true"/>
        <w:keepLines/>
        <w:rPr/>
      </w:pPr>
      <w:r>
        <w:rPr/>
        <w:t>For the purposes of the present document, the following abbreviations apply:</w:t>
      </w:r>
    </w:p>
    <w:p>
      <w:pPr>
        <w:pStyle w:val="EW"/>
        <w:keepNext w:val="true"/>
        <w:rPr/>
      </w:pPr>
      <w:r>
        <w:rPr/>
        <w:t>CM</w:t>
        <w:tab/>
        <w:t>Configuration Management</w:t>
      </w:r>
    </w:p>
    <w:p>
      <w:pPr>
        <w:pStyle w:val="EW"/>
        <w:keepNext w:val="true"/>
        <w:rPr/>
      </w:pPr>
      <w:r>
        <w:rPr/>
        <w:t>EM</w:t>
        <w:tab/>
        <w:t>Element Manager</w:t>
      </w:r>
    </w:p>
    <w:p>
      <w:pPr>
        <w:pStyle w:val="EW"/>
        <w:keepNext w:val="true"/>
        <w:rPr/>
      </w:pPr>
      <w:r>
        <w:rPr/>
        <w:t>IRP</w:t>
        <w:tab/>
        <w:t>Integration Reference Point</w:t>
      </w:r>
    </w:p>
    <w:p>
      <w:pPr>
        <w:pStyle w:val="EW"/>
        <w:rPr/>
      </w:pPr>
      <w:r>
        <w:rPr/>
        <w:t>IS</w:t>
        <w:tab/>
        <w:t>Information Service (see 3GPP TS 32.101 [1])</w:t>
      </w:r>
    </w:p>
    <w:p>
      <w:pPr>
        <w:pStyle w:val="EW"/>
        <w:rPr/>
      </w:pPr>
      <w:r>
        <w:rPr/>
        <w:t>Itf-N</w:t>
        <w:tab/>
        <w:t>Interface N</w:t>
      </w:r>
    </w:p>
    <w:p>
      <w:pPr>
        <w:pStyle w:val="EW"/>
        <w:rPr/>
      </w:pPr>
      <w:r>
        <w:rPr/>
        <w:t>MIB</w:t>
        <w:tab/>
        <w:t>Management Information Base</w:t>
      </w:r>
    </w:p>
    <w:p>
      <w:pPr>
        <w:pStyle w:val="EW"/>
        <w:rPr/>
      </w:pPr>
      <w:r>
        <w:rPr/>
        <w:t>NE</w:t>
        <w:tab/>
        <w:t>Network Element</w:t>
      </w:r>
      <w:r>
        <w:br w:type="page"/>
      </w:r>
    </w:p>
    <w:p>
      <w:pPr>
        <w:pStyle w:val="Heading1"/>
        <w:ind w:left="1134" w:hanging="1134"/>
        <w:rPr/>
      </w:pPr>
      <w:bookmarkStart w:id="13" w:name="__RefHeading___Toc161544770"/>
      <w:bookmarkEnd w:id="13"/>
      <w:r>
        <w:rPr/>
        <w:t>4</w:t>
        <w:tab/>
        <w:t>Requirements for partial suspension of Itf-N</w:t>
      </w:r>
    </w:p>
    <w:p>
      <w:pPr>
        <w:pStyle w:val="Heading2"/>
        <w:rPr/>
      </w:pPr>
      <w:bookmarkStart w:id="14" w:name="__RefHeading___Toc161544771"/>
      <w:bookmarkEnd w:id="14"/>
      <w:r>
        <w:rPr/>
        <w:t>4.1</w:t>
        <w:tab/>
        <w:t>General requirements</w:t>
      </w:r>
    </w:p>
    <w:p>
      <w:pPr>
        <w:pStyle w:val="B1"/>
        <w:rPr/>
      </w:pPr>
      <w:r>
        <w:rPr/>
        <w:t>4.1.1</w:t>
        <w:tab/>
        <w:t>Granularity of suspension:</w:t>
        <w:br/>
        <w:t>The Itf-N shall allow to specify in a suspension request which managed instances shall be Itf-N suspended.</w:t>
      </w:r>
    </w:p>
    <w:p>
      <w:pPr>
        <w:pStyle w:val="B1"/>
        <w:rPr/>
      </w:pPr>
      <w:r>
        <w:rPr/>
        <w:t>4.1.2</w:t>
        <w:tab/>
        <w:t>An IRPManager shall be able to remove a partial suspension of Itf</w:t>
        <w:noBreakHyphen/>
        <w:t>N.</w:t>
      </w:r>
    </w:p>
    <w:p>
      <w:pPr>
        <w:pStyle w:val="B1"/>
        <w:rPr/>
      </w:pPr>
      <w:r>
        <w:rPr/>
        <w:t>4.1.3</w:t>
        <w:tab/>
        <w:t>An IRPManager should be able to request from the IRPAgent a list of the active suspensions.</w:t>
      </w:r>
    </w:p>
    <w:p>
      <w:pPr>
        <w:pStyle w:val="B1"/>
        <w:rPr/>
      </w:pPr>
      <w:r>
        <w:rPr/>
        <w:t>4.1.4</w:t>
        <w:tab/>
        <w:t>Impact on logging and alarming:</w:t>
        <w:br/>
        <w:t>It's the IRPAgent's decision whether or not the suspended notifications are logged, whether or not they go into the alarmList.</w:t>
      </w:r>
    </w:p>
    <w:p>
      <w:pPr>
        <w:pStyle w:val="B1"/>
        <w:rPr/>
      </w:pPr>
      <w:r>
        <w:rPr/>
        <w:t>4.1.5</w:t>
        <w:tab/>
        <w:t>Impact on measurements:</w:t>
        <w:br/>
        <w:t>Measurements are not suspended.</w:t>
      </w:r>
    </w:p>
    <w:p>
      <w:pPr>
        <w:pStyle w:val="B1"/>
        <w:rPr/>
      </w:pPr>
      <w:r>
        <w:rPr/>
        <w:t>4.1.6</w:t>
        <w:tab/>
        <w:t>Impact on delta synchronization:</w:t>
        <w:br/>
        <w:t>Delta synchronization is also not affected by the suspension.</w:t>
      </w:r>
    </w:p>
    <w:p>
      <w:pPr>
        <w:pStyle w:val="Heading2"/>
        <w:rPr/>
      </w:pPr>
      <w:bookmarkStart w:id="15" w:name="__RefHeading___Toc161544772"/>
      <w:bookmarkEnd w:id="15"/>
      <w:r>
        <w:rPr/>
        <w:t>4.2</w:t>
        <w:tab/>
        <w:t>Requirements for notifications</w:t>
      </w:r>
    </w:p>
    <w:p>
      <w:pPr>
        <w:pStyle w:val="B1"/>
        <w:rPr/>
      </w:pPr>
      <w:r>
        <w:rPr/>
        <w:t>4.2.1</w:t>
        <w:tab/>
        <w:t>Suspended notifications shall not be sent, need not to be stored for re-sending after the end of the suspension.</w:t>
      </w:r>
    </w:p>
    <w:p>
      <w:pPr>
        <w:pStyle w:val="B1"/>
        <w:rPr/>
      </w:pPr>
      <w:r>
        <w:rPr/>
        <w:t>4.2.2</w:t>
        <w:tab/>
        <w:t>Suspension should be applied as soon as possible, but notifications which are already ready to be sent from notification buffers are allowed to be sent.</w:t>
      </w:r>
    </w:p>
    <w:p>
      <w:pPr>
        <w:pStyle w:val="Heading2"/>
        <w:rPr/>
      </w:pPr>
      <w:bookmarkStart w:id="16" w:name="__RefHeading___Toc161544773"/>
      <w:bookmarkEnd w:id="16"/>
      <w:r>
        <w:rPr/>
        <w:t>4.3</w:t>
        <w:tab/>
        <w:t>Security related requirements</w:t>
      </w:r>
    </w:p>
    <w:p>
      <w:pPr>
        <w:pStyle w:val="B1"/>
        <w:rPr/>
      </w:pPr>
      <w:r>
        <w:rPr/>
        <w:t>4.3.1</w:t>
        <w:tab/>
        <w:t>Authorization and Authentication of IRPManagers requesting partial suspension of Itf-N may be regarded necessary.</w:t>
      </w:r>
    </w:p>
    <w:p>
      <w:pPr>
        <w:pStyle w:val="Heading2"/>
        <w:rPr/>
      </w:pPr>
      <w:bookmarkStart w:id="17" w:name="__RefHeading___Toc161544774"/>
      <w:bookmarkEnd w:id="17"/>
      <w:r>
        <w:rPr/>
        <w:t>4.4</w:t>
        <w:tab/>
        <w:t>Multi-Manager Related Requirements</w:t>
      </w:r>
    </w:p>
    <w:p>
      <w:pPr>
        <w:pStyle w:val="B1"/>
        <w:rPr/>
      </w:pPr>
      <w:r>
        <w:rPr/>
        <w:t>4.4.1</w:t>
        <w:tab/>
        <w:t>If one IRPManager requests a partial suspension of Itf-N, then a notification shall be sent containing the information about the suspension.</w:t>
      </w:r>
      <w:r>
        <w:rPr>
          <w:lang w:eastAsia="zh-CN"/>
        </w:rPr>
        <w:t xml:space="preserve"> After receiving the notification,</w:t>
      </w:r>
      <w:r>
        <w:rPr>
          <w:u w:val="single"/>
          <w:lang w:eastAsia="zh-CN"/>
        </w:rPr>
        <w:t xml:space="preserve"> </w:t>
      </w:r>
      <w:r>
        <w:rPr>
          <w:lang w:eastAsia="zh-CN"/>
        </w:rPr>
        <w:t>IRPManagers should be aware that the IRPAgent can not deliver reliable results for some operations while partial suspension is active. Therefore the IRPManager should not use such operations, e.g. CM and FM or TM, etc. operations in the scoped branch of the MIB, which is suspended.</w:t>
      </w:r>
    </w:p>
    <w:p>
      <w:pPr>
        <w:pStyle w:val="B1"/>
        <w:rPr/>
      </w:pPr>
      <w:r>
        <w:rPr/>
        <w:t>4.4.2</w:t>
        <w:tab/>
        <w:t>If an IRPManager requests an operation related to suspended instances which are subject of notification forwarding, then a notification may be sent to this IRPManager containing the information about the related suspension.</w:t>
      </w:r>
    </w:p>
    <w:p>
      <w:pPr>
        <w:pStyle w:val="B1"/>
        <w:rPr/>
      </w:pPr>
      <w:r>
        <w:rPr/>
        <w:t>4.4.3</w:t>
        <w:tab/>
        <w:t>If one IRPManager removes a partial suspension of Itf-N, then a notification shall be sent containing the information about the suspension revocation.</w:t>
        <w:br/>
        <w:t>An Itf-N partial suspension may be removed by another IRPManager than the one who requested it. This is useful in order to avoid the critical case that a temporary Itf-N suspension can not be removed anymore because the initiating IRPManager fails for a longer time.</w:t>
      </w:r>
    </w:p>
    <w:p>
      <w:pPr>
        <w:pStyle w:val="NO"/>
        <w:rPr/>
      </w:pPr>
      <w:r>
        <w:rPr/>
        <w:t>NOTE:</w:t>
        <w:tab/>
        <w:t>The co-ordination between several IRPManagers / NMS operators involved in this functionality is an organizational matter and out of scope of the present document.</w:t>
      </w:r>
      <w:r>
        <w:br w:type="page"/>
      </w:r>
    </w:p>
    <w:p>
      <w:pPr>
        <w:pStyle w:val="Heading8"/>
        <w:ind w:left="0" w:hanging="0"/>
        <w:rPr/>
      </w:pPr>
      <w:bookmarkStart w:id="18" w:name="__RefHeading___Toc161544775"/>
      <w:bookmarkEnd w:id="18"/>
      <w:r>
        <w:rPr/>
        <w:t xml:space="preserve">Annex </w:t>
      </w:r>
      <w:r>
        <w:rPr>
          <w:lang w:eastAsia="zh-CN"/>
        </w:rPr>
        <w:t>A (informative):</w:t>
        <w:br/>
      </w:r>
      <w:r>
        <w:rPr/>
        <w:t>Change history</w:t>
      </w:r>
    </w:p>
    <w:tbl>
      <w:tblPr>
        <w:tblW w:w="5000" w:type="pct"/>
        <w:jc w:val="left"/>
        <w:tblInd w:w="-47" w:type="dxa"/>
        <w:tblLayout w:type="fixed"/>
        <w:tblCellMar>
          <w:top w:w="0" w:type="dxa"/>
          <w:left w:w="40" w:type="dxa"/>
          <w:bottom w:w="0" w:type="dxa"/>
          <w:right w:w="40" w:type="dxa"/>
        </w:tblCellMar>
      </w:tblPr>
      <w:tblGrid>
        <w:gridCol w:w="704"/>
        <w:gridCol w:w="734"/>
        <w:gridCol w:w="709"/>
        <w:gridCol w:w="564"/>
        <w:gridCol w:w="703"/>
        <w:gridCol w:w="4350"/>
        <w:gridCol w:w="565"/>
        <w:gridCol w:w="704"/>
        <w:gridCol w:w="605"/>
      </w:tblGrid>
      <w:tr>
        <w:trPr>
          <w:cantSplit w:val="true"/>
        </w:trPr>
        <w:tc>
          <w:tcPr>
            <w:tcW w:w="9638"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0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70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3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ＭＳ 明朝" w:cs="Arial"/>
                <w:b/>
                <w:bCs/>
                <w:color w:val="000000"/>
                <w:sz w:val="16"/>
                <w:szCs w:val="16"/>
                <w:lang w:eastAsia="ja-JP"/>
              </w:rPr>
              <w:t>Cat</w:t>
            </w:r>
          </w:p>
        </w:tc>
        <w:tc>
          <w:tcPr>
            <w:tcW w:w="70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60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704" w:type="dxa"/>
            <w:tcBorders>
              <w:top w:val="single" w:sz="6" w:space="0" w:color="000000"/>
              <w:left w:val="single" w:sz="6" w:space="0" w:color="000000"/>
              <w:bottom w:val="single" w:sz="6" w:space="0" w:color="000000"/>
              <w:right w:val="single" w:sz="6" w:space="0" w:color="000000"/>
            </w:tcBorders>
          </w:tcPr>
          <w:p>
            <w:pPr>
              <w:pStyle w:val="TAL"/>
              <w:rPr>
                <w:bCs/>
                <w:sz w:val="16"/>
                <w:szCs w:val="16"/>
              </w:rPr>
            </w:pPr>
            <w:r>
              <w:rPr>
                <w:bCs/>
                <w:sz w:val="16"/>
                <w:szCs w:val="16"/>
              </w:rPr>
              <w:t>Jun 2006</w:t>
            </w:r>
          </w:p>
        </w:tc>
        <w:tc>
          <w:tcPr>
            <w:tcW w:w="734" w:type="dxa"/>
            <w:tcBorders>
              <w:top w:val="single" w:sz="6" w:space="0" w:color="000000"/>
              <w:left w:val="single" w:sz="6" w:space="0" w:color="000000"/>
              <w:bottom w:val="single" w:sz="6" w:space="0" w:color="000000"/>
              <w:right w:val="single" w:sz="6" w:space="0" w:color="000000"/>
            </w:tcBorders>
          </w:tcPr>
          <w:p>
            <w:pPr>
              <w:pStyle w:val="TAL"/>
              <w:rPr>
                <w:bCs/>
                <w:sz w:val="16"/>
                <w:szCs w:val="16"/>
              </w:rPr>
            </w:pPr>
            <w:r>
              <w:rPr>
                <w:bCs/>
                <w:sz w:val="16"/>
                <w:szCs w:val="16"/>
              </w:rPr>
              <w:t>SA_32</w:t>
            </w:r>
          </w:p>
        </w:tc>
        <w:tc>
          <w:tcPr>
            <w:tcW w:w="70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SP-060254</w:t>
            </w:r>
          </w:p>
        </w:tc>
        <w:tc>
          <w:tcPr>
            <w:tcW w:w="56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70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435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color w:val="000000"/>
                <w:sz w:val="16"/>
              </w:rPr>
              <w:t>Submitted to SA#32 for Information</w:t>
            </w:r>
          </w:p>
        </w:tc>
        <w:tc>
          <w:tcPr>
            <w:tcW w:w="56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color w:val="000000"/>
                <w:sz w:val="16"/>
                <w:szCs w:val="16"/>
              </w:rPr>
              <w:t>1.0.0</w:t>
            </w:r>
          </w:p>
        </w:tc>
        <w:tc>
          <w:tcPr>
            <w:tcW w:w="605"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r>
      <w:tr>
        <w:trPr/>
        <w:tc>
          <w:tcPr>
            <w:tcW w:w="704"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Jun 2006</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3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rPr>
              <w:t>History box clean-up</w:t>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7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1.0.0</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1.0.1</w:t>
            </w:r>
          </w:p>
        </w:tc>
      </w:tr>
      <w:tr>
        <w:trPr/>
        <w:tc>
          <w:tcPr>
            <w:tcW w:w="704"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Mar 2007</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SA_35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SP-070058</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3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rPr>
              <w:t>Submitted to SA#35 for Approval</w:t>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7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2.0.0</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7.0.0</w:t>
            </w:r>
          </w:p>
        </w:tc>
      </w:tr>
      <w:tr>
        <w:trPr/>
        <w:tc>
          <w:tcPr>
            <w:tcW w:w="7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2008</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SA_42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5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Upgrade to Release 8</w:t>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70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7.0.0</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8.0.0</w:t>
            </w:r>
          </w:p>
        </w:tc>
      </w:tr>
      <w:tr>
        <w:trPr/>
        <w:tc>
          <w:tcPr>
            <w:tcW w:w="7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2009</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5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Rel-9 version (MCC)</w:t>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70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8.0.0</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9.0.0</w:t>
            </w:r>
          </w:p>
        </w:tc>
      </w:tr>
      <w:tr>
        <w:trPr/>
        <w:tc>
          <w:tcPr>
            <w:tcW w:w="7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5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Rel-10 version (MCC)</w:t>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70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9.0.0</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10.0.0</w:t>
            </w:r>
          </w:p>
        </w:tc>
      </w:tr>
      <w:tr>
        <w:trPr/>
        <w:tc>
          <w:tcPr>
            <w:tcW w:w="704"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2012-09</w:t>
            </w:r>
          </w:p>
        </w:tc>
        <w:tc>
          <w:tcPr>
            <w:tcW w:w="734"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64"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703"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50"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Rel-11 version (MCC)</w:t>
            </w:r>
          </w:p>
        </w:tc>
        <w:tc>
          <w:tcPr>
            <w:tcW w:w="56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704"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10.0.0</w:t>
            </w:r>
          </w:p>
        </w:tc>
        <w:tc>
          <w:tcPr>
            <w:tcW w:w="605"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b/>
                <w:b/>
                <w:color w:val="000000"/>
                <w:sz w:val="16"/>
                <w:szCs w:val="16"/>
                <w:lang w:eastAsia="ko-KR"/>
              </w:rPr>
            </w:pPr>
            <w:r>
              <w:rPr>
                <w:rFonts w:eastAsia="Batang;바탕" w:cs="Arial"/>
                <w:b/>
                <w:color w:val="000000"/>
                <w:sz w:val="16"/>
                <w:szCs w:val="16"/>
                <w:lang w:eastAsia="ko-KR"/>
              </w:rPr>
              <w:t>11.0.0</w:t>
            </w:r>
          </w:p>
        </w:tc>
      </w:tr>
      <w:tr>
        <w:trPr/>
        <w:tc>
          <w:tcPr>
            <w:tcW w:w="70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2014-10</w:t>
            </w:r>
          </w:p>
        </w:tc>
        <w:tc>
          <w:tcPr>
            <w:tcW w:w="73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6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703"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5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Rel-12 version (MCC)</w:t>
            </w:r>
          </w:p>
        </w:tc>
        <w:tc>
          <w:tcPr>
            <w:tcW w:w="56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70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11.0.0</w:t>
            </w:r>
          </w:p>
        </w:tc>
        <w:tc>
          <w:tcPr>
            <w:tcW w:w="60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b/>
                <w:b/>
                <w:color w:val="000000"/>
                <w:sz w:val="16"/>
                <w:szCs w:val="16"/>
                <w:lang w:eastAsia="ko-KR"/>
              </w:rPr>
            </w:pPr>
            <w:r>
              <w:rPr>
                <w:rFonts w:eastAsia="Batang;바탕" w:cs="Arial"/>
                <w:b/>
                <w:color w:val="000000"/>
                <w:sz w:val="16"/>
                <w:szCs w:val="16"/>
                <w:lang w:eastAsia="ko-KR"/>
              </w:rPr>
              <w:t>12.0.0</w:t>
            </w:r>
          </w:p>
        </w:tc>
      </w:tr>
      <w:tr>
        <w:trPr/>
        <w:tc>
          <w:tcPr>
            <w:tcW w:w="70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2016-01</w:t>
            </w:r>
          </w:p>
        </w:tc>
        <w:tc>
          <w:tcPr>
            <w:tcW w:w="734"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6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703"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5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Rel-13 version (MCC)</w:t>
            </w:r>
          </w:p>
        </w:tc>
        <w:tc>
          <w:tcPr>
            <w:tcW w:w="56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70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12.0.0</w:t>
            </w:r>
          </w:p>
        </w:tc>
        <w:tc>
          <w:tcPr>
            <w:tcW w:w="60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b/>
                <w:b/>
                <w:color w:val="000000"/>
                <w:sz w:val="16"/>
                <w:szCs w:val="16"/>
                <w:lang w:eastAsia="ko-KR"/>
              </w:rPr>
            </w:pPr>
            <w:r>
              <w:rPr>
                <w:rFonts w:eastAsia="Batang;바탕" w:cs="Arial"/>
                <w:b/>
                <w:color w:val="000000"/>
                <w:sz w:val="16"/>
                <w:szCs w:val="16"/>
                <w:lang w:eastAsia="ko-KR"/>
              </w:rPr>
              <w:t>13.0.0</w:t>
            </w:r>
          </w:p>
        </w:tc>
      </w:tr>
      <w:tr>
        <w:trPr/>
        <w:tc>
          <w:tcPr>
            <w:tcW w:w="70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2017-03</w:t>
            </w:r>
          </w:p>
        </w:tc>
        <w:tc>
          <w:tcPr>
            <w:tcW w:w="73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SA#75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6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703"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5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sz w:val="16"/>
                <w:szCs w:val="16"/>
              </w:rPr>
              <w:t>Promotion to Release 14 without technical change</w:t>
            </w:r>
          </w:p>
        </w:tc>
        <w:tc>
          <w:tcPr>
            <w:tcW w:w="56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70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13.0.0</w:t>
            </w:r>
          </w:p>
        </w:tc>
        <w:tc>
          <w:tcPr>
            <w:tcW w:w="60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b/>
                <w:b/>
                <w:color w:val="000000"/>
                <w:sz w:val="16"/>
                <w:szCs w:val="16"/>
                <w:lang w:eastAsia="ko-KR"/>
              </w:rPr>
            </w:pPr>
            <w:r>
              <w:rPr>
                <w:rFonts w:eastAsia="Batang;바탕" w:cs="Arial"/>
                <w:b/>
                <w:color w:val="000000"/>
                <w:sz w:val="16"/>
                <w:szCs w:val="16"/>
                <w:lang w:eastAsia="ko-KR"/>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7"/>
      <w:footerReference w:type="default" r:id="rId8"/>
      <w:type w:val="nextPage"/>
      <w:pgSz w:w="11906" w:h="16838"/>
      <w:pgMar w:left="1134" w:right="1134" w:gutter="0" w:header="680" w:top="1418" w:footer="34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SimHei">
    <w:altName w:val="黑体"/>
    <w:charset w:val="86"/>
    <w:family w:val="modern"/>
    <w:pitch w:val="default"/>
  </w:font>
  <w:font w:name="Tms Rmn">
    <w:altName w:val="Times New Roman"/>
    <w:charset w:val="00"/>
    <w:family w:val="roman"/>
    <w:pitch w:val="variable"/>
  </w:font>
  <w:font w:name="Arial">
    <w:altName w:val="Bold"/>
    <w:charset w:val="00"/>
    <w:family w:val="swiss"/>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80"/>
      <w:jc w:val="center"/>
      <w:rPr>
        <w:b/>
        <w:b/>
        <w:i/>
        <w:i/>
      </w:rPr>
    </w:pPr>
    <w:r>
      <w:rPr>
        <w:b/>
        <w:i/>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fldChar w:fldCharType="begin"/>
    </w:r>
    <w:r>
      <w:rPr/>
      <w:instrText xml:space="preserve"> STYLEREF ZGSM </w:instrText>
    </w:r>
    <w:r>
      <w:rPr/>
    </w:r>
    <w:r>
      <w:rPr/>
      <w:fldChar w:fldCharType="separate"/>
    </w:r>
    <w:r>
      <w:rPr/>
      <w:t>Release 15</w:t>
    </w:r>
    <w:r>
      <w:rPr/>
    </w:r>
    <w:r>
      <w:rPr/>
      <w:fldChar w:fldCharType="end"/>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32.381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32.381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b/>
    </w:rPr>
  </w:style>
  <w:style w:type="character" w:styleId="WW8Num11z0">
    <w:name w:val="WW8Num11z0"/>
    <w:qFormat/>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6z0">
    <w:name w:val="WW8Num16z0"/>
    <w:qFormat/>
    <w:rPr>
      <w:b/>
    </w:rPr>
  </w:style>
  <w:style w:type="character" w:styleId="WW8Num17z0">
    <w:name w:val="WW8Num17z0"/>
    <w:qFormat/>
    <w:rPr/>
  </w:style>
  <w:style w:type="character" w:styleId="WW8Num18z0">
    <w:name w:val="WW8Num18z0"/>
    <w:qFormat/>
    <w:rPr>
      <w:rFonts w:ascii="Symbol" w:hAnsi="Symbol" w:cs="Symbol"/>
    </w:rPr>
  </w:style>
  <w:style w:type="character" w:styleId="WW8Num20z0">
    <w:name w:val="WW8Num20z0"/>
    <w:qFormat/>
    <w:rPr/>
  </w:style>
  <w:style w:type="character" w:styleId="WW8Num21z0">
    <w:name w:val="WW8Num21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Char">
    <w:name w:val=" Char"/>
    <w:qFormat/>
    <w:rPr>
      <w:rFonts w:ascii="Arial" w:hAnsi="Arial" w:eastAsia="SimSun;宋体" w:cs="Arial"/>
      <w:sz w:val="36"/>
      <w:lang w:val="en-GB" w:bidi="ar-SA"/>
    </w:rPr>
  </w:style>
  <w:style w:type="character" w:styleId="TALCharChar">
    <w:name w:val="TAL Char Char"/>
    <w:qFormat/>
    <w:rPr>
      <w:rFonts w:ascii="Arial" w:hAnsi="Arial" w:eastAsia="SimSun;宋体" w:cs="Arial"/>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keepLines/>
      <w:tabs>
        <w:tab w:val="clear" w:pos="284"/>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spacing w:before="240" w:after="0"/>
    </w:pPr>
    <w:rPr>
      <w:rFonts w:ascii="Arial" w:hAnsi="Arial" w:cs="Arial"/>
      <w:sz w:val="22"/>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pde">
    <w:name w:val="cpde"/>
    <w:basedOn w:val="Normal"/>
    <w:qFormat/>
    <w:pPr>
      <w:tabs>
        <w:tab w:val="clear" w:pos="284"/>
        <w:tab w:val="left" w:pos="360" w:leader="none"/>
      </w:tabs>
      <w:spacing w:before="120" w:after="0"/>
      <w:ind w:left="360" w:hanging="360"/>
    </w:pPr>
    <w:rPr>
      <w:rFonts w:ascii="Helvetica" w:hAnsi="Helvetica" w:cs="Helvetica"/>
      <w:lang w:val="en-US"/>
    </w:rPr>
  </w:style>
  <w:style w:type="paragraph" w:styleId="TableofFigures">
    <w:name w:val="Table of Figures"/>
    <w:basedOn w:val="Normal"/>
    <w:next w:val="Normal"/>
    <w:qFormat/>
    <w:pPr>
      <w:tabs>
        <w:tab w:val="clear" w:pos="284"/>
        <w:tab w:val="right" w:pos="8626" w:leader="none"/>
      </w:tabs>
      <w:spacing w:before="120" w:after="0"/>
      <w:ind w:left="400" w:hanging="400"/>
    </w:pPr>
    <w:rPr>
      <w:rFonts w:ascii="Helvetica" w:hAnsi="Helvetica" w:cs="Helvetica"/>
      <w:lang w:val="en-US"/>
    </w:rPr>
  </w:style>
  <w:style w:type="paragraph" w:styleId="BodyTextIndent3">
    <w:name w:val="Body Text Indent 3"/>
    <w:basedOn w:val="Normal"/>
    <w:qFormat/>
    <w:pPr>
      <w:spacing w:before="120" w:after="0"/>
      <w:ind w:left="360" w:hanging="0"/>
    </w:pPr>
    <w:rPr>
      <w:rFonts w:ascii="Helvetica" w:hAnsi="Helvetica" w:cs="Helvetica"/>
      <w:lang w:val="en-US"/>
    </w:rPr>
  </w:style>
  <w:style w:type="paragraph" w:styleId="BodyText3">
    <w:name w:val="Body Text 3"/>
    <w:basedOn w:val="Normal"/>
    <w:qFormat/>
    <w:pPr>
      <w:spacing w:before="120" w:after="0"/>
    </w:pPr>
    <w:rPr>
      <w:rFonts w:ascii="Helvetica" w:hAnsi="Helvetica" w:cs="Helvetica"/>
      <w:i/>
      <w:lang w:val="en-US"/>
    </w:rPr>
  </w:style>
  <w:style w:type="paragraph" w:styleId="BodyTextIndent2">
    <w:name w:val="Body Text Indent 2"/>
    <w:basedOn w:val="Normal"/>
    <w:qFormat/>
    <w:pPr>
      <w:spacing w:before="120" w:after="0"/>
      <w:ind w:left="720" w:hanging="720"/>
    </w:pPr>
    <w:rPr>
      <w:rFonts w:ascii="Arial" w:hAnsi="Arial" w:cs="Arial"/>
      <w:lang w:val="en-US"/>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ode">
    <w:name w:val="code"/>
    <w:basedOn w:val="Normal"/>
    <w:qFormat/>
    <w:pPr>
      <w:spacing w:before="0" w:after="0"/>
    </w:pPr>
    <w:rPr>
      <w:rFonts w:ascii="Courier New" w:hAnsi="Courier New" w:cs="Courier New"/>
      <w:lang w:val="en-US" w:eastAsia="en-US"/>
    </w:rPr>
  </w:style>
  <w:style w:type="paragraph" w:styleId="Pl1">
    <w:name w:val="pl"/>
    <w:basedOn w:val="Normal"/>
    <w:qFormat/>
    <w:pPr>
      <w:overflowPunct w:val="true"/>
      <w:autoSpaceDE w:val="true"/>
      <w:spacing w:before="100" w:after="100"/>
      <w:textAlignment w:val="auto"/>
    </w:pPr>
    <w:rPr>
      <w:rFonts w:eastAsia="Batang;바탕"/>
      <w:sz w:val="24"/>
      <w:szCs w:val="24"/>
      <w:lang w:val="en-US" w:eastAsia="ko-KR"/>
    </w:rPr>
  </w:style>
  <w:style w:type="paragraph" w:styleId="CommentSubject">
    <w:name w:val="Comment Subject"/>
    <w:basedOn w:val="CommentText"/>
    <w:next w:val="CommentText"/>
    <w:qFormat/>
    <w:pPr/>
    <w:rPr>
      <w:b/>
      <w:bCs/>
    </w:rPr>
  </w:style>
  <w:style w:type="paragraph" w:styleId="TALChar">
    <w:name w:val="TAL Char"/>
    <w:basedOn w:val="Normal"/>
    <w:qFormat/>
    <w:pPr>
      <w:keepNext w:val="true"/>
      <w:keepLines/>
      <w:overflowPunct w:val="true"/>
      <w:autoSpaceDE w:val="true"/>
      <w:spacing w:before="0" w:after="0"/>
      <w:textAlignment w:val="auto"/>
    </w:pPr>
    <w:rPr>
      <w:rFonts w:ascii="Arial" w:hAnsi="Arial" w:cs="Arial"/>
      <w:sz w:val="18"/>
    </w:rPr>
  </w:style>
  <w:style w:type="paragraph" w:styleId="INDENT2">
    <w:name w:val="INDENT2"/>
    <w:basedOn w:val="Normal"/>
    <w:qFormat/>
    <w:pPr>
      <w:numPr>
        <w:ilvl w:val="0"/>
        <w:numId w:val="6"/>
      </w:numPr>
      <w:overflowPunct w:val="true"/>
      <w:autoSpaceDE w:val="true"/>
      <w:ind w:left="1135" w:hanging="284"/>
      <w:textAlignment w:val="auto"/>
    </w:pPr>
    <w:rPr/>
  </w:style>
  <w:style w:type="paragraph" w:styleId="INDENT3">
    <w:name w:val="INDENT3"/>
    <w:basedOn w:val="Normal"/>
    <w:qFormat/>
    <w:pPr>
      <w:overflowPunct w:val="true"/>
      <w:autoSpaceDE w:val="true"/>
      <w:ind w:left="1701" w:hanging="567"/>
      <w:textAlignment w:val="auto"/>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overflowPunct w:val="true"/>
      <w:autoSpaceDE w:val="true"/>
      <w:spacing w:before="120" w:after="480"/>
      <w:jc w:val="center"/>
      <w:textAlignment w:val="auto"/>
    </w:pPr>
    <w:rPr>
      <w:b/>
      <w:sz w:val="24"/>
    </w:rPr>
  </w:style>
  <w:style w:type="paragraph" w:styleId="RecCCITT">
    <w:name w:val="Rec_CCITT_#"/>
    <w:basedOn w:val="Normal"/>
    <w:qFormat/>
    <w:pPr>
      <w:keepNext w:val="true"/>
      <w:keepLines/>
      <w:overflowPunct w:val="true"/>
      <w:autoSpaceDE w:val="true"/>
      <w:textAlignment w:val="auto"/>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overflowPunct w:val="true"/>
      <w:autoSpaceDE w:val="true"/>
      <w:spacing w:before="86" w:after="180"/>
      <w:ind w:left="1588" w:hanging="397"/>
      <w:jc w:val="both"/>
      <w:textAlignment w:val="auto"/>
    </w:pPr>
    <w:rPr>
      <w:lang w:val="en-US"/>
    </w:rPr>
  </w:style>
  <w:style w:type="paragraph" w:styleId="CouvRecTitle">
    <w:name w:val="Couv Rec Title"/>
    <w:basedOn w:val="Normal"/>
    <w:qFormat/>
    <w:pPr>
      <w:keepNext w:val="true"/>
      <w:keepLines/>
      <w:overflowPunct w:val="true"/>
      <w:autoSpaceDE w:val="true"/>
      <w:spacing w:before="240" w:after="180"/>
      <w:ind w:left="1418" w:hanging="0"/>
      <w:textAlignment w:val="auto"/>
    </w:pPr>
    <w:rPr>
      <w:rFonts w:ascii="Arial" w:hAnsi="Arial" w:cs="Arial"/>
      <w:b/>
      <w:sz w:val="36"/>
      <w:lang w:val="en-US"/>
    </w:rPr>
  </w:style>
  <w:style w:type="paragraph" w:styleId="TAJ">
    <w:name w:val="TAJ"/>
    <w:basedOn w:val="TH"/>
    <w:qFormat/>
    <w:pPr>
      <w:overflowPunct w:val="true"/>
      <w:autoSpaceDE w:val="true"/>
      <w:textAlignment w:val="auto"/>
    </w:pPr>
    <w:rPr/>
  </w:style>
  <w:style w:type="paragraph" w:styleId="Guidance">
    <w:name w:val="Guidance"/>
    <w:basedOn w:val="Normal"/>
    <w:qFormat/>
    <w:pPr>
      <w:overflowPunct w:val="true"/>
      <w:autoSpaceDE w:val="true"/>
      <w:textAlignment w:val="auto"/>
    </w:pPr>
    <w:rPr>
      <w:i/>
      <w:color w:val="0000FF"/>
    </w:rPr>
  </w:style>
  <w:style w:type="paragraph" w:styleId="Frontcover">
    <w:name w:val="Front_cover"/>
    <w:qFormat/>
    <w:pPr>
      <w:widowControl/>
      <w:bidi w:val="0"/>
    </w:pPr>
    <w:rPr>
      <w:rFonts w:ascii="Arial" w:hAnsi="Arial" w:eastAsia="SimSun;宋体" w:cs="Arial"/>
      <w:color w:val="auto"/>
      <w:sz w:val="20"/>
      <w:szCs w:val="20"/>
      <w:lang w:val="en-GB" w:bidi="ar-SA" w:eastAsia="zh-CN"/>
    </w:rPr>
  </w:style>
  <w:style w:type="paragraph" w:styleId="TextBodyIndent">
    <w:name w:val="Body Text Indent"/>
    <w:basedOn w:val="Normal"/>
    <w:pPr>
      <w:widowControl w:val="false"/>
      <w:overflowPunct w:val="true"/>
      <w:autoSpaceDE w:val="true"/>
      <w:spacing w:before="0" w:after="0"/>
      <w:ind w:left="-142" w:hanging="0"/>
      <w:textAlignment w:val="auto"/>
    </w:pPr>
    <w:rPr>
      <w:sz w:val="22"/>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autoSpaceDE w:val="true"/>
      <w:spacing w:before="0" w:after="0"/>
      <w:textAlignment w:val="auto"/>
    </w:pPr>
    <w:rPr>
      <w:rFonts w:ascii="SimHei;黑体" w:hAnsi="SimHei;黑体" w:eastAsia="SimHei;黑体" w:cs="Courier New"/>
      <w:lang w:val="en-US" w:eastAsia="zh-CN"/>
    </w:rPr>
  </w:style>
  <w:style w:type="paragraph" w:styleId="1">
    <w:name w:val="批注框文本1"/>
    <w:basedOn w:val="Normal"/>
    <w:qFormat/>
    <w:pPr>
      <w:overflowPunct w:val="true"/>
      <w:autoSpaceDE w:val="true"/>
      <w:textAlignment w:val="auto"/>
    </w:pPr>
    <w:rPr>
      <w:sz w:val="18"/>
      <w:szCs w:val="18"/>
    </w:rPr>
  </w:style>
  <w:style w:type="paragraph" w:styleId="Enumlev1">
    <w:name w:val="enumlev1"/>
    <w:basedOn w:val="Normal"/>
    <w:qFormat/>
    <w:pPr>
      <w:tabs>
        <w:tab w:val="clear" w:pos="284"/>
        <w:tab w:val="left" w:pos="397" w:leader="none"/>
      </w:tabs>
      <w:spacing w:before="86" w:after="0"/>
      <w:ind w:left="397" w:hanging="397"/>
      <w:jc w:val="both"/>
    </w:pPr>
    <w:rPr>
      <w:lang w:val="en-US" w:eastAsia="zh-CN"/>
    </w:rPr>
  </w:style>
  <w:style w:type="paragraph" w:styleId="IBL">
    <w:name w:val="IBL"/>
    <w:basedOn w:val="Normal"/>
    <w:qFormat/>
    <w:pPr>
      <w:tabs>
        <w:tab w:val="left" w:pos="284" w:leader="none"/>
      </w:tabs>
      <w:ind w:left="284" w:hanging="284"/>
    </w:pPr>
    <w:rPr/>
  </w:style>
  <w:style w:type="paragraph" w:styleId="11">
    <w:name w:val="批注主题1"/>
    <w:basedOn w:val="CommentText"/>
    <w:next w:val="CommentText"/>
    <w:qFormat/>
    <w:pPr>
      <w:overflowPunct w:val="true"/>
      <w:autoSpaceDE w:val="true"/>
      <w:textAlignment w:val="auto"/>
    </w:pPr>
    <w:rPr>
      <w:b/>
      <w:bCs/>
    </w:rPr>
  </w:style>
  <w:style w:type="paragraph" w:styleId="CRCoverPage">
    <w:name w:val="CR Cover Page"/>
    <w:next w:val="Normal"/>
    <w:qFormat/>
    <w:pPr>
      <w:widowControl/>
      <w:bidi w:val="0"/>
      <w:spacing w:before="0" w:after="120"/>
    </w:pPr>
    <w:rPr>
      <w:rFonts w:ascii="Arial" w:hAnsi="Arial" w:eastAsia="SimSun;宋体" w:cs="Arial"/>
      <w:color w:val="auto"/>
      <w:sz w:val="20"/>
      <w:szCs w:val="20"/>
      <w:lang w:val="en-GB" w:eastAsia="zh-CN" w:bidi="ar-SA"/>
    </w:rPr>
  </w:style>
  <w:style w:type="paragraph" w:styleId="TableText">
    <w:name w:val="Table_Text"/>
    <w:basedOn w:val="Normal"/>
    <w:qFormat/>
    <w:pPr>
      <w:keepNext w:val="true"/>
      <w:tabs>
        <w:tab w:val="clear" w:pos="284"/>
        <w:tab w:val="left" w:pos="794" w:leader="none"/>
        <w:tab w:val="left" w:pos="1191" w:leader="none"/>
        <w:tab w:val="left" w:pos="1588" w:leader="none"/>
        <w:tab w:val="left" w:pos="1985" w:leader="none"/>
      </w:tabs>
      <w:overflowPunct w:val="true"/>
      <w:autoSpaceDE w:val="true"/>
      <w:spacing w:before="142" w:after="142"/>
      <w:textAlignment w:val="auto"/>
    </w:pPr>
    <w:rPr>
      <w:rFonts w:ascii="Tms Rmn" w:hAnsi="Tms Rmn" w:eastAsia="Times New Roman" w:cs="Tms Rmn"/>
      <w:sz w:val="18"/>
    </w:rPr>
  </w:style>
  <w:style w:type="paragraph" w:styleId="Default">
    <w:name w:val="Default"/>
    <w:qFormat/>
    <w:pPr>
      <w:widowControl/>
      <w:autoSpaceDE w:val="false"/>
      <w:bidi w:val="0"/>
    </w:pPr>
    <w:rPr>
      <w:rFonts w:ascii="Arial,Bold;Arial" w:hAnsi="Arial,Bold;Arial" w:eastAsia="Times New Roman" w:cs="Arial,Bold;Arial"/>
      <w:color w:val="auto"/>
      <w:sz w:val="20"/>
      <w:szCs w:val="20"/>
      <w:lang w:val="en-US" w:bidi="ar-SA" w:eastAsia="zh-CN"/>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2020-07-09T16:22:00Z</dcterms:created>
  <dc:creator>MCC Support</dc:creator>
  <dc:description/>
  <cp:keywords>management</cp:keywords>
  <dc:language>en-US</dc:language>
  <cp:lastModifiedBy>23.401_CR3602R2_(Rel-16)_5GS_Ph1, LTE_feMob-Core, </cp:lastModifiedBy>
  <cp:lastPrinted>2000-07-21T09:59:00Z</cp:lastPrinted>
  <dcterms:modified xsi:type="dcterms:W3CDTF">2020-07-09T16:22:00Z</dcterms:modified>
  <cp:revision>2</cp:revision>
  <dc:subject>Telecommunication management; Partial suspension of Itf-N Integration Reference Point (IRP); Requirements (Release 16)</dc:subject>
  <dc:title>3GPP TS 32.381</dc:title>
</cp:coreProperties>
</file>