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0" w:name="page1"/>
                            <w:bookmarkEnd w:id="0"/>
                            <w:r>
                              <w:rPr>
                                <w:sz w:val="64"/>
                              </w:rPr>
                              <w:t xml:space="preserve">3GPP TS 32.432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1" w:name="page1"/>
                      <w:bookmarkEnd w:id="1"/>
                      <w:r>
                        <w:rPr>
                          <w:sz w:val="64"/>
                        </w:rPr>
                        <w:t xml:space="preserve">3GPP TS 32.432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299200" cy="2309495"/>
                <wp:effectExtent l="0" t="0" r="0" b="0"/>
                <wp:wrapTopAndBottom/>
                <wp:docPr id="3" name="Frame3"/>
                <a:graphic xmlns:a="http://schemas.openxmlformats.org/drawingml/2006/main">
                  <a:graphicData uri="http://schemas.microsoft.com/office/word/2010/wordprocessingShape">
                    <wps:wsp>
                      <wps:cNvSpPr txBox="1"/>
                      <wps:spPr>
                        <a:xfrm>
                          <a:off x="0" y="0"/>
                          <a:ext cx="6299200" cy="23094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measurement:</w:t>
                            </w:r>
                          </w:p>
                          <w:p>
                            <w:pPr>
                              <w:pStyle w:val="ZT"/>
                              <w:rPr/>
                            </w:pPr>
                            <w:r>
                              <w:rPr/>
                              <w:t>File format definition</w:t>
                            </w:r>
                          </w:p>
                          <w:p>
                            <w:pPr>
                              <w:pStyle w:val="ZT"/>
                              <w:widowControl w:val="false"/>
                              <w:overflowPunct w:val="false"/>
                              <w:autoSpaceDE w:val="false"/>
                              <w:bidi w:val="0"/>
                              <w:spacing w:lineRule="atLeast" w:line="240" w:before="0" w:after="180"/>
                              <w:ind w:left="568" w:hanging="284"/>
                              <w:jc w:val="right"/>
                              <w:textAlignment w:val="baseline"/>
                              <w:rPr>
                                <w:i/>
                                <w:i/>
                                <w:sz w:val="28"/>
                              </w:rPr>
                            </w:pPr>
                            <w:r>
                              <w:rPr>
                                <w:rStyle w:val="ZGSM"/>
                                <w:color w:val="000000"/>
                              </w:rPr>
                              <w:t>(Release 16)</w:t>
                            </w:r>
                          </w:p>
                        </w:txbxContent>
                      </wps:txbx>
                      <wps:bodyPr anchor="t" lIns="0" tIns="0" rIns="0" bIns="0">
                        <a:noAutofit/>
                      </wps:bodyPr>
                    </wps:wsp>
                  </a:graphicData>
                </a:graphic>
              </wp:anchor>
            </w:drawing>
          </mc:Choice>
          <mc:Fallback>
            <w:pict>
              <v:rect fillcolor="#FFFFFF" style="position:absolute;rotation:-0;width:496pt;height:181.85pt;mso-wrap-distance-left:0pt;mso-wrap-distance-right:0pt;mso-wrap-distance-top:0pt;mso-wrap-distance-bottom:0pt;margin-top:4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measurement:</w:t>
                      </w:r>
                    </w:p>
                    <w:p>
                      <w:pPr>
                        <w:pStyle w:val="ZT"/>
                        <w:rPr/>
                      </w:pPr>
                      <w:r>
                        <w:rPr/>
                        <w:t>File format definition</w:t>
                      </w:r>
                    </w:p>
                    <w:p>
                      <w:pPr>
                        <w:pStyle w:val="ZT"/>
                        <w:widowControl w:val="false"/>
                        <w:overflowPunct w:val="false"/>
                        <w:autoSpaceDE w:val="false"/>
                        <w:bidi w:val="0"/>
                        <w:spacing w:lineRule="atLeast" w:line="240" w:before="0" w:after="180"/>
                        <w:ind w:left="568" w:hanging="284"/>
                        <w:jc w:val="right"/>
                        <w:textAlignment w:val="baseline"/>
                        <w:rPr>
                          <w:i/>
                          <w:i/>
                          <w:sz w:val="28"/>
                        </w:rPr>
                      </w:pPr>
                      <w:r>
                        <w:rPr>
                          <w:rStyle w:val="ZGSM"/>
                          <w:color w:val="000000"/>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spacing w:before="0" w:after="180"/>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spacing w:before="0" w:after="180"/>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99200" cy="1038860"/>
                <wp:effectExtent l="0" t="0" r="0" b="0"/>
                <wp:wrapTopAndBottom/>
                <wp:docPr id="9" name="Frame5"/>
                <a:graphic xmlns:a="http://schemas.openxmlformats.org/drawingml/2006/main">
                  <a:graphicData uri="http://schemas.microsoft.com/office/word/2010/wordprocessingShape">
                    <wps:wsp>
                      <wps:cNvSpPr txBox="1"/>
                      <wps:spPr>
                        <a:xfrm>
                          <a:off x="0" y="0"/>
                          <a:ext cx="629920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6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spacing w:before="0" w:after="180"/>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spacing w:before="0" w:after="180"/>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5941060" cy="452755"/>
                <wp:effectExtent l="0" t="0" r="0" b="0"/>
                <wp:wrapTopAndBottom/>
                <wp:docPr id="11" name="Frame7"/>
                <a:graphic xmlns:a="http://schemas.openxmlformats.org/drawingml/2006/main">
                  <a:graphicData uri="http://schemas.microsoft.com/office/word/2010/wordprocessingShape">
                    <wps:wsp>
                      <wps:cNvSpPr txBox="1"/>
                      <wps:spPr>
                        <a:xfrm>
                          <a:off x="0" y="0"/>
                          <a:ext cx="5941060" cy="452755"/>
                        </a:xfrm>
                        <a:prstGeom prst="rect"/>
                        <a:solidFill>
                          <a:srgbClr val="FFFFFF">
                            <a:alpha val="0"/>
                          </a:srgbClr>
                        </a:solidFill>
                      </wps:spPr>
                      <wps:txbx>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rPr>
                            </w:pPr>
                            <w:r>
                              <w:rPr>
                                <w:rFonts w:cs="Arial" w:ascii="Arial" w:hAnsi="Arial"/>
                                <w:sz w:val="18"/>
                              </w:rPr>
                              <w:t>UMTS, management, performance</w:t>
                            </w:r>
                          </w:p>
                        </w:txbxContent>
                      </wps:txbx>
                      <wps:bodyPr anchor="t" lIns="0" tIns="0" rIns="0" bIns="12700">
                        <a:noAutofit/>
                      </wps:bodyPr>
                    </wps:wsp>
                  </a:graphicData>
                </a:graphic>
              </wp:anchor>
            </w:drawing>
          </mc:Choice>
          <mc:Fallback>
            <w:pict>
              <v:rect fillcolor="#FFFFFF" style="position:absolute;rotation:-0;width:467.8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rPr>
                      </w:pPr>
                      <w:r>
                        <w:rPr>
                          <w:rFonts w:cs="Arial" w:ascii="Arial" w:hAnsi="Arial"/>
                          <w:sz w:val="18"/>
                        </w:rPr>
                        <w:t>UMTS, management, performance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5941060" cy="1767205"/>
                <wp:effectExtent l="0" t="0" r="0" b="0"/>
                <wp:wrapTopAndBottom/>
                <wp:docPr id="12" name="Frame8"/>
                <a:graphic xmlns:a="http://schemas.openxmlformats.org/drawingml/2006/main">
                  <a:graphicData uri="http://schemas.microsoft.com/office/word/2010/wordprocessingShape">
                    <wps:wsp>
                      <wps:cNvSpPr txBox="1"/>
                      <wps:spPr>
                        <a:xfrm>
                          <a:off x="0" y="0"/>
                          <a:ext cx="5941060" cy="1767205"/>
                        </a:xfrm>
                        <a:prstGeom prst="rect"/>
                        <a:solidFill>
                          <a:srgbClr val="FFFFFF">
                            <a:alpha val="0"/>
                          </a:srgbClr>
                        </a:solidFill>
                      </wps:spPr>
                      <wps:txbx>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lang w:val="fr-FR"/>
                              </w:rPr>
                            </w:pPr>
                            <w:r>
                              <w:rPr>
                                <w:lang w:val="fr-FR"/>
                              </w:rPr>
                              <w:t>3GPP support office address</w:t>
                            </w:r>
                          </w:p>
                          <w:p>
                            <w:pPr>
                              <w:pStyle w:val="FP"/>
                              <w:ind w:left="2835" w:right="2835" w:hanging="284"/>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284"/>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284"/>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67.8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lang w:val="fr-FR"/>
                        </w:rPr>
                      </w:pPr>
                      <w:r>
                        <w:rPr>
                          <w:lang w:val="fr-FR"/>
                        </w:rPr>
                        <w:t>3GPP support office address</w:t>
                      </w:r>
                    </w:p>
                    <w:p>
                      <w:pPr>
                        <w:pStyle w:val="FP"/>
                        <w:ind w:left="2835" w:right="2835" w:hanging="284"/>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284"/>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284"/>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5941060" cy="1941195"/>
                <wp:effectExtent l="0" t="0" r="0" b="0"/>
                <wp:wrapTopAndBottom/>
                <wp:docPr id="13" name="Frame9"/>
                <a:graphic xmlns:a="http://schemas.openxmlformats.org/drawingml/2006/main">
                  <a:graphicData uri="http://schemas.microsoft.com/office/word/2010/wordprocessingShape">
                    <wps:wsp>
                      <wps:cNvSpPr txBox="1"/>
                      <wps:spPr>
                        <a:xfrm>
                          <a:off x="0" y="0"/>
                          <a:ext cx="594106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67.8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180"/>
            <w:ind w:left="567" w:right="425" w:hanging="567"/>
            <w:textAlignment w:val="baseline"/>
            <w:rPr>
              <w:rFonts w:eastAsia="Batang;바탕"/>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11795954">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rPr>
          </w:pPr>
          <w:r>
            <w:rPr/>
            <w:t>Introduction</w:t>
            <w:tab/>
          </w:r>
          <w:hyperlink w:anchor="__RefHeading___Toc311795955">
            <w:r>
              <w:rPr>
                <w:rStyle w:val="IndexLink"/>
              </w:rPr>
              <w:t>4</w:t>
            </w:r>
          </w:hyperlink>
        </w:p>
        <w:p>
          <w:pPr>
            <w:pStyle w:val="Contents1"/>
            <w:rPr>
              <w:rFonts w:eastAsia="Batang;바탕"/>
              <w:sz w:val="24"/>
              <w:szCs w:val="24"/>
            </w:rPr>
          </w:pPr>
          <w:r>
            <w:rPr/>
            <w:t>1</w:t>
          </w:r>
          <w:r>
            <w:rPr>
              <w:rFonts w:eastAsia="Batang;바탕"/>
              <w:sz w:val="24"/>
              <w:szCs w:val="24"/>
            </w:rPr>
            <w:tab/>
          </w:r>
          <w:r>
            <w:rPr/>
            <w:t>Scope</w:t>
            <w:tab/>
          </w:r>
          <w:hyperlink w:anchor="__RefHeading___Toc311795956">
            <w:r>
              <w:rPr>
                <w:rStyle w:val="IndexLink"/>
              </w:rPr>
              <w:t>5</w:t>
            </w:r>
          </w:hyperlink>
        </w:p>
        <w:p>
          <w:pPr>
            <w:pStyle w:val="Contents1"/>
            <w:rPr>
              <w:rFonts w:eastAsia="Batang;바탕"/>
              <w:sz w:val="24"/>
              <w:szCs w:val="24"/>
            </w:rPr>
          </w:pPr>
          <w:r>
            <w:rPr/>
            <w:t>2</w:t>
          </w:r>
          <w:r>
            <w:rPr>
              <w:rFonts w:eastAsia="Batang;바탕"/>
              <w:sz w:val="24"/>
              <w:szCs w:val="24"/>
            </w:rPr>
            <w:tab/>
          </w:r>
          <w:r>
            <w:rPr/>
            <w:t>References</w:t>
            <w:tab/>
          </w:r>
          <w:hyperlink w:anchor="__RefHeading___Toc311795957">
            <w:r>
              <w:rPr>
                <w:rStyle w:val="IndexLink"/>
              </w:rPr>
              <w:t>5</w:t>
            </w:r>
          </w:hyperlink>
        </w:p>
        <w:p>
          <w:pPr>
            <w:pStyle w:val="Contents1"/>
            <w:rPr>
              <w:rFonts w:eastAsia="Batang;바탕"/>
              <w:sz w:val="24"/>
              <w:szCs w:val="24"/>
            </w:rPr>
          </w:pPr>
          <w:r>
            <w:rPr/>
            <w:t>3</w:t>
          </w:r>
          <w:r>
            <w:rPr>
              <w:rFonts w:eastAsia="Batang;바탕"/>
              <w:sz w:val="24"/>
              <w:szCs w:val="24"/>
            </w:rPr>
            <w:tab/>
          </w:r>
          <w:r>
            <w:rPr/>
            <w:t>Definitions and abbreviations</w:t>
            <w:tab/>
          </w:r>
          <w:hyperlink w:anchor="__RefHeading___Toc311795958">
            <w:r>
              <w:rPr>
                <w:rStyle w:val="IndexLink"/>
              </w:rPr>
              <w:t>6</w:t>
            </w:r>
          </w:hyperlink>
        </w:p>
        <w:p>
          <w:pPr>
            <w:pStyle w:val="Contents2"/>
            <w:rPr>
              <w:rFonts w:eastAsia="Batang;바탕"/>
              <w:sz w:val="24"/>
              <w:szCs w:val="24"/>
            </w:rPr>
          </w:pPr>
          <w:r>
            <w:rPr/>
            <w:t>3.1</w:t>
          </w:r>
          <w:r>
            <w:rPr>
              <w:rFonts w:eastAsia="Batang;바탕"/>
              <w:sz w:val="24"/>
              <w:szCs w:val="24"/>
            </w:rPr>
            <w:tab/>
          </w:r>
          <w:r>
            <w:rPr/>
            <w:t>Definitions</w:t>
            <w:tab/>
          </w:r>
          <w:hyperlink w:anchor="__RefHeading___Toc311795959">
            <w:r>
              <w:rPr>
                <w:rStyle w:val="IndexLink"/>
              </w:rPr>
              <w:t>6</w:t>
            </w:r>
          </w:hyperlink>
        </w:p>
        <w:p>
          <w:pPr>
            <w:pStyle w:val="Contents2"/>
            <w:rPr>
              <w:rFonts w:eastAsia="Batang;바탕"/>
              <w:sz w:val="24"/>
              <w:szCs w:val="24"/>
            </w:rPr>
          </w:pPr>
          <w:r>
            <w:rPr/>
            <w:t>3.2</w:t>
          </w:r>
          <w:r>
            <w:rPr>
              <w:rFonts w:eastAsia="Batang;바탕"/>
              <w:sz w:val="24"/>
              <w:szCs w:val="24"/>
            </w:rPr>
            <w:tab/>
          </w:r>
          <w:r>
            <w:rPr/>
            <w:t>Abbreviations</w:t>
            <w:tab/>
          </w:r>
          <w:hyperlink w:anchor="__RefHeading___Toc311795960">
            <w:r>
              <w:rPr>
                <w:rStyle w:val="IndexLink"/>
              </w:rPr>
              <w:t>6</w:t>
            </w:r>
          </w:hyperlink>
        </w:p>
        <w:p>
          <w:pPr>
            <w:pStyle w:val="Contents1"/>
            <w:rPr>
              <w:rFonts w:eastAsia="Batang;바탕"/>
              <w:sz w:val="24"/>
              <w:szCs w:val="24"/>
            </w:rPr>
          </w:pPr>
          <w:r>
            <w:rPr/>
            <w:t>4</w:t>
          </w:r>
          <w:r>
            <w:rPr>
              <w:rFonts w:eastAsia="Batang;바탕"/>
              <w:sz w:val="24"/>
              <w:szCs w:val="24"/>
            </w:rPr>
            <w:tab/>
          </w:r>
          <w:r>
            <w:rPr/>
            <w:t>Measurement Report File Format</w:t>
            <w:tab/>
          </w:r>
          <w:hyperlink w:anchor="__RefHeading___Toc311795961">
            <w:r>
              <w:rPr>
                <w:rStyle w:val="IndexLink"/>
              </w:rPr>
              <w:t>6</w:t>
            </w:r>
          </w:hyperlink>
        </w:p>
        <w:p>
          <w:pPr>
            <w:pStyle w:val="Contents2"/>
            <w:rPr>
              <w:rFonts w:eastAsia="Batang;바탕"/>
              <w:sz w:val="24"/>
              <w:szCs w:val="24"/>
            </w:rPr>
          </w:pPr>
          <w:r>
            <w:rPr/>
            <w:t>4.1</w:t>
          </w:r>
          <w:r>
            <w:rPr>
              <w:rFonts w:eastAsia="Batang;바탕"/>
              <w:sz w:val="24"/>
              <w:szCs w:val="24"/>
            </w:rPr>
            <w:tab/>
          </w:r>
          <w:r>
            <w:rPr/>
            <w:t>File Content description</w:t>
            <w:tab/>
          </w:r>
          <w:hyperlink w:anchor="__RefHeading___Toc311795962">
            <w:r>
              <w:rPr>
                <w:rStyle w:val="IndexLink"/>
              </w:rPr>
              <w:t>8</w:t>
            </w:r>
          </w:hyperlink>
        </w:p>
        <w:p>
          <w:pPr>
            <w:pStyle w:val="Contents1"/>
            <w:rPr>
              <w:rFonts w:eastAsia="Batang;바탕"/>
              <w:sz w:val="24"/>
              <w:szCs w:val="24"/>
            </w:rPr>
          </w:pPr>
          <w:r>
            <w:rPr/>
            <w:t>5</w:t>
          </w:r>
          <w:r>
            <w:rPr>
              <w:rFonts w:eastAsia="Batang;바탕"/>
              <w:sz w:val="24"/>
              <w:szCs w:val="24"/>
            </w:rPr>
            <w:tab/>
          </w:r>
          <w:r>
            <w:rPr/>
            <w:t>Measurement Report File Conventions and Transfer Procedure</w:t>
            <w:tab/>
          </w:r>
          <w:hyperlink w:anchor="__RefHeading___Toc311795963">
            <w:r>
              <w:rPr>
                <w:rStyle w:val="IndexLink"/>
              </w:rPr>
              <w:t>10</w:t>
            </w:r>
          </w:hyperlink>
        </w:p>
        <w:p>
          <w:pPr>
            <w:pStyle w:val="Contents2"/>
            <w:rPr>
              <w:rFonts w:eastAsia="Batang;바탕"/>
              <w:sz w:val="24"/>
              <w:szCs w:val="24"/>
            </w:rPr>
          </w:pPr>
          <w:r>
            <w:rPr/>
            <w:t>5.1</w:t>
          </w:r>
          <w:r>
            <w:rPr>
              <w:rFonts w:eastAsia="Batang;바탕"/>
              <w:sz w:val="24"/>
              <w:szCs w:val="24"/>
            </w:rPr>
            <w:tab/>
          </w:r>
          <w:r>
            <w:rPr/>
            <w:t>Conventions</w:t>
            <w:tab/>
          </w:r>
          <w:hyperlink w:anchor="__RefHeading___Toc311795964">
            <w:r>
              <w:rPr>
                <w:rStyle w:val="IndexLink"/>
              </w:rPr>
              <w:t>10</w:t>
            </w:r>
          </w:hyperlink>
        </w:p>
        <w:p>
          <w:pPr>
            <w:pStyle w:val="Contents3"/>
            <w:rPr>
              <w:rFonts w:eastAsia="Batang;바탕"/>
              <w:sz w:val="24"/>
              <w:szCs w:val="24"/>
            </w:rPr>
          </w:pPr>
          <w:r>
            <w:rPr/>
            <w:t>5.1.1</w:t>
          </w:r>
          <w:r>
            <w:rPr>
              <w:rFonts w:eastAsia="Batang;바탕"/>
              <w:sz w:val="24"/>
              <w:szCs w:val="24"/>
            </w:rPr>
            <w:tab/>
          </w:r>
          <w:r>
            <w:rPr/>
            <w:t>File generation</w:t>
            <w:tab/>
          </w:r>
          <w:hyperlink w:anchor="__RefHeading___Toc311795965">
            <w:r>
              <w:rPr>
                <w:rStyle w:val="IndexLink"/>
              </w:rPr>
              <w:t>10</w:t>
            </w:r>
          </w:hyperlink>
        </w:p>
        <w:p>
          <w:pPr>
            <w:pStyle w:val="Contents4"/>
            <w:rPr>
              <w:rFonts w:eastAsia="Batang;바탕"/>
              <w:sz w:val="24"/>
              <w:szCs w:val="24"/>
            </w:rPr>
          </w:pPr>
          <w:r>
            <w:rPr/>
            <w:t>5.1.1.1</w:t>
          </w:r>
          <w:r>
            <w:rPr>
              <w:rFonts w:eastAsia="Batang;바탕"/>
              <w:sz w:val="24"/>
              <w:szCs w:val="24"/>
            </w:rPr>
            <w:tab/>
          </w:r>
          <w:r>
            <w:rPr/>
            <w:t>NE based approach</w:t>
            <w:tab/>
          </w:r>
          <w:hyperlink w:anchor="__RefHeading___Toc311795966">
            <w:r>
              <w:rPr>
                <w:rStyle w:val="IndexLink"/>
              </w:rPr>
              <w:t>10</w:t>
            </w:r>
          </w:hyperlink>
        </w:p>
        <w:p>
          <w:pPr>
            <w:pStyle w:val="Contents4"/>
            <w:rPr>
              <w:rFonts w:eastAsia="Batang;바탕"/>
              <w:sz w:val="24"/>
              <w:szCs w:val="24"/>
            </w:rPr>
          </w:pPr>
          <w:r>
            <w:rPr/>
            <w:t>5.1.1.2</w:t>
          </w:r>
          <w:r>
            <w:rPr>
              <w:rFonts w:eastAsia="Batang;바탕"/>
              <w:sz w:val="24"/>
              <w:szCs w:val="24"/>
            </w:rPr>
            <w:tab/>
          </w:r>
          <w:r>
            <w:rPr/>
            <w:t>EM based approach</w:t>
            <w:tab/>
          </w:r>
          <w:hyperlink w:anchor="__RefHeading___Toc311795967">
            <w:r>
              <w:rPr>
                <w:rStyle w:val="IndexLink"/>
              </w:rPr>
              <w:t>10</w:t>
            </w:r>
          </w:hyperlink>
        </w:p>
        <w:p>
          <w:pPr>
            <w:pStyle w:val="Contents3"/>
            <w:rPr>
              <w:rFonts w:eastAsia="Batang;바탕"/>
              <w:sz w:val="24"/>
              <w:szCs w:val="24"/>
            </w:rPr>
          </w:pPr>
          <w:r>
            <w:rPr/>
            <w:t>5.1.2</w:t>
          </w:r>
          <w:r>
            <w:rPr>
              <w:rFonts w:eastAsia="Batang;바탕"/>
              <w:sz w:val="24"/>
              <w:szCs w:val="24"/>
            </w:rPr>
            <w:tab/>
          </w:r>
          <w:r>
            <w:rPr/>
            <w:t>File naming</w:t>
            <w:tab/>
          </w:r>
          <w:hyperlink w:anchor="__RefHeading___Toc311795968">
            <w:r>
              <w:rPr>
                <w:rStyle w:val="IndexLink"/>
              </w:rPr>
              <w:t>11</w:t>
            </w:r>
          </w:hyperlink>
        </w:p>
        <w:p>
          <w:pPr>
            <w:pStyle w:val="Contents2"/>
            <w:rPr>
              <w:rFonts w:eastAsia="Batang;바탕"/>
              <w:sz w:val="24"/>
              <w:szCs w:val="24"/>
            </w:rPr>
          </w:pPr>
          <w:r>
            <w:rPr/>
            <w:t>5.2</w:t>
          </w:r>
          <w:r>
            <w:rPr>
              <w:rFonts w:eastAsia="Batang;바탕"/>
              <w:sz w:val="24"/>
              <w:szCs w:val="24"/>
            </w:rPr>
            <w:tab/>
          </w:r>
          <w:r>
            <w:rPr/>
            <w:t>File transfer procedure</w:t>
            <w:tab/>
          </w:r>
          <w:hyperlink w:anchor="__RefHeading___Toc311795969">
            <w:r>
              <w:rPr>
                <w:rStyle w:val="IndexLink"/>
              </w:rPr>
              <w:t>12</w:t>
            </w:r>
          </w:hyperlink>
        </w:p>
        <w:p>
          <w:pPr>
            <w:pStyle w:val="Contents8"/>
            <w:rPr>
              <w:rFonts w:eastAsia="Batang;바탕"/>
              <w:b w:val="false"/>
              <w:b w:val="false"/>
              <w:sz w:val="24"/>
              <w:szCs w:val="24"/>
            </w:rPr>
          </w:pPr>
          <w:r>
            <w:rPr/>
            <w:t>Annex A (informative):</w:t>
            <w:tab/>
            <w:t>The table oriented file format structure</w:t>
            <w:tab/>
          </w:r>
          <w:hyperlink w:anchor="__RefHeading___Toc311795970">
            <w:r>
              <w:rPr>
                <w:rStyle w:val="IndexLink"/>
              </w:rPr>
              <w:t>13</w:t>
            </w:r>
          </w:hyperlink>
        </w:p>
        <w:p>
          <w:pPr>
            <w:pStyle w:val="Contents1"/>
            <w:rPr>
              <w:rFonts w:eastAsia="Batang;바탕"/>
              <w:sz w:val="24"/>
              <w:szCs w:val="24"/>
            </w:rPr>
          </w:pPr>
          <w:r>
            <w:rPr/>
            <w:t>A.1</w:t>
          </w:r>
          <w:r>
            <w:rPr>
              <w:rFonts w:eastAsia="Batang;바탕"/>
              <w:sz w:val="24"/>
              <w:szCs w:val="24"/>
            </w:rPr>
            <w:tab/>
          </w:r>
          <w:r>
            <w:rPr/>
            <w:t>Graphical representation of the table structure</w:t>
            <w:tab/>
          </w:r>
          <w:hyperlink w:anchor="__RefHeading___Toc311795971">
            <w:r>
              <w:rPr>
                <w:rStyle w:val="IndexLink"/>
              </w:rPr>
              <w:t>13</w:t>
            </w:r>
          </w:hyperlink>
        </w:p>
        <w:p>
          <w:pPr>
            <w:pStyle w:val="Contents8"/>
            <w:rPr>
              <w:rFonts w:eastAsia="Batang;바탕"/>
              <w:sz w:val="24"/>
              <w:szCs w:val="24"/>
            </w:rPr>
          </w:pPr>
          <w:r>
            <w:rPr>
              <w:b w:val="false"/>
            </w:rPr>
            <w:t>Annex B (informative):</w:t>
            <w:tab/>
            <w:t>Change history</w:t>
            <w:tab/>
          </w:r>
          <w:hyperlink w:anchor="__RefHeading___Toc311795972">
            <w:r>
              <w:rPr>
                <w:rStyle w:val="IndexLink"/>
                <w:b w:val="false"/>
              </w:rPr>
              <w:t>14</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31179595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11795955"/>
      <w:bookmarkEnd w:id="8"/>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b/>
        </w:rPr>
        <w:t>TS 32.432:</w:t>
        <w:tab/>
        <w:t>"Performance measurement; File format definition";</w:t>
      </w:r>
    </w:p>
    <w:p>
      <w:pPr>
        <w:pStyle w:val="B1"/>
        <w:rPr/>
      </w:pPr>
      <w:r>
        <w:rPr/>
        <w:t>TS 32.435:</w:t>
        <w:tab/>
        <w:t>"Performance measurement; eXtensible Markup Language (XML) file format definition";</w:t>
      </w:r>
    </w:p>
    <w:p>
      <w:pPr>
        <w:pStyle w:val="B1"/>
        <w:rPr/>
      </w:pPr>
      <w:r>
        <w:rPr/>
        <w:t>TS 32.436:</w:t>
        <w:tab/>
        <w:t>"Performance measurement; Abstract Syntax Notation 1 (ASN.1) file format definition".</w:t>
      </w:r>
    </w:p>
    <w:p>
      <w:pPr>
        <w:pStyle w:val="Normal"/>
        <w:rPr/>
      </w:pPr>
      <w:r>
        <w:rPr/>
        <w:t>The present document is part of a set of specifications, which describe the requirements and information model necessary for the standardised Operation, Administration and Maintenance (OA&amp;M) of a multi-vendor PLMN.</w:t>
      </w:r>
    </w:p>
    <w:p>
      <w:pPr>
        <w:pStyle w:val="Normal"/>
        <w:rPr/>
      </w:pPr>
      <w:r>
        <w:rPr/>
        <w:t>During the lifetime of a PLMN, its logical and physical configuration will undergo changes of varying degrees and frequencies in order to optimise the utilisation of the network resources. These changes will be executed through network configuration management activities and/or network engineering, see 3GPP TS 32.600 [4].</w:t>
      </w:r>
    </w:p>
    <w:p>
      <w:pPr>
        <w:pStyle w:val="Normal"/>
        <w:rPr/>
      </w:pPr>
      <w:r>
        <w:rPr/>
        <w:t>Many of the activities involved in the daily operation and future network planning of a PLMN network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and the other related 3GPP TSs listed above is to describe the mechanisms involved in the collection of the data.</w:t>
      </w:r>
    </w:p>
    <w:p>
      <w:pPr>
        <w:pStyle w:val="Normal"/>
        <w:rPr/>
      </w:pPr>
      <w:r>
        <w:rPr/>
      </w:r>
      <w:r>
        <w:br w:type="page"/>
      </w:r>
    </w:p>
    <w:p>
      <w:pPr>
        <w:pStyle w:val="Heading1"/>
        <w:ind w:left="1134" w:hanging="1134"/>
        <w:rPr/>
      </w:pPr>
      <w:bookmarkStart w:id="9" w:name="__RefHeading___Toc311795956"/>
      <w:bookmarkEnd w:id="9"/>
      <w:r>
        <w:rPr/>
        <w:t>1</w:t>
        <w:tab/>
        <w:t>Scope</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s>
        <w:rPr/>
      </w:pPr>
      <w:r>
        <w:rPr/>
        <w:t>The present document describes the general semantics of performance measurement result and collection. It defines the report file format, report file conventions and the file transfer procedure. Clause 4 specifies the file format for the bulk transfer of performance measurement results to the NM, while clause 5 discusses the file transfer procedure utilised on that interface.</w:t>
      </w:r>
    </w:p>
    <w:p>
      <w:pPr>
        <w:pStyle w:val="Normal"/>
        <w:rPr/>
      </w:pPr>
      <w:r>
        <w:rPr/>
        <w:t>The present document does not give the definition of any specific file format – such as XML and ASN.1, which will be given in Performance Measurement eXtensible Markup Language (XML) File Format Definition 3GPP TS 32.435 and Performance Measurement Abstract Syntax Notation 1 (ASN.1) File Format Definition 3GPP TS 32.436.</w:t>
      </w:r>
    </w:p>
    <w:p>
      <w:pPr>
        <w:pStyle w:val="Heading1"/>
        <w:ind w:left="1134" w:hanging="1134"/>
        <w:rPr/>
      </w:pPr>
      <w:bookmarkStart w:id="10" w:name="__RefHeading___Toc31179595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32.401: "Telecommunication management; Performance Management (PM); Concept and requirements".</w:t>
      </w:r>
    </w:p>
    <w:p>
      <w:pPr>
        <w:pStyle w:val="EX"/>
        <w:rPr/>
      </w:pPr>
      <w:r>
        <w:rPr/>
        <w:t>[4]</w:t>
        <w:tab/>
        <w:t>3GPP TS 32.600: "Telecommunication management; Configuration Management (CM); Concept and high-level requirements".</w:t>
      </w:r>
    </w:p>
    <w:p>
      <w:pPr>
        <w:pStyle w:val="EX"/>
        <w:rPr/>
      </w:pPr>
      <w:r>
        <w:rPr/>
        <w:t>[5]</w:t>
        <w:tab/>
        <w:t>3GPP TS 25.442: "UTRAN Implementation Specific O&amp;M Transport".</w:t>
      </w:r>
    </w:p>
    <w:p>
      <w:pPr>
        <w:pStyle w:val="EX"/>
        <w:rPr/>
      </w:pPr>
      <w:r>
        <w:rPr/>
        <w:t>[6]</w:t>
        <w:tab/>
        <w:t>3GPP TS 32.300: "Telecommunication management; Configuration Management (CM); Name convention for Managed Objects".</w:t>
      </w:r>
    </w:p>
    <w:p>
      <w:pPr>
        <w:pStyle w:val="EX"/>
        <w:rPr/>
      </w:pPr>
      <w:r>
        <w:rPr/>
        <w:t>[7]</w:t>
        <w:tab/>
        <w:t>3GPP TS 52.402: "Telecommunication management; Performance Management (PM); Performance measurements - GSM".</w:t>
      </w:r>
    </w:p>
    <w:p>
      <w:pPr>
        <w:pStyle w:val="EX"/>
        <w:rPr/>
      </w:pPr>
      <w:r>
        <w:rPr/>
        <w:t>[8]</w:t>
        <w:tab/>
        <w:t>Void.</w:t>
      </w:r>
    </w:p>
    <w:p>
      <w:pPr>
        <w:pStyle w:val="EX"/>
        <w:rPr/>
      </w:pPr>
      <w:r>
        <w:rPr/>
        <w:t>[9]</w:t>
        <w:tab/>
        <w:t>Void.</w:t>
      </w:r>
    </w:p>
    <w:p>
      <w:pPr>
        <w:pStyle w:val="EX"/>
        <w:rPr/>
      </w:pPr>
      <w:r>
        <w:rPr/>
        <w:t>[10]</w:t>
        <w:tab/>
        <w:t>ITU-T Recommendation X.680: "Information technology - Abstract Syntax Notation One (ASN.1): Specification of basic notation".</w:t>
      </w:r>
    </w:p>
    <w:p>
      <w:pPr>
        <w:pStyle w:val="EX"/>
        <w:rPr/>
      </w:pPr>
      <w:r>
        <w:rPr/>
        <w:t>[11]</w:t>
        <w:tab/>
        <w:t>ISO8601:2000(E) Data elements and interchange formats – Information interchange – Representation of dates and times".</w:t>
      </w:r>
    </w:p>
    <w:p>
      <w:pPr>
        <w:pStyle w:val="EX"/>
        <w:rPr/>
      </w:pPr>
      <w:r>
        <w:rPr/>
        <w:t>[12]</w:t>
        <w:tab/>
        <w:t>3GPP TS 32.405: "Performance Management (PM); Performance measurements; Universal Terrestrial Radio Access Network (UTRAN)".</w:t>
      </w:r>
    </w:p>
    <w:p>
      <w:pPr>
        <w:pStyle w:val="EX"/>
        <w:rPr/>
      </w:pPr>
      <w:r>
        <w:rPr/>
        <w:t>[13]</w:t>
        <w:tab/>
        <w:t>3GPP TS 32.406</w:t>
        <w:tab/>
        <w:t>: "Performance Management (PM); Performance measurements;</w:t>
      </w:r>
      <w:r>
        <w:rPr>
          <w:lang w:eastAsia="zh-CN"/>
        </w:rPr>
        <w:t xml:space="preserve"> Core Network (CN) Packet Switched (PS) domain".</w:t>
      </w:r>
    </w:p>
    <w:p>
      <w:pPr>
        <w:pStyle w:val="EX"/>
        <w:rPr/>
      </w:pPr>
      <w:r>
        <w:rPr>
          <w:lang w:eastAsia="zh-CN"/>
        </w:rPr>
        <w:t>[14]</w:t>
        <w:tab/>
        <w:t xml:space="preserve">3GPP </w:t>
      </w:r>
      <w:r>
        <w:rPr/>
        <w:t>TS 32.407: "Performance Management (PM); Performance measurements;</w:t>
      </w:r>
      <w:r>
        <w:rPr>
          <w:lang w:eastAsia="zh-CN"/>
        </w:rPr>
        <w:t xml:space="preserve"> Core Network (CN) Circuit Switched (CS) domain</w:t>
      </w:r>
      <w:bookmarkStart w:id="11" w:name="OLE_LINK3"/>
      <w:bookmarkStart w:id="12" w:name="OLE_LINK2"/>
      <w:r>
        <w:rPr>
          <w:lang w:eastAsia="zh-CN"/>
        </w:rPr>
        <w:t>; UMTS and combined UMTS/GSM</w:t>
      </w:r>
      <w:bookmarkEnd w:id="11"/>
      <w:bookmarkEnd w:id="12"/>
      <w:r>
        <w:rPr>
          <w:lang w:eastAsia="zh-CN"/>
        </w:rPr>
        <w:t>".</w:t>
      </w:r>
    </w:p>
    <w:p>
      <w:pPr>
        <w:pStyle w:val="EX"/>
        <w:rPr/>
      </w:pPr>
      <w:r>
        <w:rPr>
          <w:lang w:eastAsia="zh-CN"/>
        </w:rPr>
        <w:t>[15]</w:t>
        <w:tab/>
        <w:t xml:space="preserve">3GPP </w:t>
      </w:r>
      <w:r>
        <w:rPr/>
        <w:t>TS 32.408</w:t>
        <w:tab/>
        <w:t xml:space="preserve">: "Performance Management (PM); </w:t>
      </w:r>
      <w:r>
        <w:rPr>
          <w:lang w:eastAsia="zh-CN"/>
        </w:rPr>
        <w:t>Performance measurements; Teleservice".</w:t>
      </w:r>
    </w:p>
    <w:p>
      <w:pPr>
        <w:pStyle w:val="EX"/>
        <w:rPr/>
      </w:pPr>
      <w:r>
        <w:rPr>
          <w:lang w:eastAsia="zh-CN"/>
        </w:rPr>
        <w:t>[16]</w:t>
        <w:tab/>
        <w:t xml:space="preserve">3GPP </w:t>
      </w:r>
      <w:r>
        <w:rPr/>
        <w:t xml:space="preserve">TS 32.409: "Performance Management (PM); </w:t>
      </w:r>
      <w:r>
        <w:rPr>
          <w:lang w:eastAsia="zh-CN"/>
        </w:rPr>
        <w:t>Performance measurements; IP Multimedia Subsystem (IMS)".</w:t>
      </w:r>
    </w:p>
    <w:p>
      <w:pPr>
        <w:pStyle w:val="EX"/>
        <w:rPr/>
      </w:pPr>
      <w:r>
        <w:rPr>
          <w:lang w:eastAsia="zh-CN"/>
        </w:rPr>
        <w:t>[17]</w:t>
        <w:tab/>
        <w:t>3GPP 32.425: "</w:t>
      </w:r>
      <w:r>
        <w:rPr/>
        <w:t xml:space="preserve">Performance Management (PM); </w:t>
      </w:r>
      <w:r>
        <w:rPr>
          <w:lang w:eastAsia="zh-CN"/>
        </w:rPr>
        <w:t>Performance measurements; Evolved Universal Terrestrial Radio Access Network (E-UTRAN)".</w:t>
      </w:r>
    </w:p>
    <w:p>
      <w:pPr>
        <w:pStyle w:val="EX"/>
        <w:rPr/>
      </w:pPr>
      <w:r>
        <w:rPr>
          <w:lang w:eastAsia="zh-CN"/>
        </w:rPr>
        <w:t>[18]</w:t>
        <w:tab/>
        <w:t xml:space="preserve">3GPP </w:t>
      </w:r>
      <w:r>
        <w:rPr/>
        <w:t>TS</w:t>
      </w:r>
      <w:r>
        <w:rPr>
          <w:lang w:eastAsia="zh-CN"/>
        </w:rPr>
        <w:t xml:space="preserve"> 32.426: "</w:t>
      </w:r>
      <w:r>
        <w:rPr/>
        <w:t xml:space="preserve">Performance Management (PM); </w:t>
      </w:r>
      <w:r>
        <w:rPr>
          <w:lang w:eastAsia="zh-CN"/>
        </w:rPr>
        <w:t>Performance measurements; Evolved Packet Core (EPC) network".</w:t>
      </w:r>
    </w:p>
    <w:p>
      <w:pPr>
        <w:pStyle w:val="EX"/>
        <w:rPr/>
      </w:pPr>
      <w:r>
        <w:rPr>
          <w:lang w:eastAsia="zh-CN"/>
        </w:rPr>
        <w:t>[19]</w:t>
        <w:tab/>
        <w:t xml:space="preserve">3GPP </w:t>
      </w:r>
      <w:r>
        <w:rPr/>
        <w:t>TS</w:t>
      </w:r>
      <w:r>
        <w:rPr>
          <w:lang w:eastAsia="zh-CN"/>
        </w:rPr>
        <w:t xml:space="preserve"> 32.452</w:t>
        <w:tab/>
        <w:t>: "</w:t>
      </w:r>
      <w:r>
        <w:rPr/>
        <w:t xml:space="preserve">Performance Management (PM); </w:t>
      </w:r>
      <w:r>
        <w:rPr>
          <w:lang w:eastAsia="zh-CN"/>
        </w:rPr>
        <w:t>Performance measurements; Home Node B (HNB) Subsystem HNS".</w:t>
      </w:r>
    </w:p>
    <w:p>
      <w:pPr>
        <w:pStyle w:val="EX"/>
        <w:rPr/>
      </w:pPr>
      <w:r>
        <w:rPr/>
        <w:t>[20]</w:t>
        <w:tab/>
        <w:t>3GPP TS</w:t>
      </w:r>
      <w:r>
        <w:rPr>
          <w:lang w:eastAsia="zh-CN"/>
        </w:rPr>
        <w:t xml:space="preserve"> 32.453</w:t>
        <w:tab/>
        <w:t>: "</w:t>
      </w:r>
      <w:r>
        <w:rPr/>
        <w:t xml:space="preserve">Performance Management (PM); </w:t>
      </w:r>
      <w:r>
        <w:rPr>
          <w:lang w:eastAsia="zh-CN"/>
        </w:rPr>
        <w:t>Performance measurements Home enhanced Node B (HeNB) Subsystem (HeNS)".</w:t>
      </w:r>
    </w:p>
    <w:p>
      <w:pPr>
        <w:pStyle w:val="EX"/>
        <w:rPr/>
      </w:pPr>
      <w:r>
        <w:rPr/>
        <w:t>[21]</w:t>
        <w:tab/>
        <w:t xml:space="preserve">3GPP 28.552: </w:t>
      </w:r>
      <w:r>
        <w:rPr>
          <w:lang w:eastAsia="zh-CN"/>
        </w:rPr>
        <w:t>"Management and orchestration; 5G performance measurements”.</w:t>
      </w:r>
    </w:p>
    <w:p>
      <w:pPr>
        <w:pStyle w:val="EX"/>
        <w:rPr>
          <w:lang w:eastAsia="zh-CN"/>
        </w:rPr>
      </w:pPr>
      <w:r>
        <w:rPr>
          <w:lang w:eastAsia="zh-CN"/>
        </w:rPr>
        <w:t>[22]</w:t>
        <w:tab/>
        <w:t>3GPP 32.404: "Performance Management (PM); Performance measurements; Definitions and template".</w:t>
      </w:r>
    </w:p>
    <w:p>
      <w:pPr>
        <w:pStyle w:val="EX"/>
        <w:rPr>
          <w:lang w:eastAsia="zh-CN"/>
        </w:rPr>
      </w:pPr>
      <w:r>
        <w:rPr/>
        <w:t>[23]</w:t>
        <w:tab/>
      </w:r>
      <w:r>
        <w:rPr>
          <w:lang w:eastAsia="zh-CN"/>
        </w:rPr>
        <w:t>3GPP TS 28.622: "</w:t>
      </w:r>
      <w:r>
        <w:rPr/>
        <w:t>Telecommunication management; Generic Network Resource Model (NRM) Integration Reference Point (IRP); Information Service (IS)".</w:t>
      </w:r>
    </w:p>
    <w:p>
      <w:pPr>
        <w:pStyle w:val="EX"/>
        <w:rPr>
          <w:lang w:eastAsia="zh-CN"/>
        </w:rPr>
      </w:pPr>
      <w:r>
        <w:rPr>
          <w:lang w:eastAsia="zh-CN"/>
        </w:rPr>
      </w:r>
    </w:p>
    <w:p>
      <w:pPr>
        <w:pStyle w:val="Heading1"/>
        <w:ind w:left="1134" w:hanging="1134"/>
        <w:rPr/>
      </w:pPr>
      <w:bookmarkStart w:id="13" w:name="__RefHeading___Toc311795958"/>
      <w:bookmarkEnd w:id="13"/>
      <w:r>
        <w:rPr/>
        <w:t>3</w:t>
        <w:tab/>
        <w:t>Definitions and abbreviations</w:t>
      </w:r>
    </w:p>
    <w:p>
      <w:pPr>
        <w:pStyle w:val="Heading2"/>
        <w:rPr/>
      </w:pPr>
      <w:bookmarkStart w:id="14" w:name="__RefHeading___Toc311795959"/>
      <w:bookmarkEnd w:id="14"/>
      <w:r>
        <w:rPr/>
        <w:t>3.1</w:t>
        <w:tab/>
        <w:t>Definitions</w:t>
      </w:r>
    </w:p>
    <w:p>
      <w:pPr>
        <w:pStyle w:val="Normal"/>
        <w:rPr/>
      </w:pPr>
      <w:r>
        <w:rPr/>
        <w:t>For the purposes of the present document, the following terms and definitions apply:</w:t>
      </w:r>
    </w:p>
    <w:p>
      <w:pPr>
        <w:pStyle w:val="Normal"/>
        <w:rPr/>
      </w:pPr>
      <w:r>
        <w:rPr>
          <w:b/>
          <w:bCs/>
        </w:rPr>
        <w:t>network Element Manager (EM):</w:t>
      </w:r>
      <w:r>
        <w:rPr/>
        <w:t xml:space="preserve"> provides a package of end-user functions for management of a set of closely related types of Network Elements. These functions can be divided into two main categories:</w:t>
      </w:r>
    </w:p>
    <w:p>
      <w:pPr>
        <w:pStyle w:val="B1"/>
        <w:keepNext w:val="true"/>
        <w:keepLines/>
        <w:rPr/>
      </w:pPr>
      <w:r>
        <w:rPr/>
        <w:t>-</w:t>
        <w:tab/>
        <w:t>Element Management Functions for management of Network Elements on an individual basis. These are basically the same functions as supported by the corresponding local terminals.</w:t>
      </w:r>
    </w:p>
    <w:p>
      <w:pPr>
        <w:pStyle w:val="B1"/>
        <w:rPr/>
      </w:pPr>
      <w:r>
        <w:rPr/>
        <w:t>-</w:t>
        <w:tab/>
        <w:t>Sub-Network Management Functions that are related to a network model for a set of Network Elements constituting a clearly defined sub-network, which may include relations between the Network Elements. This model enables additional functions on the sub-network level (typically in the areas of network topology presentation, alarm correlation, service impact analysis and circuit provisioning).</w:t>
      </w:r>
    </w:p>
    <w:p>
      <w:pPr>
        <w:pStyle w:val="Normal"/>
        <w:rPr/>
      </w:pPr>
      <w:r>
        <w:rPr>
          <w:b/>
        </w:rPr>
        <w:t>Network Manager (NM):</w:t>
      </w:r>
      <w:r>
        <w:rPr/>
        <w:t xml:space="preserve"> provides a package of end-user functions with the responsibility for the management of a network, mainly as supported by the EM(s) but it may also involve direct access to the Network Elements. All communication with the network is based on open and well-standardised interfaces supporting management of multi-vendor and multi-technology Network Elements.</w:t>
      </w:r>
    </w:p>
    <w:p>
      <w:pPr>
        <w:pStyle w:val="Normal"/>
        <w:rPr/>
      </w:pPr>
      <w:r>
        <w:rPr>
          <w:b/>
        </w:rPr>
        <w:t>Operations System (OS):</w:t>
      </w:r>
      <w:r>
        <w:rPr/>
        <w:t xml:space="preserve"> generic management system, independent of its location level within the management hierarchy.</w:t>
      </w:r>
    </w:p>
    <w:p>
      <w:pPr>
        <w:pStyle w:val="Heading2"/>
        <w:rPr/>
      </w:pPr>
      <w:bookmarkStart w:id="15" w:name="__RefHeading___Toc311795960"/>
      <w:bookmarkEnd w:id="15"/>
      <w:r>
        <w:rPr/>
        <w:t>3.2</w:t>
        <w:tab/>
        <w:t>Abbreviations</w:t>
      </w:r>
    </w:p>
    <w:p>
      <w:pPr>
        <w:pStyle w:val="Normal"/>
        <w:keepNext w:val="true"/>
        <w:rPr/>
      </w:pPr>
      <w:r>
        <w:rPr/>
        <w:t>For the purposes of the present document, the following abbreviations apply:</w:t>
      </w:r>
    </w:p>
    <w:p>
      <w:pPr>
        <w:pStyle w:val="EW"/>
        <w:rPr/>
      </w:pPr>
      <w:r>
        <w:rPr/>
        <w:t>3G</w:t>
        <w:tab/>
        <w:t>3</w:t>
      </w:r>
      <w:r>
        <w:rPr>
          <w:vertAlign w:val="superscript"/>
        </w:rPr>
        <w:t>rd</w:t>
      </w:r>
      <w:r>
        <w:rPr/>
        <w:t xml:space="preserve"> Generation</w:t>
      </w:r>
    </w:p>
    <w:p>
      <w:pPr>
        <w:pStyle w:val="EW"/>
        <w:rPr/>
      </w:pPr>
      <w:r>
        <w:rPr/>
        <w:t>5GC</w:t>
        <w:tab/>
        <w:t>5G Core network</w:t>
      </w:r>
    </w:p>
    <w:p>
      <w:pPr>
        <w:pStyle w:val="EW"/>
        <w:rPr/>
      </w:pPr>
      <w:r>
        <w:rPr/>
        <w:t>EM</w:t>
      </w:r>
      <w:r>
        <w:rPr>
          <w:color w:val="000000"/>
        </w:rPr>
        <w:tab/>
        <w:t>Element Manager</w:t>
      </w:r>
    </w:p>
    <w:p>
      <w:pPr>
        <w:pStyle w:val="EW"/>
        <w:rPr/>
      </w:pPr>
      <w:r>
        <w:rPr/>
        <w:t>GSM</w:t>
        <w:tab/>
        <w:t>Global System for Mobile communications</w:t>
      </w:r>
    </w:p>
    <w:p>
      <w:pPr>
        <w:pStyle w:val="EW"/>
        <w:rPr/>
      </w:pPr>
      <w:r>
        <w:rPr/>
        <w:t>NE</w:t>
      </w:r>
      <w:r>
        <w:rPr>
          <w:color w:val="000000"/>
        </w:rPr>
        <w:tab/>
        <w:t>Network Element</w:t>
      </w:r>
    </w:p>
    <w:p>
      <w:pPr>
        <w:pStyle w:val="EW"/>
        <w:rPr>
          <w:color w:val="000000"/>
        </w:rPr>
      </w:pPr>
      <w:r>
        <w:rPr/>
        <w:t>NM</w:t>
      </w:r>
      <w:r>
        <w:rPr>
          <w:color w:val="000000"/>
        </w:rPr>
        <w:tab/>
        <w:t>Network Manager</w:t>
      </w:r>
    </w:p>
    <w:p>
      <w:pPr>
        <w:pStyle w:val="EW"/>
        <w:rPr>
          <w:color w:val="000000"/>
        </w:rPr>
      </w:pPr>
      <w:r>
        <w:rPr/>
        <w:t>PLMN</w:t>
        <w:tab/>
        <w:t>Public Land Mobile Network</w:t>
      </w:r>
    </w:p>
    <w:p>
      <w:pPr>
        <w:pStyle w:val="EW"/>
        <w:rPr/>
      </w:pPr>
      <w:r>
        <w:rPr/>
        <w:t>PM</w:t>
      </w:r>
      <w:r>
        <w:rPr>
          <w:color w:val="000000"/>
        </w:rPr>
        <w:tab/>
        <w:t>Performance Management</w:t>
      </w:r>
    </w:p>
    <w:p>
      <w:pPr>
        <w:pStyle w:val="Heading1"/>
        <w:ind w:left="1134" w:hanging="1134"/>
        <w:rPr/>
      </w:pPr>
      <w:bookmarkStart w:id="16" w:name="__RefHeading___Toc311795961"/>
      <w:bookmarkEnd w:id="16"/>
      <w:r>
        <w:rPr/>
        <w:t>4</w:t>
        <w:tab/>
        <w:t>Measurement Report File Format</w:t>
      </w:r>
    </w:p>
    <w:p>
      <w:pPr>
        <w:pStyle w:val="Normal"/>
        <w:rPr/>
      </w:pPr>
      <w:r>
        <w:rPr/>
        <w:t>This clause describes the format of measurement result files that can be transferred from the network (NEs or EM) to the NM.</w:t>
      </w:r>
    </w:p>
    <w:p>
      <w:pPr>
        <w:pStyle w:val="Normal"/>
        <w:rPr/>
      </w:pPr>
      <w:r>
        <w:rPr/>
        <w:t>The following conditions have been considered in defining this file format:</w:t>
      </w:r>
    </w:p>
    <w:p>
      <w:pPr>
        <w:pStyle w:val="B1"/>
        <w:rPr/>
      </w:pPr>
      <w:r>
        <w:rPr/>
        <w:t>-</w:t>
        <w:tab/>
        <w:t>Since the files are transferred via a machine-machine interface, the files applying the format definitions should be machine-readable using standard tools.</w:t>
      </w:r>
    </w:p>
    <w:p>
      <w:pPr>
        <w:pStyle w:val="B1"/>
        <w:rPr/>
      </w:pPr>
      <w:r>
        <w:rPr/>
        <w:t>-</w:t>
        <w:tab/>
        <w:t>The file format should be independent of the data transfer protocol used to carry the file from one system to another.</w:t>
      </w:r>
    </w:p>
    <w:p>
      <w:pPr>
        <w:pStyle w:val="B1"/>
        <w:rPr/>
      </w:pPr>
      <w:r>
        <w:rPr/>
        <w:t>-</w:t>
        <w:tab/>
        <w:t>The file format should be generic across PLMN systems.</w:t>
      </w:r>
    </w:p>
    <w:p>
      <w:pPr>
        <w:pStyle w:val="B1"/>
        <w:rPr/>
      </w:pPr>
      <w:r>
        <w:rPr/>
        <w:t>-</w:t>
        <w:tab/>
        <w:t>The file format should be flexible enough to include all possible measurement types, i.e. those specified within clause 6 as well as measurements defined within other standards bodies, or vendor specific measurement types.</w:t>
      </w:r>
    </w:p>
    <w:p>
      <w:pPr>
        <w:pStyle w:val="B1"/>
        <w:rPr/>
      </w:pPr>
      <w:r>
        <w:rPr/>
        <w:t>-</w:t>
        <w:tab/>
        <w:t>The file format should not impose any dependency between granularity periods for the generation of measurement results and file upload cycles for the file transfer from the network to the NM.</w:t>
      </w:r>
    </w:p>
    <w:p>
      <w:pPr>
        <w:pStyle w:val="B1"/>
        <w:rPr/>
      </w:pPr>
      <w:r>
        <w:rPr/>
        <w:t>-</w:t>
        <w:tab/>
        <w:t>The file format should be flexible enough to support both the NE-based and the EM-based approaches, as discussed in Chapter 5, clause 5.1.1 of the present document.</w:t>
      </w:r>
    </w:p>
    <w:p>
      <w:pPr>
        <w:pStyle w:val="B1"/>
        <w:rPr/>
      </w:pPr>
      <w:r>
        <w:rPr/>
        <w:t>-</w:t>
        <w:tab/>
        <w:t>The file format should be usable for other interfaces than Itf-N if required. The measurement file header could be augmented to indicate this other usage, however this would be a non-standard extension. In the ASN.1 (see ITU-T Recommendation X.680 [10]) file format definition this is accommodated by the use of the ellipsis notation. XML schema allows such additions through insertion of extra schema elements through the provider  of the non-standard extension.</w:t>
      </w:r>
      <w:r>
        <w:br w:type="page"/>
      </w:r>
    </w:p>
    <w:p>
      <w:pPr>
        <w:pStyle w:val="Heading2"/>
        <w:rPr/>
      </w:pPr>
      <w:bookmarkStart w:id="17" w:name="__RefHeading___Toc311795962"/>
      <w:bookmarkEnd w:id="17"/>
      <w:r>
        <w:rPr/>
        <w:t>4.1</w:t>
        <w:tab/>
        <w:t>File Content description</w:t>
      </w:r>
    </w:p>
    <w:p>
      <w:pPr>
        <w:pStyle w:val="Normal"/>
        <w:keepNext w:val="true"/>
        <w:rPr/>
      </w:pPr>
      <w:r>
        <w:rPr/>
        <w:t xml:space="preserve">Table 4.1 lists all the file content items. It also provides an explanation of the individual items. </w:t>
      </w:r>
    </w:p>
    <w:p>
      <w:pPr>
        <w:pStyle w:val="TH"/>
        <w:rPr/>
      </w:pPr>
      <w:r>
        <w:rPr/>
        <w:t>Table 4.1 File Content Description</w:t>
      </w:r>
    </w:p>
    <w:tbl>
      <w:tblPr>
        <w:tblW w:w="10434" w:type="dxa"/>
        <w:jc w:val="center"/>
        <w:tblInd w:w="0" w:type="dxa"/>
        <w:tblLayout w:type="fixed"/>
        <w:tblCellMar>
          <w:top w:w="0" w:type="dxa"/>
          <w:left w:w="28" w:type="dxa"/>
          <w:bottom w:w="0" w:type="dxa"/>
          <w:right w:w="108" w:type="dxa"/>
        </w:tblCellMar>
      </w:tblPr>
      <w:tblGrid>
        <w:gridCol w:w="2181"/>
        <w:gridCol w:w="8253"/>
      </w:tblGrid>
      <w:tr>
        <w:trPr>
          <w:tblHeader w:val="true"/>
          <w:cantSplit w:val="true"/>
        </w:trPr>
        <w:tc>
          <w:tcPr>
            <w:tcW w:w="218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File Content Item</w:t>
            </w:r>
          </w:p>
        </w:tc>
        <w:tc>
          <w:tcPr>
            <w:tcW w:w="825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measDataCollection</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is the top-level tag, which identifies the file as a collection of measurement data. The file content is made up of a header ("measFileHeader"), the collection of measurement result items ("measData"), and a measurement file footer ("measFileFooter").</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measFileHeader</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is the measurement result file header to be inserted in each file. It includes a version indicator, the name, type and vendor name of the sending network node, and a time stamp ("collectionBeginTime").</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"measData" construct represents the sequence of zero or more measurement result items contained in the file. It can be empty in case no measurement data can be provided. The individual "measData" elements can appear in any order.</w:t>
            </w:r>
          </w:p>
          <w:p>
            <w:pPr>
              <w:pStyle w:val="TAL"/>
              <w:keepNext w:val="false"/>
              <w:rPr/>
            </w:pPr>
            <w:r>
              <w:rPr/>
              <w:t>Each "measData" element contains the name of the NE ("nEId") and the list of measurement results pertaining to that NE ("measInfo").</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measFileFooter</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measurement result file footer to be inserted in each file. It includes a time stamp, which refers to the end of the overall measurement collection interval that is covered by the collected measurement results being stored in this file.</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fileFormatVersion</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parameter identifies the file format version applied by the sender. The format version defined in the present document shall be the abridged number and version of this 3GPP document (see below).</w:t>
            </w:r>
          </w:p>
          <w:p>
            <w:pPr>
              <w:pStyle w:val="TAL"/>
              <w:keepNext w:val="false"/>
              <w:rPr/>
            </w:pPr>
            <w:r>
              <w:rPr/>
              <w:t>The abridged number and version of a 3GPP document is constructed from its version specific full reference "3GPP […] (yyyy-mm)" by:</w:t>
            </w:r>
          </w:p>
          <w:p>
            <w:pPr>
              <w:pStyle w:val="TAL"/>
              <w:keepNext w:val="false"/>
              <w:ind w:left="114" w:hanging="114"/>
              <w:rPr/>
            </w:pPr>
            <w:r>
              <w:rPr/>
              <w:t>-</w:t>
              <w:tab/>
              <w:t>removing the leading "3GPP TS"</w:t>
            </w:r>
          </w:p>
          <w:p>
            <w:pPr>
              <w:pStyle w:val="TAL"/>
              <w:keepNext w:val="false"/>
              <w:ind w:left="114" w:hanging="114"/>
              <w:rPr/>
            </w:pPr>
            <w:r>
              <w:rPr/>
              <w:t>-</w:t>
              <w:tab/>
              <w:t>removing everything including and after the version third digit, representing editorial only changes, together with its preceding dot character</w:t>
            </w:r>
          </w:p>
          <w:p>
            <w:pPr>
              <w:pStyle w:val="TAL"/>
              <w:keepNext w:val="false"/>
              <w:ind w:left="114" w:hanging="114"/>
              <w:rPr/>
            </w:pPr>
            <w:r>
              <w:rPr/>
              <w:t>-</w:t>
              <w:tab/>
              <w:t>from the resulting string, removing leading and trailing white space, replacing every multi character white space by a single space character and changing the case of all characters to uppercase.</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senderName</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senderName uniquely identifies the NE or EM that assembled this measurement file by its Distinguished Name (DN), according to the definitions in 3GPP TS 32.300 [6]. In the case of the NE-based approach, it is identical to the sender's "nEDistinguishedName".</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senderType</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 xml:space="preserve">This is a user configurable identifier of the type of network node that generated the file, e.g. NodeB, EM, SGSN. The string may be empty (i.e. string size =0) in case the "senderType" is not configured in the sender. </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vendorName</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"vendorName" identifies the vendor of the equipment that provided the measurement file. The string may be empty (i.e. string size =0) if the "vendorName" is not configured in the sender.</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collectionBeginTime</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"collectionBeginTime" is a time stamp that refers to the start of the first measurement collection interval (granularity period) that is covered by the collected measurement results that are stored in this file.</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neId</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unique identification of the NE in the system. It includes the user name ("nEUserName"), the distinguished name ("nEDistinguishedName") and the software version ("nESoftwareVersion") of the NE.</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neUserName</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is the user definable name ("userLabel") defined for the NE in 3GPP TS 28.622 [23]. The string may be empty (i.e. string size =0) if the "nEUserName" is not configured in the CM applications.</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neDistinguishedName</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is the Distinguished Name (DN) defined for the NE in 3GPP TS 32.300 [6]. It is unique across an operator's network. The string may be empty (i.e. string size =0) if the "nEDistinguishedName" is not configured in the CM applications.</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neSoftwareVersion</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is the software version ("</w:t>
            </w:r>
            <w:r>
              <w:rPr>
                <w:rFonts w:cs="Courier New" w:ascii="Courier New" w:hAnsi="Courier New"/>
              </w:rPr>
              <w:t>swVersion</w:t>
            </w:r>
            <w:r>
              <w:rPr/>
              <w:t xml:space="preserve">") defined for the NE in 3GPP TS 28.622 [23]. </w:t>
            </w:r>
          </w:p>
          <w:p>
            <w:pPr>
              <w:pStyle w:val="TAL"/>
              <w:keepNext w:val="false"/>
              <w:rPr/>
            </w:pPr>
            <w:r>
              <w:rPr/>
              <w:t>This is an optional parameter which allows post-processing systems to take care of vendor specific measurements modified between software versions.</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sequence of measurements, values and related information. It includes a list of measurement types ("measTypes") and the corresponding results ("measValues"), together with the time stamp ("measTimeStamp") and granularity period ("granularityPeriod") pertaining to these measurements.</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measInfoId</w:t>
            </w:r>
          </w:p>
        </w:tc>
        <w:tc>
          <w:tcPr>
            <w:tcW w:w="8253"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 xml:space="preserve">This attribute associates a tag name with the set of measurements defined by a </w:t>
            </w:r>
            <w:r>
              <w:rPr>
                <w:i/>
                <w:iCs/>
              </w:rPr>
              <w:t>measInfo</w:t>
            </w:r>
            <w:r>
              <w:rPr/>
              <w:t xml:space="preserve"> property. This is an optional parameter that may be used to assign unique names to categories of measurements grouped together by measInfo elements. It allows parsing tools to easily isolate measurement sets by name.</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measTimeStamp</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Time stamp referring to the end of the granularity period.</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jobId</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"jobId" represents the job with which measurement result contained in the file is associated.</w:t>
            </w:r>
          </w:p>
          <w:p>
            <w:pPr>
              <w:pStyle w:val="TAL"/>
              <w:keepNext w:val="false"/>
              <w:rPr/>
            </w:pPr>
            <w:r>
              <w:rPr/>
              <w:t>The "jobId" is mandatory when PMIRP is supported.</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granularityPeriod</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Granularity period of the measurement(s) in seconds.</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reportingPeriod</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Reporting period of the measurement(s) in seconds.</w:t>
            </w:r>
          </w:p>
          <w:p>
            <w:pPr>
              <w:pStyle w:val="TAL"/>
              <w:keepNext w:val="false"/>
              <w:rPr/>
            </w:pPr>
            <w:r>
              <w:rPr/>
              <w:t>The "reportingPeriod" is mandatory when PMIRP is supported.</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measTypes</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 xml:space="preserve">This is the list of measurement types for which the following, analogous list of measurement values ("measValues") pertains. </w:t>
            </w:r>
          </w:p>
          <w:p>
            <w:pPr>
              <w:pStyle w:val="TAL"/>
              <w:keepNext w:val="false"/>
              <w:rPr/>
            </w:pPr>
            <w:r>
              <w:rPr/>
              <w:t>The measurement types for UMTS and combined GSM/UMTS networks are specified in TS 32.40</w:t>
            </w:r>
            <w:r>
              <w:rPr>
                <w:lang w:eastAsia="zh-CN"/>
              </w:rPr>
              <w:t>5</w:t>
            </w:r>
            <w:r>
              <w:rPr/>
              <w:t xml:space="preserve"> [</w:t>
            </w:r>
            <w:r>
              <w:rPr>
                <w:lang w:eastAsia="zh-CN"/>
              </w:rPr>
              <w:t>12</w:t>
            </w:r>
            <w:r>
              <w:rPr/>
              <w:t>]</w:t>
            </w:r>
            <w:r>
              <w:rPr>
                <w:lang w:eastAsia="zh-CN"/>
              </w:rPr>
              <w:t>,</w:t>
            </w:r>
            <w:r>
              <w:rPr/>
              <w:t xml:space="preserve"> TS 32.40</w:t>
            </w:r>
            <w:r>
              <w:rPr>
                <w:lang w:eastAsia="zh-CN"/>
              </w:rPr>
              <w:t>6</w:t>
            </w:r>
            <w:r>
              <w:rPr/>
              <w:t xml:space="preserve"> [</w:t>
            </w:r>
            <w:r>
              <w:rPr>
                <w:lang w:eastAsia="zh-CN"/>
              </w:rPr>
              <w:t>13</w:t>
            </w:r>
            <w:r>
              <w:rPr/>
              <w:t>]</w:t>
            </w:r>
            <w:r>
              <w:rPr>
                <w:lang w:eastAsia="zh-CN"/>
              </w:rPr>
              <w:t>,</w:t>
            </w:r>
            <w:r>
              <w:rPr/>
              <w:t xml:space="preserve"> TS 32.40</w:t>
            </w:r>
            <w:r>
              <w:rPr>
                <w:lang w:eastAsia="zh-CN"/>
              </w:rPr>
              <w:t>7</w:t>
            </w:r>
            <w:r>
              <w:rPr/>
              <w:t xml:space="preserve"> [</w:t>
            </w:r>
            <w:r>
              <w:rPr>
                <w:lang w:eastAsia="zh-CN"/>
              </w:rPr>
              <w:t>14</w:t>
            </w:r>
            <w:r>
              <w:rPr/>
              <w:t>]</w:t>
            </w:r>
            <w:r>
              <w:rPr>
                <w:lang w:eastAsia="zh-CN"/>
              </w:rPr>
              <w:t>,</w:t>
            </w:r>
            <w:r>
              <w:rPr/>
              <w:t xml:space="preserve"> TS 32.40</w:t>
            </w:r>
            <w:r>
              <w:rPr>
                <w:lang w:eastAsia="zh-CN"/>
              </w:rPr>
              <w:t>8</w:t>
            </w:r>
            <w:r>
              <w:rPr/>
              <w:t xml:space="preserve"> [</w:t>
            </w:r>
            <w:r>
              <w:rPr>
                <w:lang w:eastAsia="zh-CN"/>
              </w:rPr>
              <w:t>15</w:t>
            </w:r>
            <w:r>
              <w:rPr/>
              <w:t>]</w:t>
            </w:r>
            <w:r>
              <w:rPr>
                <w:lang w:eastAsia="zh-CN"/>
              </w:rPr>
              <w:t xml:space="preserve"> and for IMS in </w:t>
            </w:r>
            <w:r>
              <w:rPr/>
              <w:t>TS 32.40</w:t>
            </w:r>
            <w:r>
              <w:rPr>
                <w:lang w:eastAsia="zh-CN"/>
              </w:rPr>
              <w:t>9</w:t>
            </w:r>
            <w:r>
              <w:rPr/>
              <w:t xml:space="preserve"> [</w:t>
            </w:r>
            <w:r>
              <w:rPr>
                <w:lang w:eastAsia="zh-CN"/>
              </w:rPr>
              <w:t>16</w:t>
            </w:r>
            <w:r>
              <w:rPr/>
              <w:t>].</w:t>
              <w:br/>
              <w:t xml:space="preserve">Measurement types for E-UTRAN are specified in TS 32.425 [17] and for EPC in TS 32.426 [18]. Measurement types for Home Node B (HNB) Subsystem (HNS) are defined in TS 32.452 [19] and for </w:t>
            </w:r>
            <w:r>
              <w:rPr>
                <w:lang w:eastAsia="zh-CN"/>
              </w:rPr>
              <w:t>Home enhanced Node B (HeNB) Subsystem (HeNS)</w:t>
            </w:r>
            <w:r>
              <w:rPr/>
              <w:t xml:space="preserve"> in TS.32.453 [20].The GSM only measurement types are defined in TS 52.402 [7].</w:t>
            </w:r>
          </w:p>
          <w:p>
            <w:pPr>
              <w:pStyle w:val="TAL"/>
              <w:keepNext w:val="false"/>
              <w:rPr/>
            </w:pPr>
            <w:r>
              <w:rPr/>
              <w:t>The measurement types for NR and 5GC are specified in TS 28.552 [21] and TS 32.404 [22]</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measValues</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parameter contains the list of measurement results for the resource being measured, e.g. trunk, cell. It includes an identifier of the resource ("measObjInstId"), the list of measurement result values ("measResults") and a flag that indicates whether the data is reliable ("suspectFlag").</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measObjInstId</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The "measObjInstId" field contains the local distinguished name (LDN) of the measured object within the scope defined by the "nEDistinguishedName" (see 3GPP TS 32.300 [6]). The concatenation of the "nEDistinguishedName" and the "measObjInstId" yields the DN of the measured object. The "measObjInstId" is therefore empty if the "nEDistinguishedName" already specifies completely the DN of the measured object, which is the case for all measurements specified on NE level. For example, if the measured object is a "ManagedElement" representing RNC "RNC-Gbg-1", then the "nEDistinguishedName" will be for instance "DC=a1.companyNN.com,SubNetwork=1,IRPAgent=1,SubNetwork=CountryNN,MeContext=MEC-Gbg-1,ManagedElement=RNC-Gbg-1", and the "measObjInstId" will be empty. On the other hand, if the measured object is a "UtranCell" representing cell "Gbg-997" managed by that RNC, then the "nEDistinguishedName" will be for instance the same as above, i.e. "DC=a1.companyNN.com,SubNetwork=1,IRPAgent=1,SubNetwork=CountryNN,MeContext=MEC-Gbg-1,ManagedElement=RNC-Gbg-1", and the "measObjInstId" will be for instance "RncFunction=RF-1,UtranCell=Gbg-997". The class of the "measObjInstId" is defined in item F of each measurement definition template.</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measResults</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parameter contains the sequence of result values for the observed measurement types. The "measResults" sequence shall have the same number of elements, which follow the same order as the measTypes sequence. Normal values are INTEGERs and REALs. The NULL value is reserved to indicate that the measurement item is not applicable or could not be retrieved for the object instance.</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suspectFlag</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Used as an indication of quality of the scanned data. FALSE in the case of reliable data, TRUE if not reliable. The default value is "FALSE", in case the suspect flag has its default value it may be omitted.</w:t>
            </w:r>
          </w:p>
        </w:tc>
      </w:tr>
      <w:tr>
        <w:trPr>
          <w:cantSplit w:val="true"/>
        </w:trPr>
        <w:tc>
          <w:tcPr>
            <w:tcW w:w="2181" w:type="dxa"/>
            <w:tcBorders>
              <w:top w:val="single" w:sz="4" w:space="0" w:color="000000"/>
              <w:left w:val="single" w:sz="4" w:space="0" w:color="000000"/>
              <w:bottom w:val="single" w:sz="4" w:space="0" w:color="000000"/>
              <w:right w:val="single" w:sz="4" w:space="0" w:color="000000"/>
            </w:tcBorders>
          </w:tcPr>
          <w:p>
            <w:pPr>
              <w:pStyle w:val="TAL"/>
              <w:keepNext w:val="false"/>
              <w:rPr/>
            </w:pPr>
            <w:r>
              <w:rPr/>
              <w:t>timestamp</w:t>
            </w:r>
          </w:p>
        </w:tc>
        <w:tc>
          <w:tcPr>
            <w:tcW w:w="8253" w:type="dxa"/>
            <w:tcBorders>
              <w:top w:val="single" w:sz="4" w:space="0" w:color="000000"/>
              <w:left w:val="single" w:sz="4" w:space="0" w:color="000000"/>
              <w:bottom w:val="single" w:sz="4" w:space="0" w:color="000000"/>
              <w:right w:val="single" w:sz="4" w:space="0" w:color="000000"/>
            </w:tcBorders>
          </w:tcPr>
          <w:p>
            <w:pPr>
              <w:pStyle w:val="TAL"/>
              <w:keepNext w:val="false"/>
              <w:rPr/>
            </w:pPr>
            <w:r>
              <w:rPr/>
              <w:t>This tag carries the time stamp that refers to the end of the measurement collection interval (granularity period) that is covered by the collected measurement results that are stored in this file. The minimum required information within timestamp is year, month, day, hour, minute, and second.</w:t>
            </w:r>
          </w:p>
        </w:tc>
      </w:tr>
    </w:tbl>
    <w:p>
      <w:pPr>
        <w:pStyle w:val="Normal"/>
        <w:rPr/>
      </w:pPr>
      <w:r>
        <w:rPr/>
      </w:r>
    </w:p>
    <w:p>
      <w:pPr>
        <w:pStyle w:val="Normal"/>
        <w:rPr/>
      </w:pPr>
      <w:r>
        <w:rPr/>
        <w:t xml:space="preserve">The measInfo contains the sequence of measurements, values and related information, in a table-oriented structure. A graphical representation of this structure can be found in clause 6.1. </w:t>
      </w:r>
    </w:p>
    <w:p>
      <w:pPr>
        <w:pStyle w:val="Normal"/>
        <w:rPr/>
      </w:pPr>
      <w:r>
        <w:rPr/>
        <w:t xml:space="preserve">The representation of all timestamps in PM files shall follow the representations allowed by the ISO 8601 [11]. </w:t>
        <w:br/>
        <w:t>The precise format for timestamp representation shall be determined by the technology used for encoding the PM file (e.g. ASN.1, XML DTD, XML Schema). The choice of technology should ensure that this representation is derived from ISO 8601 [11]. Based on the representation used, the timestamp shall refer to either UTC time or local time or local time with offset from UTC.</w:t>
      </w:r>
    </w:p>
    <w:p>
      <w:pPr>
        <w:pStyle w:val="Normal"/>
        <w:rPr/>
      </w:pPr>
      <w:r>
        <w:rPr/>
        <w:t xml:space="preserve">At least for those measurement types that are re-used from non-3GPP standards (e.g. IP, ATM), it is required that the measType be operator definable. This is necessary to allow the operator to harmonise the numbering between different vendors' systems where appropriate. Through this harmonisation, it can be assured that identical measurements always carry the same measType value, which is required by the post-processing system. </w:t>
      </w:r>
      <w:r>
        <w:br w:type="page"/>
      </w:r>
    </w:p>
    <w:p>
      <w:pPr>
        <w:pStyle w:val="Heading1"/>
        <w:ind w:left="1134" w:hanging="1134"/>
        <w:rPr/>
      </w:pPr>
      <w:bookmarkStart w:id="18" w:name="__RefHeading___Toc311795963"/>
      <w:bookmarkEnd w:id="18"/>
      <w:r>
        <w:rPr/>
        <w:t>5</w:t>
        <w:tab/>
        <w:t>Measurement Report File Conventions and Transfer Procedure</w:t>
      </w:r>
    </w:p>
    <w:p>
      <w:pPr>
        <w:pStyle w:val="Normal"/>
        <w:rPr/>
      </w:pPr>
      <w:r>
        <w:rPr/>
        <w:t>This clause describes the conventions how files containing performance measurement results are generated in the network (EM or NEs) and the procedure to transfer these files from the network to the NM.</w:t>
      </w:r>
    </w:p>
    <w:p>
      <w:pPr>
        <w:pStyle w:val="Heading2"/>
        <w:rPr/>
      </w:pPr>
      <w:bookmarkStart w:id="19" w:name="__RefHeading___Toc311795964"/>
      <w:bookmarkEnd w:id="19"/>
      <w:r>
        <w:rPr/>
        <w:t>5.1</w:t>
        <w:tab/>
        <w:t>Conventions</w:t>
      </w:r>
    </w:p>
    <w:p>
      <w:pPr>
        <w:pStyle w:val="Normal"/>
        <w:rPr/>
      </w:pPr>
      <w:r>
        <w:rPr/>
        <w:t>The following clauses define conventions for the generation and the naming of measurement-result files.</w:t>
      </w:r>
    </w:p>
    <w:p>
      <w:pPr>
        <w:pStyle w:val="Heading3"/>
        <w:rPr/>
      </w:pPr>
      <w:bookmarkStart w:id="20" w:name="__RefHeading___Toc311795965"/>
      <w:bookmarkEnd w:id="20"/>
      <w:r>
        <w:rPr/>
        <w:t>5.1.1</w:t>
        <w:tab/>
        <w:t>File generation</w:t>
      </w:r>
    </w:p>
    <w:p>
      <w:pPr>
        <w:pStyle w:val="Normal"/>
        <w:rPr/>
      </w:pPr>
      <w:r>
        <w:rPr/>
        <w:t>Since vendors may choose to implement the NM interface either in the NEs or the EM, the measurement result files for collection by the NM (push or pull transfer mechanism) may be provided by the NEs or the EM. Note that within one PLMN network both possibilities may occur, since NEs of different types may use either one of the two possible approaches (NE based or EM based). This is particularly true in a multi-vendor network.</w:t>
      </w:r>
    </w:p>
    <w:p>
      <w:pPr>
        <w:pStyle w:val="Normal"/>
        <w:rPr/>
      </w:pPr>
      <w:r>
        <w:rPr/>
        <w:t>The procedures for the transfer of the files to the NM from either the NE or the EM are described in clause 5.2.</w:t>
      </w:r>
    </w:p>
    <w:p>
      <w:pPr>
        <w:pStyle w:val="Heading4"/>
        <w:ind w:left="1418" w:hanging="1418"/>
        <w:rPr/>
      </w:pPr>
      <w:bookmarkStart w:id="21" w:name="__RefHeading___Toc311795966"/>
      <w:bookmarkEnd w:id="21"/>
      <w:r>
        <w:rPr/>
        <w:t>5.1.1.1</w:t>
        <w:tab/>
        <w:t>NE based approach</w:t>
      </w:r>
    </w:p>
    <w:p>
      <w:pPr>
        <w:pStyle w:val="Normal"/>
        <w:rPr/>
      </w:pPr>
      <w:r>
        <w:rPr/>
        <w:t xml:space="preserve">The NE shall generate one measurement report(measurement record) immediately at the end of each granularity period. This measurement report shall contain all measurement results produced by the NE within that granularity period. For example, if a NodeB runs 10 measurements with a granularity period of 15 minutes and 5 measurements with a granularity period of 5 minutes, then it shall generate one measurement report containing 10 results every 15 minutes, and one measurement reportcontaining 5 measurement results every 5 minutes. </w:t>
      </w:r>
    </w:p>
    <w:p>
      <w:pPr>
        <w:pStyle w:val="Normal"/>
        <w:rPr/>
      </w:pPr>
      <w:r>
        <w:rPr/>
        <w:t>In the event of two or more granularity periods coming to an end at the same time, the NE shall generate one measurement report  per granularity period. Hence in the above example, the NodeB shall generate 2 measurement reports  – one containing 10 results  (15min granularity period) and the other containing 5 measurement results (5 min granularity period), when the end time of the granularity periods coincide.</w:t>
      </w:r>
    </w:p>
    <w:p>
      <w:pPr>
        <w:pStyle w:val="Normal"/>
        <w:rPr/>
      </w:pPr>
      <w:r>
        <w:rPr/>
        <w:t>Measurement reports (measurement record)  of a particular granularity period are assembled into measurement result file for transfer, e.g.  from the NE or EM.  The number of measurement reports assembled is based on reporting period. The different types of measurement result file that can be supported are in section 5.1.2.</w:t>
      </w:r>
    </w:p>
    <w:p>
      <w:pPr>
        <w:pStyle w:val="Normal"/>
        <w:rPr/>
      </w:pPr>
      <w:r>
        <w:rPr/>
        <w:t>The NE shall be identified both in the file name and in the file contents. NE identifiers (names) used for the files shall be in accordance with the NE naming conventions defined in 3GPP TS 32.300 [6]. The file shall be available for transfer as soon as all applicable results have been assembled.</w:t>
      </w:r>
    </w:p>
    <w:p>
      <w:pPr>
        <w:pStyle w:val="Normal"/>
        <w:rPr/>
      </w:pPr>
      <w:r>
        <w:rPr/>
        <w:t>Each NE is responsible for the generation and maintenance of the measurement reports (measurement record)  pertaining to its own measurements (i.e. the measurements it executes). In particular, this implies that the RNC is not involved in the generation, provision or transfer of measurement result files of its controlled NodeBs, i.e. for the measurements defined for the NodeB in the present document, no results will be sent via the Iub interface. (Note that NodeB measurement results may be routed across the same physical interface as Iub, see 3GPP TS 25.442 [5] for details).</w:t>
      </w:r>
    </w:p>
    <w:p>
      <w:pPr>
        <w:pStyle w:val="Heading4"/>
        <w:ind w:left="1418" w:hanging="1418"/>
        <w:rPr/>
      </w:pPr>
      <w:bookmarkStart w:id="22" w:name="__RefHeading___Toc311795967"/>
      <w:bookmarkEnd w:id="22"/>
      <w:r>
        <w:rPr/>
        <w:t>5.1.1.2</w:t>
        <w:tab/>
        <w:t>EM based approach</w:t>
      </w:r>
    </w:p>
    <w:p>
      <w:pPr>
        <w:pStyle w:val="Normal"/>
        <w:rPr/>
      </w:pPr>
      <w:r>
        <w:rPr/>
        <w:t>This approach requires that measurement results be forwarded to the EM according to the mechanisms described in clause 4.2.4 of the 3GPP TS 32.401[3]. The EM may choose to provide measurement result files as described above for the NEs, however, additional flexibility may be offered. For example, measurement results from several granularity periods and/ or several NEs could be written into one single file. These NEs may be determined based on network hierarchy (e.g. all NodeBs controlled by the same RNC, all NEs controlled by the same EM), or management domains configured by the system operator (e.g. NodeBs belonging to a certain (management or geographical) area). In case such rules are applied by the EM for the routing of measurement results to specific files then they shall be operator configurable. If results from more than one NE are contained in a file, the NE identifier used for the file shall be the EM name as defined in 3GPP TS 32.300 [6], or a domain name configured by the system operator. If results from more than one granularity period are contained in the file then the beginning of the first and the end of the last granularity period shall be indicated in the file name.</w:t>
      </w:r>
    </w:p>
    <w:p>
      <w:pPr>
        <w:pStyle w:val="Normal"/>
        <w:rPr/>
      </w:pPr>
      <w:r>
        <w:rPr/>
        <w:t>The file shall be made available for transfer to or collection by the NM as soon as all applicable results have been assembled.</w:t>
      </w:r>
    </w:p>
    <w:p>
      <w:pPr>
        <w:pStyle w:val="Heading3"/>
        <w:rPr/>
      </w:pPr>
      <w:bookmarkStart w:id="23" w:name="__RefHeading___Toc311795968"/>
      <w:bookmarkEnd w:id="23"/>
      <w:r>
        <w:rPr/>
        <w:t>5.1.2</w:t>
        <w:tab/>
        <w:t>File naming</w:t>
      </w:r>
    </w:p>
    <w:p>
      <w:pPr>
        <w:pStyle w:val="Normal"/>
        <w:keepNext w:val="true"/>
        <w:rPr/>
      </w:pPr>
      <w:r>
        <w:rPr/>
        <w:t>The following convention shall be applied for measurement result file naming:</w:t>
      </w:r>
    </w:p>
    <w:p>
      <w:pPr>
        <w:pStyle w:val="Normal"/>
        <w:keepNext w:val="true"/>
        <w:rPr/>
      </w:pPr>
      <w:r>
        <w:rPr>
          <w:lang w:val="da-DK"/>
        </w:rPr>
        <w:t>&lt;Type&gt;&lt;Startdate&gt;.&lt;Starttime&gt;-[&lt;Enddate&gt;.]&lt;Endtime&gt;</w:t>
      </w:r>
      <w:r>
        <w:rPr>
          <w:lang w:val="nb-NO"/>
        </w:rPr>
        <w:t>[_-&lt;jobId&gt;]</w:t>
      </w:r>
      <w:r>
        <w:rPr>
          <w:lang w:val="da-DK"/>
        </w:rPr>
        <w:t>[_&lt;UniqueId&gt;][_-_&lt;RC&gt;]</w:t>
      </w:r>
    </w:p>
    <w:p>
      <w:pPr>
        <w:pStyle w:val="B1"/>
        <w:rPr/>
      </w:pPr>
      <w:r>
        <w:rPr/>
        <w:t>1)</w:t>
        <w:tab/>
        <w:t>The Type field indicates if the file contains measurement results for single or multiple NEs and/or granularity periods where:</w:t>
      </w:r>
    </w:p>
    <w:p>
      <w:pPr>
        <w:pStyle w:val="B2"/>
        <w:rPr/>
      </w:pPr>
      <w:r>
        <w:rPr/>
        <w:t>-</w:t>
        <w:tab/>
        <w:t>"A" means single NE, single granularity period;  ( this is used when granularity period is equal to reporting period )</w:t>
      </w:r>
    </w:p>
    <w:p>
      <w:pPr>
        <w:pStyle w:val="B2"/>
        <w:rPr/>
      </w:pPr>
      <w:r>
        <w:rPr/>
        <w:t>-</w:t>
        <w:tab/>
        <w:t>"B" indicates multiple NEs, single granularity period; ( this is used when granularity period is equal to reporting period)</w:t>
      </w:r>
    </w:p>
    <w:p>
      <w:pPr>
        <w:pStyle w:val="B2"/>
        <w:rPr/>
      </w:pPr>
      <w:r>
        <w:rPr/>
        <w:t>-</w:t>
        <w:tab/>
        <w:t>"C" signifies single NE, multiple granularity periods; (this is used when reporting period is multiples of the granularity period and will contain multiple measurement reports )</w:t>
      </w:r>
    </w:p>
    <w:p>
      <w:pPr>
        <w:pStyle w:val="B2"/>
        <w:rPr/>
      </w:pPr>
      <w:r>
        <w:rPr/>
        <w:t>-</w:t>
        <w:tab/>
        <w:t>"D" stands for multiple NEs, multiple granularity periods. (this is used when reporting period is multiples of the granularity period and will contain multiple measurement reports).</w:t>
      </w:r>
    </w:p>
    <w:p>
      <w:pPr>
        <w:pStyle w:val="B1"/>
        <w:rPr/>
      </w:pPr>
      <w:r>
        <w:rPr/>
        <w:t>2)</w:t>
        <w:tab/>
        <w:t>The Startdate field indicates the date when the granularity period began if the Type field is set to A or B. If the Type field is either "C" or "D" then Startdate contains the date when the first granularity period of the measurement results contained in the file started. The Startdate field is of the form YYYYMMDD, where:</w:t>
      </w:r>
    </w:p>
    <w:p>
      <w:pPr>
        <w:pStyle w:val="B2"/>
        <w:rPr/>
      </w:pPr>
      <w:r>
        <w:rPr/>
        <w:t>-</w:t>
        <w:tab/>
        <w:t>YYYY is the year in four-digit notation;</w:t>
      </w:r>
    </w:p>
    <w:p>
      <w:pPr>
        <w:pStyle w:val="B2"/>
        <w:rPr/>
      </w:pPr>
      <w:r>
        <w:rPr/>
        <w:t>-</w:t>
        <w:tab/>
        <w:t>MM is the month in two digit notation (01 - 12);</w:t>
      </w:r>
    </w:p>
    <w:p>
      <w:pPr>
        <w:pStyle w:val="B2"/>
        <w:rPr/>
      </w:pPr>
      <w:r>
        <w:rPr/>
        <w:t>-</w:t>
        <w:tab/>
        <w:t>DD is the day in two-digit notation (01 - 31).</w:t>
      </w:r>
    </w:p>
    <w:p>
      <w:pPr>
        <w:pStyle w:val="B1"/>
        <w:rPr/>
      </w:pPr>
      <w:r>
        <w:rPr/>
        <w:t>3)</w:t>
        <w:tab/>
        <w:t>The Starttime field indicates the time when the granularity period began if the Type field is set to A or B. If the Type field is either "C" or "D" then Starttime contains the time when the first granularity period of the measurement results contained in the file began. The Starttime field is of the form HHMMshhmm, where:</w:t>
      </w:r>
    </w:p>
    <w:p>
      <w:pPr>
        <w:pStyle w:val="B2"/>
        <w:rPr/>
      </w:pPr>
      <w:r>
        <w:rPr/>
        <w:t>-</w:t>
        <w:tab/>
        <w:t>HH is the two-digit hour of the day (local time), based on 24-hour clock (00 - 23);</w:t>
      </w:r>
    </w:p>
    <w:p>
      <w:pPr>
        <w:pStyle w:val="B2"/>
        <w:rPr/>
      </w:pPr>
      <w:r>
        <w:rPr/>
        <w:t>-</w:t>
        <w:tab/>
        <w:t>MM is the two digit minute of the hour (local time), possible values are 00, 05, 10, 15, 20, 25, 30, 35, 40, 45, 50, and 55;</w:t>
      </w:r>
    </w:p>
    <w:p>
      <w:pPr>
        <w:pStyle w:val="B2"/>
        <w:rPr/>
      </w:pPr>
      <w:r>
        <w:rPr/>
        <w:t>-</w:t>
        <w:tab/>
        <w:t>s is the sign of the local time differential from UTC (+ or -), in case the time differential to UTC is 0 then the sign may be arbitrarily set to "+" or "-";</w:t>
      </w:r>
    </w:p>
    <w:p>
      <w:pPr>
        <w:pStyle w:val="B2"/>
        <w:rPr/>
      </w:pPr>
      <w:r>
        <w:rPr/>
        <w:t>-</w:t>
        <w:tab/>
        <w:t>hh is the two-digit number of hours of the local time differential from UTC (00-23);</w:t>
      </w:r>
    </w:p>
    <w:p>
      <w:pPr>
        <w:pStyle w:val="B2"/>
        <w:rPr/>
      </w:pPr>
      <w:r>
        <w:rPr/>
        <w:t>-</w:t>
        <w:tab/>
        <w:t>mm is the two digit number of minutes of the local time differential from UTC (00-59).</w:t>
      </w:r>
    </w:p>
    <w:p>
      <w:pPr>
        <w:pStyle w:val="B1"/>
        <w:rPr/>
      </w:pPr>
      <w:r>
        <w:rPr/>
        <w:t>4)</w:t>
        <w:tab/>
        <w:t>The Enddate field shall only be included if the Type field is set to "C" or "D", i.e. measurement results for multiple granularity periods are contained in the file. It identifies the date when the last granularity period of these measurements ended, and its structure corresponds to the Startdate field.</w:t>
      </w:r>
    </w:p>
    <w:p>
      <w:pPr>
        <w:pStyle w:val="B1"/>
        <w:rPr/>
      </w:pPr>
      <w:r>
        <w:rPr/>
        <w:t>5)</w:t>
        <w:tab/>
        <w:t>The Endtime field indicates the time when the granularity period ended if the Type field is set to A or B. If the Type field is either "C" or "D" then Endtime contains the time when the last granularity period of the measurement results contained in the file ended. Its structure corresponds to the Starttime field, however, the allowed values for the minute of the hour are 05, 10, 15, 20, 25, 30, 35, 40, 45, 50, 55, and 00.</w:t>
      </w:r>
    </w:p>
    <w:p>
      <w:pPr>
        <w:pStyle w:val="B1"/>
        <w:rPr/>
      </w:pPr>
      <w:r>
        <w:rPr/>
        <w:t>6)</w:t>
        <w:tab/>
        <w:t>UniqueId. This is the name of the NE, EM or domain, as defined in clauses 5.1.1.1 and 5.1.1.2 (e.g. a distinguishedName). The field may be omitted only if the distinguishedName is not available from the CM applications.</w:t>
      </w:r>
    </w:p>
    <w:p>
      <w:pPr>
        <w:pStyle w:val="B1"/>
        <w:rPr/>
      </w:pPr>
      <w:r>
        <w:rPr/>
        <w:t>7)</w:t>
        <w:tab/>
        <w:t>The RC parameter is a running count, starting with the value of "1", and shall be appended only if the filename is otherwise not unique, i.e. more than one file is generated and all other parameters of the file name are identical. Therefore it may only be used by the EM, since the described situation cannot occur with NE generated files. Note that the delimiter for this field, _-_,  is an underscore character (_), followed by a minus character (-), followed by an underscore character (_).</w:t>
      </w:r>
    </w:p>
    <w:p>
      <w:pPr>
        <w:pStyle w:val="B1"/>
        <w:rPr/>
      </w:pPr>
      <w:r>
        <w:rPr/>
        <w:t>8)</w:t>
        <w:tab/>
        <w:t>jobId. When PMIRP is supported, the jobId shall be indicated in the performance measurement file name.</w:t>
      </w:r>
    </w:p>
    <w:p>
      <w:pPr>
        <w:pStyle w:val="Normal"/>
        <w:keepNext w:val="true"/>
        <w:keepLines/>
        <w:rPr/>
      </w:pPr>
      <w:r>
        <w:rPr/>
        <w:t>Some examples describing file-naming convention:</w:t>
      </w:r>
    </w:p>
    <w:p>
      <w:pPr>
        <w:pStyle w:val="B1"/>
        <w:keepNext w:val="true"/>
        <w:keepLines/>
        <w:rPr/>
      </w:pPr>
      <w:r>
        <w:rPr/>
        <w:t>1)</w:t>
        <w:tab/>
        <w:t>file name:</w:t>
        <w:tab/>
        <w:t xml:space="preserve">A20000626.2315+0200-2330+0200_NodeBId, </w:t>
        <w:br/>
        <w:t>meaning:</w:t>
        <w:tab/>
        <w:t>file produced by NodeB &lt;NodeBId&gt; on June 26, 2000, granularity period 15 minutes from 23:15 local to 23:30 local, with a time differential of +2 hours against UTC.</w:t>
      </w:r>
    </w:p>
    <w:p>
      <w:pPr>
        <w:pStyle w:val="B1"/>
        <w:rPr/>
      </w:pPr>
      <w:r>
        <w:rPr/>
        <w:t>2)</w:t>
        <w:tab/>
        <w:t>file name:</w:t>
        <w:tab/>
        <w:t>B20021224.1700-1130-1705-1130_-job10_EMId,</w:t>
        <w:br/>
        <w:t>meaning:</w:t>
        <w:tab/>
        <w:t>file containing results for multiple NEs, generated for measurement job job10, produced by EM &lt;EMId&gt; on December 24, 2002, granularity period 5 minutes from 17:00 local to 17:05 local, with a time differential of –11:30 hours against UTC.</w:t>
      </w:r>
    </w:p>
    <w:p>
      <w:pPr>
        <w:pStyle w:val="B1"/>
        <w:rPr/>
      </w:pPr>
      <w:r>
        <w:rPr/>
        <w:t>3)</w:t>
        <w:tab/>
        <w:t>file name:</w:t>
        <w:tab/>
        <w:t>D20050907.1030+0000-20050909.1500+0000_DomainId_-_2,</w:t>
        <w:br/>
        <w:t>meaning:</w:t>
        <w:tab/>
        <w:t>file containing results for NEs belonging to domain &lt;DomainId&gt;, start of first granularity period 07 September 2005, 10:30 local, end of last granularity period 09 September 2005, 15:00 local, with a time differential of 0 against UTC. This file is produced by the EM managing the domain, and it is the second file for this domain/granularity period combination.</w:t>
      </w:r>
    </w:p>
    <w:p>
      <w:pPr>
        <w:pStyle w:val="B1"/>
        <w:rPr>
          <w:lang w:eastAsia="zh-CN"/>
        </w:rPr>
      </w:pPr>
      <w:r>
        <w:rPr/>
        <w:t>4)</w:t>
        <w:tab/>
        <w:t>file name:</w:t>
        <w:tab/>
        <w:t>C20050907.1030+0000-20050909.1500+0000_NodeId,</w:t>
        <w:br/>
        <w:t>meaning:</w:t>
        <w:tab/>
        <w:t xml:space="preserve">file produced by the Node &lt;NodeId&gt; , start of first granularity period 07 September 2005, 10:30 local, end of last granularity period 09 September 2005, 15:00 local, with a time differential of 0 against UTC. </w:t>
      </w:r>
    </w:p>
    <w:p>
      <w:pPr>
        <w:pStyle w:val="Heading2"/>
        <w:rPr/>
      </w:pPr>
      <w:bookmarkStart w:id="24" w:name="__RefHeading___Toc311795969"/>
      <w:bookmarkEnd w:id="24"/>
      <w:r>
        <w:rPr/>
        <w:t>5.2</w:t>
        <w:tab/>
        <w:t>File transfer procedure</w:t>
      </w:r>
    </w:p>
    <w:p>
      <w:pPr>
        <w:pStyle w:val="Normal"/>
        <w:rPr/>
      </w:pPr>
      <w:r>
        <w:rPr/>
        <w:t>Both push (i.e. triggered by the NE) and pull (triggered by the OS) transfer modes shall be supported on the NM interface. Implementation specific means may be employed for the administration and control of the file transfer, concerning:</w:t>
      </w:r>
    </w:p>
    <w:p>
      <w:pPr>
        <w:pStyle w:val="B1"/>
        <w:rPr/>
      </w:pPr>
      <w:r>
        <w:rPr/>
        <w:t>-</w:t>
        <w:tab/>
        <w:t>the time of the transfer (in push mode);</w:t>
      </w:r>
    </w:p>
    <w:p>
      <w:pPr>
        <w:pStyle w:val="B1"/>
        <w:rPr/>
      </w:pPr>
      <w:r>
        <w:rPr/>
        <w:t>-</w:t>
        <w:tab/>
        <w:t>the routing of the transfer to one or more OS(s) (in push mode);</w:t>
      </w:r>
    </w:p>
    <w:p>
      <w:pPr>
        <w:pStyle w:val="B1"/>
        <w:rPr/>
      </w:pPr>
      <w:r>
        <w:rPr/>
        <w:t>-</w:t>
        <w:tab/>
        <w:t>the storage/deletion of the files in the NE, particularly when the EM based approach is chosen (cf. clause 5.1.1.2).</w:t>
      </w:r>
    </w:p>
    <w:p>
      <w:pPr>
        <w:pStyle w:val="Normal"/>
        <w:rPr/>
      </w:pPr>
      <w:r>
        <w:rPr/>
        <w:t>Measurement result files shall be retained by the file generator (i.e. NE or EM) at least until they have been successfully transferred to or collected by the NM. The storage capacity and the duration for which the data can be retained at the NE or the EM will be Operator and implementation dependent.</w:t>
      </w:r>
    </w:p>
    <w:p>
      <w:pPr>
        <w:pStyle w:val="Normal"/>
        <w:rPr/>
      </w:pPr>
      <w:r>
        <w:rPr/>
        <w:t>The file transfer procedure implemented in the system (NE or EM) shall ensure that no data can get lost under normal operating conditions. The procedure shall also ensure that the files will be deleted after successful transfer to the NM. Depending on the exact implementation of the procedure, the NM may be responsible for deleting those files, or older files will be eventually overwritten by new ones by the file generator in a round robin fashion.</w:t>
      </w:r>
    </w:p>
    <w:p>
      <w:pPr>
        <w:pStyle w:val="Normal"/>
        <w:rPr/>
      </w:pPr>
      <w:r>
        <w:rPr/>
        <w:t>Each implementation shall support all primitives of the selected protocol (e.g. put file, get file, inspect directory contents, delete file) which are needed by the NM. These primitives depend on the details of the procedure, as defined by the manufacturer.</w:t>
      </w:r>
      <w:r>
        <w:br w:type="page"/>
      </w:r>
    </w:p>
    <w:p>
      <w:pPr>
        <w:pStyle w:val="Heading8"/>
        <w:ind w:left="0" w:hanging="0"/>
        <w:rPr/>
      </w:pPr>
      <w:bookmarkStart w:id="25" w:name="__RefHeading___Toc311795970"/>
      <w:bookmarkEnd w:id="25"/>
      <w:r>
        <w:rPr/>
        <w:t>Annex A (informative):</w:t>
        <w:br/>
        <w:t>The table oriented file format structure</w:t>
      </w:r>
    </w:p>
    <w:p>
      <w:pPr>
        <w:pStyle w:val="Normal"/>
        <w:rPr/>
      </w:pPr>
      <w:r>
        <w:rPr/>
        <w:t>Measurement Items (counters) are typically grouped according functionality (cf. 3GPP TS 52.402 [7] Measurement Function). The term "measured object class" is used to identify such a group. The file format is based on the fact that the measurements are always collected in sets of one functional group.</w:t>
      </w:r>
    </w:p>
    <w:p>
      <w:pPr>
        <w:pStyle w:val="Normal"/>
        <w:rPr/>
      </w:pPr>
      <w:r>
        <w:rPr/>
        <w:t xml:space="preserve">The measInfo contains the sequence of measurements, values and related information, in a table-oriented structure. </w:t>
        <w:br/>
        <w:t>It includes a list of measurement types ("measTypes") and the corresponding values ("measValues"), together with the time stamp ("measTimeStamp"), granularity period ("granularityPeriod") and reporting period ("reportingPeriod") pertaining to these measurements. Whenever one of these 4 elements changes, then a new measInfo sequence is started. If the "measTypes" change, then also the "measValues" change, because these elements are connected in the following way: the "measTypes" correspond to a specific measurement object (NE, trunk, cell, …), of which one or more instances can exist inside the NE.</w:t>
      </w:r>
    </w:p>
    <w:p>
      <w:pPr>
        <w:pStyle w:val="Normal"/>
        <w:rPr/>
      </w:pPr>
      <w:r>
        <w:rPr/>
        <w:t>Hence for one set of "measTypes", there can be one or more sets of "measValues", according to the "measObjInstId".</w:t>
      </w:r>
    </w:p>
    <w:p>
      <w:pPr>
        <w:pStyle w:val="Normal"/>
        <w:rPr/>
      </w:pPr>
      <w:r>
        <w:rPr/>
        <w:t>The above is best explained with an example: consider the CELL measurement function (3GPP TS 52.402 [7]). Then the measured object class is Cell. The measInfo contains a "header" line defining which measurements related to Cell are collected (measTypes), and in which order. The subsequent "data" lines will then contain the values of the measurements for each specific cell, which is measured, one data line per cell (measValues).</w:t>
      </w:r>
    </w:p>
    <w:p>
      <w:pPr>
        <w:pStyle w:val="Normal"/>
        <w:rPr/>
      </w:pPr>
      <w:r>
        <w:rPr/>
        <w:t>This format will generate a kind of table with as column headings the measurement names, and in the rows the corresponding measurement values per measured instance.</w:t>
      </w:r>
    </w:p>
    <w:p>
      <w:pPr>
        <w:pStyle w:val="Heading1"/>
        <w:ind w:left="1134" w:hanging="1134"/>
        <w:rPr/>
      </w:pPr>
      <w:bookmarkStart w:id="26" w:name="__RefHeading___Toc311795971"/>
      <w:bookmarkEnd w:id="26"/>
      <w:r>
        <w:rPr/>
        <w:t>A.1</w:t>
        <w:tab/>
        <w:t>Graphical representation of the table structure</w:t>
      </w:r>
    </w:p>
    <w:p>
      <w:pPr>
        <w:pStyle w:val="Normal"/>
        <w:rPr/>
      </w:pPr>
      <w:r>
        <w:rPr/>
        <w:t>For clarity, the table in the example below only contains the measTypes and measValues (and suspectFlag), not the granularityPeriod, reportingPeriod and the measTimeStamp.</w:t>
      </w:r>
    </w:p>
    <w:tbl>
      <w:tblPr>
        <w:tblW w:w="10561" w:type="dxa"/>
        <w:jc w:val="center"/>
        <w:tblInd w:w="0" w:type="dxa"/>
        <w:tblLayout w:type="fixed"/>
        <w:tblCellMar>
          <w:top w:w="0" w:type="dxa"/>
          <w:left w:w="28" w:type="dxa"/>
          <w:bottom w:w="0" w:type="dxa"/>
          <w:right w:w="28" w:type="dxa"/>
        </w:tblCellMar>
      </w:tblPr>
      <w:tblGrid>
        <w:gridCol w:w="1016"/>
        <w:gridCol w:w="1671"/>
        <w:gridCol w:w="1861"/>
        <w:gridCol w:w="2551"/>
        <w:gridCol w:w="2741"/>
        <w:gridCol w:w="721"/>
      </w:tblGrid>
      <w:tr>
        <w:trPr/>
        <w:tc>
          <w:tcPr>
            <w:tcW w:w="1016" w:type="dxa"/>
            <w:tcBorders>
              <w:top w:val="single" w:sz="4" w:space="0" w:color="000000"/>
              <w:left w:val="single" w:sz="4" w:space="0" w:color="000000"/>
              <w:bottom w:val="single" w:sz="4" w:space="0" w:color="000000"/>
              <w:right w:val="single" w:sz="4" w:space="0" w:color="000000"/>
            </w:tcBorders>
            <w:shd w:fill="CCCCCC" w:val="clear"/>
          </w:tcPr>
          <w:p>
            <w:pPr>
              <w:pStyle w:val="TAH"/>
              <w:snapToGrid w:val="false"/>
              <w:rPr/>
            </w:pPr>
            <w:r>
              <w:rPr/>
            </w:r>
          </w:p>
        </w:tc>
        <w:tc>
          <w:tcPr>
            <w:tcW w:w="167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attTCHSeizures</w:t>
            </w:r>
          </w:p>
        </w:tc>
        <w:tc>
          <w:tcPr>
            <w:tcW w:w="186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succTCHSeizures</w:t>
            </w:r>
          </w:p>
        </w:tc>
        <w:tc>
          <w:tcPr>
            <w:tcW w:w="255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attImmediateAssignProcs</w:t>
            </w:r>
          </w:p>
        </w:tc>
        <w:tc>
          <w:tcPr>
            <w:tcW w:w="274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succImmediateAssignProcs</w:t>
            </w:r>
          </w:p>
        </w:tc>
        <w:tc>
          <w:tcPr>
            <w:tcW w:w="721" w:type="dxa"/>
            <w:tcBorders>
              <w:top w:val="single" w:sz="4" w:space="0" w:color="000000"/>
              <w:left w:val="single" w:sz="4" w:space="0" w:color="000000"/>
              <w:bottom w:val="single" w:sz="4" w:space="0" w:color="000000"/>
              <w:right w:val="single" w:sz="4" w:space="0" w:color="000000"/>
            </w:tcBorders>
            <w:shd w:fill="CCCCCC" w:val="clear"/>
          </w:tcPr>
          <w:p>
            <w:pPr>
              <w:pStyle w:val="TAH"/>
              <w:snapToGrid w:val="false"/>
              <w:rPr/>
            </w:pPr>
            <w:r>
              <w:rPr/>
            </w:r>
          </w:p>
        </w:tc>
      </w:tr>
      <w:tr>
        <w:trPr/>
        <w:tc>
          <w:tcPr>
            <w:tcW w:w="1016" w:type="dxa"/>
            <w:tcBorders>
              <w:top w:val="single" w:sz="4" w:space="0" w:color="000000"/>
              <w:left w:val="single" w:sz="4" w:space="0" w:color="000000"/>
              <w:bottom w:val="single" w:sz="4" w:space="0" w:color="000000"/>
              <w:right w:val="single" w:sz="4" w:space="0" w:color="000000"/>
            </w:tcBorders>
          </w:tcPr>
          <w:p>
            <w:pPr>
              <w:pStyle w:val="TAC"/>
              <w:rPr/>
            </w:pPr>
            <w:r>
              <w:rPr/>
              <w:t>cell=997</w:t>
            </w:r>
          </w:p>
        </w:tc>
        <w:tc>
          <w:tcPr>
            <w:tcW w:w="1671" w:type="dxa"/>
            <w:tcBorders>
              <w:top w:val="single" w:sz="4" w:space="0" w:color="000000"/>
              <w:left w:val="single" w:sz="4" w:space="0" w:color="000000"/>
              <w:bottom w:val="single" w:sz="4" w:space="0" w:color="000000"/>
              <w:right w:val="single" w:sz="4" w:space="0" w:color="000000"/>
            </w:tcBorders>
          </w:tcPr>
          <w:p>
            <w:pPr>
              <w:pStyle w:val="TAC"/>
              <w:rPr/>
            </w:pPr>
            <w:r>
              <w:rPr/>
              <w:t>234</w:t>
            </w:r>
          </w:p>
        </w:tc>
        <w:tc>
          <w:tcPr>
            <w:tcW w:w="1861" w:type="dxa"/>
            <w:tcBorders>
              <w:top w:val="single" w:sz="4" w:space="0" w:color="000000"/>
              <w:left w:val="single" w:sz="4" w:space="0" w:color="000000"/>
              <w:bottom w:val="single" w:sz="4" w:space="0" w:color="000000"/>
              <w:right w:val="single" w:sz="4" w:space="0" w:color="000000"/>
            </w:tcBorders>
          </w:tcPr>
          <w:p>
            <w:pPr>
              <w:pStyle w:val="TAC"/>
              <w:rPr/>
            </w:pPr>
            <w:r>
              <w:rPr/>
              <w:t>345</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567</w:t>
            </w:r>
          </w:p>
        </w:tc>
        <w:tc>
          <w:tcPr>
            <w:tcW w:w="2741" w:type="dxa"/>
            <w:tcBorders>
              <w:top w:val="single" w:sz="4" w:space="0" w:color="000000"/>
              <w:left w:val="single" w:sz="4" w:space="0" w:color="000000"/>
              <w:bottom w:val="single" w:sz="4" w:space="0" w:color="000000"/>
              <w:right w:val="single" w:sz="4" w:space="0" w:color="000000"/>
            </w:tcBorders>
          </w:tcPr>
          <w:p>
            <w:pPr>
              <w:pStyle w:val="TAC"/>
              <w:rPr/>
            </w:pPr>
            <w:r>
              <w:rPr/>
              <w:t>789</w:t>
            </w:r>
          </w:p>
        </w:tc>
        <w:tc>
          <w:tcPr>
            <w:tcW w:w="721" w:type="dxa"/>
            <w:tcBorders>
              <w:top w:val="single" w:sz="4" w:space="0" w:color="000000"/>
              <w:left w:val="single" w:sz="4" w:space="0" w:color="000000"/>
              <w:bottom w:val="single" w:sz="4" w:space="0" w:color="000000"/>
              <w:right w:val="single" w:sz="4" w:space="0" w:color="000000"/>
            </w:tcBorders>
          </w:tcPr>
          <w:p>
            <w:pPr>
              <w:pStyle w:val="TAC"/>
              <w:rPr/>
            </w:pPr>
            <w:r>
              <w:rPr/>
              <w:t>false</w:t>
            </w:r>
          </w:p>
        </w:tc>
      </w:tr>
      <w:tr>
        <w:trPr/>
        <w:tc>
          <w:tcPr>
            <w:tcW w:w="1016" w:type="dxa"/>
            <w:tcBorders>
              <w:top w:val="single" w:sz="4" w:space="0" w:color="000000"/>
              <w:left w:val="single" w:sz="4" w:space="0" w:color="000000"/>
              <w:bottom w:val="single" w:sz="4" w:space="0" w:color="000000"/>
              <w:right w:val="single" w:sz="4" w:space="0" w:color="000000"/>
            </w:tcBorders>
          </w:tcPr>
          <w:p>
            <w:pPr>
              <w:pStyle w:val="TAC"/>
              <w:rPr/>
            </w:pPr>
            <w:r>
              <w:rPr/>
              <w:t>cell=998</w:t>
            </w:r>
          </w:p>
        </w:tc>
        <w:tc>
          <w:tcPr>
            <w:tcW w:w="1671" w:type="dxa"/>
            <w:tcBorders>
              <w:top w:val="single" w:sz="4" w:space="0" w:color="000000"/>
              <w:left w:val="single" w:sz="4" w:space="0" w:color="000000"/>
              <w:bottom w:val="single" w:sz="4" w:space="0" w:color="000000"/>
              <w:right w:val="single" w:sz="4" w:space="0" w:color="000000"/>
            </w:tcBorders>
          </w:tcPr>
          <w:p>
            <w:pPr>
              <w:pStyle w:val="TAC"/>
              <w:rPr/>
            </w:pPr>
            <w:r>
              <w:rPr/>
              <w:t>890</w:t>
            </w:r>
          </w:p>
        </w:tc>
        <w:tc>
          <w:tcPr>
            <w:tcW w:w="1861" w:type="dxa"/>
            <w:tcBorders>
              <w:top w:val="single" w:sz="4" w:space="0" w:color="000000"/>
              <w:left w:val="single" w:sz="4" w:space="0" w:color="000000"/>
              <w:bottom w:val="single" w:sz="4" w:space="0" w:color="000000"/>
              <w:right w:val="single" w:sz="4" w:space="0" w:color="000000"/>
            </w:tcBorders>
          </w:tcPr>
          <w:p>
            <w:pPr>
              <w:pStyle w:val="TAC"/>
              <w:rPr/>
            </w:pPr>
            <w:r>
              <w:rPr/>
              <w:t>901</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123</w:t>
            </w:r>
          </w:p>
        </w:tc>
        <w:tc>
          <w:tcPr>
            <w:tcW w:w="2741" w:type="dxa"/>
            <w:tcBorders>
              <w:top w:val="single" w:sz="4" w:space="0" w:color="000000"/>
              <w:left w:val="single" w:sz="4" w:space="0" w:color="000000"/>
              <w:bottom w:val="single" w:sz="4" w:space="0" w:color="000000"/>
              <w:right w:val="single" w:sz="4" w:space="0" w:color="000000"/>
            </w:tcBorders>
          </w:tcPr>
          <w:p>
            <w:pPr>
              <w:pStyle w:val="TAC"/>
              <w:rPr/>
            </w:pPr>
            <w:r>
              <w:rPr/>
              <w:t>234</w:t>
            </w:r>
          </w:p>
        </w:tc>
        <w:tc>
          <w:tcPr>
            <w:tcW w:w="721" w:type="dxa"/>
            <w:tcBorders>
              <w:top w:val="single" w:sz="4" w:space="0" w:color="000000"/>
              <w:left w:val="single" w:sz="4" w:space="0" w:color="000000"/>
              <w:bottom w:val="single" w:sz="4" w:space="0" w:color="000000"/>
              <w:right w:val="single" w:sz="4" w:space="0" w:color="000000"/>
            </w:tcBorders>
          </w:tcPr>
          <w:p>
            <w:pPr>
              <w:pStyle w:val="TAC"/>
              <w:rPr/>
            </w:pPr>
            <w:r>
              <w:rPr/>
              <w:t>false</w:t>
            </w:r>
          </w:p>
        </w:tc>
      </w:tr>
      <w:tr>
        <w:trPr/>
        <w:tc>
          <w:tcPr>
            <w:tcW w:w="1016" w:type="dxa"/>
            <w:tcBorders>
              <w:top w:val="single" w:sz="4" w:space="0" w:color="000000"/>
              <w:left w:val="single" w:sz="4" w:space="0" w:color="000000"/>
              <w:bottom w:val="single" w:sz="4" w:space="0" w:color="000000"/>
              <w:right w:val="single" w:sz="4" w:space="0" w:color="000000"/>
            </w:tcBorders>
          </w:tcPr>
          <w:p>
            <w:pPr>
              <w:pStyle w:val="TAC"/>
              <w:rPr/>
            </w:pPr>
            <w:r>
              <w:rPr/>
              <w:t>cell=999</w:t>
            </w:r>
          </w:p>
        </w:tc>
        <w:tc>
          <w:tcPr>
            <w:tcW w:w="1671" w:type="dxa"/>
            <w:tcBorders>
              <w:top w:val="single" w:sz="4" w:space="0" w:color="000000"/>
              <w:left w:val="single" w:sz="4" w:space="0" w:color="000000"/>
              <w:bottom w:val="single" w:sz="4" w:space="0" w:color="000000"/>
              <w:right w:val="single" w:sz="4" w:space="0" w:color="000000"/>
            </w:tcBorders>
          </w:tcPr>
          <w:p>
            <w:pPr>
              <w:pStyle w:val="TAC"/>
              <w:rPr/>
            </w:pPr>
            <w:r>
              <w:rPr/>
              <w:t>456</w:t>
            </w:r>
          </w:p>
        </w:tc>
        <w:tc>
          <w:tcPr>
            <w:tcW w:w="1861" w:type="dxa"/>
            <w:tcBorders>
              <w:top w:val="single" w:sz="4" w:space="0" w:color="000000"/>
              <w:left w:val="single" w:sz="4" w:space="0" w:color="000000"/>
              <w:bottom w:val="single" w:sz="4" w:space="0" w:color="000000"/>
              <w:right w:val="single" w:sz="4" w:space="0" w:color="000000"/>
            </w:tcBorders>
          </w:tcPr>
          <w:p>
            <w:pPr>
              <w:pStyle w:val="TAC"/>
              <w:rPr/>
            </w:pPr>
            <w:r>
              <w:rPr/>
              <w:t>567</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678</w:t>
            </w:r>
          </w:p>
        </w:tc>
        <w:tc>
          <w:tcPr>
            <w:tcW w:w="2741" w:type="dxa"/>
            <w:tcBorders>
              <w:top w:val="single" w:sz="4" w:space="0" w:color="000000"/>
              <w:left w:val="single" w:sz="4" w:space="0" w:color="000000"/>
              <w:bottom w:val="single" w:sz="4" w:space="0" w:color="000000"/>
              <w:right w:val="single" w:sz="4" w:space="0" w:color="000000"/>
            </w:tcBorders>
          </w:tcPr>
          <w:p>
            <w:pPr>
              <w:pStyle w:val="TAC"/>
              <w:rPr/>
            </w:pPr>
            <w:r>
              <w:rPr/>
              <w:t>789</w:t>
            </w:r>
          </w:p>
        </w:tc>
        <w:tc>
          <w:tcPr>
            <w:tcW w:w="721" w:type="dxa"/>
            <w:tcBorders>
              <w:top w:val="single" w:sz="4" w:space="0" w:color="000000"/>
              <w:left w:val="single" w:sz="4" w:space="0" w:color="000000"/>
              <w:bottom w:val="single" w:sz="4" w:space="0" w:color="000000"/>
              <w:right w:val="single" w:sz="4" w:space="0" w:color="000000"/>
            </w:tcBorders>
          </w:tcPr>
          <w:p>
            <w:pPr>
              <w:pStyle w:val="TAC"/>
              <w:rPr/>
            </w:pPr>
            <w:r>
              <w:rPr/>
              <w:t>false</w:t>
            </w:r>
          </w:p>
        </w:tc>
      </w:tr>
    </w:tbl>
    <w:p>
      <w:pPr>
        <w:pStyle w:val="Normal"/>
        <w:rPr/>
      </w:pPr>
      <w:r>
        <w:rPr/>
      </w:r>
      <w:r>
        <w:br w:type="page"/>
      </w:r>
    </w:p>
    <w:p>
      <w:pPr>
        <w:pStyle w:val="Heading8"/>
        <w:ind w:left="0" w:hanging="0"/>
        <w:rPr/>
      </w:pPr>
      <w:bookmarkStart w:id="27" w:name="__RefHeading___Toc311795972"/>
      <w:bookmarkStart w:id="28" w:name="historyclause"/>
      <w:bookmarkEnd w:id="27"/>
      <w:bookmarkEnd w:id="28"/>
      <w:r>
        <w:rPr/>
        <w:t>Annex B (informative):</w:t>
        <w:br/>
        <w:t>Change history</w:t>
      </w:r>
    </w:p>
    <w:tbl>
      <w:tblPr>
        <w:tblW w:w="5000" w:type="pct"/>
        <w:jc w:val="left"/>
        <w:tblInd w:w="-47" w:type="dxa"/>
        <w:tblLayout w:type="fixed"/>
        <w:tblCellMar>
          <w:top w:w="0" w:type="dxa"/>
          <w:left w:w="40" w:type="dxa"/>
          <w:bottom w:w="0" w:type="dxa"/>
          <w:right w:w="40" w:type="dxa"/>
        </w:tblCellMar>
      </w:tblPr>
      <w:tblGrid>
        <w:gridCol w:w="1018"/>
        <w:gridCol w:w="847"/>
        <w:gridCol w:w="1262"/>
        <w:gridCol w:w="702"/>
        <w:gridCol w:w="702"/>
        <w:gridCol w:w="2881"/>
        <w:gridCol w:w="617"/>
        <w:gridCol w:w="802"/>
        <w:gridCol w:w="809"/>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10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4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2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7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7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28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rPr>
              <w:t>Cat</w:t>
            </w:r>
          </w:p>
        </w:tc>
        <w:tc>
          <w:tcPr>
            <w:tcW w:w="8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10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Sep 2004</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S_25</w:t>
            </w:r>
          </w:p>
        </w:tc>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SP-040578</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8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Draft created based on 32.401 V6.1.0 and submitted to SA#25 for Information</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10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S_26</w:t>
            </w:r>
          </w:p>
        </w:tc>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SP-040786</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to SA#26 for Approval</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6.0.0</w:t>
            </w:r>
          </w:p>
        </w:tc>
      </w:tr>
      <w:tr>
        <w:trPr/>
        <w:tc>
          <w:tcPr>
            <w:tcW w:w="10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2005</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SA_27</w:t>
            </w:r>
          </w:p>
        </w:tc>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SP-050040</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0001</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28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Resolve ambiguity in the format for timestamps in PM files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6.0.0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6.1.0</w:t>
            </w:r>
          </w:p>
        </w:tc>
      </w:tr>
      <w:tr>
        <w:trPr/>
        <w:tc>
          <w:tcPr>
            <w:tcW w:w="10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2005</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SA_29</w:t>
            </w:r>
          </w:p>
        </w:tc>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SP-050585</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0002</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28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Enhance PM XML file format with measInfo</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C</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6.1.0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7.0.0</w:t>
            </w:r>
          </w:p>
        </w:tc>
      </w:tr>
      <w:tr>
        <w:trPr/>
        <w:tc>
          <w:tcPr>
            <w:tcW w:w="10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28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Upgrade to Release 8</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7.0.0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10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SA_46</w:t>
            </w:r>
          </w:p>
        </w:tc>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28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Upgrade to Release 9</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8.0.0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9.0.0</w:t>
            </w:r>
          </w:p>
        </w:tc>
      </w:tr>
      <w:tr>
        <w:trPr/>
        <w:tc>
          <w:tcPr>
            <w:tcW w:w="10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2010</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SA_47</w:t>
            </w:r>
          </w:p>
        </w:tc>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SP-100036</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0003</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28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Correct reference to non-existing annex.</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D</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9.0.0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r>
      <w:tr>
        <w:trPr/>
        <w:tc>
          <w:tcPr>
            <w:tcW w:w="10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2010</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SA_49</w:t>
            </w:r>
          </w:p>
        </w:tc>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SP-100488</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0004</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28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Remove restriction from PM file type for NE</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F</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10.1.0</w:t>
            </w:r>
          </w:p>
        </w:tc>
      </w:tr>
      <w:tr>
        <w:trPr/>
        <w:tc>
          <w:tcPr>
            <w:tcW w:w="10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2011</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SA_54</w:t>
            </w:r>
          </w:p>
        </w:tc>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SP-110706</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0005</w:t>
            </w:r>
          </w:p>
        </w:tc>
        <w:tc>
          <w:tcPr>
            <w:tcW w:w="7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28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cs="Arial"/>
                <w:color w:val="000000"/>
                <w:sz w:val="16"/>
                <w:szCs w:val="16"/>
              </w:rPr>
              <w:t>Add missing references to performance measurements TSs and remove obsolete references</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F</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10.1.0</w:t>
            </w:r>
          </w:p>
        </w:tc>
        <w:tc>
          <w:tcPr>
            <w:tcW w:w="8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10.2.0</w:t>
            </w:r>
          </w:p>
        </w:tc>
      </w:tr>
      <w:tr>
        <w:trPr/>
        <w:tc>
          <w:tcPr>
            <w:tcW w:w="101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2012-09</w:t>
            </w:r>
          </w:p>
        </w:tc>
        <w:tc>
          <w:tcPr>
            <w:tcW w:w="84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262"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702"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702"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288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Update to Rel-11 version (MCC)</w:t>
            </w:r>
          </w:p>
        </w:tc>
        <w:tc>
          <w:tcPr>
            <w:tcW w:w="61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rPr>
            </w:pPr>
            <w:r>
              <w:rPr>
                <w:rFonts w:eastAsia="Batang;바탕" w:cs="Arial"/>
                <w:color w:val="000000"/>
                <w:sz w:val="16"/>
                <w:szCs w:val="16"/>
              </w:rPr>
            </w:r>
          </w:p>
        </w:tc>
        <w:tc>
          <w:tcPr>
            <w:tcW w:w="80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10.2.0</w:t>
            </w:r>
          </w:p>
        </w:tc>
        <w:tc>
          <w:tcPr>
            <w:tcW w:w="80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11.0.0</w:t>
            </w:r>
          </w:p>
        </w:tc>
      </w:tr>
      <w:tr>
        <w:trPr/>
        <w:tc>
          <w:tcPr>
            <w:tcW w:w="10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84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26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70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70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288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Update to Rel-12 version (MCC)</w:t>
            </w:r>
          </w:p>
        </w:tc>
        <w:tc>
          <w:tcPr>
            <w:tcW w:w="61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rPr>
            </w:pPr>
            <w:r>
              <w:rPr>
                <w:rFonts w:eastAsia="Batang;바탕" w:cs="Arial"/>
                <w:color w:val="000000"/>
                <w:sz w:val="16"/>
                <w:szCs w:val="16"/>
              </w:rPr>
            </w:r>
          </w:p>
        </w:tc>
        <w:tc>
          <w:tcPr>
            <w:tcW w:w="80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11.0.0</w:t>
            </w:r>
          </w:p>
        </w:tc>
        <w:tc>
          <w:tcPr>
            <w:tcW w:w="8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12.0.0</w:t>
            </w:r>
          </w:p>
        </w:tc>
      </w:tr>
      <w:tr>
        <w:trPr/>
        <w:tc>
          <w:tcPr>
            <w:tcW w:w="10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84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26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70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70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288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Update to Rel-13 version (MCC)</w:t>
            </w:r>
          </w:p>
        </w:tc>
        <w:tc>
          <w:tcPr>
            <w:tcW w:w="61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rPr>
            </w:pPr>
            <w:r>
              <w:rPr>
                <w:rFonts w:eastAsia="Batang;바탕" w:cs="Arial"/>
                <w:color w:val="000000"/>
                <w:sz w:val="16"/>
                <w:szCs w:val="16"/>
              </w:rPr>
            </w:r>
          </w:p>
        </w:tc>
        <w:tc>
          <w:tcPr>
            <w:tcW w:w="80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12.0.0</w:t>
            </w:r>
          </w:p>
        </w:tc>
        <w:tc>
          <w:tcPr>
            <w:tcW w:w="8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13.0.0</w:t>
            </w:r>
          </w:p>
        </w:tc>
      </w:tr>
      <w:tr>
        <w:trPr/>
        <w:tc>
          <w:tcPr>
            <w:tcW w:w="10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2017-04</w:t>
            </w:r>
          </w:p>
        </w:tc>
        <w:tc>
          <w:tcPr>
            <w:tcW w:w="84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126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70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70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rFonts w:eastAsia="Batang;바탕" w:cs="Arial"/>
                <w:color w:val="000000"/>
                <w:sz w:val="16"/>
                <w:szCs w:val="16"/>
              </w:rPr>
              <w:t>-</w:t>
            </w:r>
          </w:p>
        </w:tc>
        <w:tc>
          <w:tcPr>
            <w:tcW w:w="288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rPr>
            </w:pPr>
            <w:r>
              <w:rPr>
                <w:sz w:val="16"/>
                <w:szCs w:val="16"/>
              </w:rPr>
              <w:t>Promotion to Release 14 without technical change</w:t>
            </w:r>
          </w:p>
        </w:tc>
        <w:tc>
          <w:tcPr>
            <w:tcW w:w="61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rPr>
            </w:pPr>
            <w:r>
              <w:rPr>
                <w:rFonts w:eastAsia="Batang;바탕" w:cs="Arial"/>
                <w:color w:val="000000"/>
                <w:sz w:val="16"/>
                <w:szCs w:val="16"/>
              </w:rPr>
            </w:r>
          </w:p>
        </w:tc>
        <w:tc>
          <w:tcPr>
            <w:tcW w:w="80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13.0.0</w:t>
            </w:r>
          </w:p>
        </w:tc>
        <w:tc>
          <w:tcPr>
            <w:tcW w:w="8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993"/>
        <w:gridCol w:w="992"/>
        <w:gridCol w:w="1276"/>
        <w:gridCol w:w="850"/>
        <w:gridCol w:w="567"/>
        <w:gridCol w:w="709"/>
        <w:gridCol w:w="2977"/>
        <w:gridCol w:w="1275"/>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2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97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12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29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Rel-15 version (MCC)</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993"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1276"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SP-181156</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297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lang w:val="en-US" w:eastAsia="en-US"/>
              </w:rPr>
              <w:t xml:space="preserve">Add missing </w:t>
            </w:r>
            <w:r>
              <w:rPr/>
              <w:t>definitions to make it applicable to managed functions identified in TS 28.541</w:t>
            </w:r>
          </w:p>
        </w:tc>
        <w:tc>
          <w:tcPr>
            <w:tcW w:w="127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SP-181041</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297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Correction of reference</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99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276"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2977"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to Rel-16 version (MCC)</w:t>
            </w:r>
          </w:p>
        </w:tc>
        <w:tc>
          <w:tcPr>
            <w:tcW w:w="1275"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ind w:left="568" w:hanging="284"/>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96723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32.432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32.432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30797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3079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24.25pt;height:10.35pt;mso-wrap-distance-left:0pt;mso-wrap-distance-right:0pt;mso-wrap-distance-top:0pt;mso-wrap-distance-bottom:0pt;margin-top:0.05pt;mso-position-vertical-relative:text;margin-left:228.9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84836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8483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6.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ind w:left="568" w:hanging="284"/>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3z0">
    <w:name w:val="WW8Num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eastAsia="Times New Roman" w:cs="Arial"/>
      <w:sz w:val="32"/>
      <w:lang w:val="en-GB"/>
    </w:rPr>
  </w:style>
  <w:style w:type="character" w:styleId="TALChar">
    <w:name w:val="TAL Char"/>
    <w:qFormat/>
    <w:rPr>
      <w:rFonts w:ascii="Arial" w:hAnsi="Arial" w:eastAsia="Times New Roman" w:cs="Arial"/>
      <w:sz w:val="18"/>
      <w:lang w:val="en-GB"/>
    </w:rPr>
  </w:style>
  <w:style w:type="character" w:styleId="BalloonTextChar">
    <w:name w:val="Balloon Text Char"/>
    <w:qFormat/>
    <w:rPr>
      <w:rFonts w:ascii="Segoe UI" w:hAnsi="Segoe UI" w:eastAsia="Times New Roman" w:cs="Segoe UI"/>
      <w:sz w:val="18"/>
      <w:szCs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18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18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spacing w:before="0" w:after="180"/>
      <w:ind w:left="568" w:hanging="284"/>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18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284"/>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spacing w:before="0" w:after="180"/>
      <w:ind w:left="568" w:hanging="284"/>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before="0" w:after="180"/>
      <w:ind w:left="568" w:hanging="284"/>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spacing w:before="0" w:after="180"/>
      <w:ind w:left="568" w:right="28" w:hanging="284"/>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before="0" w:after="180"/>
      <w:ind w:left="568" w:hanging="284"/>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284"/>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284"/>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de">
    <w:name w:val="code"/>
    <w:basedOn w:val="Normal"/>
    <w:qFormat/>
    <w:pPr>
      <w:overflowPunct w:val="true"/>
      <w:autoSpaceDE w:val="true"/>
      <w:spacing w:before="0" w:after="0"/>
      <w:textAlignment w:val="auto"/>
    </w:pPr>
    <w:rPr>
      <w:rFonts w:ascii="Courier New" w:hAnsi="Courier New" w:cs="Courier New"/>
      <w:lang w:val="en-US" w:eastAsia="en-US"/>
    </w:rPr>
  </w:style>
  <w:style w:type="paragraph" w:styleId="BalloonText">
    <w:name w:val="Balloon Tex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UMTS management performance</cp:keywords>
  <dc:language>en-US</dc:language>
  <cp:lastModifiedBy>28.622_CR0086R1_(Rel-16)_eNRM</cp:lastModifiedBy>
  <dcterms:modified xsi:type="dcterms:W3CDTF">2020-07-15T12:01:00Z</dcterms:modified>
  <cp:revision>3</cp:revision>
  <dc:subject>Telecommunication management; Performance measurement: File format definition  (Release 16)</dc:subject>
  <dc:title>3GPP TS 32.432</dc:title>
</cp:coreProperties>
</file>