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32.690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32.690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page">
                  <wp:posOffset>1717675</wp:posOffset>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rFonts w:eastAsia="Arial"/>
                              </w:rPr>
                              <w:t xml:space="preserve"> </w:t>
                            </w:r>
                            <w:r>
                              <w:rPr/>
                              <w:t>Inventory Management (IM);</w:t>
                            </w:r>
                          </w:p>
                          <w:p>
                            <w:pPr>
                              <w:pStyle w:val="ZT"/>
                              <w:rPr/>
                            </w:pPr>
                            <w:r>
                              <w:rPr>
                                <w:rFonts w:eastAsia="Arial"/>
                              </w:rPr>
                              <w:t xml:space="preserve"> </w:t>
                            </w:r>
                            <w:r>
                              <w:rPr/>
                              <w:t>Requirements</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135.25pt;mso-position-vertical-relative:page;margin-left:40.1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rFonts w:eastAsia="Arial"/>
                        </w:rPr>
                        <w:t xml:space="preserve"> </w:t>
                      </w:r>
                      <w:r>
                        <w:rPr/>
                        <w:t>Inventory Management (IM);</w:t>
                      </w:r>
                    </w:p>
                    <w:p>
                      <w:pPr>
                        <w:pStyle w:val="ZT"/>
                        <w:rPr/>
                      </w:pPr>
                      <w:r>
                        <w:rPr>
                          <w:rFonts w:eastAsia="Arial"/>
                        </w:rPr>
                        <w:t xml:space="preserve"> </w:t>
                      </w:r>
                      <w:r>
                        <w:rPr/>
                        <w:t>Requirements</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color w:val="000000"/>
        </w:rPr>
      </w:pPr>
      <w:r>
        <w:rPr>
          <w:color w:val="000000"/>
        </w:rPr>
      </w:r>
      <w:bookmarkStart w:id="2" w:name="page2"/>
      <w:bookmarkStart w:id="3" w:name="page2"/>
      <w:bookmarkEnd w:id="3"/>
    </w:p>
    <w:p>
      <w:pPr>
        <w:pStyle w:val="Normal"/>
        <w:rPr>
          <w:color w:val="000000"/>
        </w:rPr>
      </w:pPr>
      <w:r>
        <w:rPr>
          <w:color w:val="000000"/>
        </w:rPr>
      </w:r>
    </w:p>
    <w:p>
      <w:pPr>
        <w:pStyle w:val="Guidance"/>
        <w:rPr>
          <w:color w:val="000000"/>
        </w:rPr>
      </w:pPr>
      <w:r>
        <w:rPr>
          <w:color w:val="000000"/>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UMTS,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UMTS, management</w:t>
                      </w:r>
                    </w:p>
                  </w:txbxContent>
                </v:textbox>
                <w10:wrap type="topAndBottom"/>
              </v:rect>
            </w:pict>
          </mc:Fallback>
        </mc:AlternateContent>
      </w:r>
    </w:p>
    <w:p>
      <w:pPr>
        <w:pStyle w:val="Normal"/>
        <w:rPr>
          <w:color w:val="000000"/>
        </w:rPr>
      </w:pPr>
      <w:r>
        <w:rPr>
          <w:color w:val="000000"/>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cs="Vrinda"/>
              <w:sz w:val="24"/>
              <w:szCs w:val="24"/>
              <w:lang w:val="en-US" w:eastAsia="en-US" w:bidi="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16875059">
            <w:r>
              <w:rPr>
                <w:rStyle w:val="IndexLink"/>
                <w:rFonts w:eastAsia="Times New Roman" w:cs="Times New Roman"/>
                <w:color w:val="auto"/>
                <w:sz w:val="22"/>
                <w:szCs w:val="20"/>
                <w:lang w:val="en-GB" w:eastAsia="en-US" w:bidi="ar-SA"/>
              </w:rPr>
              <w:t>4</w:t>
            </w:r>
          </w:hyperlink>
        </w:p>
        <w:p>
          <w:pPr>
            <w:pStyle w:val="Contents1"/>
            <w:rPr>
              <w:rFonts w:eastAsia="MS Mincho;ＭＳ 明朝" w:cs="Vrinda"/>
              <w:sz w:val="24"/>
              <w:szCs w:val="24"/>
              <w:lang w:val="en-US" w:eastAsia="en-US" w:bidi="en-US"/>
            </w:rPr>
          </w:pPr>
          <w:r>
            <w:rPr/>
            <w:t>Introduction</w:t>
            <w:tab/>
          </w:r>
          <w:hyperlink w:anchor="__RefHeading___Toc116875060">
            <w:r>
              <w:rPr>
                <w:rStyle w:val="IndexLink"/>
              </w:rPr>
              <w:t>4</w:t>
            </w:r>
          </w:hyperlink>
        </w:p>
        <w:p>
          <w:pPr>
            <w:pStyle w:val="Contents1"/>
            <w:rPr>
              <w:rFonts w:eastAsia="MS Mincho;ＭＳ 明朝" w:cs="Vrinda"/>
              <w:sz w:val="24"/>
              <w:szCs w:val="24"/>
              <w:lang w:val="en-US" w:eastAsia="en-US" w:bidi="en-US"/>
            </w:rPr>
          </w:pPr>
          <w:r>
            <w:rPr/>
            <w:t>1</w:t>
          </w:r>
          <w:r>
            <w:rPr>
              <w:rFonts w:eastAsia="MS Mincho;ＭＳ 明朝" w:cs="Vrinda"/>
              <w:sz w:val="24"/>
              <w:szCs w:val="24"/>
              <w:lang w:val="en-US" w:eastAsia="en-US" w:bidi="en-US"/>
            </w:rPr>
            <w:tab/>
          </w:r>
          <w:r>
            <w:rPr/>
            <w:t>Scope</w:t>
            <w:tab/>
          </w:r>
          <w:hyperlink w:anchor="__RefHeading___Toc116875061">
            <w:r>
              <w:rPr>
                <w:rStyle w:val="IndexLink"/>
              </w:rPr>
              <w:t>5</w:t>
            </w:r>
          </w:hyperlink>
        </w:p>
        <w:p>
          <w:pPr>
            <w:pStyle w:val="Contents1"/>
            <w:rPr>
              <w:rFonts w:eastAsia="MS Mincho;ＭＳ 明朝" w:cs="Vrinda"/>
              <w:sz w:val="24"/>
              <w:szCs w:val="24"/>
              <w:lang w:val="en-US" w:eastAsia="en-US" w:bidi="en-US"/>
            </w:rPr>
          </w:pPr>
          <w:r>
            <w:rPr/>
            <w:t>2</w:t>
          </w:r>
          <w:r>
            <w:rPr>
              <w:rFonts w:eastAsia="MS Mincho;ＭＳ 明朝" w:cs="Vrinda"/>
              <w:sz w:val="24"/>
              <w:szCs w:val="24"/>
              <w:lang w:val="en-US" w:eastAsia="en-US" w:bidi="en-US"/>
            </w:rPr>
            <w:tab/>
          </w:r>
          <w:r>
            <w:rPr/>
            <w:t>References</w:t>
            <w:tab/>
          </w:r>
          <w:hyperlink w:anchor="__RefHeading___Toc116875062">
            <w:r>
              <w:rPr>
                <w:rStyle w:val="IndexLink"/>
              </w:rPr>
              <w:t>5</w:t>
            </w:r>
          </w:hyperlink>
        </w:p>
        <w:p>
          <w:pPr>
            <w:pStyle w:val="Contents1"/>
            <w:rPr>
              <w:rFonts w:eastAsia="MS Mincho;ＭＳ 明朝" w:cs="Vrinda"/>
              <w:sz w:val="24"/>
              <w:szCs w:val="24"/>
              <w:lang w:val="en-US" w:eastAsia="en-US" w:bidi="en-US"/>
            </w:rPr>
          </w:pPr>
          <w:r>
            <w:rPr/>
            <w:t>3</w:t>
          </w:r>
          <w:r>
            <w:rPr>
              <w:rFonts w:eastAsia="MS Mincho;ＭＳ 明朝" w:cs="Vrinda"/>
              <w:sz w:val="24"/>
              <w:szCs w:val="24"/>
              <w:lang w:val="en-US" w:eastAsia="en-US" w:bidi="en-US"/>
            </w:rPr>
            <w:tab/>
          </w:r>
          <w:r>
            <w:rPr/>
            <w:t>Definitions and abbreviations</w:t>
            <w:tab/>
          </w:r>
          <w:hyperlink w:anchor="__RefHeading___Toc116875063">
            <w:r>
              <w:rPr>
                <w:rStyle w:val="IndexLink"/>
              </w:rPr>
              <w:t>5</w:t>
            </w:r>
          </w:hyperlink>
        </w:p>
        <w:p>
          <w:pPr>
            <w:pStyle w:val="Contents2"/>
            <w:rPr>
              <w:rFonts w:eastAsia="MS Mincho;ＭＳ 明朝" w:cs="Vrinda"/>
              <w:sz w:val="24"/>
              <w:szCs w:val="24"/>
              <w:lang w:val="en-US" w:eastAsia="en-US" w:bidi="en-US"/>
            </w:rPr>
          </w:pPr>
          <w:r>
            <w:rPr/>
            <w:t>3.1</w:t>
          </w:r>
          <w:r>
            <w:rPr>
              <w:rFonts w:eastAsia="MS Mincho;ＭＳ 明朝" w:cs="Vrinda"/>
              <w:sz w:val="24"/>
              <w:szCs w:val="24"/>
              <w:lang w:val="en-US" w:eastAsia="en-US" w:bidi="en-US"/>
            </w:rPr>
            <w:tab/>
          </w:r>
          <w:r>
            <w:rPr/>
            <w:t>Definitions</w:t>
            <w:tab/>
          </w:r>
          <w:hyperlink w:anchor="__RefHeading___Toc116875064">
            <w:r>
              <w:rPr>
                <w:rStyle w:val="IndexLink"/>
              </w:rPr>
              <w:t>5</w:t>
            </w:r>
          </w:hyperlink>
        </w:p>
        <w:p>
          <w:pPr>
            <w:pStyle w:val="Contents2"/>
            <w:rPr>
              <w:rFonts w:eastAsia="MS Mincho;ＭＳ 明朝" w:cs="Vrinda"/>
              <w:sz w:val="24"/>
              <w:szCs w:val="24"/>
              <w:lang w:val="en-US" w:eastAsia="en-US" w:bidi="en-US"/>
            </w:rPr>
          </w:pPr>
          <w:r>
            <w:rPr/>
            <w:t>3.2</w:t>
          </w:r>
          <w:r>
            <w:rPr>
              <w:rFonts w:eastAsia="MS Mincho;ＭＳ 明朝" w:cs="Vrinda"/>
              <w:sz w:val="24"/>
              <w:szCs w:val="24"/>
              <w:lang w:val="en-US" w:eastAsia="en-US" w:bidi="en-US"/>
            </w:rPr>
            <w:tab/>
          </w:r>
          <w:r>
            <w:rPr/>
            <w:t>Abbreviations</w:t>
            <w:tab/>
          </w:r>
          <w:hyperlink w:anchor="__RefHeading___Toc116875065">
            <w:r>
              <w:rPr>
                <w:rStyle w:val="IndexLink"/>
              </w:rPr>
              <w:t>6</w:t>
            </w:r>
          </w:hyperlink>
        </w:p>
        <w:p>
          <w:pPr>
            <w:pStyle w:val="Contents1"/>
            <w:rPr>
              <w:rFonts w:eastAsia="MS Mincho;ＭＳ 明朝" w:cs="Vrinda"/>
              <w:sz w:val="24"/>
              <w:szCs w:val="24"/>
              <w:lang w:val="en-US" w:eastAsia="en-US" w:bidi="en-US"/>
            </w:rPr>
          </w:pPr>
          <w:r>
            <w:rPr/>
            <w:t>4</w:t>
          </w:r>
          <w:r>
            <w:rPr>
              <w:rFonts w:eastAsia="MS Mincho;ＭＳ 明朝" w:cs="Vrinda"/>
              <w:sz w:val="24"/>
              <w:szCs w:val="24"/>
              <w:lang w:val="en-US" w:eastAsia="en-US" w:bidi="en-US"/>
            </w:rPr>
            <w:tab/>
          </w:r>
          <w:r>
            <w:rPr/>
            <w:t>Inventory Management (IM) concepts</w:t>
            <w:tab/>
          </w:r>
          <w:hyperlink w:anchor="__RefHeading___Toc116875066">
            <w:r>
              <w:rPr>
                <w:rStyle w:val="IndexLink"/>
              </w:rPr>
              <w:t>7</w:t>
            </w:r>
          </w:hyperlink>
        </w:p>
        <w:p>
          <w:pPr>
            <w:pStyle w:val="Contents1"/>
            <w:rPr>
              <w:rFonts w:eastAsia="MS Mincho;ＭＳ 明朝" w:cs="Vrinda"/>
              <w:sz w:val="24"/>
              <w:szCs w:val="24"/>
              <w:lang w:val="en-US" w:eastAsia="en-US" w:bidi="en-US"/>
            </w:rPr>
          </w:pPr>
          <w:r>
            <w:rPr/>
            <w:t>5</w:t>
          </w:r>
          <w:r>
            <w:rPr>
              <w:rFonts w:eastAsia="MS Mincho;ＭＳ 明朝" w:cs="Vrinda"/>
              <w:sz w:val="24"/>
              <w:szCs w:val="24"/>
              <w:lang w:val="en-US" w:eastAsia="en-US" w:bidi="en-US"/>
            </w:rPr>
            <w:tab/>
          </w:r>
          <w:r>
            <w:rPr/>
            <w:t>Requirements</w:t>
            <w:tab/>
          </w:r>
          <w:hyperlink w:anchor="__RefHeading___Toc116875067">
            <w:r>
              <w:rPr>
                <w:rStyle w:val="IndexLink"/>
              </w:rPr>
              <w:t>8</w:t>
            </w:r>
          </w:hyperlink>
        </w:p>
        <w:p>
          <w:pPr>
            <w:pStyle w:val="Contents2"/>
            <w:rPr>
              <w:rFonts w:eastAsia="MS Mincho;ＭＳ 明朝" w:cs="Vrinda"/>
              <w:sz w:val="24"/>
              <w:szCs w:val="24"/>
              <w:lang w:val="en-US" w:eastAsia="en-US" w:bidi="en-US"/>
            </w:rPr>
          </w:pPr>
          <w:r>
            <w:rPr/>
            <w:t>5.1</w:t>
          </w:r>
          <w:r>
            <w:rPr>
              <w:rFonts w:eastAsia="MS Mincho;ＭＳ 明朝" w:cs="Vrinda"/>
              <w:sz w:val="24"/>
              <w:szCs w:val="24"/>
              <w:lang w:val="en-US" w:eastAsia="en-US" w:bidi="en-US"/>
            </w:rPr>
            <w:tab/>
          </w:r>
          <w:r>
            <w:rPr/>
            <w:t>General requirements</w:t>
            <w:tab/>
          </w:r>
          <w:hyperlink w:anchor="__RefHeading___Toc116875068">
            <w:r>
              <w:rPr>
                <w:rStyle w:val="IndexLink"/>
              </w:rPr>
              <w:t>8</w:t>
            </w:r>
          </w:hyperlink>
        </w:p>
        <w:p>
          <w:pPr>
            <w:pStyle w:val="Contents2"/>
            <w:rPr>
              <w:rFonts w:eastAsia="MS Mincho;ＭＳ 明朝" w:cs="Vrinda"/>
              <w:sz w:val="24"/>
              <w:szCs w:val="24"/>
              <w:lang w:val="en-US" w:eastAsia="en-US" w:bidi="en-US"/>
            </w:rPr>
          </w:pPr>
          <w:r>
            <w:rPr/>
            <w:t>5.2</w:t>
          </w:r>
          <w:r>
            <w:rPr>
              <w:rFonts w:eastAsia="MS Mincho;ＭＳ 明朝" w:cs="Vrinda"/>
              <w:sz w:val="24"/>
              <w:szCs w:val="24"/>
              <w:lang w:val="en-US" w:eastAsia="en-US" w:bidi="en-US"/>
            </w:rPr>
            <w:tab/>
          </w:r>
          <w:r>
            <w:rPr/>
            <w:t>Inventory Management (IM) requirements</w:t>
            <w:tab/>
          </w:r>
          <w:hyperlink w:anchor="__RefHeading___Toc116875069">
            <w:r>
              <w:rPr>
                <w:rStyle w:val="IndexLink"/>
              </w:rPr>
              <w:t>8</w:t>
            </w:r>
          </w:hyperlink>
        </w:p>
        <w:p>
          <w:pPr>
            <w:pStyle w:val="Contents8"/>
            <w:rPr>
              <w:rFonts w:eastAsia="MS Mincho;ＭＳ 明朝" w:cs="Vrinda"/>
              <w:b w:val="false"/>
              <w:b w:val="false"/>
              <w:sz w:val="24"/>
              <w:szCs w:val="24"/>
              <w:lang w:val="en-US" w:eastAsia="en-US" w:bidi="en-US"/>
            </w:rPr>
          </w:pPr>
          <w:r>
            <w:rPr/>
            <w:t>Annex A (Informative):</w:t>
            <w:tab/>
            <w:t>Examples of Inventory Data</w:t>
            <w:tab/>
          </w:r>
          <w:hyperlink w:anchor="__RefHeading___Toc116875070">
            <w:r>
              <w:rPr>
                <w:rStyle w:val="IndexLink"/>
              </w:rPr>
              <w:t>9</w:t>
            </w:r>
          </w:hyperlink>
        </w:p>
        <w:p>
          <w:pPr>
            <w:pStyle w:val="Contents8"/>
            <w:rPr>
              <w:rFonts w:eastAsia="MS Mincho;ＭＳ 明朝" w:cs="Vrinda"/>
              <w:b w:val="false"/>
              <w:b w:val="false"/>
              <w:sz w:val="24"/>
              <w:szCs w:val="24"/>
              <w:lang w:val="en-US" w:eastAsia="en-US" w:bidi="en-US"/>
            </w:rPr>
          </w:pPr>
          <w:r>
            <w:rPr/>
            <w:t xml:space="preserve">Annex </w:t>
          </w:r>
          <w:r>
            <w:rPr>
              <w:lang w:val="en-US" w:eastAsia="en-US"/>
            </w:rPr>
            <w:t>B</w:t>
          </w:r>
          <w:r>
            <w:rPr/>
            <w:t xml:space="preserve"> (Informative):</w:t>
            <w:tab/>
            <w:t xml:space="preserve">Examples of Inventory </w:t>
          </w:r>
          <w:r>
            <w:rPr>
              <w:lang w:val="en-US" w:eastAsia="en-US"/>
            </w:rPr>
            <w:t>Information</w:t>
          </w:r>
          <w:r>
            <w:rPr/>
            <w:tab/>
          </w:r>
          <w:hyperlink w:anchor="__RefHeading___Toc116875071">
            <w:r>
              <w:rPr>
                <w:rStyle w:val="IndexLink"/>
              </w:rPr>
              <w:t>10</w:t>
            </w:r>
          </w:hyperlink>
        </w:p>
        <w:p>
          <w:pPr>
            <w:pStyle w:val="Contents8"/>
            <w:rPr>
              <w:rFonts w:eastAsia="MS Mincho;ＭＳ 明朝" w:cs="Vrinda"/>
              <w:sz w:val="24"/>
              <w:szCs w:val="24"/>
              <w:lang w:val="en-US" w:eastAsia="en-US" w:bidi="en-US"/>
            </w:rPr>
          </w:pPr>
          <w:r>
            <w:rPr>
              <w:b w:val="false"/>
            </w:rPr>
            <w:t>Annex C (informative):</w:t>
            <w:tab/>
            <w:t>Change history</w:t>
            <w:tab/>
          </w:r>
          <w:hyperlink w:anchor="__RefHeading___Toc116875072">
            <w:r>
              <w:rPr>
                <w:rStyle w:val="IndexLink"/>
                <w:b w:val="false"/>
              </w:rPr>
              <w:t>11</w:t>
            </w:r>
          </w:hyperlink>
          <w:r>
            <w:rPr>
              <w:rStyle w:val="IndexLink"/>
              <w:b w:val="false"/>
            </w:rPr>
            <w:fldChar w:fldCharType="end"/>
          </w:r>
        </w:p>
      </w:sdtContent>
    </w:sdt>
    <w:p>
      <w:pPr>
        <w:pStyle w:val="Normal"/>
        <w:rPr>
          <w:rFonts w:eastAsia="MS Mincho;ＭＳ 明朝" w:cs="Vrinda"/>
          <w:b/>
          <w:b/>
          <w:sz w:val="22"/>
          <w:szCs w:val="24"/>
          <w:lang w:val="en-US" w:eastAsia="en-US" w:bidi="en-US"/>
        </w:rPr>
      </w:pPr>
      <w:r>
        <w:rPr>
          <w:rFonts w:eastAsia="MS Mincho;ＭＳ 明朝" w:cs="Vrinda"/>
          <w:b/>
          <w:sz w:val="22"/>
          <w:szCs w:val="24"/>
          <w:lang w:val="en-US" w:eastAsia="en-US" w:bidi="en-US"/>
        </w:rPr>
      </w:r>
      <w:r>
        <w:br w:type="page"/>
      </w:r>
    </w:p>
    <w:p>
      <w:pPr>
        <w:pStyle w:val="Heading1"/>
        <w:ind w:left="1134" w:hanging="1134"/>
        <w:rPr/>
      </w:pPr>
      <w:bookmarkStart w:id="7" w:name="__RefHeading___Toc11687505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116875060"/>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rFonts w:eastAsia="Batang;바탕"/>
          <w:b/>
          <w:b/>
          <w:sz w:val="24"/>
          <w:szCs w:val="24"/>
          <w:lang w:eastAsia="ko-KR"/>
        </w:rPr>
      </w:pPr>
      <w:r>
        <w:rPr>
          <w:rFonts w:eastAsia="Batang;바탕"/>
          <w:b/>
          <w:lang w:eastAsia="ko-KR"/>
        </w:rPr>
        <w:t>32.690:</w:t>
        <w:tab/>
        <w:t>Inventory Management (IM); Requirements;</w:t>
      </w:r>
    </w:p>
    <w:p>
      <w:pPr>
        <w:pStyle w:val="B1"/>
        <w:rPr>
          <w:rFonts w:eastAsia="Batang;바탕"/>
          <w:sz w:val="24"/>
          <w:szCs w:val="24"/>
          <w:lang w:eastAsia="ko-KR"/>
        </w:rPr>
      </w:pPr>
      <w:r>
        <w:rPr>
          <w:rFonts w:eastAsia="Batang;바탕"/>
          <w:lang w:eastAsia="ko-KR"/>
        </w:rPr>
        <w:t>32.691:</w:t>
        <w:tab/>
        <w:t>Inventory Management (IM) network resources Integration Reference Point (IRP); Requirements;</w:t>
      </w:r>
    </w:p>
    <w:p>
      <w:pPr>
        <w:pStyle w:val="B1"/>
        <w:rPr>
          <w:rFonts w:eastAsia="Batang;바탕"/>
          <w:sz w:val="24"/>
          <w:szCs w:val="24"/>
          <w:lang w:eastAsia="ko-KR"/>
        </w:rPr>
      </w:pPr>
      <w:r>
        <w:rPr>
          <w:rFonts w:eastAsia="Batang;바탕"/>
          <w:lang w:eastAsia="ko-KR"/>
        </w:rPr>
        <w:t>32.692:</w:t>
        <w:tab/>
        <w:t>Inventory Management (IM) network resources Integration Reference Point (IRP); Network Resource Model (NRM);</w:t>
      </w:r>
    </w:p>
    <w:p>
      <w:pPr>
        <w:pStyle w:val="B1"/>
        <w:rPr>
          <w:rFonts w:eastAsia="Batang;바탕"/>
          <w:sz w:val="24"/>
          <w:szCs w:val="24"/>
          <w:lang w:eastAsia="ko-KR"/>
        </w:rPr>
      </w:pPr>
      <w:r>
        <w:rPr>
          <w:rFonts w:eastAsia="Batang;바탕"/>
          <w:lang w:eastAsia="ko-KR"/>
        </w:rPr>
        <w:t>32.696:</w:t>
        <w:tab/>
        <w:t>Inventory Management (IM) network resources Integration Reference Point (IRP); Solution Set (SS) definitions.</w:t>
      </w:r>
    </w:p>
    <w:p>
      <w:pPr>
        <w:pStyle w:val="Normal"/>
        <w:rPr/>
      </w:pPr>
      <w:r>
        <w:rPr/>
        <w:t>Inventory Management (IM), in general, provides the operator with the ability to assure correct and effective operation of the 3G network as it evolves. IM actions have the objective to control and monitor the actual equipment configuration on the Network Elements (NEs) and network resources , and they may be initiated by the operator or by functions in the Operations Systems (OSs) or NEs.</w:t>
      </w:r>
    </w:p>
    <w:p>
      <w:pPr>
        <w:pStyle w:val="Normal"/>
        <w:rPr/>
      </w:pPr>
      <w:r>
        <w:rPr/>
        <w:t>IM actions may be requested as part of an implementation programme (e.g. additions and deletions), as part of an optimisation programme (e.g. modifications), and to maintain the overall Quality of Service (QoS). The IM actions are initiated either as single actions on single NEs of the 3G network, or as part of a complex procedure involving actions on many resources/objects in one or several NEs.</w:t>
      </w:r>
      <w:r>
        <w:br w:type="page"/>
      </w:r>
    </w:p>
    <w:p>
      <w:pPr>
        <w:pStyle w:val="Heading1"/>
        <w:ind w:left="1134" w:hanging="1134"/>
        <w:rPr/>
      </w:pPr>
      <w:bookmarkStart w:id="9" w:name="__RefHeading___Toc116875061"/>
      <w:bookmarkEnd w:id="9"/>
      <w:r>
        <w:rPr/>
        <w:t>1</w:t>
        <w:tab/>
        <w:t>Scope</w:t>
      </w:r>
    </w:p>
    <w:p>
      <w:pPr>
        <w:pStyle w:val="Normal"/>
        <w:rPr/>
      </w:pPr>
      <w:r>
        <w:rPr/>
        <w:t>The present document defines, in addition to the requirements defined in 3GPP TS 32.101 [1], 3GPP TS 32.102 [2] and 3GPP TS 32.600 [3], the requirements for the present IRP: Inventory Management IRP.</w:t>
      </w:r>
    </w:p>
    <w:p>
      <w:pPr>
        <w:pStyle w:val="Heading1"/>
        <w:ind w:left="1134" w:hanging="1134"/>
        <w:rPr/>
      </w:pPr>
      <w:bookmarkStart w:id="10" w:name="__RefHeading___Toc11687506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 xml:space="preserve">3GPP TS 32.102: "Telecommunication management; </w:t>
      </w:r>
      <w:r>
        <w:rPr>
          <w:lang w:eastAsia="zh-CN"/>
        </w:rPr>
        <w:t>A</w:t>
      </w:r>
      <w:r>
        <w:rPr/>
        <w:t>rchitecture".</w:t>
      </w:r>
    </w:p>
    <w:p>
      <w:pPr>
        <w:pStyle w:val="EX"/>
        <w:rPr/>
      </w:pPr>
      <w:r>
        <w:rPr/>
        <w:t>[3]</w:t>
        <w:tab/>
        <w:t>3GPP TS 32.600: "Telecommunication management; Configuration Management (CM); Concept and high-level requirements".</w:t>
      </w:r>
    </w:p>
    <w:p>
      <w:pPr>
        <w:pStyle w:val="EX"/>
        <w:rPr/>
      </w:pPr>
      <w:r>
        <w:rPr/>
        <w:t>[4]</w:t>
        <w:tab/>
        <w:t>3GPP TS 32.692: "Telecommunication management; Inventory Management (IM) network resources Integration Reference Point (IRP): Network Resource Model (NRM)".</w:t>
      </w:r>
    </w:p>
    <w:p>
      <w:pPr>
        <w:pStyle w:val="EX"/>
        <w:rPr/>
      </w:pPr>
      <w:r>
        <w:rPr/>
        <w:t>[5]</w:t>
        <w:tab/>
        <w:t>3GPP TS 28.622: "</w:t>
      </w:r>
      <w:r>
        <w:rPr>
          <w:rFonts w:cs="Arial" w:ascii="Arial" w:hAnsi="Arial"/>
          <w:color w:val="444444"/>
          <w:sz w:val="18"/>
          <w:szCs w:val="18"/>
        </w:rPr>
        <w:t>Telecommunication management; Generic Network Resource Model (NRM) Integration Reference Point (IRP); Information Service (IS)</w:t>
      </w:r>
      <w:r>
        <w:rPr/>
        <w:t>".</w:t>
      </w:r>
    </w:p>
    <w:p>
      <w:pPr>
        <w:pStyle w:val="EX"/>
        <w:rPr/>
      </w:pPr>
      <w:r>
        <w:rPr/>
        <w:t>[6]</w:t>
        <w:tab/>
        <w:t xml:space="preserve">3GPP TR 21.905: "Vocabulary for 3GPP Specifications". </w:t>
      </w:r>
    </w:p>
    <w:p>
      <w:pPr>
        <w:pStyle w:val="Heading1"/>
        <w:ind w:left="1134" w:hanging="1134"/>
        <w:rPr/>
      </w:pPr>
      <w:bookmarkStart w:id="11" w:name="__RefHeading___Toc116875063"/>
      <w:bookmarkEnd w:id="11"/>
      <w:r>
        <w:rPr/>
        <w:t>3</w:t>
        <w:tab/>
        <w:t>Definitions and abbreviations</w:t>
      </w:r>
    </w:p>
    <w:p>
      <w:pPr>
        <w:pStyle w:val="Heading2"/>
        <w:rPr/>
      </w:pPr>
      <w:bookmarkStart w:id="12" w:name="__RefHeading___Toc116875064"/>
      <w:bookmarkEnd w:id="12"/>
      <w:r>
        <w:rPr/>
        <w:t>3.1</w:t>
        <w:tab/>
        <w:t>Definitions</w:t>
      </w:r>
    </w:p>
    <w:p>
      <w:pPr>
        <w:pStyle w:val="Normal"/>
        <w:rPr/>
      </w:pPr>
      <w:r>
        <w:rPr/>
        <w:t>For the purposes of the present document, the terms and definitions given in 3GPP TR 21.905 [6], and the following apply. A term defined in the present document takes precedence over the definition of the same term, if any, in 3GPP TR 21.905 [6].</w:t>
      </w:r>
    </w:p>
    <w:p>
      <w:pPr>
        <w:pStyle w:val="Normal"/>
        <w:rPr/>
      </w:pPr>
      <w:r>
        <w:rPr/>
      </w:r>
    </w:p>
    <w:p>
      <w:pPr>
        <w:pStyle w:val="Normal"/>
        <w:rPr/>
      </w:pPr>
      <w:r>
        <w:rPr>
          <w:b/>
        </w:rPr>
        <w:t>Element Manager (EM):</w:t>
      </w:r>
      <w:r>
        <w:rPr/>
        <w:t xml:space="preserve"> provides a package of end-user functions for management of a set of closely related types of Network Elements (NEs). </w:t>
      </w:r>
    </w:p>
    <w:p>
      <w:pPr>
        <w:pStyle w:val="NO"/>
        <w:rPr/>
      </w:pPr>
      <w:r>
        <w:rPr/>
        <w:t>NOTE 1:</w:t>
        <w:tab/>
        <w:t>These functions can be divided into two main categories:</w:t>
      </w:r>
    </w:p>
    <w:p>
      <w:pPr>
        <w:pStyle w:val="B2"/>
        <w:rPr/>
      </w:pPr>
      <w:r>
        <w:rPr>
          <w:i/>
        </w:rPr>
        <w:t>-</w:t>
        <w:tab/>
        <w:t>Element Management Functions</w:t>
      </w:r>
      <w:r>
        <w:rPr/>
        <w:t xml:space="preserve"> for management of NEs on an individual basis. These are basically the same functions as supported by the corresponding local terminals.</w:t>
      </w:r>
    </w:p>
    <w:p>
      <w:pPr>
        <w:pStyle w:val="B2"/>
        <w:rPr/>
      </w:pPr>
      <w:r>
        <w:rPr>
          <w:i/>
        </w:rPr>
        <w:t>-</w:t>
        <w:tab/>
        <w:t>Sub-Network Management Functions</w:t>
      </w:r>
      <w:r>
        <w:rPr/>
        <w:t xml:space="preserve"> that are related to a network model for a set of NEs constituting a clearly defined sub-network, which may include relations between the NEs. This model enables additional functions on the sub-network level (typically in the areas of network topology presentation, alarm correlation, service impact analysis and circuit provisioning).</w:t>
      </w:r>
    </w:p>
    <w:p>
      <w:pPr>
        <w:pStyle w:val="Normal"/>
        <w:rPr>
          <w:b/>
          <w:b/>
          <w:lang w:eastAsia="zh-CN"/>
        </w:rPr>
      </w:pPr>
      <w:r>
        <w:rPr>
          <w:b/>
          <w:lang w:eastAsia="zh-CN"/>
        </w:rPr>
        <w:t>Field Replaceable Unit (FRU):</w:t>
      </w:r>
      <w:r>
        <w:rPr/>
        <w:t xml:space="preserve">  a spare part or component that can be substituted / supplanted or be used to substitute / supplant an existing part or component in order to rectify a fault or any other issue which is identified by the user or technician or a diagnostic program.</w:t>
      </w:r>
    </w:p>
    <w:p>
      <w:pPr>
        <w:pStyle w:val="Normal"/>
        <w:rPr/>
      </w:pPr>
      <w:r>
        <w:rPr>
          <w:b/>
        </w:rPr>
        <w:t>IRP:</w:t>
      </w:r>
      <w:r>
        <w:rPr/>
        <w:t xml:space="preserve"> see 3GPP TS 32.101 [1].</w:t>
      </w:r>
    </w:p>
    <w:p>
      <w:pPr>
        <w:pStyle w:val="Normal"/>
        <w:rPr/>
      </w:pPr>
      <w:r>
        <w:rPr>
          <w:b/>
        </w:rPr>
        <w:t>IRP Information Model:</w:t>
      </w:r>
      <w:r>
        <w:rPr/>
        <w:t xml:space="preserve"> see 3GPP TS 32.101 [1].</w:t>
      </w:r>
    </w:p>
    <w:p>
      <w:pPr>
        <w:pStyle w:val="Normal"/>
        <w:rPr/>
      </w:pPr>
      <w:r>
        <w:rPr>
          <w:b/>
        </w:rPr>
        <w:t>IRP Information Service:</w:t>
      </w:r>
      <w:r>
        <w:rPr/>
        <w:t xml:space="preserve"> see 3GPP TS 32.101 [1].</w:t>
      </w:r>
    </w:p>
    <w:p>
      <w:pPr>
        <w:pStyle w:val="Normal"/>
        <w:rPr/>
      </w:pPr>
      <w:r>
        <w:rPr>
          <w:b/>
        </w:rPr>
        <w:t>IRP Solution Set:</w:t>
      </w:r>
      <w:r>
        <w:rPr/>
        <w:t xml:space="preserve"> see 3GPP TS 32.101 [1].</w:t>
      </w:r>
    </w:p>
    <w:p>
      <w:pPr>
        <w:pStyle w:val="Normal"/>
        <w:rPr/>
      </w:pPr>
      <w:r>
        <w:rPr>
          <w:b/>
        </w:rPr>
        <w:t xml:space="preserve">Information Object Class (IOC): </w:t>
      </w:r>
      <w:r>
        <w:rPr/>
        <w:t>Within the context of all IRP IS specifications, IOC is the term used instead of MOC for a managed object class.</w:t>
      </w:r>
      <w:r>
        <w:rPr>
          <w:b/>
        </w:rPr>
        <w:t xml:space="preserve"> </w:t>
      </w:r>
      <w:r>
        <w:rPr/>
        <w:t>MOC is used on the SS level.</w:t>
      </w:r>
      <w:r>
        <w:rPr>
          <w:b/>
        </w:rPr>
        <w:t xml:space="preserve"> </w:t>
      </w:r>
      <w:r>
        <w:rPr/>
        <w:t>See also the definition of</w:t>
      </w:r>
      <w:r>
        <w:rPr>
          <w:b/>
        </w:rPr>
        <w:t xml:space="preserve"> Managed Object.</w:t>
      </w:r>
    </w:p>
    <w:p>
      <w:pPr>
        <w:pStyle w:val="Normal"/>
        <w:rPr>
          <w:b/>
          <w:b/>
        </w:rPr>
      </w:pPr>
      <w:r>
        <w:rPr>
          <w:b/>
        </w:rPr>
      </w:r>
    </w:p>
    <w:p>
      <w:pPr>
        <w:pStyle w:val="Normal"/>
        <w:rPr/>
      </w:pPr>
      <w:r>
        <w:rPr>
          <w:b/>
        </w:rPr>
        <w:t>Managed Object (MO)</w:t>
      </w:r>
      <w:r>
        <w:rPr/>
        <w:t xml:space="preserve">:  software object that encapsulates the manageable characteristics and behaviour of a particular Network Resource. </w:t>
      </w:r>
    </w:p>
    <w:p>
      <w:pPr>
        <w:pStyle w:val="NO"/>
        <w:rPr>
          <w:i/>
          <w:i/>
        </w:rPr>
      </w:pPr>
      <w:r>
        <w:rPr/>
        <w:t>NOTE 2:</w:t>
        <w:tab/>
        <w:t>See also the def. of MO in TS 32.101 [1]. The MO is instance of a MO class (MOC) defined in a MIM/NRM. This class, within the context of this Information Service specification called Information Object Class (IOC), has attributes that provide information used to characterize the objects that belong to the class (the term "attribute" is taken from TMN and corresponds to a "property" according to CIM). Furthermore, an MO class can have operations that represent the behaviour relevant for that class (the term "operation" is taken from TMN and corresponds to a "method" according to CIM). An MO class may support notifications that provide information about an event occurrence within a network resource.</w:t>
      </w:r>
    </w:p>
    <w:p>
      <w:pPr>
        <w:pStyle w:val="Normal"/>
        <w:rPr>
          <w:b/>
          <w:b/>
        </w:rPr>
      </w:pPr>
      <w:r>
        <w:rPr>
          <w:b/>
        </w:rPr>
        <w:t xml:space="preserve">Management Information Base (MIB): </w:t>
      </w:r>
      <w:r>
        <w:rPr/>
        <w:t>the set of existing managed objects in a management domain, together with their attributes, constitutes that management domain's MIB. The MIB may be distributed over several OS/NEs.</w:t>
      </w:r>
    </w:p>
    <w:p>
      <w:pPr>
        <w:pStyle w:val="Normal"/>
        <w:rPr/>
      </w:pPr>
      <w:r>
        <w:rPr>
          <w:b/>
        </w:rPr>
        <w:t>Management Information Model (MIM):</w:t>
      </w:r>
      <w:r>
        <w:rPr/>
        <w:t xml:space="preserve"> also referred to as NRM - see the definition below. </w:t>
      </w:r>
    </w:p>
    <w:p>
      <w:pPr>
        <w:pStyle w:val="NO"/>
        <w:rPr/>
      </w:pPr>
      <w:r>
        <w:rPr/>
        <w:t>NOTE 3:</w:t>
        <w:tab/>
        <w:t>There is a slight difference between the meaning of MIM and NRM - the term MIM is generic and can be used to denote any type of management model, while NRM denotes the model of the actual managed telecommunications Network Resources (NRs).</w:t>
      </w:r>
    </w:p>
    <w:p>
      <w:pPr>
        <w:pStyle w:val="Normal"/>
        <w:rPr/>
      </w:pPr>
      <w:r>
        <w:rPr>
          <w:b/>
        </w:rPr>
        <w:t>Network resource</w:t>
      </w:r>
      <w:r>
        <w:rPr/>
        <w:t>: See definition in 3GPP TS 28.622 [5].</w:t>
      </w:r>
    </w:p>
    <w:p>
      <w:pPr>
        <w:pStyle w:val="Normal"/>
        <w:rPr/>
      </w:pPr>
      <w:r>
        <w:rPr>
          <w:b/>
        </w:rPr>
        <w:t>Network Resource Model (NRM)</w:t>
      </w:r>
      <w:r>
        <w:rPr/>
        <w:t>: See definition in 3GPP TS 28.622 [5].</w:t>
      </w:r>
    </w:p>
    <w:p>
      <w:pPr>
        <w:pStyle w:val="Normal"/>
        <w:rPr/>
      </w:pPr>
      <w:r>
        <w:rPr/>
      </w:r>
    </w:p>
    <w:p>
      <w:pPr>
        <w:pStyle w:val="Heading2"/>
        <w:rPr/>
      </w:pPr>
      <w:bookmarkStart w:id="13" w:name="__RefHeading___Toc116875065"/>
      <w:bookmarkEnd w:id="13"/>
      <w:r>
        <w:rPr/>
        <w:t>3.2</w:t>
        <w:tab/>
        <w:t>Abbreviations</w:t>
      </w:r>
    </w:p>
    <w:p>
      <w:pPr>
        <w:pStyle w:val="Normal"/>
        <w:keepNext w:val="true"/>
        <w:rPr/>
      </w:pPr>
      <w:r>
        <w:rPr/>
        <w:t>For the purposes of the present document, the abbreviations given in 3GPP TR 21.905 [6] and the following apply. An abbreviation defined in the present document takes precedence over the definition of the same abbreviation, if any, in 3GPP TR 21.905 [6]</w:t>
      </w:r>
    </w:p>
    <w:p>
      <w:pPr>
        <w:pStyle w:val="EW"/>
        <w:rPr/>
      </w:pPr>
      <w:r>
        <w:rPr/>
        <w:t>CM</w:t>
        <w:tab/>
        <w:t>Configuration Management</w:t>
      </w:r>
    </w:p>
    <w:p>
      <w:pPr>
        <w:pStyle w:val="EW"/>
        <w:rPr/>
      </w:pPr>
      <w:r>
        <w:rPr/>
      </w:r>
    </w:p>
    <w:p>
      <w:pPr>
        <w:pStyle w:val="EW"/>
        <w:rPr/>
      </w:pPr>
      <w:r>
        <w:rPr/>
        <w:t xml:space="preserve">IOC </w:t>
        <w:tab/>
        <w:t>Information Object Class</w:t>
      </w:r>
    </w:p>
    <w:p>
      <w:pPr>
        <w:pStyle w:val="EW"/>
        <w:rPr/>
      </w:pPr>
      <w:r>
        <w:rPr/>
      </w:r>
    </w:p>
    <w:p>
      <w:pPr>
        <w:pStyle w:val="EW"/>
        <w:rPr/>
      </w:pPr>
      <w:r>
        <w:rPr/>
        <w:t>MOC</w:t>
        <w:tab/>
        <w:t>Managed Object Class</w:t>
      </w:r>
    </w:p>
    <w:p>
      <w:pPr>
        <w:pStyle w:val="EW"/>
        <w:rPr/>
      </w:pPr>
      <w:r>
        <w:rPr/>
        <w:t>MOI</w:t>
        <w:tab/>
        <w:t>Managed Object Instance</w:t>
      </w:r>
    </w:p>
    <w:p>
      <w:pPr>
        <w:pStyle w:val="Heading1"/>
        <w:ind w:left="1134" w:hanging="1134"/>
        <w:rPr/>
      </w:pPr>
      <w:bookmarkStart w:id="14" w:name="__RefHeading___Toc116875066"/>
      <w:bookmarkEnd w:id="14"/>
      <w:r>
        <w:rPr/>
        <w:t>4</w:t>
        <w:tab/>
        <w:t>Inventory Management (IM) concepts</w:t>
      </w:r>
    </w:p>
    <w:p>
      <w:pPr>
        <w:pStyle w:val="Normal"/>
        <w:rPr/>
      </w:pPr>
      <w:r>
        <w:rPr/>
        <w:t>The main task of the 3G network inventory management is to manage network inventory information about the various static resources of a 3G mobile telecommunication network. It provides support to network planning, to network operation and maintenance and to working craft management. Inventory management functions are distributed over different layers of a Telecommunications Management Network (TMN). The main task of the inventory management function at Itf-N is to provide an efficient access for network management systems to the static inventory data of all related managed network elements.</w:t>
      </w:r>
    </w:p>
    <w:p>
      <w:pPr>
        <w:pStyle w:val="Normal"/>
        <w:rPr/>
      </w:pPr>
      <w:r>
        <w:rPr/>
        <w:t>The basic tasks of the Inventory Management IRP of this release is:</w:t>
      </w:r>
    </w:p>
    <w:p>
      <w:pPr>
        <w:pStyle w:val="B1"/>
        <w:rPr/>
      </w:pPr>
      <w:r>
        <w:rPr/>
        <w:t>to provide an efficient mechanism enabling IRPManagers to upload inventory data as follows:</w:t>
      </w:r>
    </w:p>
    <w:p>
      <w:pPr>
        <w:pStyle w:val="B2"/>
        <w:ind w:left="998" w:hanging="284"/>
        <w:rPr/>
      </w:pPr>
      <w:r>
        <w:rPr/>
        <w:t>-</w:t>
        <w:tab/>
        <w:t>request an IRPAgent to prepare inventory data of a certain part of the current network for uploading;</w:t>
      </w:r>
    </w:p>
    <w:p>
      <w:pPr>
        <w:pStyle w:val="B2"/>
        <w:ind w:left="998" w:hanging="284"/>
        <w:rPr/>
      </w:pPr>
      <w:r>
        <w:rPr/>
        <w:t>-</w:t>
        <w:tab/>
        <w:t>to check the status of data preparation in the IRPAgent;</w:t>
      </w:r>
    </w:p>
    <w:p>
      <w:pPr>
        <w:pStyle w:val="B2"/>
        <w:ind w:left="998" w:hanging="284"/>
        <w:rPr/>
      </w:pPr>
      <w:r>
        <w:rPr/>
        <w:t>-</w:t>
        <w:tab/>
        <w:t>to request the IRPAgent to alert the IRPManager when the data preparation is completed; and to</w:t>
      </w:r>
    </w:p>
    <w:p>
      <w:pPr>
        <w:pStyle w:val="B2"/>
        <w:ind w:left="998" w:hanging="284"/>
        <w:rPr/>
      </w:pPr>
      <w:r>
        <w:rPr/>
        <w:t>-</w:t>
        <w:tab/>
        <w:t>upload the prepared inventory data;</w:t>
      </w:r>
    </w:p>
    <w:p>
      <w:pPr>
        <w:pStyle w:val="B1"/>
        <w:rPr/>
      </w:pPr>
      <w:r>
        <w:rPr/>
        <w:t>to provide a standard data format so that all IRPManagers and IRPAgents involved have a common understanding of the uploaded inventory data.</w:t>
      </w:r>
    </w:p>
    <w:p>
      <w:pPr>
        <w:pStyle w:val="Normal"/>
        <w:rPr/>
      </w:pPr>
      <w:r>
        <w:rPr/>
        <w:t>The inventory data:</w:t>
      </w:r>
    </w:p>
    <w:p>
      <w:pPr>
        <w:pStyle w:val="B1"/>
        <w:rPr/>
      </w:pPr>
      <w:r>
        <w:rPr/>
        <w:t>is static data about the hardware equipment and firmware units (e.g. line cards, processing units, power supplies) constructing the network elements managed by the concerned element manager. Static data is the data which:</w:t>
      </w:r>
    </w:p>
    <w:p>
      <w:pPr>
        <w:pStyle w:val="B2"/>
        <w:ind w:left="852" w:hanging="284"/>
        <w:rPr/>
      </w:pPr>
      <w:r>
        <w:rPr/>
        <w:t>-</w:t>
        <w:tab/>
        <w:t>is usually provided by vendors and is basically vendor-specific;</w:t>
      </w:r>
    </w:p>
    <w:p>
      <w:pPr>
        <w:pStyle w:val="B2"/>
        <w:ind w:left="852" w:hanging="284"/>
        <w:rPr/>
      </w:pPr>
      <w:r>
        <w:rPr/>
        <w:t>-</w:t>
        <w:tab/>
        <w:t>is basically independent of the operation status of the related equipment/units;</w:t>
      </w:r>
    </w:p>
    <w:p>
      <w:pPr>
        <w:pStyle w:val="B2"/>
        <w:ind w:left="852" w:hanging="284"/>
        <w:rPr/>
      </w:pPr>
      <w:r>
        <w:rPr/>
        <w:t>-</w:t>
        <w:tab/>
        <w:t>is not changed frequently during the normal operation;</w:t>
      </w:r>
    </w:p>
    <w:p>
      <w:pPr>
        <w:pStyle w:val="B2"/>
        <w:ind w:left="852" w:hanging="284"/>
        <w:rPr/>
      </w:pPr>
      <w:r>
        <w:rPr/>
        <w:t>-</w:t>
        <w:tab/>
        <w:t>cannot be changed through Itf-N interface; and is</w:t>
      </w:r>
    </w:p>
    <w:p>
      <w:pPr>
        <w:pStyle w:val="B2"/>
        <w:ind w:left="852" w:hanging="284"/>
        <w:rPr/>
      </w:pPr>
      <w:r>
        <w:rPr/>
        <w:t>-</w:t>
        <w:tab/>
        <w:t>basically independent of configuration management;</w:t>
      </w:r>
    </w:p>
    <w:p>
      <w:pPr>
        <w:pStyle w:val="B1"/>
        <w:rPr/>
      </w:pPr>
      <w:r>
        <w:rPr/>
        <w:t>may either be integrated in the related equipment/units or be assigned to the related equipment/units during the installation or during operation;</w:t>
      </w:r>
    </w:p>
    <w:p>
      <w:pPr>
        <w:pStyle w:val="B1"/>
        <w:rPr/>
      </w:pPr>
      <w:r>
        <w:rPr/>
        <w:t>may include data showing static physical relations between equipment or units, e.g. card A is in slot B.</w:t>
      </w:r>
      <w:r>
        <w:br w:type="page"/>
      </w:r>
    </w:p>
    <w:p>
      <w:pPr>
        <w:pStyle w:val="Heading1"/>
        <w:ind w:left="1134" w:hanging="1134"/>
        <w:rPr/>
      </w:pPr>
      <w:bookmarkStart w:id="15" w:name="__RefHeading___Toc116875067"/>
      <w:bookmarkEnd w:id="15"/>
      <w:r>
        <w:rPr/>
        <w:t>5</w:t>
        <w:tab/>
        <w:t>Requirements</w:t>
      </w:r>
    </w:p>
    <w:p>
      <w:pPr>
        <w:pStyle w:val="Heading2"/>
        <w:rPr/>
      </w:pPr>
      <w:bookmarkStart w:id="16" w:name="__RefHeading___Toc116875068"/>
      <w:bookmarkEnd w:id="16"/>
      <w:r>
        <w:rPr/>
        <w:t>5.1</w:t>
        <w:tab/>
        <w:t>General requirements</w:t>
      </w:r>
    </w:p>
    <w:p>
      <w:pPr>
        <w:pStyle w:val="Normal"/>
        <w:rPr/>
      </w:pPr>
      <w:r>
        <w:rPr/>
        <w:t>The present document defines requirements for the IS for this IRP. As such, capabilities specified here as being required in the IS are not necessarily required in the product implementation. That which is required in the product implementation will be specified in the IS itself.</w:t>
      </w:r>
    </w:p>
    <w:p>
      <w:pPr>
        <w:pStyle w:val="Normal"/>
        <w:rPr/>
      </w:pPr>
      <w:r>
        <w:rPr/>
        <w:t>The following general and high-level requirements apply for the present IRP:</w:t>
      </w:r>
    </w:p>
    <w:p>
      <w:pPr>
        <w:pStyle w:val="Normal"/>
        <w:numPr>
          <w:ilvl w:val="0"/>
          <w:numId w:val="19"/>
        </w:numPr>
        <w:overflowPunct w:val="false"/>
        <w:autoSpaceDE w:val="false"/>
        <w:textAlignment w:val="baseline"/>
        <w:rPr/>
      </w:pPr>
      <w:r>
        <w:rPr/>
        <w:t>IRP-related requirements in 3GPP TS 32.101 [1];</w:t>
      </w:r>
    </w:p>
    <w:p>
      <w:pPr>
        <w:pStyle w:val="Normal"/>
        <w:numPr>
          <w:ilvl w:val="0"/>
          <w:numId w:val="19"/>
        </w:numPr>
        <w:overflowPunct w:val="false"/>
        <w:autoSpaceDE w:val="false"/>
        <w:textAlignment w:val="baseline"/>
        <w:rPr/>
      </w:pPr>
      <w:r>
        <w:rPr/>
        <w:t>IRP-related requirements in 3GPP TS 32.102 [2];</w:t>
      </w:r>
    </w:p>
    <w:p>
      <w:pPr>
        <w:pStyle w:val="Normal"/>
        <w:numPr>
          <w:ilvl w:val="0"/>
          <w:numId w:val="19"/>
        </w:numPr>
        <w:overflowPunct w:val="false"/>
        <w:autoSpaceDE w:val="false"/>
        <w:textAlignment w:val="baseline"/>
        <w:rPr/>
      </w:pPr>
      <w:r>
        <w:rPr/>
        <w:t>IRP-related requirements in 3GPP TS 32.600 [3].</w:t>
      </w:r>
    </w:p>
    <w:p>
      <w:pPr>
        <w:pStyle w:val="Heading2"/>
        <w:rPr/>
      </w:pPr>
      <w:bookmarkStart w:id="17" w:name="__RefHeading___Toc116875069"/>
      <w:bookmarkEnd w:id="17"/>
      <w:r>
        <w:rPr/>
        <w:t>5.2</w:t>
        <w:tab/>
        <w:t>Inventory Management (IM) requirements</w:t>
      </w:r>
    </w:p>
    <w:p>
      <w:pPr>
        <w:pStyle w:val="Normal"/>
        <w:rPr/>
      </w:pPr>
      <w:r>
        <w:rPr/>
        <w:t>The following requirements shall apply for Inventory Management over Itf-N.</w:t>
      </w:r>
    </w:p>
    <w:p>
      <w:pPr>
        <w:pStyle w:val="Normal"/>
        <w:numPr>
          <w:ilvl w:val="0"/>
          <w:numId w:val="9"/>
        </w:numPr>
        <w:overflowPunct w:val="false"/>
        <w:autoSpaceDE w:val="false"/>
        <w:textAlignment w:val="baseline"/>
        <w:rPr/>
      </w:pPr>
      <w:r>
        <w:rPr/>
        <w:t xml:space="preserve">Inventory data is defined as information pertaining to </w:t>
      </w:r>
      <w:r>
        <w:rPr>
          <w:bCs/>
          <w:lang w:eastAsia="zh-CN"/>
        </w:rPr>
        <w:t>Field Replaceable Unit (FRU)</w:t>
      </w:r>
      <w:r>
        <w:rPr/>
        <w:t xml:space="preserve"> </w:t>
      </w:r>
      <w:r>
        <w:rPr>
          <w:lang w:eastAsia="zh-CN"/>
        </w:rPr>
        <w:t>hardware</w:t>
      </w:r>
      <w:r>
        <w:rPr>
          <w:lang w:eastAsia="zh-CN"/>
        </w:rPr>
        <w:t>, firmware</w:t>
      </w:r>
      <w:r>
        <w:rPr>
          <w:lang w:eastAsia="zh-CN"/>
        </w:rPr>
        <w:t xml:space="preserve"> </w:t>
      </w:r>
      <w:r>
        <w:rPr/>
        <w:t xml:space="preserve">and optionally </w:t>
      </w:r>
      <w:r>
        <w:rPr>
          <w:lang w:eastAsia="zh-CN"/>
        </w:rPr>
        <w:t xml:space="preserve">software </w:t>
      </w:r>
      <w:r>
        <w:rPr/>
        <w:t xml:space="preserve">units </w:t>
      </w:r>
      <w:r>
        <w:rPr>
          <w:lang w:eastAsia="zh-CN"/>
        </w:rPr>
        <w:t xml:space="preserve">and license units </w:t>
      </w:r>
      <w:r>
        <w:rPr/>
        <w:t xml:space="preserve">of 3G Networks, and shall be manageable. The management of </w:t>
      </w:r>
      <w:r>
        <w:rPr>
          <w:lang w:eastAsia="zh-CN"/>
        </w:rPr>
        <w:t>software</w:t>
      </w:r>
      <w:r>
        <w:rPr/>
        <w:t xml:space="preserve"> unit information should be similar to the management of </w:t>
      </w:r>
      <w:r>
        <w:rPr>
          <w:lang w:eastAsia="zh-CN"/>
        </w:rPr>
        <w:t>hardware and firmware</w:t>
      </w:r>
      <w:r>
        <w:rPr/>
        <w:t xml:space="preserve"> information. Examples of inventory data </w:t>
      </w:r>
      <w:r>
        <w:rPr>
          <w:lang w:eastAsia="zh-CN"/>
        </w:rPr>
        <w:t xml:space="preserve">and attributes </w:t>
      </w:r>
      <w:r>
        <w:rPr/>
        <w:t xml:space="preserve">are described in Annex A </w:t>
      </w:r>
      <w:r>
        <w:rPr>
          <w:lang w:eastAsia="zh-CN"/>
        </w:rPr>
        <w:t xml:space="preserve">and </w:t>
      </w:r>
      <w:r>
        <w:rPr/>
        <w:t xml:space="preserve">Annex </w:t>
      </w:r>
      <w:r>
        <w:rPr>
          <w:lang w:eastAsia="zh-CN"/>
        </w:rPr>
        <w:t>B</w:t>
      </w:r>
      <w:r>
        <w:rPr/>
        <w:t xml:space="preserve"> and </w:t>
      </w:r>
      <w:r>
        <w:rPr>
          <w:lang w:eastAsia="zh-CN"/>
        </w:rPr>
        <w:t>standardised inventory data for Itf-N is defined in 3GPP TS 32.692 [4]</w:t>
      </w:r>
      <w:r>
        <w:rPr/>
        <w:t xml:space="preserve">. </w:t>
      </w:r>
      <w:r>
        <w:rPr>
          <w:lang w:eastAsia="zh-CN"/>
        </w:rPr>
        <w:t>Examples of inventory hardware unit</w:t>
      </w:r>
      <w:r>
        <w:rPr>
          <w:lang w:eastAsia="zh-CN"/>
        </w:rPr>
        <w:t>s</w:t>
      </w:r>
      <w:r>
        <w:rPr>
          <w:lang w:eastAsia="zh-CN"/>
        </w:rPr>
        <w:t xml:space="preserve"> may be rack, shelf, slot, circuit pack </w:t>
      </w:r>
      <w:r>
        <w:rPr>
          <w:lang w:eastAsia="zh-CN"/>
        </w:rPr>
        <w:t>and physical</w:t>
      </w:r>
      <w:r>
        <w:rPr>
          <w:lang w:eastAsia="zh-CN"/>
        </w:rPr>
        <w:t xml:space="preserve"> </w:t>
      </w:r>
      <w:r>
        <w:rPr>
          <w:lang w:eastAsia="zh-CN"/>
        </w:rPr>
        <w:t>port,</w:t>
      </w:r>
      <w:r>
        <w:rPr>
          <w:lang w:eastAsia="zh-CN"/>
        </w:rPr>
        <w:t xml:space="preserve"> as long as they are FRUs.</w:t>
      </w:r>
    </w:p>
    <w:p>
      <w:pPr>
        <w:pStyle w:val="Normal"/>
        <w:numPr>
          <w:ilvl w:val="0"/>
          <w:numId w:val="9"/>
        </w:numPr>
        <w:overflowPunct w:val="false"/>
        <w:autoSpaceDE w:val="false"/>
        <w:textAlignment w:val="baseline"/>
        <w:rPr/>
      </w:pPr>
      <w:r>
        <w:rPr>
          <w:lang w:eastAsia="zh-CN"/>
        </w:rPr>
        <w:t xml:space="preserve">The Inventory hardware information can be </w:t>
      </w:r>
      <w:r>
        <w:rPr>
          <w:lang w:eastAsia="zh-CN"/>
        </w:rPr>
        <w:t xml:space="preserve">captured </w:t>
      </w:r>
      <w:r>
        <w:rPr>
          <w:lang w:eastAsia="zh-CN"/>
        </w:rPr>
        <w:t xml:space="preserve">as a </w:t>
      </w:r>
      <w:r>
        <w:rPr>
          <w:lang w:eastAsia="zh-CN"/>
        </w:rPr>
        <w:t>hierarchy</w:t>
      </w:r>
      <w:r>
        <w:rPr>
          <w:lang w:eastAsia="zh-CN"/>
        </w:rPr>
        <w:t xml:space="preserve"> or</w:t>
      </w:r>
      <w:r>
        <w:rPr>
          <w:lang w:eastAsia="zh-CN"/>
        </w:rPr>
        <w:t xml:space="preserve"> a</w:t>
      </w:r>
      <w:r>
        <w:rPr>
          <w:lang w:eastAsia="zh-CN"/>
        </w:rPr>
        <w:t xml:space="preserve"> flat </w:t>
      </w:r>
      <w:r>
        <w:rPr>
          <w:lang w:eastAsia="zh-CN"/>
        </w:rPr>
        <w:t>model</w:t>
      </w:r>
      <w:r>
        <w:rPr>
          <w:lang w:eastAsia="zh-CN"/>
        </w:rPr>
        <w:t xml:space="preserve">. In </w:t>
      </w:r>
      <w:r>
        <w:rPr>
          <w:lang w:eastAsia="zh-CN"/>
        </w:rPr>
        <w:t>a</w:t>
      </w:r>
      <w:r>
        <w:rPr>
          <w:lang w:eastAsia="zh-CN"/>
        </w:rPr>
        <w:t xml:space="preserve"> </w:t>
      </w:r>
      <w:r>
        <w:rPr>
          <w:lang w:eastAsia="zh-CN"/>
        </w:rPr>
        <w:t xml:space="preserve">hierarchical </w:t>
      </w:r>
      <w:r>
        <w:rPr>
          <w:lang w:eastAsia="zh-CN"/>
        </w:rPr>
        <w:t>model</w:t>
      </w:r>
      <w:r>
        <w:rPr>
          <w:lang w:eastAsia="zh-CN"/>
        </w:rPr>
        <w:t>, an</w:t>
      </w:r>
      <w:r>
        <w:rPr/>
        <w:t xml:space="preserve"> </w:t>
      </w:r>
      <w:r>
        <w:rPr>
          <w:lang w:eastAsia="zh-CN"/>
        </w:rPr>
        <w:t>inventory unit</w:t>
      </w:r>
      <w:r>
        <w:rPr/>
        <w:t xml:space="preserve"> </w:t>
      </w:r>
      <w:r>
        <w:rPr>
          <w:lang w:eastAsia="zh-CN"/>
        </w:rPr>
        <w:t>is</w:t>
      </w:r>
      <w:r>
        <w:rPr/>
        <w:t xml:space="preserve"> </w:t>
      </w:r>
      <w:r>
        <w:rPr>
          <w:lang w:eastAsia="zh-CN"/>
        </w:rPr>
        <w:t xml:space="preserve">contained by </w:t>
      </w:r>
      <w:r>
        <w:rPr/>
        <w:t xml:space="preserve">another </w:t>
      </w:r>
      <w:r>
        <w:rPr>
          <w:lang w:eastAsia="zh-CN"/>
        </w:rPr>
        <w:t>inventory unit</w:t>
      </w:r>
      <w:r>
        <w:rPr/>
        <w:t>, thereby creating a containment relationship.</w:t>
      </w:r>
    </w:p>
    <w:p>
      <w:pPr>
        <w:pStyle w:val="Normal"/>
        <w:numPr>
          <w:ilvl w:val="0"/>
          <w:numId w:val="9"/>
        </w:numPr>
        <w:overflowPunct w:val="false"/>
        <w:autoSpaceDE w:val="false"/>
        <w:textAlignment w:val="baseline"/>
        <w:rPr/>
      </w:pPr>
      <w:r>
        <w:rPr/>
        <w:t>It shall be possible for the IRPManager to initiate the upload (IRPAgent to IRPManager) of inventory data over Itf</w:t>
        <w:noBreakHyphen/>
        <w:t>N.</w:t>
      </w:r>
    </w:p>
    <w:p>
      <w:pPr>
        <w:pStyle w:val="Normal"/>
        <w:numPr>
          <w:ilvl w:val="0"/>
          <w:numId w:val="9"/>
        </w:numPr>
        <w:overflowPunct w:val="false"/>
        <w:autoSpaceDE w:val="false"/>
        <w:textAlignment w:val="baseline"/>
        <w:rPr/>
      </w:pPr>
      <w:r>
        <w:rPr/>
        <w:t>It shall be possible to scope the inventory data to be uploaded from the IRPAgent, e.g. inventory data for a NodeB, an RNC, or all the NEs managed by the IRPAgent.</w:t>
      </w:r>
    </w:p>
    <w:p>
      <w:pPr>
        <w:pStyle w:val="Normal"/>
        <w:numPr>
          <w:ilvl w:val="0"/>
          <w:numId w:val="9"/>
        </w:numPr>
        <w:overflowPunct w:val="false"/>
        <w:autoSpaceDE w:val="false"/>
        <w:textAlignment w:val="baseline"/>
        <w:rPr/>
      </w:pPr>
      <w:r>
        <w:rPr/>
        <w:t>It shall be possible to filter the inventory data to be uploaded from the IRPAgent, e.g. HW units of a certain type in the network.</w:t>
      </w:r>
    </w:p>
    <w:p>
      <w:pPr>
        <w:pStyle w:val="Normal"/>
        <w:numPr>
          <w:ilvl w:val="0"/>
          <w:numId w:val="9"/>
        </w:numPr>
        <w:overflowPunct w:val="false"/>
        <w:autoSpaceDE w:val="false"/>
        <w:textAlignment w:val="baseline"/>
        <w:rPr/>
      </w:pPr>
      <w:r>
        <w:rPr/>
        <w:t>It shall be possible to check the status of an Inventory Management operation.</w:t>
      </w:r>
    </w:p>
    <w:p>
      <w:pPr>
        <w:pStyle w:val="Normal"/>
        <w:numPr>
          <w:ilvl w:val="0"/>
          <w:numId w:val="9"/>
        </w:numPr>
        <w:overflowPunct w:val="false"/>
        <w:autoSpaceDE w:val="false"/>
        <w:textAlignment w:val="baseline"/>
        <w:rPr/>
      </w:pPr>
      <w:r>
        <w:rPr/>
        <w:t>Interface-N shall support a file-based mechanism for transferring inventory data.</w:t>
      </w:r>
    </w:p>
    <w:p>
      <w:pPr>
        <w:pStyle w:val="Normal"/>
        <w:numPr>
          <w:ilvl w:val="0"/>
          <w:numId w:val="9"/>
        </w:numPr>
        <w:overflowPunct w:val="false"/>
        <w:autoSpaceDE w:val="false"/>
        <w:textAlignment w:val="baseline"/>
        <w:rPr/>
      </w:pPr>
      <w:r>
        <w:rPr/>
        <w:t>The file format used for transferring of bulk inventory data shall include a standard part and shall also allow for vendor specific representation of inventory data. The meaning, syntax, units, etc. of the standard part of inventory information will be specified, e.g. standard fields for HW board identity (including version number of HW/SW/FW), board type and serial number.</w:t>
      </w:r>
    </w:p>
    <w:p>
      <w:pPr>
        <w:pStyle w:val="Normal"/>
        <w:numPr>
          <w:ilvl w:val="0"/>
          <w:numId w:val="9"/>
        </w:numPr>
        <w:overflowPunct w:val="false"/>
        <w:autoSpaceDE w:val="false"/>
        <w:textAlignment w:val="baseline"/>
        <w:rPr/>
      </w:pPr>
      <w:r>
        <w:rPr/>
        <w:t>A Network Resource Model shall be defined for the standard part of inventory data.</w:t>
      </w:r>
    </w:p>
    <w:p>
      <w:pPr>
        <w:pStyle w:val="Normal"/>
        <w:numPr>
          <w:ilvl w:val="0"/>
          <w:numId w:val="9"/>
        </w:numPr>
        <w:overflowPunct w:val="false"/>
        <w:autoSpaceDE w:val="false"/>
        <w:textAlignment w:val="baseline"/>
        <w:rPr/>
      </w:pPr>
      <w:r>
        <w:rPr/>
        <w:t>As the files are transferred via a machine-machine interface, the file format shall be machine-readable using industry standard tools, e.g. XML or ASN.1 parsers.</w:t>
      </w:r>
    </w:p>
    <w:p>
      <w:pPr>
        <w:pStyle w:val="Normal"/>
        <w:numPr>
          <w:ilvl w:val="0"/>
          <w:numId w:val="9"/>
        </w:numPr>
        <w:overflowPunct w:val="false"/>
        <w:autoSpaceDE w:val="false"/>
        <w:textAlignment w:val="baseline"/>
        <w:rPr/>
      </w:pPr>
      <w:r>
        <w:rPr/>
        <w:t>The file format shall be specified by using a standardised language, e.g. the Extensible Mark-up Language (XML).</w:t>
      </w:r>
    </w:p>
    <w:p>
      <w:pPr>
        <w:pStyle w:val="Normal"/>
        <w:numPr>
          <w:ilvl w:val="0"/>
          <w:numId w:val="9"/>
        </w:numPr>
        <w:overflowPunct w:val="false"/>
        <w:autoSpaceDE w:val="false"/>
        <w:textAlignment w:val="baseline"/>
        <w:rPr/>
      </w:pPr>
      <w:r>
        <w:rPr/>
        <w:t>The file format shall be independent of the data transfer protocol used to carry the file from one system to another.</w:t>
      </w:r>
    </w:p>
    <w:p>
      <w:pPr>
        <w:pStyle w:val="Normal"/>
        <w:numPr>
          <w:ilvl w:val="0"/>
          <w:numId w:val="9"/>
        </w:numPr>
        <w:overflowPunct w:val="false"/>
        <w:autoSpaceDE w:val="false"/>
        <w:textAlignment w:val="baseline"/>
        <w:rPr/>
      </w:pPr>
      <w:r>
        <w:rPr/>
        <w:t>The file transfer facility shall be implemented using a file transfer protocol as defined in 3GPP TS 32.101 [1].</w:t>
      </w:r>
    </w:p>
    <w:p>
      <w:pPr>
        <w:pStyle w:val="Normal"/>
        <w:numPr>
          <w:ilvl w:val="0"/>
          <w:numId w:val="9"/>
        </w:numPr>
        <w:overflowPunct w:val="false"/>
        <w:autoSpaceDE w:val="false"/>
        <w:textAlignment w:val="baseline"/>
        <w:rPr/>
      </w:pPr>
      <w:r>
        <w:rPr/>
        <w:t>The identification of IOC instances shall be consistent with Alarm Reporting and the Network Resource Models used for Configuration Management.</w:t>
      </w:r>
    </w:p>
    <w:p>
      <w:pPr>
        <w:pStyle w:val="Normal"/>
        <w:numPr>
          <w:ilvl w:val="0"/>
          <w:numId w:val="9"/>
        </w:numPr>
        <w:overflowPunct w:val="false"/>
        <w:autoSpaceDE w:val="false"/>
        <w:textAlignment w:val="baseline"/>
        <w:rPr>
          <w:lang w:eastAsia="zh-CN"/>
        </w:rPr>
      </w:pPr>
      <w:r>
        <w:rPr/>
        <w:t>All inventory units shall be uniquely identifiable.</w:t>
      </w:r>
      <w:r>
        <w:rPr>
          <w:lang w:eastAsia="zh-CN"/>
        </w:rPr>
        <w:t xml:space="preserve"> </w:t>
      </w:r>
    </w:p>
    <w:p>
      <w:pPr>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pStyle w:val="Normal"/>
        <w:numPr>
          <w:ilvl w:val="0"/>
          <w:numId w:val="9"/>
        </w:numPr>
        <w:overflowPunct w:val="false"/>
        <w:autoSpaceDE w:val="false"/>
        <w:textAlignment w:val="baseline"/>
        <w:rPr>
          <w:lang w:eastAsia="zh-CN"/>
        </w:rPr>
      </w:pPr>
      <w:r>
        <w:rPr>
          <w:lang w:eastAsia="zh-CN"/>
        </w:rPr>
        <w:t>The information on software versions in Software Management IRP and in Inventory NRM IRP shall be consistent.</w:t>
      </w:r>
    </w:p>
    <w:p>
      <w:pPr>
        <w:pStyle w:val="Heading8"/>
        <w:spacing w:before="0" w:after="0"/>
        <w:ind w:left="0" w:hanging="0"/>
        <w:rPr/>
      </w:pPr>
      <w:bookmarkStart w:id="18" w:name="__RefHeading___Toc116875070"/>
      <w:bookmarkEnd w:id="18"/>
      <w:r>
        <w:rPr/>
        <w:t>Annex A (Informative):</w:t>
        <w:br/>
        <w:t>Examples of Inventory Data</w:t>
      </w:r>
    </w:p>
    <w:p>
      <w:pPr>
        <w:pStyle w:val="Normal"/>
        <w:keepNext w:val="true"/>
        <w:spacing w:before="0" w:after="0"/>
        <w:rPr/>
      </w:pPr>
      <w:r>
        <w:rPr/>
        <w:t xml:space="preserve">Examples of inventory data are described in the following table. </w:t>
      </w:r>
      <w:r>
        <w:rPr>
          <w:lang w:eastAsia="zh-CN"/>
        </w:rPr>
        <w:t>The actual standardised inventory data for Itf-N is defined in 3GPP TS 32.692 [4].</w:t>
      </w:r>
    </w:p>
    <w:p>
      <w:pPr>
        <w:pStyle w:val="Normal"/>
        <w:keepNext w:val="true"/>
        <w:spacing w:before="0" w:after="0"/>
        <w:rPr>
          <w:b/>
          <w:b/>
        </w:rPr>
      </w:pPr>
      <w:r>
        <w:rPr>
          <w:b/>
        </w:rPr>
        <w:t>A Managed Element is also referred to as a Network Element (NE).</w:t>
      </w:r>
    </w:p>
    <w:tbl>
      <w:tblPr>
        <w:tblW w:w="15354" w:type="dxa"/>
        <w:jc w:val="center"/>
        <w:tblInd w:w="0" w:type="dxa"/>
        <w:tblLayout w:type="fixed"/>
        <w:tblCellMar>
          <w:top w:w="0" w:type="dxa"/>
          <w:left w:w="108" w:type="dxa"/>
          <w:bottom w:w="0" w:type="dxa"/>
          <w:right w:w="108" w:type="dxa"/>
        </w:tblCellMar>
      </w:tblPr>
      <w:tblGrid>
        <w:gridCol w:w="2943"/>
        <w:gridCol w:w="6521"/>
        <w:gridCol w:w="5890"/>
      </w:tblGrid>
      <w:tr>
        <w:trPr>
          <w:tblHeader w:val="true"/>
        </w:trPr>
        <w:tc>
          <w:tcPr>
            <w:tcW w:w="2943" w:type="dxa"/>
            <w:tcBorders>
              <w:top w:val="single" w:sz="12" w:space="0" w:color="000000"/>
              <w:left w:val="single" w:sz="12" w:space="0" w:color="000000"/>
              <w:bottom w:val="single" w:sz="6" w:space="0" w:color="000000"/>
              <w:right w:val="single" w:sz="6" w:space="0" w:color="000000"/>
            </w:tcBorders>
            <w:shd w:fill="C0C0C0" w:val="clear"/>
          </w:tcPr>
          <w:p>
            <w:pPr>
              <w:pStyle w:val="TAH"/>
              <w:rPr/>
            </w:pPr>
            <w:r>
              <w:rPr/>
              <w:t>Inventory data item</w:t>
            </w:r>
          </w:p>
        </w:tc>
        <w:tc>
          <w:tcPr>
            <w:tcW w:w="6521" w:type="dxa"/>
            <w:tcBorders>
              <w:top w:val="single" w:sz="12" w:space="0" w:color="000000"/>
              <w:left w:val="single" w:sz="6" w:space="0" w:color="000000"/>
              <w:bottom w:val="single" w:sz="6" w:space="0" w:color="000000"/>
              <w:right w:val="single" w:sz="6" w:space="0" w:color="000000"/>
            </w:tcBorders>
            <w:shd w:fill="C0C0C0" w:val="clear"/>
          </w:tcPr>
          <w:p>
            <w:pPr>
              <w:pStyle w:val="TAH"/>
              <w:rPr/>
            </w:pPr>
            <w:r>
              <w:rPr/>
              <w:t>Description of item</w:t>
            </w:r>
          </w:p>
        </w:tc>
        <w:tc>
          <w:tcPr>
            <w:tcW w:w="5890" w:type="dxa"/>
            <w:tcBorders>
              <w:top w:val="single" w:sz="12" w:space="0" w:color="000000"/>
              <w:left w:val="single" w:sz="6" w:space="0" w:color="000000"/>
              <w:bottom w:val="single" w:sz="6" w:space="0" w:color="000000"/>
              <w:right w:val="single" w:sz="12" w:space="0" w:color="000000"/>
            </w:tcBorders>
            <w:shd w:fill="C0C0C0" w:val="clear"/>
          </w:tcPr>
          <w:p>
            <w:pPr>
              <w:pStyle w:val="TAH"/>
              <w:rPr/>
            </w:pPr>
            <w:r>
              <w:rPr/>
              <w:t>Additional Information on what an operator will do with this item</w:t>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Managed Element data</w:t>
            </w:r>
          </w:p>
        </w:tc>
        <w:tc>
          <w:tcPr>
            <w:tcW w:w="652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Managed Element id</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Corresponds to the Managed Element MOC in CM NRM.</w:t>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Managed Element type</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Corresponds to the Managed Element MOC attribute in CM NRM.</w:t>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User label</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Corresponds to the Managed Element MOC attribute in CM NRM.</w:t>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Vendor name</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Corresponds to the Managed Element MOC attribute in CM NRM.</w:t>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SW Version</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Corresponds to the Managed Element MOC attribute in CM NRM.</w:t>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Location name</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Location of site containing Managed Element. Corresponds to the Managed Element MOC attribute in CM NRM.</w:t>
            </w:r>
          </w:p>
        </w:tc>
        <w:tc>
          <w:tcPr>
            <w:tcW w:w="5890" w:type="dxa"/>
            <w:tcBorders>
              <w:top w:val="single" w:sz="6" w:space="0" w:color="000000"/>
              <w:left w:val="single" w:sz="6" w:space="0" w:color="000000"/>
              <w:bottom w:val="single" w:sz="6" w:space="0" w:color="000000"/>
              <w:right w:val="single" w:sz="12" w:space="0" w:color="000000"/>
            </w:tcBorders>
          </w:tcPr>
          <w:p>
            <w:pPr>
              <w:pStyle w:val="TAL"/>
              <w:rPr/>
            </w:pPr>
            <w:r>
              <w:rPr/>
              <w:t>Useful for maintenance activity, asset location.</w:t>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HW Version Information</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HW version information of all hardware supporting this Managed Element.</w:t>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Serial number</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Serial number of all hardware supporting this Managed Element.</w:t>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HW unit data</w:t>
            </w:r>
          </w:p>
        </w:tc>
        <w:tc>
          <w:tcPr>
            <w:tcW w:w="652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HW unit id</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Uniquely identifies the HW unit (e.g. board).</w:t>
            </w:r>
          </w:p>
        </w:tc>
        <w:tc>
          <w:tcPr>
            <w:tcW w:w="5890" w:type="dxa"/>
            <w:tcBorders>
              <w:top w:val="single" w:sz="6" w:space="0" w:color="000000"/>
              <w:left w:val="single" w:sz="6" w:space="0" w:color="000000"/>
              <w:bottom w:val="single" w:sz="6" w:space="0" w:color="000000"/>
              <w:right w:val="single" w:sz="12" w:space="0" w:color="000000"/>
            </w:tcBorders>
          </w:tcPr>
          <w:p>
            <w:pPr>
              <w:pStyle w:val="TAL"/>
              <w:rPr/>
            </w:pPr>
            <w:r>
              <w:rPr/>
              <w:t>The HW unit id shall be used for administering and locating a unit unambiguously in an operator's network</w:t>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HW unit type</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The type of the HW unit in descriptive form, e.g. mnemonic.</w:t>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Managed Element id</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The Managed Element containing the HW unit. Corresponds to the Managed Element MOC in CM NRM.</w:t>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Managed Element type</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Corresponds to the Managed Element MOC attribute in CM NRM.</w:t>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User label</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Corresponds to the Managed Element MOC attribute in CM NRM.</w:t>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Vendor name</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Manufacturer/Vendor of HW unit.</w:t>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Serial number</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Serial number of HW unit.</w:t>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Version number</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Version number of HW unit.</w:t>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Date of Manufacture</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Date of manufacture of HW unit.</w:t>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Date of last service</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Date of the last service by the vendor.</w:t>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Unit position</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Position of HW unit with reference to rack, shelf and slot id.</w:t>
            </w:r>
          </w:p>
        </w:tc>
        <w:tc>
          <w:tcPr>
            <w:tcW w:w="5890" w:type="dxa"/>
            <w:tcBorders>
              <w:top w:val="single" w:sz="6" w:space="0" w:color="000000"/>
              <w:left w:val="single" w:sz="6" w:space="0" w:color="000000"/>
              <w:bottom w:val="single" w:sz="6" w:space="0" w:color="000000"/>
              <w:right w:val="single" w:sz="12" w:space="0" w:color="000000"/>
            </w:tcBorders>
          </w:tcPr>
          <w:p>
            <w:pPr>
              <w:pStyle w:val="TAL"/>
              <w:rPr/>
            </w:pPr>
            <w:r>
              <w:rPr/>
              <w:t>Useful for maintenance activity, asset location.</w:t>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FW information</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Information related to FW in HW unit.</w:t>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Topology information</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Remote unit connected to HW unit (e.g. port information).</w:t>
            </w:r>
          </w:p>
        </w:tc>
        <w:tc>
          <w:tcPr>
            <w:tcW w:w="5890" w:type="dxa"/>
            <w:tcBorders>
              <w:top w:val="single" w:sz="6" w:space="0" w:color="000000"/>
              <w:left w:val="single" w:sz="6" w:space="0" w:color="000000"/>
              <w:bottom w:val="single" w:sz="6" w:space="0" w:color="000000"/>
              <w:right w:val="single" w:sz="12" w:space="0" w:color="000000"/>
            </w:tcBorders>
          </w:tcPr>
          <w:p>
            <w:pPr>
              <w:pStyle w:val="TAL"/>
              <w:rPr/>
            </w:pPr>
            <w:r>
              <w:rPr/>
              <w:t>Allows an operator to build up the physical topology (connection list) based on port information.</w:t>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Corresponding MOCs in CM NRM</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Mapping of HW unit to corresponding MOC(s) in CM NRM.</w:t>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Manufacturer specific data</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Manufacturer specific proprietary information for HW unit.</w:t>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Vendor unit type number</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Vendor or manufacturer specific number of the HW unit which uniquely identifies the unit type and version.</w:t>
            </w:r>
          </w:p>
        </w:tc>
        <w:tc>
          <w:tcPr>
            <w:tcW w:w="5890" w:type="dxa"/>
            <w:tcBorders>
              <w:top w:val="single" w:sz="6" w:space="0" w:color="000000"/>
              <w:left w:val="single" w:sz="6" w:space="0" w:color="000000"/>
              <w:bottom w:val="single" w:sz="6" w:space="0" w:color="000000"/>
              <w:right w:val="single" w:sz="12" w:space="0" w:color="000000"/>
            </w:tcBorders>
          </w:tcPr>
          <w:p>
            <w:pPr>
              <w:pStyle w:val="TAL"/>
              <w:rPr/>
            </w:pPr>
            <w:r>
              <w:rPr/>
              <w:t>Shall be used for maintenance, repair and logistic purposes and identifies, for example, replacement units.</w:t>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SW unit data</w:t>
            </w:r>
          </w:p>
        </w:tc>
        <w:tc>
          <w:tcPr>
            <w:tcW w:w="652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SW unit id</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Uniquely identifies the SW package</w:t>
            </w:r>
          </w:p>
        </w:tc>
        <w:tc>
          <w:tcPr>
            <w:tcW w:w="5890" w:type="dxa"/>
            <w:tcBorders>
              <w:top w:val="single" w:sz="6" w:space="0" w:color="000000"/>
              <w:left w:val="single" w:sz="6" w:space="0" w:color="000000"/>
              <w:bottom w:val="single" w:sz="6" w:space="0" w:color="000000"/>
              <w:right w:val="single" w:sz="12" w:space="0" w:color="000000"/>
            </w:tcBorders>
          </w:tcPr>
          <w:p>
            <w:pPr>
              <w:pStyle w:val="TAL"/>
              <w:rPr/>
            </w:pPr>
            <w:r>
              <w:rPr/>
              <w:t>The SW unit id shall be used for administering the SW running in NEs.</w:t>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Vendor name</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Manufacturer/Vendor of SW unit.</w:t>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6" w:space="0" w:color="000000"/>
              <w:right w:val="single" w:sz="6" w:space="0" w:color="000000"/>
            </w:tcBorders>
          </w:tcPr>
          <w:p>
            <w:pPr>
              <w:pStyle w:val="TAL"/>
              <w:rPr/>
            </w:pPr>
            <w:r>
              <w:rPr/>
              <w:t>Version number</w:t>
            </w:r>
          </w:p>
        </w:tc>
        <w:tc>
          <w:tcPr>
            <w:tcW w:w="6521" w:type="dxa"/>
            <w:tcBorders>
              <w:top w:val="single" w:sz="6" w:space="0" w:color="000000"/>
              <w:left w:val="single" w:sz="6" w:space="0" w:color="000000"/>
              <w:bottom w:val="single" w:sz="6" w:space="0" w:color="000000"/>
              <w:right w:val="single" w:sz="6" w:space="0" w:color="000000"/>
            </w:tcBorders>
          </w:tcPr>
          <w:p>
            <w:pPr>
              <w:pStyle w:val="TAL"/>
              <w:rPr/>
            </w:pPr>
            <w:r>
              <w:rPr/>
              <w:t>Version number of SW unit.</w:t>
            </w:r>
          </w:p>
        </w:tc>
        <w:tc>
          <w:tcPr>
            <w:tcW w:w="5890" w:type="dxa"/>
            <w:tcBorders>
              <w:top w:val="single" w:sz="6" w:space="0" w:color="000000"/>
              <w:left w:val="single" w:sz="6" w:space="0" w:color="000000"/>
              <w:bottom w:val="single" w:sz="6" w:space="0" w:color="000000"/>
              <w:right w:val="single" w:sz="12" w:space="0" w:color="000000"/>
            </w:tcBorders>
          </w:tcPr>
          <w:p>
            <w:pPr>
              <w:pStyle w:val="TAL"/>
              <w:snapToGrid w:val="false"/>
              <w:rPr/>
            </w:pPr>
            <w:r>
              <w:rPr/>
            </w:r>
          </w:p>
        </w:tc>
      </w:tr>
      <w:tr>
        <w:trPr/>
        <w:tc>
          <w:tcPr>
            <w:tcW w:w="2943" w:type="dxa"/>
            <w:tcBorders>
              <w:top w:val="single" w:sz="6" w:space="0" w:color="000000"/>
              <w:left w:val="single" w:sz="12" w:space="0" w:color="000000"/>
              <w:bottom w:val="single" w:sz="12" w:space="0" w:color="000000"/>
              <w:right w:val="single" w:sz="6" w:space="0" w:color="000000"/>
            </w:tcBorders>
          </w:tcPr>
          <w:p>
            <w:pPr>
              <w:pStyle w:val="TAL"/>
              <w:rPr/>
            </w:pPr>
            <w:r>
              <w:rPr/>
              <w:t>Manufacturer specific data</w:t>
            </w:r>
          </w:p>
        </w:tc>
        <w:tc>
          <w:tcPr>
            <w:tcW w:w="6521" w:type="dxa"/>
            <w:tcBorders>
              <w:top w:val="single" w:sz="6" w:space="0" w:color="000000"/>
              <w:left w:val="single" w:sz="6" w:space="0" w:color="000000"/>
              <w:bottom w:val="single" w:sz="12" w:space="0" w:color="000000"/>
              <w:right w:val="single" w:sz="6" w:space="0" w:color="000000"/>
            </w:tcBorders>
          </w:tcPr>
          <w:p>
            <w:pPr>
              <w:pStyle w:val="TAL"/>
              <w:rPr/>
            </w:pPr>
            <w:r>
              <w:rPr/>
              <w:t>Manufacturer specific proprietary information for SW unit.</w:t>
            </w:r>
          </w:p>
        </w:tc>
        <w:tc>
          <w:tcPr>
            <w:tcW w:w="5890" w:type="dxa"/>
            <w:tcBorders>
              <w:top w:val="single" w:sz="6" w:space="0" w:color="000000"/>
              <w:left w:val="single" w:sz="6" w:space="0" w:color="000000"/>
              <w:bottom w:val="single" w:sz="12" w:space="0" w:color="000000"/>
              <w:right w:val="single" w:sz="12" w:space="0" w:color="000000"/>
            </w:tcBorders>
          </w:tcPr>
          <w:p>
            <w:pPr>
              <w:pStyle w:val="TAL"/>
              <w:snapToGrid w:val="false"/>
              <w:rPr/>
            </w:pPr>
            <w:r>
              <w:rPr/>
            </w:r>
          </w:p>
        </w:tc>
      </w:tr>
    </w:tbl>
    <w:p>
      <w:pPr>
        <w:sectPr>
          <w:headerReference w:type="default" r:id="rId8"/>
          <w:footerReference w:type="default" r:id="rId9"/>
          <w:type w:val="nextPage"/>
          <w:pgSz w:orient="landscape" w:w="16838" w:h="11906"/>
          <w:pgMar w:left="851" w:right="851" w:gutter="0" w:header="851" w:top="1134" w:footer="340" w:bottom="851"/>
          <w:pgNumType w:fmt="decimal"/>
          <w:formProt w:val="false"/>
          <w:textDirection w:val="lrTb"/>
          <w:docGrid w:type="default" w:linePitch="360" w:charSpace="0"/>
        </w:sectPr>
        <w:pStyle w:val="Normal"/>
        <w:spacing w:before="0" w:after="0"/>
        <w:rPr/>
      </w:pPr>
      <w:r>
        <w:rPr/>
      </w:r>
    </w:p>
    <w:p>
      <w:pPr>
        <w:pStyle w:val="Heading8"/>
        <w:ind w:left="0" w:hanging="0"/>
        <w:rPr/>
      </w:pPr>
      <w:bookmarkStart w:id="19" w:name="__RefHeading___Toc116875071"/>
      <w:bookmarkEnd w:id="19"/>
      <w:r>
        <w:rPr/>
        <w:t xml:space="preserve">Annex </w:t>
      </w:r>
      <w:r>
        <w:rPr>
          <w:lang w:eastAsia="zh-CN"/>
        </w:rPr>
        <w:t>B</w:t>
      </w:r>
      <w:r>
        <w:rPr/>
        <w:t xml:space="preserve"> (Informative):</w:t>
        <w:br/>
        <w:t xml:space="preserve">Examples of Inventory </w:t>
      </w:r>
      <w:r>
        <w:rPr>
          <w:lang w:eastAsia="zh-CN"/>
        </w:rPr>
        <w:t>Information</w:t>
      </w:r>
    </w:p>
    <w:p>
      <w:pPr>
        <w:pStyle w:val="Normal"/>
        <w:rPr/>
      </w:pPr>
      <w:r>
        <w:rPr/>
        <w:t xml:space="preserve">Examples of inventory data, </w:t>
      </w:r>
      <w:r>
        <w:rPr>
          <w:lang w:eastAsia="zh-CN"/>
        </w:rPr>
        <w:t>which represents hardware unit</w:t>
      </w:r>
      <w:r>
        <w:rPr>
          <w:lang w:eastAsia="zh-CN"/>
        </w:rPr>
        <w:t>s,</w:t>
      </w:r>
      <w:r>
        <w:rPr/>
        <w:t xml:space="preserve"> are described in </w:t>
      </w:r>
      <w:r>
        <w:rPr>
          <w:lang w:eastAsia="zh-CN"/>
        </w:rPr>
        <w:t>figure</w:t>
      </w:r>
      <w:r>
        <w:rPr>
          <w:lang w:eastAsia="zh-CN"/>
        </w:rPr>
        <w:t xml:space="preserve"> B.1</w:t>
      </w:r>
      <w:r>
        <w:rPr/>
        <w:t xml:space="preserve">. </w:t>
      </w:r>
      <w:r>
        <w:rPr>
          <w:lang w:eastAsia="zh-CN"/>
        </w:rPr>
        <w:t>The actual standardised inventory data for Itf-N is defined in 3GPP TS 32.692 [4].</w:t>
      </w:r>
      <w:r>
        <w:rPr/>
        <w:t xml:space="preserve"> </w:t>
      </w:r>
    </w:p>
    <w:p>
      <w:pPr>
        <w:pStyle w:val="Normal"/>
        <w:rPr>
          <w:lang w:eastAsia="zh-CN"/>
        </w:rPr>
      </w:pPr>
      <w:r>
        <w:rPr>
          <w:lang w:eastAsia="zh-CN"/>
        </w:rPr>
      </w:r>
    </w:p>
    <w:p>
      <w:pPr>
        <w:pStyle w:val="TH"/>
        <w:jc w:val="left"/>
        <w:rPr/>
      </w:pPr>
      <w:r>
        <mc:AlternateContent>
          <mc:Choice Requires="wpg">
            <w:drawing>
              <wp:anchor behindDoc="0" distT="0" distB="0" distL="114935" distR="114935" simplePos="0" locked="0" layoutInCell="0" allowOverlap="1" relativeHeight="39">
                <wp:simplePos x="0" y="0"/>
                <wp:positionH relativeFrom="column">
                  <wp:posOffset>3560445</wp:posOffset>
                </wp:positionH>
                <wp:positionV relativeFrom="paragraph">
                  <wp:posOffset>130810</wp:posOffset>
                </wp:positionV>
                <wp:extent cx="1828800" cy="2014855"/>
                <wp:effectExtent l="5715" t="0" r="0" b="5080"/>
                <wp:wrapNone/>
                <wp:docPr id="20" name=""/>
                <a:graphic xmlns:a="http://schemas.openxmlformats.org/drawingml/2006/main">
                  <a:graphicData uri="http://schemas.microsoft.com/office/word/2010/wordprocessingGroup">
                    <wpg:wgp>
                      <wpg:cNvGrpSpPr/>
                      <wpg:grpSpPr>
                        <a:xfrm>
                          <a:off x="0" y="0"/>
                          <a:ext cx="1828800" cy="2014920"/>
                          <a:chOff x="0" y="0"/>
                          <a:chExt cx="1828800" cy="2014920"/>
                        </a:xfrm>
                      </wpg:grpSpPr>
                      <wps:wsp>
                        <wps:cNvSpPr/>
                        <wps:spPr>
                          <a:xfrm flipH="1">
                            <a:off x="457200" y="114480"/>
                            <a:ext cx="45720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a:off x="228600" y="343080"/>
                            <a:ext cx="685800" cy="0"/>
                          </a:xfrm>
                          <a:prstGeom prst="line">
                            <a:avLst/>
                          </a:prstGeom>
                          <a:ln w="9360">
                            <a:solidFill>
                              <a:srgbClr val="000000"/>
                            </a:solidFill>
                            <a:miter/>
                            <a:tailEnd len="lg" type="triangle" w="sm"/>
                          </a:ln>
                        </wps:spPr>
                        <wps:style>
                          <a:lnRef idx="0"/>
                          <a:fillRef idx="0"/>
                          <a:effectRef idx="0"/>
                          <a:fontRef idx="minor"/>
                        </wps:style>
                        <wps:bodyPr/>
                      </wps:wsp>
                      <wps:wsp>
                        <wps:cNvSpPr txBox="1"/>
                        <wps:spPr>
                          <a:xfrm>
                            <a:off x="914400" y="0"/>
                            <a:ext cx="457200" cy="22860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GB" w:eastAsia="zh-CN" w:bidi="ar-SA"/>
                                </w:rPr>
                                <w:t xml:space="preserve">Rack </w:t>
                              </w:r>
                            </w:p>
                          </w:txbxContent>
                        </wps:txbx>
                        <wps:bodyPr wrap="square" anchor="t">
                          <a:noAutofit/>
                        </wps:bodyPr>
                      </wps:wsp>
                      <wps:wsp>
                        <wps:cNvSpPr txBox="1"/>
                        <wps:spPr>
                          <a:xfrm>
                            <a:off x="914400" y="228600"/>
                            <a:ext cx="457200" cy="22860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GB" w:eastAsia="zh-CN" w:bidi="ar-SA"/>
                                </w:rPr>
                                <w:t xml:space="preserve">Shelf </w:t>
                              </w:r>
                            </w:p>
                          </w:txbxContent>
                        </wps:txbx>
                        <wps:bodyPr wrap="square" anchor="t">
                          <a:noAutofit/>
                        </wps:bodyPr>
                      </wps:wsp>
                      <wps:wsp>
                        <wps:cNvSpPr/>
                        <wps:spPr>
                          <a:xfrm flipH="1">
                            <a:off x="114480" y="1257480"/>
                            <a:ext cx="685800" cy="0"/>
                          </a:xfrm>
                          <a:prstGeom prst="line">
                            <a:avLst/>
                          </a:prstGeom>
                          <a:ln w="9360">
                            <a:solidFill>
                              <a:srgbClr val="000000"/>
                            </a:solidFill>
                            <a:miter/>
                            <a:tailEnd len="lg" type="triangle" w="sm"/>
                          </a:ln>
                        </wps:spPr>
                        <wps:style>
                          <a:lnRef idx="0"/>
                          <a:fillRef idx="0"/>
                          <a:effectRef idx="0"/>
                          <a:fontRef idx="minor"/>
                        </wps:style>
                        <wps:bodyPr/>
                      </wps:wsp>
                      <wps:wsp>
                        <wps:cNvSpPr txBox="1"/>
                        <wps:spPr>
                          <a:xfrm>
                            <a:off x="914400" y="1143000"/>
                            <a:ext cx="457200" cy="22860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GB" w:eastAsia="zh-CN" w:bidi="ar-SA"/>
                                </w:rPr>
                                <w:t xml:space="preserve">Slot   </w:t>
                              </w:r>
                            </w:p>
                          </w:txbxContent>
                        </wps:txbx>
                        <wps:bodyPr wrap="square" anchor="t">
                          <a:noAutofit/>
                        </wps:bodyPr>
                      </wps:wsp>
                      <wps:wsp>
                        <wps:cNvSpPr/>
                        <wps:spPr>
                          <a:xfrm flipH="1">
                            <a:off x="0" y="1486080"/>
                            <a:ext cx="800280" cy="0"/>
                          </a:xfrm>
                          <a:prstGeom prst="line">
                            <a:avLst/>
                          </a:prstGeom>
                          <a:ln w="9360">
                            <a:solidFill>
                              <a:srgbClr val="000000"/>
                            </a:solidFill>
                            <a:miter/>
                            <a:tailEnd len="lg" type="triangle" w="sm"/>
                          </a:ln>
                        </wps:spPr>
                        <wps:style>
                          <a:lnRef idx="0"/>
                          <a:fillRef idx="0"/>
                          <a:effectRef idx="0"/>
                          <a:fontRef idx="minor"/>
                        </wps:style>
                        <wps:bodyPr/>
                      </wps:wsp>
                      <wps:wsp>
                        <wps:cNvSpPr txBox="1"/>
                        <wps:spPr>
                          <a:xfrm>
                            <a:off x="914400" y="1371600"/>
                            <a:ext cx="800280" cy="228600"/>
                          </a:xfrm>
                          <a:prstGeom prst="rect">
                            <a:avLst/>
                          </a:prstGeom>
                          <a:noFill/>
                          <a:ln w="0">
                            <a:noFill/>
                          </a:ln>
                        </wps:spPr>
                        <wps:txbx>
                          <w:txbxContent>
                            <w:p>
                              <w:pPr>
                                <w:overflowPunct w:val="false"/>
                                <w:bidi w:val="0"/>
                                <w:spacing w:before="0" w:after="180"/>
                                <w:rPr/>
                              </w:pPr>
                              <w:r>
                                <w:rPr>
                                  <w:kern w:val="2"/>
                                  <w:sz w:val="18"/>
                                  <w:szCs w:val="20"/>
                                  <w:rFonts w:ascii="Times New Roman" w:hAnsi="Times New Roman" w:eastAsia="Times New Roman" w:cs="Times New Roman"/>
                                  <w:color w:val="auto"/>
                                  <w:lang w:val="en-GB" w:eastAsia="zh-CN" w:bidi="ar-SA"/>
                                </w:rPr>
                                <w:t xml:space="preserve">Circuit pack </w:t>
                              </w:r>
                            </w:p>
                          </w:txbxContent>
                        </wps:txbx>
                        <wps:bodyPr wrap="square" anchor="t">
                          <a:noAutofit/>
                        </wps:bodyPr>
                      </wps:wsp>
                      <wps:wsp>
                        <wps:cNvSpPr/>
                        <wps:spPr>
                          <a:xfrm>
                            <a:off x="0" y="1828800"/>
                            <a:ext cx="71640" cy="71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1943280"/>
                            <a:ext cx="71640" cy="71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a:off x="0" y="1828800"/>
                            <a:ext cx="800280" cy="0"/>
                          </a:xfrm>
                          <a:prstGeom prst="line">
                            <a:avLst/>
                          </a:prstGeom>
                          <a:ln w="9360">
                            <a:solidFill>
                              <a:srgbClr val="000000"/>
                            </a:solidFill>
                            <a:miter/>
                            <a:tailEnd len="lg" type="triangle" w="sm"/>
                          </a:ln>
                        </wps:spPr>
                        <wps:style>
                          <a:lnRef idx="0"/>
                          <a:fillRef idx="0"/>
                          <a:effectRef idx="0"/>
                          <a:fontRef idx="minor"/>
                        </wps:style>
                        <wps:bodyPr/>
                      </wps:wsp>
                      <wps:wsp>
                        <wps:cNvSpPr txBox="1"/>
                        <wps:spPr>
                          <a:xfrm>
                            <a:off x="914400" y="1714680"/>
                            <a:ext cx="914400" cy="22860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Times New Roman" w:cs="Times New Roman"/>
                                  <w:color w:val="auto"/>
                                  <w:lang w:val="en-GB" w:eastAsia="zh-CN" w:bidi="ar-SA"/>
                                </w:rPr>
                                <w:t xml:space="preserve">Physical port   </w:t>
                              </w:r>
                            </w:p>
                          </w:txbxContent>
                        </wps:txbx>
                        <wps:bodyPr wrap="square" anchor="t">
                          <a:noAutofit/>
                        </wps:bodyPr>
                      </wps:wsp>
                    </wpg:wgp>
                  </a:graphicData>
                </a:graphic>
              </wp:anchor>
            </w:drawing>
          </mc:Choice>
          <mc:Fallback>
            <w:pict>
              <v:group id="shape_0" style="position:absolute;margin-left:280.35pt;margin-top:10.3pt;width:144pt;height:158.65pt" coordorigin="5607,206" coordsize="2880,3173">
                <v:line id="shape_0" from="6327,386" to="7046,386" stroked="t" o:allowincell="f" style="position:absolute;flip:x">
                  <v:stroke color="black" weight="9360" endarrow="block" endarrowwidth="narrow" endarrowlength="long" joinstyle="miter" endcap="flat"/>
                  <v:fill o:detectmouseclick="t" on="false"/>
                  <w10:wrap type="none"/>
                </v:line>
                <v:line id="shape_0" from="5967,746" to="7046,746" stroked="t" o:allowincell="f" style="position:absolute;flip:x">
                  <v:stroke color="black" weight="9360" endarrow="block" endarrowwidth="narrow" endarrowlength="long" joinstyle="miter" endcap="flat"/>
                  <v:fill o:detectmouseclick="t" on="false"/>
                  <w10:wrap type="none"/>
                </v:line>
                <v:shapetype id="_x0000_t202" coordsize="21600,21600" o:spt="202" path="m,l,21600l21600,21600l21600,xe">
                  <v:stroke joinstyle="miter"/>
                  <v:path gradientshapeok="t" o:connecttype="rect"/>
                </v:shapetype>
                <v:shape id="shape_0" stroked="f" o:allowincell="f" style="position:absolute;left:7047;top:206;width:719;height:359;mso-wrap-style:square;v-text-anchor:top"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GB" w:eastAsia="zh-CN" w:bidi="ar-SA"/>
                          </w:rPr>
                          <w:t xml:space="preserve">Rack </w:t>
                        </w:r>
                      </w:p>
                    </w:txbxContent>
                  </v:textbox>
                  <v:fill o:detectmouseclick="t" on="false"/>
                  <v:stroke color="#3465a4" joinstyle="round" endcap="flat"/>
                  <w10:wrap type="none"/>
                </v:shape>
                <v:shape id="shape_0" stroked="f" o:allowincell="f" style="position:absolute;left:7047;top:566;width:719;height:359;mso-wrap-style:square;v-text-anchor:top"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GB" w:eastAsia="zh-CN" w:bidi="ar-SA"/>
                          </w:rPr>
                          <w:t xml:space="preserve">Shelf </w:t>
                        </w:r>
                      </w:p>
                    </w:txbxContent>
                  </v:textbox>
                  <v:fill o:detectmouseclick="t" on="false"/>
                  <v:stroke color="#3465a4" joinstyle="round" endcap="flat"/>
                  <w10:wrap type="none"/>
                </v:shape>
                <v:line id="shape_0" from="5787,2186" to="6866,2186" stroked="t" o:allowincell="f" style="position:absolute;flip:x">
                  <v:stroke color="black" weight="9360" endarrow="block" endarrowwidth="narrow" endarrowlength="long" joinstyle="miter" endcap="flat"/>
                  <v:fill o:detectmouseclick="t" on="false"/>
                  <w10:wrap type="none"/>
                </v:line>
                <v:shape id="shape_0" stroked="f" o:allowincell="f" style="position:absolute;left:7047;top:2006;width:719;height:359;mso-wrap-style:square;v-text-anchor:top"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GB" w:eastAsia="zh-CN" w:bidi="ar-SA"/>
                          </w:rPr>
                          <w:t xml:space="preserve">Slot   </w:t>
                        </w:r>
                      </w:p>
                    </w:txbxContent>
                  </v:textbox>
                  <v:fill o:detectmouseclick="t" on="false"/>
                  <v:stroke color="#3465a4" joinstyle="round" endcap="flat"/>
                  <w10:wrap type="none"/>
                </v:shape>
                <v:line id="shape_0" from="5607,2546" to="6866,2546" stroked="t" o:allowincell="f" style="position:absolute;flip:x">
                  <v:stroke color="black" weight="9360" endarrow="block" endarrowwidth="narrow" endarrowlength="long" joinstyle="miter" endcap="flat"/>
                  <v:fill o:detectmouseclick="t" on="false"/>
                  <w10:wrap type="none"/>
                </v:line>
                <v:shape id="shape_0" stroked="f" o:allowincell="f" style="position:absolute;left:7047;top:2366;width:1259;height:359;mso-wrap-style:square;v-text-anchor:top" type="_x0000_t202">
                  <v:textbox>
                    <w:txbxContent>
                      <w:p>
                        <w:pPr>
                          <w:overflowPunct w:val="false"/>
                          <w:bidi w:val="0"/>
                          <w:spacing w:before="0" w:after="180"/>
                          <w:rPr/>
                        </w:pPr>
                        <w:r>
                          <w:rPr>
                            <w:kern w:val="2"/>
                            <w:sz w:val="18"/>
                            <w:szCs w:val="20"/>
                            <w:rFonts w:ascii="Times New Roman" w:hAnsi="Times New Roman" w:eastAsia="Times New Roman" w:cs="Times New Roman"/>
                            <w:color w:val="auto"/>
                            <w:lang w:val="en-GB" w:eastAsia="zh-CN" w:bidi="ar-SA"/>
                          </w:rPr>
                          <w:t xml:space="preserve">Circuit pack </w:t>
                        </w:r>
                      </w:p>
                    </w:txbxContent>
                  </v:textbox>
                  <v:fill o:detectmouseclick="t" on="false"/>
                  <v:stroke color="#3465a4" joinstyle="round" endcap="flat"/>
                  <w10:wrap type="none"/>
                </v:shape>
                <v:oval id="shape_0" fillcolor="white" stroked="t" o:allowincell="f" style="position:absolute;left:5607;top:3086;width:112;height:112;mso-wrap-style:none;v-text-anchor:middle">
                  <v:fill o:detectmouseclick="t" type="solid" color2="black"/>
                  <v:stroke color="black" weight="9360" joinstyle="miter" endcap="flat"/>
                  <w10:wrap type="none"/>
                </v:oval>
                <v:oval id="shape_0" fillcolor="white" stroked="t" o:allowincell="f" style="position:absolute;left:5607;top:3266;width:112;height:112;mso-wrap-style:none;v-text-anchor:middle">
                  <v:fill o:detectmouseclick="t" type="solid" color2="black"/>
                  <v:stroke color="black" weight="9360" joinstyle="miter" endcap="flat"/>
                  <w10:wrap type="none"/>
                </v:oval>
                <v:line id="shape_0" from="5607,3086" to="6866,3086" stroked="t" o:allowincell="f" style="position:absolute;flip:x">
                  <v:stroke color="black" weight="9360" endarrow="block" endarrowwidth="narrow" endarrowlength="long" joinstyle="miter" endcap="flat"/>
                  <v:fill o:detectmouseclick="t" on="false"/>
                  <w10:wrap type="none"/>
                </v:line>
                <v:shape id="shape_0" stroked="f" o:allowincell="f" style="position:absolute;left:7047;top:2906;width:1439;height:359;mso-wrap-style:square;v-text-anchor:top" type="_x0000_t202">
                  <v:textbox>
                    <w:txbxContent>
                      <w:p>
                        <w:pPr>
                          <w:overflowPunct w:val="false"/>
                          <w:bidi w:val="0"/>
                          <w:spacing w:before="0" w:after="180"/>
                          <w:rPr/>
                        </w:pPr>
                        <w:r>
                          <w:rPr>
                            <w:kern w:val="2"/>
                            <w:sz w:val="20"/>
                            <w:szCs w:val="20"/>
                            <w:rFonts w:ascii="Times New Roman" w:hAnsi="Times New Roman" w:eastAsia="Times New Roman" w:cs="Times New Roman"/>
                            <w:color w:val="auto"/>
                            <w:lang w:val="en-GB" w:eastAsia="zh-CN" w:bidi="ar-SA"/>
                          </w:rPr>
                          <w:t xml:space="preserve">Physical port   </w:t>
                        </w:r>
                      </w:p>
                    </w:txbxContent>
                  </v:textbox>
                  <v:fill o:detectmouseclick="t" on="false"/>
                  <v:stroke color="#3465a4" joinstyle="round" endcap="flat"/>
                  <w10:wrap type="none"/>
                </v:shape>
              </v:group>
            </w:pict>
          </mc:Fallback>
        </mc:AlternateContent>
      </w:r>
      <w:r>
        <w:rPr/>
        <w:object w:dxaOrig="1656" w:dyaOrig="480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71.8pt;height:239.75pt" filled="f" o:ole="">
            <v:imagedata r:id="rId11" o:title=""/>
          </v:shape>
          <o:OLEObject Type="Embed" ProgID="" ShapeID="ole_rId10" DrawAspect="Content" ObjectID="_987525648" r:id="rId10"/>
        </w:object>
      </w:r>
      <w:r>
        <w:rPr/>
        <w:object w:dxaOrig="1656" w:dyaOrig="480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44.3pt;height:240pt" filled="f" o:ole="">
            <v:imagedata r:id="rId13" o:title=""/>
          </v:shape>
          <o:OLEObject Type="Embed" ProgID="" ShapeID="ole_rId12" DrawAspect="Content" ObjectID="_850808790" r:id="rId12"/>
        </w:object>
      </w:r>
      <w:r>
        <w:rPr>
          <w:rFonts w:eastAsia="Arial"/>
          <w:lang w:eastAsia="zh-CN"/>
        </w:rPr>
        <w:t xml:space="preserve"> </w:t>
      </w:r>
    </w:p>
    <w:p>
      <w:pPr>
        <w:pStyle w:val="TF"/>
        <w:rPr>
          <w:lang w:eastAsia="zh-CN"/>
        </w:rPr>
      </w:pPr>
      <w:r>
        <w:rPr>
          <w:lang w:eastAsia="zh-CN"/>
        </w:rPr>
      </w:r>
    </w:p>
    <w:p>
      <w:pPr>
        <w:pStyle w:val="TF"/>
        <w:rPr/>
      </w:pPr>
      <w:r>
        <w:rPr>
          <w:lang w:eastAsia="zh-CN"/>
        </w:rPr>
        <w:t>Figure B.1: Examples</w:t>
      </w:r>
      <w:r>
        <w:rPr/>
        <w:t xml:space="preserve"> of inventory data</w:t>
      </w:r>
      <w:r>
        <w:rPr>
          <w:lang w:eastAsia="zh-CN"/>
        </w:rPr>
        <w:t xml:space="preserve"> that represents hardware unit(s)</w:t>
      </w:r>
    </w:p>
    <w:p>
      <w:pPr>
        <w:pStyle w:val="NO"/>
        <w:rPr/>
      </w:pPr>
      <w:r>
        <w:rPr>
          <w:lang w:eastAsia="zh-CN"/>
        </w:rPr>
        <w:t>NOTE:</w:t>
        <w:tab/>
      </w:r>
      <w:r>
        <w:rPr>
          <w:lang w:eastAsia="zh-CN"/>
        </w:rPr>
        <w:t>Whether hardware is</w:t>
      </w:r>
      <w:r>
        <w:rPr>
          <w:lang w:eastAsia="zh-CN"/>
        </w:rPr>
        <w:t xml:space="preserve"> modelled as an</w:t>
      </w:r>
      <w:r>
        <w:rPr>
          <w:lang w:eastAsia="zh-CN"/>
        </w:rPr>
        <w:t xml:space="preserve"> inventory unit or not is dependent on such hardware being field </w:t>
      </w:r>
      <w:r>
        <w:rPr>
          <w:lang w:eastAsia="zh-CN"/>
        </w:rPr>
        <w:t>replaceable (</w:t>
      </w:r>
      <w:r>
        <w:rPr>
          <w:lang w:eastAsia="zh-CN"/>
        </w:rPr>
        <w:t xml:space="preserve">FRU). For example, physical port and slots are hardware units that should be defined as Inventory Units if they are FRUs. If they are not FRUs, then these should be captured as attributes of inventory unit that is field replaceable. </w:t>
      </w:r>
      <w:r>
        <w:br w:type="page"/>
      </w:r>
    </w:p>
    <w:p>
      <w:pPr>
        <w:pStyle w:val="Heading8"/>
        <w:ind w:left="0" w:hanging="0"/>
        <w:rPr/>
      </w:pPr>
      <w:bookmarkStart w:id="20" w:name="__RefHeading___Toc116875072"/>
      <w:bookmarkEnd w:id="20"/>
      <w:r>
        <w:rPr/>
        <w:t>Annex C (informative):</w:t>
        <w:br/>
        <w:t>Change history</w:t>
      </w:r>
    </w:p>
    <w:tbl>
      <w:tblPr>
        <w:tblW w:w="5000" w:type="pct"/>
        <w:jc w:val="left"/>
        <w:tblInd w:w="-47" w:type="dxa"/>
        <w:tblLayout w:type="fixed"/>
        <w:tblCellMar>
          <w:top w:w="0" w:type="dxa"/>
          <w:left w:w="40" w:type="dxa"/>
          <w:bottom w:w="0" w:type="dxa"/>
          <w:right w:w="40" w:type="dxa"/>
        </w:tblCellMar>
      </w:tblPr>
      <w:tblGrid>
        <w:gridCol w:w="739"/>
        <w:gridCol w:w="557"/>
        <w:gridCol w:w="847"/>
        <w:gridCol w:w="433"/>
        <w:gridCol w:w="371"/>
        <w:gridCol w:w="5260"/>
        <w:gridCol w:w="389"/>
        <w:gridCol w:w="521"/>
        <w:gridCol w:w="523"/>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3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5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84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3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2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38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2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2004</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SA_26</w:t>
            </w:r>
          </w:p>
        </w:tc>
        <w:tc>
          <w:tcPr>
            <w:tcW w:w="84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SP-040815</w:t>
            </w:r>
          </w:p>
        </w:tc>
        <w:tc>
          <w:tcPr>
            <w:tcW w:w="43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Submitted to SA#26 for Approval</w:t>
            </w:r>
          </w:p>
          <w:p>
            <w:pPr>
              <w:pStyle w:val="TAL"/>
              <w:rPr>
                <w:sz w:val="16"/>
                <w:szCs w:val="16"/>
              </w:rPr>
            </w:pPr>
            <w:r>
              <w:rPr>
                <w:sz w:val="16"/>
                <w:szCs w:val="16"/>
              </w:rPr>
              <w:t>Note: The content was submitted to SA#21 as 32.681-100 for Information. This new TS does not have the IRP part.</w:t>
            </w:r>
          </w:p>
        </w:tc>
        <w:tc>
          <w:tcPr>
            <w:tcW w:w="3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52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r>
      <w:tr>
        <w:trPr/>
        <w:tc>
          <w:tcPr>
            <w:tcW w:w="73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2005</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SA_29</w:t>
            </w:r>
          </w:p>
        </w:tc>
        <w:tc>
          <w:tcPr>
            <w:tcW w:w="84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SP-050461</w:t>
            </w:r>
          </w:p>
        </w:tc>
        <w:tc>
          <w:tcPr>
            <w:tcW w:w="43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0001</w:t>
            </w:r>
          </w:p>
        </w:tc>
        <w:tc>
          <w:tcPr>
            <w:tcW w:w="37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60"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Clarify the inventory data description</w:t>
            </w:r>
          </w:p>
        </w:tc>
        <w:tc>
          <w:tcPr>
            <w:tcW w:w="38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6.0.0</w:t>
            </w:r>
          </w:p>
        </w:tc>
        <w:tc>
          <w:tcPr>
            <w:tcW w:w="52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6.1.0</w:t>
            </w:r>
          </w:p>
        </w:tc>
      </w:tr>
      <w:tr>
        <w:trPr/>
        <w:tc>
          <w:tcPr>
            <w:tcW w:w="73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Jun 2007</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rPr>
            </w:pPr>
            <w:r>
              <w:rPr>
                <w:rFonts w:cs="Arial"/>
                <w:sz w:val="16"/>
              </w:rPr>
              <w:t>SA_36</w:t>
            </w:r>
          </w:p>
        </w:tc>
        <w:tc>
          <w:tcPr>
            <w:tcW w:w="84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43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5260" w:type="dxa"/>
            <w:tcBorders>
              <w:top w:val="single" w:sz="6" w:space="0" w:color="000000"/>
              <w:left w:val="single" w:sz="6" w:space="0" w:color="000000"/>
              <w:bottom w:val="single" w:sz="6" w:space="0" w:color="000000"/>
              <w:right w:val="single" w:sz="6" w:space="0" w:color="000000"/>
            </w:tcBorders>
          </w:tcPr>
          <w:p>
            <w:pPr>
              <w:pStyle w:val="TAL"/>
              <w:rPr>
                <w:sz w:val="16"/>
              </w:rPr>
            </w:pPr>
            <w:r>
              <w:rPr>
                <w:rFonts w:eastAsia="MS Mincho;ＭＳ 明朝" w:cs="Arial"/>
                <w:color w:val="000000"/>
                <w:sz w:val="16"/>
                <w:szCs w:val="16"/>
                <w:lang w:eastAsia="zh-CN"/>
              </w:rPr>
              <w:t xml:space="preserve">Automatic upgrade to Rel-7 (no CR) at freeze of Rel-7. Deleted reference to CMIP SS, discontinued from R7 onwards. </w:t>
            </w:r>
          </w:p>
        </w:tc>
        <w:tc>
          <w:tcPr>
            <w:tcW w:w="38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6.1.0</w:t>
            </w:r>
          </w:p>
        </w:tc>
        <w:tc>
          <w:tcPr>
            <w:tcW w:w="52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cs="Arial"/>
                <w:sz w:val="16"/>
              </w:rPr>
              <w:t>7.0.0</w:t>
            </w:r>
          </w:p>
        </w:tc>
      </w:tr>
      <w:tr>
        <w:trPr/>
        <w:tc>
          <w:tcPr>
            <w:tcW w:w="73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2008</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SA_42</w:t>
            </w:r>
          </w:p>
        </w:tc>
        <w:tc>
          <w:tcPr>
            <w:tcW w:w="847"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3"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60"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38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7.0.0</w:t>
            </w:r>
          </w:p>
        </w:tc>
        <w:tc>
          <w:tcPr>
            <w:tcW w:w="52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8.0.0</w:t>
            </w:r>
          </w:p>
        </w:tc>
      </w:tr>
      <w:tr>
        <w:trPr/>
        <w:tc>
          <w:tcPr>
            <w:tcW w:w="73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2009</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84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43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26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Update to Rel-9 version</w:t>
            </w:r>
          </w:p>
        </w:tc>
        <w:tc>
          <w:tcPr>
            <w:tcW w:w="38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8.0.0</w:t>
            </w:r>
          </w:p>
        </w:tc>
        <w:tc>
          <w:tcPr>
            <w:tcW w:w="52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9.0.0</w:t>
            </w:r>
          </w:p>
        </w:tc>
      </w:tr>
      <w:tr>
        <w:trPr/>
        <w:tc>
          <w:tcPr>
            <w:tcW w:w="73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2011-03</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84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43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26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Update to Rel-10 version (MCC)</w:t>
            </w:r>
          </w:p>
        </w:tc>
        <w:tc>
          <w:tcPr>
            <w:tcW w:w="389" w:type="dxa"/>
            <w:tcBorders>
              <w:top w:val="single" w:sz="6" w:space="0" w:color="000000"/>
              <w:left w:val="single" w:sz="6" w:space="0" w:color="000000"/>
              <w:bottom w:val="single" w:sz="6"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9.0.0</w:t>
            </w:r>
          </w:p>
        </w:tc>
        <w:tc>
          <w:tcPr>
            <w:tcW w:w="52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10.0.0</w:t>
            </w:r>
          </w:p>
        </w:tc>
      </w:tr>
      <w:tr>
        <w:trPr/>
        <w:tc>
          <w:tcPr>
            <w:tcW w:w="739"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2012-09</w:t>
            </w:r>
          </w:p>
        </w:tc>
        <w:tc>
          <w:tcPr>
            <w:tcW w:w="557"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SA_57</w:t>
            </w:r>
          </w:p>
        </w:tc>
        <w:tc>
          <w:tcPr>
            <w:tcW w:w="847"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SP-120572</w:t>
            </w:r>
          </w:p>
        </w:tc>
        <w:tc>
          <w:tcPr>
            <w:tcW w:w="433"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0002</w:t>
            </w:r>
          </w:p>
        </w:tc>
        <w:tc>
          <w:tcPr>
            <w:tcW w:w="371"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w:t>
            </w:r>
          </w:p>
        </w:tc>
        <w:tc>
          <w:tcPr>
            <w:tcW w:w="5260"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Add missing requirements to Inventory Management</w:t>
            </w:r>
          </w:p>
        </w:tc>
        <w:tc>
          <w:tcPr>
            <w:tcW w:w="389"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21"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10.0.0</w:t>
            </w:r>
          </w:p>
        </w:tc>
        <w:tc>
          <w:tcPr>
            <w:tcW w:w="523"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11.0.0</w:t>
            </w:r>
          </w:p>
        </w:tc>
      </w:tr>
      <w:tr>
        <w:trPr/>
        <w:tc>
          <w:tcPr>
            <w:tcW w:w="739"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2014-10</w:t>
            </w:r>
          </w:p>
        </w:tc>
        <w:tc>
          <w:tcPr>
            <w:tcW w:w="557"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847"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433"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60"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 Update to Rel-12 version (MCC)</w:t>
            </w:r>
          </w:p>
        </w:tc>
        <w:tc>
          <w:tcPr>
            <w:tcW w:w="389"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1"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11.0.0</w:t>
            </w:r>
          </w:p>
        </w:tc>
        <w:tc>
          <w:tcPr>
            <w:tcW w:w="523"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
                <w:b/>
                <w:sz w:val="16"/>
                <w:szCs w:val="16"/>
                <w:lang w:eastAsia="zh-TW" w:bidi="en-US"/>
              </w:rPr>
            </w:pPr>
            <w:r>
              <w:rPr>
                <w:rFonts w:eastAsia="MS Mincho;ＭＳ 明朝"/>
                <w:b/>
                <w:sz w:val="16"/>
                <w:szCs w:val="16"/>
                <w:lang w:eastAsia="zh-TW" w:bidi="en-US"/>
              </w:rPr>
              <w:t>12.0.0</w:t>
            </w:r>
          </w:p>
        </w:tc>
      </w:tr>
      <w:tr>
        <w:trPr/>
        <w:tc>
          <w:tcPr>
            <w:tcW w:w="739"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2016-01</w:t>
            </w:r>
          </w:p>
        </w:tc>
        <w:tc>
          <w:tcPr>
            <w:tcW w:w="557"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847"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433"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60"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Update to Rel-13 version (MCC)</w:t>
            </w:r>
          </w:p>
        </w:tc>
        <w:tc>
          <w:tcPr>
            <w:tcW w:w="389"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1"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12.0.0</w:t>
            </w:r>
          </w:p>
        </w:tc>
        <w:tc>
          <w:tcPr>
            <w:tcW w:w="523"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
                <w:b/>
                <w:sz w:val="16"/>
                <w:szCs w:val="16"/>
                <w:lang w:eastAsia="zh-TW" w:bidi="en-US"/>
              </w:rPr>
            </w:pPr>
            <w:r>
              <w:rPr>
                <w:rFonts w:eastAsia="MS Mincho;ＭＳ 明朝"/>
                <w:b/>
                <w:sz w:val="16"/>
                <w:szCs w:val="16"/>
                <w:lang w:eastAsia="zh-TW" w:bidi="en-US"/>
              </w:rPr>
              <w:t>13.0.0</w:t>
            </w:r>
          </w:p>
        </w:tc>
      </w:tr>
      <w:tr>
        <w:trPr/>
        <w:tc>
          <w:tcPr>
            <w:tcW w:w="739"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2017-04</w:t>
            </w:r>
          </w:p>
        </w:tc>
        <w:tc>
          <w:tcPr>
            <w:tcW w:w="557"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SA#75</w:t>
            </w:r>
          </w:p>
        </w:tc>
        <w:tc>
          <w:tcPr>
            <w:tcW w:w="847"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433"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371"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60"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sz w:val="16"/>
                <w:szCs w:val="16"/>
              </w:rPr>
              <w:t>Promotion to Release 14 without technical change</w:t>
            </w:r>
          </w:p>
        </w:tc>
        <w:tc>
          <w:tcPr>
            <w:tcW w:w="389"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1"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13.0.0</w:t>
            </w:r>
          </w:p>
        </w:tc>
        <w:tc>
          <w:tcPr>
            <w:tcW w:w="523"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
                <w:b/>
                <w:sz w:val="16"/>
                <w:szCs w:val="16"/>
                <w:lang w:eastAsia="zh-TW" w:bidi="en-US"/>
              </w:rPr>
            </w:pPr>
            <w:r>
              <w:rPr>
                <w:rFonts w:eastAsia="MS Mincho;ＭＳ 明朝"/>
                <w:b/>
                <w:sz w:val="16"/>
                <w:szCs w:val="16"/>
                <w:lang w:eastAsia="zh-TW" w:bidi="en-US"/>
              </w:rPr>
              <w:t>14.0.0</w:t>
            </w:r>
          </w:p>
        </w:tc>
      </w:tr>
    </w:tbl>
    <w:p>
      <w:pPr>
        <w:pStyle w:val="CommentText"/>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SP-190752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Correction of NR definition to avoid misalignment with RAN2 in 32.690</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bidi w:val="0"/>
        <w:spacing w:before="0" w:after="180"/>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Arial Unicode MS">
    <w:altName w:val="Yu Gothic"/>
    <w:charset w:val="80"/>
    <w:family w:val="swiss"/>
    <w:pitch w:val="variable"/>
  </w:font>
  <w:font w:name="Helvetica">
    <w:altName w:val="Arial"/>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32.690 V15.1.0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32.690 V15.1.0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0">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32.690 V15.1.0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613.6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32.690 V15.1.0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center</wp:align>
              </wp:positionH>
              <wp:positionV relativeFrom="paragraph">
                <wp:posOffset>635</wp:posOffset>
              </wp:positionV>
              <wp:extent cx="1276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73.4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4">
              <wp:simplePos x="0" y="0"/>
              <wp:positionH relativeFrom="margin">
                <wp:align>right</wp:align>
              </wp:positionH>
              <wp:positionV relativeFrom="paragraph">
                <wp:posOffset>635</wp:posOffset>
              </wp:positionV>
              <wp:extent cx="1818640" cy="131445"/>
              <wp:effectExtent l="0" t="0" r="0" b="0"/>
              <wp:wrapSquare wrapText="largest"/>
              <wp:docPr id="21"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32.690 V15.1.0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32.690 V15.1.0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margin">
                <wp:align>center</wp:align>
              </wp:positionH>
              <wp:positionV relativeFrom="paragraph">
                <wp:posOffset>635</wp:posOffset>
              </wp:positionV>
              <wp:extent cx="127635" cy="131445"/>
              <wp:effectExtent l="0" t="0" r="0" b="0"/>
              <wp:wrapSquare wrapText="largest"/>
              <wp:docPr id="22"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635</wp:posOffset>
              </wp:positionV>
              <wp:extent cx="591820" cy="131445"/>
              <wp:effectExtent l="0" t="0" r="0" b="0"/>
              <wp:wrapSquare wrapText="largest"/>
              <wp:docPr id="23"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3"/>
      <w:numFmt w:val="decimal"/>
      <w:lvlText w:val="%1."/>
      <w:lvlJc w:val="left"/>
      <w:pPr>
        <w:tabs>
          <w:tab w:val="num" w:pos="432"/>
        </w:tabs>
        <w:ind w:left="432" w:hanging="432"/>
      </w:pPr>
    </w:lvl>
    <w:lvl w:ilvl="1">
      <w:start w:val="1"/>
      <w:numFmt w:val="none"/>
      <w:suff w:val="nothing"/>
      <w:lvlText w:val="1.1"/>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584"/>
        </w:tabs>
        <w:ind w:left="1584" w:hanging="1584"/>
      </w:pPr>
    </w:lvl>
  </w:abstractNum>
  <w:abstractNum w:abstractNumId="7">
    <w:lvl w:ilvl="0">
      <w:start w:val="1"/>
      <w:numFmt w:val="decimal"/>
      <w:lvlText w:val="%1."/>
      <w:lvlJc w:val="left"/>
      <w:pPr>
        <w:tabs>
          <w:tab w:val="num" w:pos="2061"/>
        </w:tabs>
        <w:ind w:left="2041" w:hanging="340"/>
      </w:pPr>
    </w:lvl>
    <w:lvl w:ilvl="1">
      <w:start w:val="1"/>
      <w:numFmt w:val="decimal"/>
      <w:lvlText w:val="%1.%2."/>
      <w:lvlJc w:val="left"/>
      <w:pPr>
        <w:tabs>
          <w:tab w:val="num" w:pos="2778"/>
        </w:tabs>
        <w:ind w:left="2552" w:hanging="494"/>
      </w:pPr>
    </w:lvl>
    <w:lvl w:ilvl="2">
      <w:start w:val="1"/>
      <w:numFmt w:val="decimal"/>
      <w:lvlText w:val="%1.%2.%3."/>
      <w:lvlJc w:val="left"/>
      <w:pPr>
        <w:tabs>
          <w:tab w:val="num" w:pos="3501"/>
        </w:tabs>
        <w:ind w:left="3175" w:hanging="754"/>
      </w:pPr>
    </w:lvl>
    <w:lvl w:ilvl="3">
      <w:start w:val="1"/>
      <w:numFmt w:val="decimal"/>
      <w:lvlText w:val="%1.%2.%3.%4."/>
      <w:lvlJc w:val="left"/>
      <w:pPr>
        <w:tabs>
          <w:tab w:val="num" w:pos="3858"/>
        </w:tabs>
        <w:ind w:left="3629" w:hanging="851"/>
      </w:pPr>
    </w:lvl>
    <w:lvl w:ilvl="4">
      <w:start w:val="1"/>
      <w:numFmt w:val="decimal"/>
      <w:lvlText w:val="%1.%2.%3.%4.%5."/>
      <w:lvlJc w:val="left"/>
      <w:pPr>
        <w:tabs>
          <w:tab w:val="num" w:pos="4581"/>
        </w:tabs>
        <w:ind w:left="4196" w:hanging="1055"/>
      </w:pPr>
    </w:lvl>
    <w:lvl w:ilvl="5">
      <w:start w:val="1"/>
      <w:numFmt w:val="decimal"/>
      <w:lvlText w:val="%1.%2.%3.%4.%5.%6."/>
      <w:lvlJc w:val="left"/>
      <w:pPr>
        <w:tabs>
          <w:tab w:val="num" w:pos="6804"/>
        </w:tabs>
        <w:ind w:left="6804" w:hanging="3306"/>
      </w:pPr>
    </w:lvl>
    <w:lvl w:ilvl="6">
      <w:start w:val="1"/>
      <w:numFmt w:val="decimal"/>
      <w:lvlText w:val="%1.%2.%3.%4.%5.%6.%7."/>
      <w:lvlJc w:val="left"/>
      <w:pPr>
        <w:tabs>
          <w:tab w:val="num" w:pos="7655"/>
        </w:tabs>
        <w:ind w:left="7655" w:hanging="3794"/>
      </w:pPr>
    </w:lvl>
    <w:lvl w:ilvl="7">
      <w:start w:val="1"/>
      <w:numFmt w:val="decimal"/>
      <w:lvlText w:val="%1.%2.%3.%4.%5.%6.%7.%8."/>
      <w:lvlJc w:val="left"/>
      <w:pPr>
        <w:tabs>
          <w:tab w:val="num" w:pos="7881"/>
        </w:tabs>
        <w:ind w:left="7881" w:hanging="3663"/>
      </w:pPr>
    </w:lvl>
    <w:lvl w:ilvl="8">
      <w:start w:val="1"/>
      <w:numFmt w:val="decimal"/>
      <w:lvlText w:val="%1.%2.%3.%4.%5.%6.%7.%8.%9."/>
      <w:lvlJc w:val="left"/>
      <w:pPr>
        <w:tabs>
          <w:tab w:val="num" w:pos="8278"/>
        </w:tabs>
        <w:ind w:left="8278" w:hanging="3697"/>
      </w:pPr>
    </w:lvl>
  </w:abstractNum>
  <w:abstractNum w:abstractNumId="8">
    <w:lvl w:ilvl="0">
      <w:start w:val="1"/>
      <w:numFmt w:val="bullet"/>
      <w:lvlText w:val=""/>
      <w:lvlJc w:val="left"/>
      <w:pPr>
        <w:tabs>
          <w:tab w:val="num" w:pos="1324"/>
        </w:tabs>
        <w:ind w:left="1252" w:hanging="288"/>
      </w:pPr>
      <w:rPr>
        <w:rFonts w:ascii="Wingdings" w:hAnsi="Wingdings" w:cs="Wingdings" w:hint="default"/>
      </w:rPr>
    </w:lvl>
  </w:abstractNum>
  <w:abstractNum w:abstractNumId="9">
    <w:lvl w:ilvl="0">
      <w:start w:val="1"/>
      <w:numFmt w:val="decimal"/>
      <w:lvlText w:val="%1."/>
      <w:lvlJc w:val="left"/>
      <w:pPr>
        <w:tabs>
          <w:tab w:val="num" w:pos="360"/>
        </w:tabs>
        <w:ind w:left="360" w:hanging="360"/>
      </w:pPr>
    </w:lvl>
  </w:abstractNum>
  <w:abstractNum w:abstractNumId="10">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lvl>
    <w:lvl w:ilvl="2">
      <w:start w:val="1"/>
      <w:numFmt w:val="decimal"/>
      <w:lvlText w:val="%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lvl w:ilvl="0">
      <w:start w:val="1"/>
      <w:numFmt w:val="bullet"/>
      <w:lvlText w:val=""/>
      <w:lvlJc w:val="left"/>
      <w:pPr>
        <w:tabs>
          <w:tab w:val="num" w:pos="360"/>
        </w:tabs>
        <w:ind w:left="360" w:hanging="360"/>
      </w:pPr>
      <w:rPr>
        <w:rFonts w:ascii="Symbol" w:hAnsi="Symbol" w:cs="Symbol" w:hint="default"/>
      </w:rPr>
    </w:lvl>
  </w:abstractNum>
  <w:abstractNum w:abstractNumId="14">
    <w:lvl w:ilvl="0">
      <w:start w:val="1"/>
      <w:numFmt w:val="bullet"/>
      <w:lvlText w:val=""/>
      <w:lvlJc w:val="left"/>
      <w:pPr>
        <w:tabs>
          <w:tab w:val="num" w:pos="360"/>
        </w:tabs>
        <w:ind w:left="360" w:hanging="360"/>
      </w:pPr>
      <w:rPr>
        <w:rFonts w:ascii="Wingdings" w:hAnsi="Wingdings" w:cs="Wingdings" w:hint="default"/>
        <w:sz w:val="16"/>
      </w:rPr>
    </w:lvl>
  </w:abstractNum>
  <w:abstractNum w:abstractNumId="15">
    <w:lvl w:ilvl="0">
      <w:start w:val="1"/>
      <w:numFmt w:val="decimal"/>
      <w:lvlText w:val="Figure %1:"/>
      <w:lvlJc w:val="left"/>
      <w:pPr>
        <w:tabs>
          <w:tab w:val="num" w:pos="1080"/>
        </w:tabs>
        <w:ind w:left="360" w:hanging="360"/>
      </w:pPr>
    </w:lvl>
  </w:abstractNum>
  <w:abstractNum w:abstractNumId="16">
    <w:lvl w:ilvl="0">
      <w:start w:val="1"/>
      <w:numFmt w:val="bullet"/>
      <w:lvlText w:val=""/>
      <w:lvlJc w:val="left"/>
      <w:pPr>
        <w:tabs>
          <w:tab w:val="num" w:pos="360"/>
        </w:tabs>
        <w:ind w:left="360" w:hanging="360"/>
      </w:pPr>
      <w:rPr>
        <w:rFonts w:ascii="Symbol" w:hAnsi="Symbol" w:cs="Symbol" w:hint="default"/>
      </w:rPr>
    </w:lvl>
  </w:abstractNum>
  <w:abstractNum w:abstractNumId="17">
    <w:lvl w:ilvl="0">
      <w:start w:val="3"/>
      <w:numFmt w:val="decimal"/>
      <w:lvlText w:val="%1."/>
      <w:lvlJc w:val="left"/>
      <w:pPr>
        <w:tabs>
          <w:tab w:val="num" w:pos="840"/>
        </w:tabs>
        <w:ind w:left="840" w:hanging="540"/>
      </w:pPr>
      <w:rPr/>
    </w:lvl>
  </w:abstractNum>
  <w:abstractNum w:abstractNumId="18">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lvl w:ilvl="0">
      <w:start w:val="1"/>
      <w:numFmt w:val="upperLetter"/>
      <w:lvlText w:val="%1."/>
      <w:lvlJc w:val="left"/>
      <w:pPr>
        <w:tabs>
          <w:tab w:val="num" w:pos="360"/>
        </w:tabs>
        <w:ind w:left="360" w:hanging="360"/>
      </w:pPr>
      <w:rPr/>
    </w:lvl>
  </w:abstractNum>
  <w:abstractNum w:abstractNumId="20">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10"/>
  <w:defaultTabStop w:val="709"/>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3z0">
    <w:name w:val="WW8Num13z0"/>
    <w:qFormat/>
    <w:rPr/>
  </w:style>
  <w:style w:type="character" w:styleId="WW8Num14z0">
    <w:name w:val="WW8Num14z0"/>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style>
  <w:style w:type="character" w:styleId="WW8Num22z0">
    <w:name w:val="WW8Num22z0"/>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2z0">
    <w:name w:val="WW8Num32z0"/>
    <w:qFormat/>
    <w:rPr>
      <w:rFonts w:ascii="Symbol" w:hAnsi="Symbol" w:cs="Symbol"/>
    </w:rPr>
  </w:style>
  <w:style w:type="character" w:styleId="WW8Num33z0">
    <w:name w:val="WW8Num33z0"/>
    <w:qFormat/>
    <w:rPr>
      <w:rFonts w:ascii="Wingdings" w:hAnsi="Wingdings" w:cs="Wingdings"/>
      <w:sz w:val="16"/>
    </w:rPr>
  </w:style>
  <w:style w:type="character" w:styleId="WW8Num35z0">
    <w:name w:val="WW8Num35z0"/>
    <w:qFormat/>
    <w:rPr>
      <w:rFonts w:ascii="Symbol" w:hAnsi="Symbol" w:cs="Symbol"/>
    </w:rPr>
  </w:style>
  <w:style w:type="character" w:styleId="WW8Num36z0">
    <w:name w:val="WW8Num36z0"/>
    <w:qFormat/>
    <w:rPr/>
  </w:style>
  <w:style w:type="character" w:styleId="WW8Num37z0">
    <w:name w:val="WW8Num37z0"/>
    <w:qFormat/>
    <w:rPr/>
  </w:style>
  <w:style w:type="character" w:styleId="WW8Num38z0">
    <w:name w:val="WW8Num38z0"/>
    <w:qFormat/>
    <w:rPr/>
  </w:style>
  <w:style w:type="character" w:styleId="WW8Num39z0">
    <w:name w:val="WW8Num39z0"/>
    <w:qFormat/>
    <w:rPr/>
  </w:style>
  <w:style w:type="character" w:styleId="WW8Num40z0">
    <w:name w:val="WW8Num40z0"/>
    <w:qFormat/>
    <w:rPr/>
  </w:style>
  <w:style w:type="character" w:styleId="WW8Num41z0">
    <w:name w:val="WW8Num41z0"/>
    <w:qFormat/>
    <w:rPr/>
  </w:style>
  <w:style w:type="character" w:styleId="WW8Num42z0">
    <w:name w:val="WW8Num42z0"/>
    <w:qFormat/>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5z0">
    <w:name w:val="WW8Num45z0"/>
    <w:qFormat/>
    <w:rPr/>
  </w:style>
  <w:style w:type="character" w:styleId="WW8Num46z0">
    <w:name w:val="WW8Num46z0"/>
    <w:qFormat/>
    <w:rPr>
      <w:rFonts w:ascii="Symbol" w:hAnsi="Symbol" w:cs="Symbol"/>
    </w:rPr>
  </w:style>
  <w:style w:type="character" w:styleId="WW8Num46z1">
    <w:name w:val="WW8Num46z1"/>
    <w:qFormat/>
    <w:rPr>
      <w:rFonts w:ascii="Wingdings" w:hAnsi="Wingdings" w:eastAsia="Times New Roman" w:cs="Times New Roman"/>
    </w:rPr>
  </w:style>
  <w:style w:type="character" w:styleId="WW8Num46z2">
    <w:name w:val="WW8Num46z2"/>
    <w:qFormat/>
    <w:rPr>
      <w:rFonts w:ascii="Wingdings" w:hAnsi="Wingdings" w:cs="Wingdings"/>
    </w:rPr>
  </w:style>
  <w:style w:type="character" w:styleId="WW8Num46z4">
    <w:name w:val="WW8Num46z4"/>
    <w:qFormat/>
    <w:rPr>
      <w:rFonts w:ascii="Courier New" w:hAnsi="Courier New" w:cs="Courier New"/>
    </w:rPr>
  </w:style>
  <w:style w:type="character" w:styleId="WW8Num47z0">
    <w:name w:val="WW8Num47z0"/>
    <w:qFormat/>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7z3">
    <w:name w:val="WW8Num47z3"/>
    <w:qFormat/>
    <w:rPr>
      <w:rFonts w:ascii="Symbol" w:hAnsi="Symbol" w:cs="Symbol"/>
    </w:rPr>
  </w:style>
  <w:style w:type="character" w:styleId="WW8Num48z0">
    <w:name w:val="WW8Num48z0"/>
    <w:qFormat/>
    <w:rPr/>
  </w:style>
  <w:style w:type="character" w:styleId="WW8NumSt1z0">
    <w:name w:val="WW8NumSt1z0"/>
    <w:qFormat/>
    <w:rPr>
      <w:rFonts w:ascii="Symbol" w:hAnsi="Symbol" w:cs="Symbol"/>
    </w:rPr>
  </w:style>
  <w:style w:type="character" w:styleId="WW8NumSt25z0">
    <w:name w:val="WW8NumSt25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LChar">
    <w:name w:val="PL Char"/>
    <w:qFormat/>
    <w:rPr>
      <w:rFonts w:ascii="Courier New" w:hAnsi="Courier New" w:cs="Courier New"/>
      <w:sz w:val="16"/>
      <w:lang w:val="en-GB" w:eastAsia="en-US" w:bidi="ar-SA"/>
    </w:rPr>
  </w:style>
  <w:style w:type="character" w:styleId="TALChar">
    <w:name w:val="TAL Char"/>
    <w:qFormat/>
    <w:rPr>
      <w:rFonts w:ascii="Arial" w:hAnsi="Arial" w:cs="Arial"/>
      <w:sz w:val="18"/>
      <w:lang w:val="en-GB"/>
    </w:rPr>
  </w:style>
  <w:style w:type="character" w:styleId="EXCar">
    <w:name w:val="EX C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1"/>
      </w:numPr>
    </w:pPr>
    <w:rPr/>
  </w:style>
  <w:style w:type="paragraph" w:styleId="ListNumber2">
    <w:name w:val="List Number 2"/>
    <w:basedOn w:val="ListNumber"/>
    <w:qFormat/>
    <w:pPr>
      <w:numPr>
        <w:ilvl w:val="0"/>
        <w:numId w:val="22"/>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23"/>
      </w:numPr>
    </w:pPr>
    <w:rPr/>
  </w:style>
  <w:style w:type="paragraph" w:styleId="ListBullet2">
    <w:name w:val="List Bullet 2"/>
    <w:basedOn w:val="ListBullet"/>
    <w:qFormat/>
    <w:pPr>
      <w:numPr>
        <w:ilvl w:val="0"/>
        <w:numId w:val="24"/>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25"/>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NormalWeb">
    <w:name w:val="Normal (Web)"/>
    <w:basedOn w:val="Normal"/>
    <w:qFormat/>
    <w:pPr>
      <w:spacing w:before="280" w:after="280"/>
    </w:pPr>
    <w:rPr>
      <w:rFonts w:ascii="Arial Unicode MS;Yu Gothic" w:hAnsi="Arial Unicode MS;Yu Gothic" w:eastAsia="Arial Unicode MS;Yu Gothic" w:cs="Arial Unicode MS;Yu Gothic"/>
      <w:sz w:val="24"/>
      <w:szCs w:val="24"/>
    </w:rPr>
  </w:style>
  <w:style w:type="paragraph" w:styleId="Lista2">
    <w:name w:val="Lista 2"/>
    <w:basedOn w:val="Normal"/>
    <w:qFormat/>
    <w:pPr>
      <w:numPr>
        <w:ilvl w:val="0"/>
        <w:numId w:val="12"/>
      </w:numPr>
      <w:tabs>
        <w:tab w:val="clear" w:pos="284"/>
        <w:tab w:val="left" w:pos="2058" w:leader="none"/>
      </w:tabs>
      <w:spacing w:before="0" w:after="120"/>
    </w:pPr>
    <w:rPr>
      <w:sz w:val="24"/>
    </w:rPr>
  </w:style>
  <w:style w:type="paragraph" w:styleId="List11">
    <w:name w:val="List 1.1"/>
    <w:basedOn w:val="Normal"/>
    <w:qFormat/>
    <w:pPr>
      <w:numPr>
        <w:ilvl w:val="0"/>
        <w:numId w:val="7"/>
      </w:numPr>
      <w:tabs>
        <w:tab w:val="clear" w:pos="284"/>
        <w:tab w:val="left" w:pos="2041" w:leader="none"/>
      </w:tabs>
      <w:spacing w:before="0" w:after="120"/>
    </w:pPr>
    <w:rPr>
      <w:sz w:val="24"/>
    </w:rPr>
  </w:style>
  <w:style w:type="paragraph" w:styleId="List21">
    <w:name w:val="List 2.1"/>
    <w:basedOn w:val="List11"/>
    <w:qFormat/>
    <w:pPr>
      <w:numPr>
        <w:ilvl w:val="0"/>
        <w:numId w:val="7"/>
      </w:numPr>
      <w:tabs>
        <w:tab w:val="clear" w:pos="2041"/>
        <w:tab w:val="left" w:pos="360" w:leader="none"/>
        <w:tab w:val="left" w:pos="1140" w:leader="none"/>
        <w:tab w:val="left" w:pos="2608" w:leader="none"/>
      </w:tabs>
      <w:ind w:left="2608" w:hanging="567"/>
    </w:pPr>
    <w:rPr/>
  </w:style>
  <w:style w:type="paragraph" w:styleId="List31">
    <w:name w:val="List 3.1"/>
    <w:basedOn w:val="List21"/>
    <w:qFormat/>
    <w:pPr>
      <w:numPr>
        <w:ilvl w:val="0"/>
        <w:numId w:val="7"/>
      </w:numPr>
      <w:tabs>
        <w:tab w:val="left" w:pos="360" w:leader="none"/>
        <w:tab w:val="left" w:pos="1140" w:leader="none"/>
        <w:tab w:val="left" w:pos="2608" w:leader="none"/>
        <w:tab w:val="left" w:pos="3175" w:leader="none"/>
      </w:tabs>
      <w:ind w:left="360" w:hanging="794"/>
    </w:pPr>
    <w:rPr/>
  </w:style>
  <w:style w:type="paragraph" w:styleId="List41">
    <w:name w:val="List 4.1"/>
    <w:basedOn w:val="List31"/>
    <w:qFormat/>
    <w:pPr>
      <w:numPr>
        <w:ilvl w:val="0"/>
        <w:numId w:val="7"/>
      </w:numPr>
      <w:tabs>
        <w:tab w:val="left" w:pos="360" w:leader="none"/>
        <w:tab w:val="left" w:pos="1140" w:leader="none"/>
        <w:tab w:val="left" w:pos="2608" w:leader="none"/>
        <w:tab w:val="left" w:pos="3175" w:leader="none"/>
        <w:tab w:val="left" w:pos="3742" w:leader="none"/>
      </w:tabs>
      <w:ind w:left="3743" w:hanging="1021"/>
    </w:pPr>
    <w:rPr/>
  </w:style>
  <w:style w:type="paragraph" w:styleId="List51">
    <w:name w:val="List 5.1"/>
    <w:basedOn w:val="List41"/>
    <w:qFormat/>
    <w:pPr>
      <w:numPr>
        <w:ilvl w:val="0"/>
        <w:numId w:val="7"/>
      </w:numPr>
      <w:tabs>
        <w:tab w:val="clear" w:pos="3175"/>
        <w:tab w:val="clear" w:pos="3742"/>
        <w:tab w:val="left" w:pos="360" w:leader="none"/>
        <w:tab w:val="left" w:pos="1140" w:leader="none"/>
        <w:tab w:val="left" w:pos="2608" w:leader="none"/>
        <w:tab w:val="left" w:pos="4253" w:leader="none"/>
      </w:tabs>
      <w:ind w:left="4253" w:hanging="1191"/>
    </w:pPr>
    <w:rPr/>
  </w:style>
  <w:style w:type="paragraph" w:styleId="IB3">
    <w:name w:val="IB3"/>
    <w:basedOn w:val="Normal"/>
    <w:qFormat/>
    <w:pPr>
      <w:numPr>
        <w:ilvl w:val="0"/>
        <w:numId w:val="5"/>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10"/>
      </w:numPr>
      <w:tabs>
        <w:tab w:val="left" w:pos="284" w:leader="none"/>
      </w:tabs>
      <w:overflowPunct w:val="false"/>
      <w:autoSpaceDE w:val="false"/>
      <w:textAlignment w:val="baseline"/>
    </w:pPr>
    <w:rPr/>
  </w:style>
  <w:style w:type="paragraph" w:styleId="IB2">
    <w:name w:val="IB2"/>
    <w:basedOn w:val="Normal"/>
    <w:qFormat/>
    <w:pPr>
      <w:numPr>
        <w:ilvl w:val="0"/>
        <w:numId w:val="20"/>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11"/>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18"/>
      </w:numPr>
      <w:tabs>
        <w:tab w:val="left" w:pos="284" w:leader="none"/>
      </w:tabs>
      <w:overflowPunct w:val="false"/>
      <w:autoSpaceDE w:val="false"/>
      <w:textAlignment w:val="baseline"/>
    </w:pPr>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
    <w:name w:val="N"/>
    <w:basedOn w:val="Listtext1"/>
    <w:qFormat/>
    <w:pPr>
      <w:numPr>
        <w:ilvl w:val="0"/>
        <w:numId w:val="17"/>
      </w:numPr>
    </w:pPr>
    <w:rPr/>
  </w:style>
  <w:style w:type="paragraph" w:styleId="Bullet2">
    <w:name w:val="Bullet 2"/>
    <w:basedOn w:val="Normal"/>
    <w:qFormat/>
    <w:pPr>
      <w:numPr>
        <w:ilvl w:val="0"/>
        <w:numId w:val="8"/>
      </w:numPr>
      <w:overflowPunct w:val="false"/>
      <w:autoSpaceDE w:val="false"/>
      <w:textAlignment w:val="baseline"/>
    </w:pPr>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BalloonText">
    <w:name w:val="Balloon Text"/>
    <w:basedOn w:val="Normal"/>
    <w:qFormat/>
    <w:pPr/>
    <w:rPr>
      <w:rFonts w:ascii="Tahoma" w:hAnsi="Tahoma" w:cs="Tahoma"/>
      <w:sz w:val="16"/>
      <w:szCs w:val="16"/>
    </w:rPr>
  </w:style>
  <w:style w:type="paragraph" w:styleId="Cpde">
    <w:name w:val="cpde"/>
    <w:basedOn w:val="Normal"/>
    <w:qFormat/>
    <w:pPr>
      <w:numPr>
        <w:ilvl w:val="0"/>
        <w:numId w:val="13"/>
      </w:numPr>
      <w:spacing w:before="120" w:after="0"/>
    </w:pPr>
    <w:rPr>
      <w:rFonts w:ascii="Helvetica" w:hAnsi="Helvetica" w:cs="Helvetica"/>
      <w:lang w:val="en-US"/>
    </w:rPr>
  </w:style>
  <w:style w:type="paragraph" w:styleId="Listbullettight">
    <w:name w:val="list bullet tight"/>
    <w:basedOn w:val="Cpde"/>
    <w:qFormat/>
    <w:pPr>
      <w:numPr>
        <w:ilvl w:val="0"/>
        <w:numId w:val="16"/>
      </w:numPr>
      <w:tabs>
        <w:tab w:val="clear" w:pos="284"/>
        <w:tab w:val="left" w:pos="2061" w:leader="none"/>
      </w:tabs>
      <w:ind w:left="2041" w:hanging="340"/>
    </w:pPr>
    <w:rPr/>
  </w:style>
  <w:style w:type="paragraph" w:styleId="Nornal">
    <w:name w:val="nornal"/>
    <w:basedOn w:val="Cpde"/>
    <w:qFormat/>
    <w:pPr>
      <w:numPr>
        <w:ilvl w:val="0"/>
        <w:numId w:val="14"/>
      </w:numPr>
    </w:pPr>
    <w:rPr/>
  </w:style>
  <w:style w:type="paragraph" w:styleId="Abbildung1">
    <w:name w:val="Abbildung 1"/>
    <w:basedOn w:val="Normal"/>
    <w:next w:val="Normal"/>
    <w:qFormat/>
    <w:pPr>
      <w:numPr>
        <w:ilvl w:val="0"/>
        <w:numId w:val="15"/>
      </w:numPr>
      <w:spacing w:before="0" w:after="0"/>
    </w:pPr>
    <w:rPr>
      <w:b/>
      <w:sz w:val="22"/>
    </w:rPr>
  </w:style>
  <w:style w:type="paragraph" w:styleId="Absatz1">
    <w:name w:val="Absatz1"/>
    <w:basedOn w:val="Normal"/>
    <w:qFormat/>
    <w:pPr>
      <w:keepLines/>
      <w:numPr>
        <w:ilvl w:val="0"/>
        <w:numId w:val="6"/>
      </w:numPr>
      <w:spacing w:before="0" w:after="0"/>
      <w:jc w:val="both"/>
    </w:pPr>
    <w:rPr>
      <w:rFonts w:ascii="Arial" w:hAnsi="Arial" w:cs="Arial"/>
    </w:rPr>
  </w:style>
  <w:style w:type="paragraph" w:styleId="ListNumber3">
    <w:name w:val="List Number 3"/>
    <w:basedOn w:val="Normal"/>
    <w:qFormat/>
    <w:pPr>
      <w:numPr>
        <w:ilvl w:val="0"/>
        <w:numId w:val="4"/>
      </w:numPr>
      <w:spacing w:before="0" w:after="0"/>
      <w:jc w:val="both"/>
    </w:pPr>
    <w:rPr>
      <w:rFonts w:ascii="Arial" w:hAnsi="Arial" w:cs="Arial"/>
    </w:rPr>
  </w:style>
  <w:style w:type="paragraph" w:styleId="ListNumber4">
    <w:name w:val="List Number 4"/>
    <w:basedOn w:val="Normal"/>
    <w:qFormat/>
    <w:pPr>
      <w:numPr>
        <w:ilvl w:val="0"/>
        <w:numId w:val="3"/>
      </w:numPr>
      <w:spacing w:before="0" w:after="0"/>
      <w:jc w:val="both"/>
    </w:pPr>
    <w:rPr>
      <w:rFonts w:ascii="Arial" w:hAnsi="Arial" w:cs="Arial"/>
    </w:rPr>
  </w:style>
  <w:style w:type="paragraph" w:styleId="ListNumber5">
    <w:name w:val="List Number 5"/>
    <w:basedOn w:val="Normal"/>
    <w:qFormat/>
    <w:pPr>
      <w:numPr>
        <w:ilvl w:val="0"/>
        <w:numId w:val="2"/>
      </w:numPr>
      <w:spacing w:before="0" w:after="0"/>
      <w:jc w:val="both"/>
    </w:pPr>
    <w:rPr>
      <w:rFonts w:ascii="Arial" w:hAnsi="Arial" w:cs="Arial"/>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oleObject" Target="embeddings/oleObject1.bin"/><Relationship Id="rId11" Type="http://schemas.openxmlformats.org/officeDocument/2006/relationships/image" Target="media/image3.png"/><Relationship Id="rId12" Type="http://schemas.openxmlformats.org/officeDocument/2006/relationships/oleObject" Target="embeddings/oleObject2.bin"/><Relationship Id="rId13" Type="http://schemas.openxmlformats.org/officeDocument/2006/relationships/image" Target="media/image4.pn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2020-07-09T16:46:00Z</dcterms:created>
  <dc:creator>MCC Support</dc:creator>
  <dc:description/>
  <cp:keywords>UMTS management</cp:keywords>
  <dc:language>en-US</dc:language>
  <cp:lastModifiedBy>23.401_CR3602R2_(Rel-16)_5GS_Ph1, LTE_feMob-Core, </cp:lastModifiedBy>
  <cp:lastPrinted>2004-10-29T12:02:00Z</cp:lastPrinted>
  <dcterms:modified xsi:type="dcterms:W3CDTF">2020-07-09T16:46:00Z</dcterms:modified>
  <cp:revision>2</cp:revision>
  <dc:subject>Telecommunication management;  Inventory Management (IM);  Requirements  (Release 16)</dc:subject>
  <dc:title>3GPP TS 32.690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242854852</vt:r8>
  </property>
  <property fmtid="{D5CDD505-2E9C-101B-9397-08002B2CF9AE}" pid="3" name="_AuthorEmail">
    <vt:lpwstr>clemens.suerbaum@siemens.com</vt:lpwstr>
  </property>
  <property fmtid="{D5CDD505-2E9C-101B-9397-08002B2CF9AE}" pid="4" name="_AuthorEmailDisplayName">
    <vt:lpwstr>Suerbaum Clemens</vt:lpwstr>
  </property>
  <property fmtid="{D5CDD505-2E9C-101B-9397-08002B2CF9AE}" pid="5" name="_EmailSubject">
    <vt:lpwstr>CMIP SS 314</vt:lpwstr>
  </property>
  <property fmtid="{D5CDD505-2E9C-101B-9397-08002B2CF9AE}" pid="6" name="_ReviewingToolsShownOnce">
    <vt:lpwstr/>
  </property>
</Properties>
</file>