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4.wmf" ContentType="image/x-wmf"/>
  <Override PartName="/word/media/image2.png" ContentType="image/png"/>
  <Override PartName="/word/media/image3.wmf" ContentType="image/x-wmf"/>
  <Override PartName="/word/media/image5.wmf" ContentType="image/x-wmf"/>
  <Override PartName="/word/media/image10.wmf" ContentType="image/x-wmf"/>
  <Override PartName="/word/media/image6.wmf" ContentType="image/x-wmf"/>
  <Override PartName="/word/media/image7.wmf" ContentType="image/x-wmf"/>
  <Override PartName="/word/media/image8.wmf" ContentType="image/x-wmf"/>
  <Override PartName="/word/media/image9.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headerReference w:type="default" r:id="rId2"/>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33.310 </w:t>
                            </w:r>
                            <w:r>
                              <w:rPr/>
                              <w:t xml:space="preserve">V16.14.0 </w:t>
                            </w:r>
                            <w:r>
                              <w:rPr>
                                <w:sz w:val="32"/>
                              </w:rPr>
                              <w:t>(2023-09)</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33.310 </w:t>
                      </w:r>
                      <w:r>
                        <w:rPr/>
                        <w:t xml:space="preserve">V16.14.0 </w:t>
                      </w:r>
                      <w:r>
                        <w:rPr>
                          <w:sz w:val="32"/>
                        </w:rPr>
                        <w:t>(2023-09)</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45895"/>
                <wp:effectExtent l="0" t="0" r="0" b="0"/>
                <wp:wrapTopAndBottom/>
                <wp:docPr id="3" name="Frame3"/>
                <a:graphic xmlns:a="http://schemas.openxmlformats.org/drawingml/2006/main">
                  <a:graphicData uri="http://schemas.microsoft.com/office/word/2010/wordprocessingShape">
                    <wps:wsp>
                      <wps:cNvSpPr txBox="1"/>
                      <wps:spPr>
                        <a:xfrm>
                          <a:off x="0" y="0"/>
                          <a:ext cx="6479540" cy="1445895"/>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Network Domain Security (NDS);</w:t>
                              <w:br/>
                              <w:t>Authentication Framework (AF)</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Network Domain Security (NDS);</w:t>
                        <w:br/>
                        <w:t>Authentication Framework (AF)</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275715"/>
                <wp:effectExtent l="0" t="0" r="0" b="0"/>
                <wp:wrapTopAndBottom/>
                <wp:docPr id="4" name="Frame4"/>
                <a:graphic xmlns:a="http://schemas.openxmlformats.org/drawingml/2006/main">
                  <a:graphicData uri="http://schemas.microsoft.com/office/word/2010/wordprocessingShape">
                    <wps:wsp>
                      <wps:cNvSpPr txBox="1"/>
                      <wps:spPr>
                        <a:xfrm>
                          <a:off x="0" y="0"/>
                          <a:ext cx="6480810" cy="127571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12215" cy="121221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100.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12215" cy="121221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5"/>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6"/>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Security, Network</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Security, Network</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eastAsia="en-US"/>
                              </w:rPr>
                            </w:pPr>
                            <w:r>
                              <w:rPr>
                                <w:lang w:val="fr-FR" w:eastAsia="en-US"/>
                              </w:rPr>
                              <w:t>3GPP support office address</w:t>
                            </w:r>
                          </w:p>
                          <w:p>
                            <w:pPr>
                              <w:pStyle w:val="FP"/>
                              <w:ind w:left="2835" w:right="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left="2835" w:right="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left="2835" w:right="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eastAsia="en-US"/>
                        </w:rPr>
                      </w:pPr>
                      <w:r>
                        <w:rPr>
                          <w:lang w:val="fr-FR" w:eastAsia="en-US"/>
                        </w:rPr>
                        <w:t>3GPP support office address</w:t>
                      </w:r>
                    </w:p>
                    <w:p>
                      <w:pPr>
                        <w:pStyle w:val="FP"/>
                        <w:ind w:left="2835" w:right="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left="2835" w:right="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left="2835" w:right="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1400" cy="1680845"/>
                <wp:effectExtent l="0" t="0" r="0" b="0"/>
                <wp:wrapTopAndBottom/>
                <wp:docPr id="13" name="Frame9"/>
                <a:graphic xmlns:a="http://schemas.openxmlformats.org/drawingml/2006/main">
                  <a:graphicData uri="http://schemas.microsoft.com/office/word/2010/wordprocessingShape">
                    <wps:wsp>
                      <wps:cNvSpPr txBox="1"/>
                      <wps:spPr>
                        <a:xfrm>
                          <a:off x="0" y="0"/>
                          <a:ext cx="6121400" cy="168084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bookmarkStart w:id="4" w:name="copyrightaddon"/>
                            <w:bookmarkEnd w:id="4"/>
                            <w:r>
                              <w:rPr>
                                <w:sz w:val="18"/>
                                <w:lang w:val="en-US" w:eastAsia="en-US"/>
                              </w:rPr>
                              <w:t>© 2023, 3GPP Organizational Partners (ARIB, ATIS, CCSA, ETSI, TSDSI, TTA, TTC).</w:t>
                            </w:r>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32.35pt;mso-wrap-distance-left:0pt;mso-wrap-distance-right:0pt;mso-wrap-distance-top:0pt;mso-wrap-distance-bottom:0pt;margin-top:582.1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bookmarkStart w:id="5" w:name="copyrightaddon"/>
                      <w:bookmarkEnd w:id="5"/>
                      <w:r>
                        <w:rPr>
                          <w:sz w:val="18"/>
                          <w:lang w:val="en-US" w:eastAsia="en-US"/>
                        </w:rPr>
                        <w:t>© 2023, 3GPP Organizational Partners (ARIB, ATIS, CCSA, ETSI, TSDSI, TTA, TTC).</w:t>
                      </w:r>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US" w:eastAsia="en-US" w:bidi="ar-SA"/>
            </w:rPr>
            <w:instrText xml:space="preserve"> TOC \o "1-9" </w:instrText>
          </w:r>
          <w:r>
            <w:rPr>
              <w:sz w:val="22"/>
              <w:szCs w:val="20"/>
              <w:rFonts w:eastAsia="Times New Roman" w:cs="Times New Roman"/>
              <w:color w:val="auto"/>
              <w:lang w:val="en-US" w:eastAsia="en-US" w:bidi="ar-SA"/>
            </w:rPr>
            <w:fldChar w:fldCharType="separate"/>
          </w:r>
          <w:r>
            <w:rPr>
              <w:rFonts w:eastAsia="Times New Roman" w:cs="Times New Roman"/>
              <w:color w:val="auto"/>
              <w:sz w:val="22"/>
              <w:szCs w:val="20"/>
              <w:lang w:val="en-US" w:eastAsia="en-US" w:bidi="ar-SA"/>
            </w:rPr>
            <w:t>Foreword</w:t>
            <w:tab/>
          </w:r>
          <w:hyperlink w:anchor="__RefHeading___Toc145337319">
            <w:r>
              <w:rPr>
                <w:rStyle w:val="IndexLink"/>
                <w:rFonts w:eastAsia="Times New Roman" w:cs="Times New Roman"/>
                <w:color w:val="auto"/>
                <w:sz w:val="22"/>
                <w:szCs w:val="20"/>
                <w:lang w:val="en-US" w:eastAsia="en-US" w:bidi="ar-SA"/>
              </w:rPr>
              <w:t>6</w:t>
            </w:r>
          </w:hyperlink>
        </w:p>
        <w:p>
          <w:pPr>
            <w:pStyle w:val="Contents1"/>
            <w:rPr>
              <w:rFonts w:ascii="Calibri" w:hAnsi="Calibri" w:cs="Calibri"/>
              <w:szCs w:val="22"/>
              <w:lang w:val="en-US" w:eastAsia="en-US"/>
            </w:rPr>
          </w:pPr>
          <w:r>
            <w:rPr>
              <w:lang w:val="en-US" w:eastAsia="en-US"/>
            </w:rPr>
            <w:t>Introduction</w:t>
            <w:tab/>
          </w:r>
          <w:hyperlink w:anchor="__RefHeading___Toc145337320">
            <w:r>
              <w:rPr>
                <w:rStyle w:val="IndexLink"/>
                <w:lang w:val="en-US" w:eastAsia="en-US"/>
              </w:rPr>
              <w:t>6</w:t>
            </w:r>
          </w:hyperlink>
        </w:p>
        <w:p>
          <w:pPr>
            <w:pStyle w:val="Contents1"/>
            <w:rPr>
              <w:rFonts w:ascii="Calibri" w:hAnsi="Calibri" w:cs="Calibri"/>
              <w:szCs w:val="22"/>
              <w:lang w:val="en-US" w:eastAsia="en-US"/>
            </w:rPr>
          </w:pPr>
          <w:r>
            <w:rPr>
              <w:lang w:val="en-US" w:eastAsia="en-US"/>
            </w:rPr>
            <w:t>1</w:t>
          </w:r>
          <w:r>
            <w:rPr>
              <w:rFonts w:cs="Calibri" w:ascii="Calibri" w:hAnsi="Calibri"/>
              <w:szCs w:val="22"/>
              <w:lang w:val="en-US" w:eastAsia="en-US"/>
            </w:rPr>
            <w:tab/>
          </w:r>
          <w:r>
            <w:rPr>
              <w:lang w:val="en-US" w:eastAsia="en-US"/>
            </w:rPr>
            <w:t>Scope</w:t>
            <w:tab/>
          </w:r>
          <w:hyperlink w:anchor="__RefHeading___Toc145337321">
            <w:r>
              <w:rPr>
                <w:rStyle w:val="IndexLink"/>
                <w:lang w:val="en-US" w:eastAsia="en-US"/>
              </w:rPr>
              <w:t>7</w:t>
            </w:r>
          </w:hyperlink>
        </w:p>
        <w:p>
          <w:pPr>
            <w:pStyle w:val="Contents1"/>
            <w:rPr>
              <w:rFonts w:ascii="Calibri" w:hAnsi="Calibri" w:cs="Calibri"/>
              <w:szCs w:val="22"/>
              <w:lang w:val="en-US" w:eastAsia="en-US"/>
            </w:rPr>
          </w:pPr>
          <w:r>
            <w:rPr>
              <w:lang w:val="en-US" w:eastAsia="en-US"/>
            </w:rPr>
            <w:t>2</w:t>
          </w:r>
          <w:r>
            <w:rPr>
              <w:rFonts w:cs="Calibri" w:ascii="Calibri" w:hAnsi="Calibri"/>
              <w:szCs w:val="22"/>
              <w:lang w:val="en-US" w:eastAsia="en-US"/>
            </w:rPr>
            <w:tab/>
          </w:r>
          <w:r>
            <w:rPr>
              <w:lang w:val="en-US" w:eastAsia="en-US"/>
            </w:rPr>
            <w:t>References</w:t>
            <w:tab/>
          </w:r>
          <w:hyperlink w:anchor="__RefHeading___Toc145337322">
            <w:r>
              <w:rPr>
                <w:rStyle w:val="IndexLink"/>
                <w:lang w:val="en-US" w:eastAsia="en-US"/>
              </w:rPr>
              <w:t>7</w:t>
            </w:r>
          </w:hyperlink>
        </w:p>
        <w:p>
          <w:pPr>
            <w:pStyle w:val="Contents1"/>
            <w:rPr>
              <w:rFonts w:ascii="Calibri" w:hAnsi="Calibri" w:cs="Calibri"/>
              <w:szCs w:val="22"/>
              <w:lang w:val="en-US" w:eastAsia="en-US"/>
            </w:rPr>
          </w:pPr>
          <w:r>
            <w:rPr>
              <w:lang w:val="en-US" w:eastAsia="en-US"/>
            </w:rPr>
            <w:t>3</w:t>
          </w:r>
          <w:r>
            <w:rPr>
              <w:rFonts w:cs="Calibri" w:ascii="Calibri" w:hAnsi="Calibri"/>
              <w:szCs w:val="22"/>
              <w:lang w:val="en-US" w:eastAsia="en-US"/>
            </w:rPr>
            <w:tab/>
          </w:r>
          <w:r>
            <w:rPr>
              <w:lang w:val="en-US" w:eastAsia="en-US"/>
            </w:rPr>
            <w:t>Definitions and abbreviations</w:t>
            <w:tab/>
          </w:r>
          <w:hyperlink w:anchor="__RefHeading___Toc145337323">
            <w:r>
              <w:rPr>
                <w:rStyle w:val="IndexLink"/>
                <w:lang w:val="en-US" w:eastAsia="en-US"/>
              </w:rPr>
              <w:t>10</w:t>
            </w:r>
          </w:hyperlink>
        </w:p>
        <w:p>
          <w:pPr>
            <w:pStyle w:val="Contents2"/>
            <w:rPr>
              <w:rFonts w:ascii="Calibri" w:hAnsi="Calibri" w:cs="Calibri"/>
              <w:sz w:val="22"/>
              <w:szCs w:val="22"/>
              <w:lang w:val="en-US" w:eastAsia="en-US"/>
            </w:rPr>
          </w:pPr>
          <w:r>
            <w:rPr>
              <w:lang w:val="en-US" w:eastAsia="en-US"/>
            </w:rPr>
            <w:t>3.1</w:t>
          </w:r>
          <w:r>
            <w:rPr>
              <w:rFonts w:cs="Calibri" w:ascii="Calibri" w:hAnsi="Calibri"/>
              <w:sz w:val="22"/>
              <w:szCs w:val="22"/>
              <w:lang w:val="en-US" w:eastAsia="en-US"/>
            </w:rPr>
            <w:tab/>
          </w:r>
          <w:r>
            <w:rPr>
              <w:lang w:val="en-US" w:eastAsia="en-US"/>
            </w:rPr>
            <w:t>Definitions</w:t>
            <w:tab/>
          </w:r>
          <w:hyperlink w:anchor="__RefHeading___Toc145337324">
            <w:r>
              <w:rPr>
                <w:rStyle w:val="IndexLink"/>
                <w:lang w:val="en-US" w:eastAsia="en-US"/>
              </w:rPr>
              <w:t>10</w:t>
            </w:r>
          </w:hyperlink>
        </w:p>
        <w:p>
          <w:pPr>
            <w:pStyle w:val="Contents2"/>
            <w:rPr>
              <w:rFonts w:ascii="Calibri" w:hAnsi="Calibri" w:cs="Calibri"/>
              <w:sz w:val="22"/>
              <w:szCs w:val="22"/>
              <w:lang w:val="en-US" w:eastAsia="en-US"/>
            </w:rPr>
          </w:pPr>
          <w:r>
            <w:rPr>
              <w:lang w:val="en-US" w:eastAsia="en-US"/>
            </w:rPr>
            <w:t>3.2</w:t>
          </w:r>
          <w:r>
            <w:rPr>
              <w:rFonts w:cs="Calibri" w:ascii="Calibri" w:hAnsi="Calibri"/>
              <w:sz w:val="22"/>
              <w:szCs w:val="22"/>
              <w:lang w:val="en-US" w:eastAsia="en-US"/>
            </w:rPr>
            <w:tab/>
          </w:r>
          <w:r>
            <w:rPr>
              <w:lang w:val="en-US" w:eastAsia="en-US"/>
            </w:rPr>
            <w:t>Abbreviations</w:t>
            <w:tab/>
          </w:r>
          <w:hyperlink w:anchor="__RefHeading___Toc145337325">
            <w:r>
              <w:rPr>
                <w:rStyle w:val="IndexLink"/>
                <w:lang w:val="en-US" w:eastAsia="en-US"/>
              </w:rPr>
              <w:t>10</w:t>
            </w:r>
          </w:hyperlink>
        </w:p>
        <w:p>
          <w:pPr>
            <w:pStyle w:val="Contents1"/>
            <w:rPr>
              <w:rFonts w:ascii="Calibri" w:hAnsi="Calibri" w:cs="Calibri"/>
              <w:szCs w:val="22"/>
              <w:lang w:val="en-US" w:eastAsia="en-US"/>
            </w:rPr>
          </w:pPr>
          <w:r>
            <w:rPr>
              <w:lang w:val="en-US" w:eastAsia="en-US"/>
            </w:rPr>
            <w:t>4</w:t>
          </w:r>
          <w:r>
            <w:rPr>
              <w:rFonts w:cs="Calibri" w:ascii="Calibri" w:hAnsi="Calibri"/>
              <w:szCs w:val="22"/>
              <w:lang w:val="en-US" w:eastAsia="en-US"/>
            </w:rPr>
            <w:tab/>
          </w:r>
          <w:r>
            <w:rPr>
              <w:lang w:val="en-US" w:eastAsia="en-US"/>
            </w:rPr>
            <w:t>Introduction to Public Key Infrastructure (PKI)</w:t>
            <w:tab/>
          </w:r>
          <w:hyperlink w:anchor="__RefHeading___Toc145337326">
            <w:r>
              <w:rPr>
                <w:rStyle w:val="IndexLink"/>
                <w:lang w:val="en-US" w:eastAsia="en-US"/>
              </w:rPr>
              <w:t>11</w:t>
            </w:r>
          </w:hyperlink>
        </w:p>
        <w:p>
          <w:pPr>
            <w:pStyle w:val="Contents2"/>
            <w:rPr>
              <w:rFonts w:ascii="Calibri" w:hAnsi="Calibri" w:cs="Calibri"/>
              <w:sz w:val="22"/>
              <w:szCs w:val="22"/>
              <w:lang w:val="en-US" w:eastAsia="en-US"/>
            </w:rPr>
          </w:pPr>
          <w:r>
            <w:rPr>
              <w:lang w:val="en-US" w:eastAsia="en-US"/>
            </w:rPr>
            <w:t>4.1</w:t>
          </w:r>
          <w:r>
            <w:rPr>
              <w:rFonts w:cs="Calibri" w:ascii="Calibri" w:hAnsi="Calibri"/>
              <w:sz w:val="22"/>
              <w:szCs w:val="22"/>
              <w:lang w:val="en-US" w:eastAsia="en-US"/>
            </w:rPr>
            <w:tab/>
          </w:r>
          <w:r>
            <w:rPr>
              <w:lang w:val="en-US" w:eastAsia="en-US"/>
            </w:rPr>
            <w:t>Manual Cross-certification</w:t>
            <w:tab/>
          </w:r>
          <w:hyperlink w:anchor="__RefHeading___Toc145337327">
            <w:r>
              <w:rPr>
                <w:rStyle w:val="IndexLink"/>
                <w:lang w:val="en-US" w:eastAsia="en-US"/>
              </w:rPr>
              <w:t>11</w:t>
            </w:r>
          </w:hyperlink>
        </w:p>
        <w:p>
          <w:pPr>
            <w:pStyle w:val="Contents2"/>
            <w:rPr>
              <w:rFonts w:ascii="Calibri" w:hAnsi="Calibri" w:cs="Calibri"/>
              <w:sz w:val="22"/>
              <w:szCs w:val="22"/>
              <w:lang w:val="en-US" w:eastAsia="en-US"/>
            </w:rPr>
          </w:pPr>
          <w:r>
            <w:rPr>
              <w:lang w:val="en-US" w:eastAsia="en-US"/>
            </w:rPr>
            <w:t>4.2</w:t>
          </w:r>
          <w:r>
            <w:rPr>
              <w:rFonts w:cs="Calibri" w:ascii="Calibri" w:hAnsi="Calibri"/>
              <w:sz w:val="22"/>
              <w:szCs w:val="22"/>
              <w:lang w:val="en-US" w:eastAsia="en-US"/>
            </w:rPr>
            <w:tab/>
          </w:r>
          <w:r>
            <w:rPr>
              <w:lang w:val="en-US" w:eastAsia="en-US"/>
            </w:rPr>
            <w:t>Cross-certification with a Bridge CA</w:t>
            <w:tab/>
          </w:r>
          <w:hyperlink w:anchor="__RefHeading___Toc145337328">
            <w:r>
              <w:rPr>
                <w:rStyle w:val="IndexLink"/>
                <w:lang w:val="en-US" w:eastAsia="en-US"/>
              </w:rPr>
              <w:t>11</w:t>
            </w:r>
          </w:hyperlink>
        </w:p>
        <w:p>
          <w:pPr>
            <w:pStyle w:val="Contents1"/>
            <w:rPr>
              <w:rFonts w:ascii="Calibri" w:hAnsi="Calibri" w:cs="Calibri"/>
              <w:szCs w:val="22"/>
              <w:lang w:val="en-US" w:eastAsia="en-US"/>
            </w:rPr>
          </w:pPr>
          <w:r>
            <w:rPr>
              <w:lang w:val="en-US" w:eastAsia="en-US"/>
            </w:rPr>
            <w:t>5</w:t>
          </w:r>
          <w:r>
            <w:rPr>
              <w:rFonts w:cs="Calibri" w:ascii="Calibri" w:hAnsi="Calibri"/>
              <w:szCs w:val="22"/>
              <w:lang w:val="en-US" w:eastAsia="en-US"/>
            </w:rPr>
            <w:tab/>
          </w:r>
          <w:r>
            <w:rPr>
              <w:lang w:val="en-US" w:eastAsia="en-US"/>
            </w:rPr>
            <w:t>Architecture and use cases of the NDS/AF</w:t>
            <w:tab/>
          </w:r>
          <w:hyperlink w:anchor="__RefHeading___Toc145337329">
            <w:r>
              <w:rPr>
                <w:rStyle w:val="IndexLink"/>
                <w:lang w:val="en-US" w:eastAsia="en-US"/>
              </w:rPr>
              <w:t>11</w:t>
            </w:r>
          </w:hyperlink>
        </w:p>
        <w:p>
          <w:pPr>
            <w:pStyle w:val="Contents2"/>
            <w:rPr>
              <w:rFonts w:ascii="Calibri" w:hAnsi="Calibri" w:cs="Calibri"/>
              <w:sz w:val="22"/>
              <w:szCs w:val="22"/>
              <w:lang w:val="en-US" w:eastAsia="en-US"/>
            </w:rPr>
          </w:pPr>
          <w:r>
            <w:rPr>
              <w:lang w:val="en-US" w:eastAsia="en-US"/>
            </w:rPr>
            <w:t>5.1</w:t>
          </w:r>
          <w:r>
            <w:rPr>
              <w:rFonts w:cs="Calibri" w:ascii="Calibri" w:hAnsi="Calibri"/>
              <w:sz w:val="22"/>
              <w:szCs w:val="22"/>
              <w:lang w:val="en-US" w:eastAsia="en-US"/>
            </w:rPr>
            <w:tab/>
          </w:r>
          <w:r>
            <w:rPr>
              <w:lang w:val="en-US" w:eastAsia="en-US"/>
            </w:rPr>
            <w:t>PKI architecture for NDS/AF</w:t>
            <w:tab/>
          </w:r>
          <w:hyperlink w:anchor="__RefHeading___Toc145337330">
            <w:r>
              <w:rPr>
                <w:rStyle w:val="IndexLink"/>
                <w:lang w:val="en-US" w:eastAsia="en-US"/>
              </w:rPr>
              <w:t>12</w:t>
            </w:r>
          </w:hyperlink>
        </w:p>
        <w:p>
          <w:pPr>
            <w:pStyle w:val="Contents3"/>
            <w:rPr>
              <w:rFonts w:ascii="Calibri" w:hAnsi="Calibri" w:cs="Calibri"/>
              <w:sz w:val="22"/>
              <w:szCs w:val="22"/>
              <w:lang w:val="en-US" w:eastAsia="en-US"/>
            </w:rPr>
          </w:pPr>
          <w:r>
            <w:rPr>
              <w:lang w:val="en-US" w:eastAsia="en-US"/>
            </w:rPr>
            <w:t>5.1.1</w:t>
          </w:r>
          <w:r>
            <w:rPr>
              <w:rFonts w:cs="Calibri" w:ascii="Calibri" w:hAnsi="Calibri"/>
              <w:sz w:val="22"/>
              <w:szCs w:val="22"/>
              <w:lang w:val="en-US" w:eastAsia="en-US"/>
            </w:rPr>
            <w:tab/>
          </w:r>
          <w:r>
            <w:rPr>
              <w:lang w:val="en-US" w:eastAsia="en-US"/>
            </w:rPr>
            <w:t>General architecture</w:t>
            <w:tab/>
          </w:r>
          <w:hyperlink w:anchor="__RefHeading___Toc145337331">
            <w:r>
              <w:rPr>
                <w:rStyle w:val="IndexLink"/>
                <w:lang w:val="en-US" w:eastAsia="en-US"/>
              </w:rPr>
              <w:t>12</w:t>
            </w:r>
          </w:hyperlink>
        </w:p>
        <w:p>
          <w:pPr>
            <w:pStyle w:val="Contents4"/>
            <w:rPr>
              <w:rFonts w:ascii="Calibri" w:hAnsi="Calibri" w:cs="Calibri"/>
              <w:color w:val="FF0000"/>
              <w:sz w:val="22"/>
              <w:szCs w:val="22"/>
              <w:lang w:val="en-US" w:eastAsia="en-US"/>
            </w:rPr>
          </w:pPr>
          <w:r>
            <w:rPr>
              <w:color w:val="FF0000"/>
              <w:lang w:val="en-US" w:eastAsia="en-US"/>
            </w:rPr>
            <w:t>5.1.1.1</w:t>
          </w:r>
          <w:r>
            <w:rPr>
              <w:rFonts w:cs="Calibri" w:ascii="Calibri" w:hAnsi="Calibri"/>
              <w:color w:val="FF0000"/>
              <w:sz w:val="22"/>
              <w:szCs w:val="22"/>
              <w:lang w:val="en-US" w:eastAsia="en-US"/>
            </w:rPr>
            <w:tab/>
          </w:r>
          <w:r>
            <w:rPr>
              <w:color w:val="FF0000"/>
              <w:lang w:val="en-US" w:eastAsia="en-US"/>
            </w:rPr>
            <w:t xml:space="preserve"> NDS/IP case</w:t>
            <w:tab/>
          </w:r>
          <w:hyperlink w:anchor="__RefHeading___Toc145337332">
            <w:r>
              <w:rPr>
                <w:rStyle w:val="IndexLink"/>
                <w:color w:val="FF0000"/>
                <w:lang w:val="en-US" w:eastAsia="en-US"/>
              </w:rPr>
              <w:t>12</w:t>
            </w:r>
          </w:hyperlink>
        </w:p>
        <w:p>
          <w:pPr>
            <w:pStyle w:val="Contents4"/>
            <w:rPr>
              <w:rFonts w:ascii="Calibri" w:hAnsi="Calibri" w:cs="Calibri"/>
              <w:sz w:val="22"/>
              <w:szCs w:val="22"/>
              <w:lang w:val="en-US" w:eastAsia="en-US"/>
            </w:rPr>
          </w:pPr>
          <w:r>
            <w:rPr>
              <w:lang w:val="en-US" w:eastAsia="en-US"/>
            </w:rPr>
            <w:t>5.1.1.2</w:t>
          </w:r>
          <w:r>
            <w:rPr>
              <w:rFonts w:cs="Calibri" w:ascii="Calibri" w:hAnsi="Calibri"/>
              <w:sz w:val="22"/>
              <w:szCs w:val="22"/>
              <w:lang w:val="en-US" w:eastAsia="en-US"/>
            </w:rPr>
            <w:tab/>
          </w:r>
          <w:r>
            <w:rPr>
              <w:lang w:val="en-US" w:eastAsia="en-US"/>
            </w:rPr>
            <w:t>TLS case</w:t>
            <w:tab/>
          </w:r>
          <w:hyperlink w:anchor="__RefHeading___Toc145337333">
            <w:r>
              <w:rPr>
                <w:rStyle w:val="IndexLink"/>
                <w:lang w:val="en-US" w:eastAsia="en-US"/>
              </w:rPr>
              <w:t>13</w:t>
            </w:r>
          </w:hyperlink>
        </w:p>
        <w:p>
          <w:pPr>
            <w:pStyle w:val="Contents2"/>
            <w:rPr>
              <w:rFonts w:ascii="Calibri" w:hAnsi="Calibri" w:cs="Calibri"/>
              <w:sz w:val="22"/>
              <w:szCs w:val="22"/>
              <w:lang w:val="en-US" w:eastAsia="en-US"/>
            </w:rPr>
          </w:pPr>
          <w:r>
            <w:rPr>
              <w:lang w:val="en-US" w:eastAsia="en-US"/>
            </w:rPr>
            <w:t>5.2</w:t>
          </w:r>
          <w:r>
            <w:rPr>
              <w:rFonts w:cs="Calibri" w:ascii="Calibri" w:hAnsi="Calibri"/>
              <w:sz w:val="22"/>
              <w:szCs w:val="22"/>
              <w:lang w:val="en-US" w:eastAsia="en-US"/>
            </w:rPr>
            <w:tab/>
          </w:r>
          <w:r>
            <w:rPr>
              <w:lang w:val="en-US" w:eastAsia="en-US"/>
            </w:rPr>
            <w:t>Use cases</w:t>
            <w:tab/>
          </w:r>
          <w:hyperlink w:anchor="__RefHeading___Toc145337334">
            <w:r>
              <w:rPr>
                <w:rStyle w:val="IndexLink"/>
                <w:lang w:val="en-US" w:eastAsia="en-US"/>
              </w:rPr>
              <w:t>14</w:t>
            </w:r>
          </w:hyperlink>
        </w:p>
        <w:p>
          <w:pPr>
            <w:pStyle w:val="Contents3"/>
            <w:rPr>
              <w:rFonts w:ascii="Calibri" w:hAnsi="Calibri" w:cs="Calibri"/>
              <w:sz w:val="22"/>
              <w:szCs w:val="22"/>
              <w:lang w:val="en-US" w:eastAsia="en-US"/>
            </w:rPr>
          </w:pPr>
          <w:r>
            <w:rPr>
              <w:lang w:val="en-US" w:eastAsia="en-US"/>
            </w:rPr>
            <w:t>5.2.1</w:t>
          </w:r>
          <w:r>
            <w:rPr>
              <w:rFonts w:cs="Calibri" w:ascii="Calibri" w:hAnsi="Calibri"/>
              <w:sz w:val="22"/>
              <w:szCs w:val="22"/>
              <w:lang w:val="en-US" w:eastAsia="en-US"/>
            </w:rPr>
            <w:tab/>
          </w:r>
          <w:r>
            <w:rPr>
              <w:lang w:val="en-US" w:eastAsia="en-US"/>
            </w:rPr>
            <w:t>Operator Registration: Creation of interconnect agreement</w:t>
            <w:tab/>
          </w:r>
          <w:hyperlink w:anchor="__RefHeading___Toc145337335">
            <w:r>
              <w:rPr>
                <w:rStyle w:val="IndexLink"/>
                <w:lang w:val="en-US" w:eastAsia="en-US"/>
              </w:rPr>
              <w:t>14</w:t>
            </w:r>
          </w:hyperlink>
        </w:p>
        <w:p>
          <w:pPr>
            <w:pStyle w:val="Contents3"/>
            <w:rPr>
              <w:rFonts w:ascii="Calibri" w:hAnsi="Calibri" w:cs="Calibri"/>
              <w:sz w:val="22"/>
              <w:szCs w:val="22"/>
              <w:lang w:val="en-US" w:eastAsia="en-US"/>
            </w:rPr>
          </w:pPr>
          <w:r>
            <w:rPr>
              <w:lang w:val="en-US" w:eastAsia="en-US"/>
            </w:rPr>
            <w:t>5.2.2</w:t>
          </w:r>
          <w:r>
            <w:rPr>
              <w:rFonts w:cs="Calibri" w:ascii="Calibri" w:hAnsi="Calibri"/>
              <w:sz w:val="22"/>
              <w:szCs w:val="22"/>
              <w:lang w:val="en-US" w:eastAsia="en-US"/>
            </w:rPr>
            <w:tab/>
          </w:r>
          <w:r>
            <w:rPr>
              <w:lang w:val="en-US" w:eastAsia="en-US"/>
            </w:rPr>
            <w:t>Establishment of secure communications</w:t>
            <w:tab/>
          </w:r>
          <w:hyperlink w:anchor="__RefHeading___Toc145337336">
            <w:r>
              <w:rPr>
                <w:rStyle w:val="IndexLink"/>
                <w:lang w:val="en-US" w:eastAsia="en-US"/>
              </w:rPr>
              <w:t>16</w:t>
            </w:r>
          </w:hyperlink>
        </w:p>
        <w:p>
          <w:pPr>
            <w:pStyle w:val="Contents4"/>
            <w:rPr>
              <w:rFonts w:ascii="Calibri" w:hAnsi="Calibri" w:cs="Calibri"/>
              <w:sz w:val="22"/>
              <w:szCs w:val="22"/>
              <w:lang w:val="en-US" w:eastAsia="en-US"/>
            </w:rPr>
          </w:pPr>
          <w:r>
            <w:rPr>
              <w:lang w:val="en-US" w:eastAsia="en-US"/>
            </w:rPr>
            <w:t>5.2.2.1</w:t>
          </w:r>
          <w:r>
            <w:rPr>
              <w:rFonts w:cs="Calibri" w:ascii="Calibri" w:hAnsi="Calibri"/>
              <w:sz w:val="22"/>
              <w:szCs w:val="22"/>
              <w:lang w:val="en-US" w:eastAsia="en-US"/>
            </w:rPr>
            <w:tab/>
          </w:r>
          <w:r>
            <w:rPr>
              <w:lang w:val="en-US" w:eastAsia="en-US"/>
            </w:rPr>
            <w:t>NDS/IP case</w:t>
            <w:tab/>
          </w:r>
          <w:hyperlink w:anchor="__RefHeading___Toc145337337">
            <w:r>
              <w:rPr>
                <w:rStyle w:val="IndexLink"/>
                <w:lang w:val="en-US" w:eastAsia="en-US"/>
              </w:rPr>
              <w:t>16</w:t>
            </w:r>
          </w:hyperlink>
        </w:p>
        <w:p>
          <w:pPr>
            <w:pStyle w:val="Contents4"/>
            <w:rPr>
              <w:rFonts w:ascii="Calibri" w:hAnsi="Calibri" w:cs="Calibri"/>
              <w:sz w:val="22"/>
              <w:szCs w:val="22"/>
              <w:lang w:val="en-US" w:eastAsia="en-US"/>
            </w:rPr>
          </w:pPr>
          <w:r>
            <w:rPr>
              <w:lang w:val="en-US" w:eastAsia="en-US"/>
            </w:rPr>
            <w:t>5.2.2.1.1</w:t>
          </w:r>
          <w:r>
            <w:rPr>
              <w:rFonts w:cs="Calibri" w:ascii="Calibri" w:hAnsi="Calibri"/>
              <w:sz w:val="22"/>
              <w:szCs w:val="22"/>
              <w:lang w:val="en-US" w:eastAsia="en-US"/>
            </w:rPr>
            <w:tab/>
          </w:r>
          <w:r>
            <w:rPr>
              <w:lang w:val="en-US" w:eastAsia="en-US"/>
            </w:rPr>
            <w:t>NDS/IP case for the Za interface</w:t>
            <w:tab/>
          </w:r>
          <w:hyperlink w:anchor="__RefHeading___Toc145337338">
            <w:r>
              <w:rPr>
                <w:rStyle w:val="IndexLink"/>
                <w:lang w:val="en-US" w:eastAsia="en-US"/>
              </w:rPr>
              <w:t>16</w:t>
            </w:r>
          </w:hyperlink>
        </w:p>
        <w:p>
          <w:pPr>
            <w:pStyle w:val="Contents4"/>
            <w:rPr>
              <w:rFonts w:ascii="Calibri" w:hAnsi="Calibri" w:cs="Calibri"/>
              <w:sz w:val="22"/>
              <w:szCs w:val="22"/>
              <w:lang w:val="en-US" w:eastAsia="en-US"/>
            </w:rPr>
          </w:pPr>
          <w:r>
            <w:rPr>
              <w:lang w:val="en-US" w:eastAsia="en-US"/>
            </w:rPr>
            <w:t>5.2.2.1.2</w:t>
          </w:r>
          <w:r>
            <w:rPr>
              <w:rFonts w:cs="Calibri" w:ascii="Calibri" w:hAnsi="Calibri"/>
              <w:sz w:val="22"/>
              <w:szCs w:val="22"/>
              <w:lang w:val="en-US" w:eastAsia="en-US"/>
            </w:rPr>
            <w:tab/>
          </w:r>
          <w:r>
            <w:rPr>
              <w:lang w:val="en-US" w:eastAsia="en-US"/>
            </w:rPr>
            <w:t>NDS/IP case for the Zb-interface</w:t>
            <w:tab/>
          </w:r>
          <w:hyperlink w:anchor="__RefHeading___Toc145337339">
            <w:r>
              <w:rPr>
                <w:rStyle w:val="IndexLink"/>
                <w:lang w:val="en-US" w:eastAsia="en-US"/>
              </w:rPr>
              <w:t>16</w:t>
            </w:r>
          </w:hyperlink>
        </w:p>
        <w:p>
          <w:pPr>
            <w:pStyle w:val="Contents4"/>
            <w:rPr>
              <w:rFonts w:ascii="Calibri" w:hAnsi="Calibri" w:cs="Calibri"/>
              <w:sz w:val="22"/>
              <w:szCs w:val="22"/>
              <w:lang w:val="en-US" w:eastAsia="en-US"/>
            </w:rPr>
          </w:pPr>
          <w:r>
            <w:rPr>
              <w:lang w:val="en-US" w:eastAsia="en-US"/>
            </w:rPr>
            <w:t>5.2.2.2</w:t>
          </w:r>
          <w:r>
            <w:rPr>
              <w:rFonts w:cs="Calibri" w:ascii="Calibri" w:hAnsi="Calibri"/>
              <w:sz w:val="22"/>
              <w:szCs w:val="22"/>
              <w:lang w:val="en-US" w:eastAsia="en-US"/>
            </w:rPr>
            <w:tab/>
          </w:r>
          <w:r>
            <w:rPr>
              <w:lang w:val="en-US" w:eastAsia="en-US"/>
            </w:rPr>
            <w:t>TLS case</w:t>
            <w:tab/>
          </w:r>
          <w:hyperlink w:anchor="__RefHeading___Toc145337340">
            <w:r>
              <w:rPr>
                <w:rStyle w:val="IndexLink"/>
                <w:lang w:val="en-US" w:eastAsia="en-US"/>
              </w:rPr>
              <w:t>17</w:t>
            </w:r>
          </w:hyperlink>
        </w:p>
        <w:p>
          <w:pPr>
            <w:pStyle w:val="Contents3"/>
            <w:rPr>
              <w:rFonts w:ascii="Calibri" w:hAnsi="Calibri" w:cs="Calibri"/>
              <w:sz w:val="22"/>
              <w:szCs w:val="22"/>
              <w:lang w:val="en-US" w:eastAsia="en-US"/>
            </w:rPr>
          </w:pPr>
          <w:r>
            <w:rPr>
              <w:lang w:val="en-US" w:eastAsia="en-US"/>
            </w:rPr>
            <w:t>5.2.3</w:t>
          </w:r>
          <w:r>
            <w:rPr>
              <w:rFonts w:cs="Calibri" w:ascii="Calibri" w:hAnsi="Calibri"/>
              <w:sz w:val="22"/>
              <w:szCs w:val="22"/>
              <w:lang w:val="en-US" w:eastAsia="en-US"/>
            </w:rPr>
            <w:tab/>
          </w:r>
          <w:r>
            <w:rPr>
              <w:lang w:val="en-US" w:eastAsia="en-US"/>
            </w:rPr>
            <w:t>Operator deregistration: Termination of interconnect agreement</w:t>
            <w:tab/>
          </w:r>
          <w:hyperlink w:anchor="__RefHeading___Toc145337341">
            <w:r>
              <w:rPr>
                <w:rStyle w:val="IndexLink"/>
                <w:lang w:val="en-US" w:eastAsia="en-US"/>
              </w:rPr>
              <w:t>18</w:t>
            </w:r>
          </w:hyperlink>
        </w:p>
        <w:p>
          <w:pPr>
            <w:pStyle w:val="Contents3"/>
            <w:rPr>
              <w:rFonts w:ascii="Calibri" w:hAnsi="Calibri" w:cs="Calibri"/>
              <w:sz w:val="22"/>
              <w:szCs w:val="22"/>
              <w:lang w:val="en-US" w:eastAsia="en-US"/>
            </w:rPr>
          </w:pPr>
          <w:r>
            <w:rPr>
              <w:lang w:val="en-US" w:eastAsia="en-US"/>
            </w:rPr>
            <w:t>5.2.3a</w:t>
          </w:r>
          <w:r>
            <w:rPr>
              <w:rFonts w:cs="Calibri" w:ascii="Calibri" w:hAnsi="Calibri"/>
              <w:sz w:val="22"/>
              <w:szCs w:val="22"/>
              <w:lang w:val="en-US" w:eastAsia="en-US"/>
            </w:rPr>
            <w:tab/>
          </w:r>
          <w:r>
            <w:rPr>
              <w:lang w:val="en-US" w:eastAsia="en-US"/>
            </w:rPr>
            <w:t>Interconnection CA registration</w:t>
            <w:tab/>
          </w:r>
          <w:hyperlink w:anchor="__RefHeading___Toc145337342">
            <w:r>
              <w:rPr>
                <w:rStyle w:val="IndexLink"/>
                <w:lang w:val="en-US" w:eastAsia="en-US"/>
              </w:rPr>
              <w:t>18</w:t>
            </w:r>
          </w:hyperlink>
        </w:p>
        <w:p>
          <w:pPr>
            <w:pStyle w:val="Contents3"/>
            <w:rPr>
              <w:rFonts w:ascii="Calibri" w:hAnsi="Calibri" w:cs="Calibri"/>
              <w:sz w:val="22"/>
              <w:szCs w:val="22"/>
              <w:lang w:val="en-US" w:eastAsia="en-US"/>
            </w:rPr>
          </w:pPr>
          <w:r>
            <w:rPr>
              <w:lang w:val="en-US" w:eastAsia="en-US"/>
            </w:rPr>
            <w:t>5.2.3b</w:t>
          </w:r>
          <w:r>
            <w:rPr>
              <w:rFonts w:cs="Calibri" w:ascii="Calibri" w:hAnsi="Calibri"/>
              <w:sz w:val="22"/>
              <w:szCs w:val="22"/>
              <w:lang w:val="en-US" w:eastAsia="en-US"/>
            </w:rPr>
            <w:tab/>
          </w:r>
          <w:r>
            <w:rPr>
              <w:lang w:val="en-US" w:eastAsia="en-US"/>
            </w:rPr>
            <w:t>Interconnection CA deregistration</w:t>
            <w:tab/>
          </w:r>
          <w:hyperlink w:anchor="__RefHeading___Toc145337343">
            <w:r>
              <w:rPr>
                <w:rStyle w:val="IndexLink"/>
                <w:lang w:val="en-US" w:eastAsia="en-US"/>
              </w:rPr>
              <w:t>18</w:t>
            </w:r>
          </w:hyperlink>
        </w:p>
        <w:p>
          <w:pPr>
            <w:pStyle w:val="Contents3"/>
            <w:rPr>
              <w:rFonts w:ascii="Calibri" w:hAnsi="Calibri" w:cs="Calibri"/>
              <w:sz w:val="22"/>
              <w:szCs w:val="22"/>
              <w:lang w:val="en-US" w:eastAsia="en-US"/>
            </w:rPr>
          </w:pPr>
          <w:r>
            <w:rPr>
              <w:lang w:val="en-US" w:eastAsia="en-US"/>
            </w:rPr>
            <w:t>5.2.3c</w:t>
          </w:r>
          <w:r>
            <w:rPr>
              <w:rFonts w:cs="Calibri" w:ascii="Calibri" w:hAnsi="Calibri"/>
              <w:sz w:val="22"/>
              <w:szCs w:val="22"/>
              <w:lang w:val="en-US" w:eastAsia="en-US"/>
            </w:rPr>
            <w:tab/>
          </w:r>
          <w:r>
            <w:rPr>
              <w:lang w:val="en-US" w:eastAsia="en-US"/>
            </w:rPr>
            <w:t>Interconnection CA certification creation</w:t>
            <w:tab/>
          </w:r>
          <w:hyperlink w:anchor="__RefHeading___Toc145337344">
            <w:r>
              <w:rPr>
                <w:rStyle w:val="IndexLink"/>
                <w:lang w:val="en-US" w:eastAsia="en-US"/>
              </w:rPr>
              <w:t>18</w:t>
            </w:r>
          </w:hyperlink>
        </w:p>
        <w:p>
          <w:pPr>
            <w:pStyle w:val="Contents3"/>
            <w:rPr>
              <w:rFonts w:ascii="Calibri" w:hAnsi="Calibri" w:cs="Calibri"/>
              <w:sz w:val="22"/>
              <w:szCs w:val="22"/>
              <w:lang w:val="en-US" w:eastAsia="en-US"/>
            </w:rPr>
          </w:pPr>
          <w:r>
            <w:rPr>
              <w:lang w:val="en-US" w:eastAsia="en-US"/>
            </w:rPr>
            <w:t>5.2.3d</w:t>
          </w:r>
          <w:r>
            <w:rPr>
              <w:rFonts w:cs="Calibri" w:ascii="Calibri" w:hAnsi="Calibri"/>
              <w:sz w:val="22"/>
              <w:szCs w:val="22"/>
              <w:lang w:val="en-US" w:eastAsia="en-US"/>
            </w:rPr>
            <w:tab/>
          </w:r>
          <w:r>
            <w:rPr>
              <w:lang w:val="en-US" w:eastAsia="en-US"/>
            </w:rPr>
            <w:t>Interconnection CA certification revocation</w:t>
            <w:tab/>
          </w:r>
          <w:hyperlink w:anchor="__RefHeading___Toc145337345">
            <w:r>
              <w:rPr>
                <w:rStyle w:val="IndexLink"/>
                <w:lang w:val="en-US" w:eastAsia="en-US"/>
              </w:rPr>
              <w:t>19</w:t>
            </w:r>
          </w:hyperlink>
        </w:p>
        <w:p>
          <w:pPr>
            <w:pStyle w:val="Contents3"/>
            <w:rPr>
              <w:rFonts w:ascii="Calibri" w:hAnsi="Calibri" w:cs="Calibri"/>
              <w:sz w:val="22"/>
              <w:szCs w:val="22"/>
              <w:lang w:val="en-US" w:eastAsia="en-US"/>
            </w:rPr>
          </w:pPr>
          <w:r>
            <w:rPr>
              <w:lang w:val="en-US" w:eastAsia="en-US"/>
            </w:rPr>
            <w:t>5.2.3e</w:t>
          </w:r>
          <w:r>
            <w:rPr>
              <w:rFonts w:cs="Calibri" w:ascii="Calibri" w:hAnsi="Calibri"/>
              <w:sz w:val="22"/>
              <w:szCs w:val="22"/>
              <w:lang w:val="en-US" w:eastAsia="en-US"/>
            </w:rPr>
            <w:tab/>
          </w:r>
          <w:r>
            <w:rPr>
              <w:lang w:val="en-US" w:eastAsia="en-US"/>
            </w:rPr>
            <w:t>Interconnection CA certification renewal</w:t>
            <w:tab/>
          </w:r>
          <w:hyperlink w:anchor="__RefHeading___Toc145337346">
            <w:r>
              <w:rPr>
                <w:rStyle w:val="IndexLink"/>
                <w:lang w:val="en-US" w:eastAsia="en-US"/>
              </w:rPr>
              <w:t>19</w:t>
            </w:r>
          </w:hyperlink>
        </w:p>
        <w:p>
          <w:pPr>
            <w:pStyle w:val="Contents3"/>
            <w:rPr>
              <w:rFonts w:ascii="Calibri" w:hAnsi="Calibri" w:cs="Calibri"/>
              <w:sz w:val="22"/>
              <w:szCs w:val="22"/>
              <w:lang w:val="en-US" w:eastAsia="en-US"/>
            </w:rPr>
          </w:pPr>
          <w:r>
            <w:rPr>
              <w:lang w:val="en-US" w:eastAsia="en-US"/>
            </w:rPr>
            <w:t>5.2.4</w:t>
          </w:r>
          <w:r>
            <w:rPr>
              <w:rFonts w:cs="Calibri" w:ascii="Calibri" w:hAnsi="Calibri"/>
              <w:sz w:val="22"/>
              <w:szCs w:val="22"/>
              <w:lang w:val="en-US" w:eastAsia="en-US"/>
            </w:rPr>
            <w:tab/>
          </w:r>
          <w:r>
            <w:rPr>
              <w:lang w:val="en-US" w:eastAsia="en-US"/>
            </w:rPr>
            <w:t>SEG/TLS CA registration</w:t>
            <w:tab/>
          </w:r>
          <w:hyperlink w:anchor="__RefHeading___Toc145337347">
            <w:r>
              <w:rPr>
                <w:rStyle w:val="IndexLink"/>
                <w:lang w:val="en-US" w:eastAsia="en-US"/>
              </w:rPr>
              <w:t>19</w:t>
            </w:r>
          </w:hyperlink>
        </w:p>
        <w:p>
          <w:pPr>
            <w:pStyle w:val="Contents3"/>
            <w:rPr>
              <w:rFonts w:ascii="Calibri" w:hAnsi="Calibri" w:cs="Calibri"/>
              <w:sz w:val="22"/>
              <w:szCs w:val="22"/>
              <w:lang w:val="en-US" w:eastAsia="en-US"/>
            </w:rPr>
          </w:pPr>
          <w:r>
            <w:rPr>
              <w:lang w:val="en-US" w:eastAsia="en-US"/>
            </w:rPr>
            <w:t>5.2.5</w:t>
          </w:r>
          <w:r>
            <w:rPr>
              <w:rFonts w:cs="Calibri" w:ascii="Calibri" w:hAnsi="Calibri"/>
              <w:sz w:val="22"/>
              <w:szCs w:val="22"/>
              <w:lang w:val="en-US" w:eastAsia="en-US"/>
            </w:rPr>
            <w:tab/>
          </w:r>
          <w:r>
            <w:rPr>
              <w:lang w:val="en-US" w:eastAsia="en-US"/>
            </w:rPr>
            <w:t>SEG/TLS CA deregistration</w:t>
            <w:tab/>
          </w:r>
          <w:hyperlink w:anchor="__RefHeading___Toc145337348">
            <w:r>
              <w:rPr>
                <w:rStyle w:val="IndexLink"/>
                <w:lang w:val="en-US" w:eastAsia="en-US"/>
              </w:rPr>
              <w:t>19</w:t>
            </w:r>
          </w:hyperlink>
        </w:p>
        <w:p>
          <w:pPr>
            <w:pStyle w:val="Contents3"/>
            <w:rPr>
              <w:rFonts w:ascii="Calibri" w:hAnsi="Calibri" w:cs="Calibri"/>
              <w:sz w:val="22"/>
              <w:szCs w:val="22"/>
              <w:lang w:val="en-US" w:eastAsia="en-US"/>
            </w:rPr>
          </w:pPr>
          <w:r>
            <w:rPr>
              <w:lang w:val="en-US" w:eastAsia="en-US"/>
            </w:rPr>
            <w:t>5.2.6</w:t>
          </w:r>
          <w:r>
            <w:rPr>
              <w:rFonts w:cs="Calibri" w:ascii="Calibri" w:hAnsi="Calibri"/>
              <w:sz w:val="22"/>
              <w:szCs w:val="22"/>
              <w:lang w:val="en-US" w:eastAsia="en-US"/>
            </w:rPr>
            <w:tab/>
          </w:r>
          <w:r>
            <w:rPr>
              <w:lang w:val="en-US" w:eastAsia="en-US"/>
            </w:rPr>
            <w:t>SEG/TLS CA certificate creation</w:t>
            <w:tab/>
          </w:r>
          <w:hyperlink w:anchor="__RefHeading___Toc145337349">
            <w:r>
              <w:rPr>
                <w:rStyle w:val="IndexLink"/>
                <w:lang w:val="en-US" w:eastAsia="en-US"/>
              </w:rPr>
              <w:t>19</w:t>
            </w:r>
          </w:hyperlink>
        </w:p>
        <w:p>
          <w:pPr>
            <w:pStyle w:val="Contents3"/>
            <w:rPr>
              <w:rFonts w:ascii="Calibri" w:hAnsi="Calibri" w:cs="Calibri"/>
              <w:sz w:val="22"/>
              <w:szCs w:val="22"/>
              <w:lang w:val="en-US" w:eastAsia="en-US"/>
            </w:rPr>
          </w:pPr>
          <w:r>
            <w:rPr>
              <w:lang w:val="en-US" w:eastAsia="en-US"/>
            </w:rPr>
            <w:t>5.2.7</w:t>
          </w:r>
          <w:r>
            <w:rPr>
              <w:rFonts w:cs="Calibri" w:ascii="Calibri" w:hAnsi="Calibri"/>
              <w:sz w:val="22"/>
              <w:szCs w:val="22"/>
              <w:lang w:val="en-US" w:eastAsia="en-US"/>
            </w:rPr>
            <w:tab/>
          </w:r>
          <w:r>
            <w:rPr>
              <w:lang w:val="en-US" w:eastAsia="en-US"/>
            </w:rPr>
            <w:t>SEG/TLS CA certificate revocation</w:t>
            <w:tab/>
          </w:r>
          <w:hyperlink w:anchor="__RefHeading___Toc145337350">
            <w:r>
              <w:rPr>
                <w:rStyle w:val="IndexLink"/>
                <w:lang w:val="en-US" w:eastAsia="en-US"/>
              </w:rPr>
              <w:t>20</w:t>
            </w:r>
          </w:hyperlink>
        </w:p>
        <w:p>
          <w:pPr>
            <w:pStyle w:val="Contents3"/>
            <w:rPr>
              <w:rFonts w:ascii="Calibri" w:hAnsi="Calibri" w:cs="Calibri"/>
              <w:sz w:val="22"/>
              <w:szCs w:val="22"/>
              <w:lang w:val="en-US" w:eastAsia="en-US"/>
            </w:rPr>
          </w:pPr>
          <w:r>
            <w:rPr>
              <w:lang w:val="en-US" w:eastAsia="en-US"/>
            </w:rPr>
            <w:t>5.2.8</w:t>
          </w:r>
          <w:r>
            <w:rPr>
              <w:rFonts w:cs="Calibri" w:ascii="Calibri" w:hAnsi="Calibri"/>
              <w:sz w:val="22"/>
              <w:szCs w:val="22"/>
              <w:lang w:val="en-US" w:eastAsia="en-US"/>
            </w:rPr>
            <w:tab/>
          </w:r>
          <w:r>
            <w:rPr>
              <w:lang w:val="en-US" w:eastAsia="en-US"/>
            </w:rPr>
            <w:t>SEG/TLS CA certificate renewal</w:t>
            <w:tab/>
          </w:r>
          <w:hyperlink w:anchor="__RefHeading___Toc145337351">
            <w:r>
              <w:rPr>
                <w:rStyle w:val="IndexLink"/>
                <w:lang w:val="en-US" w:eastAsia="en-US"/>
              </w:rPr>
              <w:t>20</w:t>
            </w:r>
          </w:hyperlink>
        </w:p>
        <w:p>
          <w:pPr>
            <w:pStyle w:val="Contents3"/>
            <w:rPr>
              <w:rFonts w:ascii="Calibri" w:hAnsi="Calibri" w:cs="Calibri"/>
              <w:sz w:val="22"/>
              <w:szCs w:val="22"/>
              <w:lang w:val="en-US" w:eastAsia="en-US"/>
            </w:rPr>
          </w:pPr>
          <w:r>
            <w:rPr>
              <w:lang w:val="en-US" w:eastAsia="en-US"/>
            </w:rPr>
            <w:t>5.2.9</w:t>
          </w:r>
          <w:r>
            <w:rPr>
              <w:rFonts w:cs="Calibri" w:ascii="Calibri" w:hAnsi="Calibri"/>
              <w:sz w:val="22"/>
              <w:szCs w:val="22"/>
              <w:lang w:val="en-US" w:eastAsia="en-US"/>
            </w:rPr>
            <w:tab/>
          </w:r>
          <w:r>
            <w:rPr>
              <w:lang w:val="en-US" w:eastAsia="en-US"/>
            </w:rPr>
            <w:t>End entity registration</w:t>
            <w:tab/>
          </w:r>
          <w:hyperlink w:anchor="__RefHeading___Toc145337352">
            <w:r>
              <w:rPr>
                <w:rStyle w:val="IndexLink"/>
                <w:lang w:val="en-US" w:eastAsia="en-US"/>
              </w:rPr>
              <w:t>20</w:t>
            </w:r>
          </w:hyperlink>
        </w:p>
        <w:p>
          <w:pPr>
            <w:pStyle w:val="Contents4"/>
            <w:rPr>
              <w:rFonts w:ascii="Calibri" w:hAnsi="Calibri" w:cs="Calibri"/>
              <w:sz w:val="22"/>
              <w:szCs w:val="22"/>
              <w:lang w:val="en-US" w:eastAsia="en-US"/>
            </w:rPr>
          </w:pPr>
          <w:r>
            <w:rPr>
              <w:lang w:val="en-US" w:eastAsia="en-US"/>
            </w:rPr>
            <w:t>5.2.9.1</w:t>
          </w:r>
          <w:r>
            <w:rPr>
              <w:rFonts w:cs="Calibri" w:ascii="Calibri" w:hAnsi="Calibri"/>
              <w:sz w:val="22"/>
              <w:szCs w:val="22"/>
              <w:lang w:val="en-US" w:eastAsia="en-US"/>
            </w:rPr>
            <w:tab/>
          </w:r>
          <w:r>
            <w:rPr>
              <w:lang w:val="en-US" w:eastAsia="en-US"/>
            </w:rPr>
            <w:t>SEG registration</w:t>
            <w:tab/>
          </w:r>
          <w:hyperlink w:anchor="__RefHeading___Toc145337353">
            <w:r>
              <w:rPr>
                <w:rStyle w:val="IndexLink"/>
                <w:lang w:val="en-US" w:eastAsia="en-US"/>
              </w:rPr>
              <w:t>20</w:t>
            </w:r>
          </w:hyperlink>
        </w:p>
        <w:p>
          <w:pPr>
            <w:pStyle w:val="Contents4"/>
            <w:rPr>
              <w:rFonts w:ascii="Calibri" w:hAnsi="Calibri" w:cs="Calibri"/>
              <w:sz w:val="22"/>
              <w:szCs w:val="22"/>
              <w:lang w:val="en-US" w:eastAsia="en-US"/>
            </w:rPr>
          </w:pPr>
          <w:r>
            <w:rPr>
              <w:lang w:val="en-US" w:eastAsia="en-US"/>
            </w:rPr>
            <w:t>5.2.9.2</w:t>
          </w:r>
          <w:r>
            <w:rPr>
              <w:rFonts w:cs="Calibri" w:ascii="Calibri" w:hAnsi="Calibri"/>
              <w:sz w:val="22"/>
              <w:szCs w:val="22"/>
              <w:lang w:val="en-US" w:eastAsia="en-US"/>
            </w:rPr>
            <w:tab/>
          </w:r>
          <w:r>
            <w:rPr>
              <w:lang w:val="en-US" w:eastAsia="en-US"/>
            </w:rPr>
            <w:t>TLS client registration</w:t>
            <w:tab/>
          </w:r>
          <w:hyperlink w:anchor="__RefHeading___Toc145337354">
            <w:r>
              <w:rPr>
                <w:rStyle w:val="IndexLink"/>
                <w:lang w:val="en-US" w:eastAsia="en-US"/>
              </w:rPr>
              <w:t>20</w:t>
            </w:r>
          </w:hyperlink>
        </w:p>
        <w:p>
          <w:pPr>
            <w:pStyle w:val="Contents4"/>
            <w:rPr>
              <w:rFonts w:ascii="Calibri" w:hAnsi="Calibri" w:cs="Calibri"/>
              <w:sz w:val="22"/>
              <w:szCs w:val="22"/>
              <w:lang w:val="en-US" w:eastAsia="en-US"/>
            </w:rPr>
          </w:pPr>
          <w:r>
            <w:rPr>
              <w:lang w:val="en-US" w:eastAsia="en-US"/>
            </w:rPr>
            <w:t>5.2.9.3</w:t>
          </w:r>
          <w:r>
            <w:rPr>
              <w:rFonts w:cs="Calibri" w:ascii="Calibri" w:hAnsi="Calibri"/>
              <w:sz w:val="22"/>
              <w:szCs w:val="22"/>
              <w:lang w:val="en-US" w:eastAsia="en-US"/>
            </w:rPr>
            <w:tab/>
          </w:r>
          <w:r>
            <w:rPr>
              <w:lang w:val="en-US" w:eastAsia="en-US"/>
            </w:rPr>
            <w:t>TLS server registration</w:t>
            <w:tab/>
          </w:r>
          <w:hyperlink w:anchor="__RefHeading___Toc145337355">
            <w:r>
              <w:rPr>
                <w:rStyle w:val="IndexLink"/>
                <w:lang w:val="en-US" w:eastAsia="en-US"/>
              </w:rPr>
              <w:t>20</w:t>
            </w:r>
          </w:hyperlink>
        </w:p>
        <w:p>
          <w:pPr>
            <w:pStyle w:val="Contents4"/>
            <w:rPr>
              <w:rFonts w:ascii="Calibri" w:hAnsi="Calibri" w:cs="Calibri"/>
              <w:sz w:val="22"/>
              <w:szCs w:val="22"/>
              <w:lang w:val="en-US" w:eastAsia="en-US"/>
            </w:rPr>
          </w:pPr>
          <w:r>
            <w:rPr>
              <w:lang w:val="en-US" w:eastAsia="en-US"/>
            </w:rPr>
            <w:t>5.2.9.4</w:t>
          </w:r>
          <w:r>
            <w:rPr>
              <w:rFonts w:cs="Calibri" w:ascii="Calibri" w:hAnsi="Calibri"/>
              <w:sz w:val="22"/>
              <w:szCs w:val="22"/>
              <w:lang w:val="en-US" w:eastAsia="en-US"/>
            </w:rPr>
            <w:tab/>
          </w:r>
          <w:r>
            <w:rPr>
              <w:lang w:val="en-US" w:eastAsia="en-US"/>
            </w:rPr>
            <w:t>NE registration</w:t>
            <w:tab/>
          </w:r>
          <w:hyperlink w:anchor="__RefHeading___Toc145337356">
            <w:r>
              <w:rPr>
                <w:rStyle w:val="IndexLink"/>
                <w:lang w:val="en-US" w:eastAsia="en-US"/>
              </w:rPr>
              <w:t>21</w:t>
            </w:r>
          </w:hyperlink>
        </w:p>
        <w:p>
          <w:pPr>
            <w:pStyle w:val="Contents3"/>
            <w:rPr>
              <w:rFonts w:ascii="Calibri" w:hAnsi="Calibri" w:cs="Calibri"/>
              <w:sz w:val="22"/>
              <w:szCs w:val="22"/>
              <w:lang w:val="en-US" w:eastAsia="en-US"/>
            </w:rPr>
          </w:pPr>
          <w:r>
            <w:rPr>
              <w:lang w:val="en-US" w:eastAsia="en-US"/>
            </w:rPr>
            <w:t>5.2.10</w:t>
          </w:r>
          <w:r>
            <w:rPr>
              <w:rFonts w:cs="Calibri" w:ascii="Calibri" w:hAnsi="Calibri"/>
              <w:sz w:val="22"/>
              <w:szCs w:val="22"/>
              <w:lang w:val="en-US" w:eastAsia="en-US"/>
            </w:rPr>
            <w:tab/>
          </w:r>
          <w:r>
            <w:rPr>
              <w:lang w:val="en-US" w:eastAsia="en-US"/>
            </w:rPr>
            <w:t>End entity deregistration</w:t>
            <w:tab/>
          </w:r>
          <w:hyperlink w:anchor="__RefHeading___Toc145337357">
            <w:r>
              <w:rPr>
                <w:rStyle w:val="IndexLink"/>
                <w:lang w:val="en-US" w:eastAsia="en-US"/>
              </w:rPr>
              <w:t>21</w:t>
            </w:r>
          </w:hyperlink>
        </w:p>
        <w:p>
          <w:pPr>
            <w:pStyle w:val="Contents4"/>
            <w:rPr>
              <w:rFonts w:ascii="Calibri" w:hAnsi="Calibri" w:cs="Calibri"/>
              <w:sz w:val="22"/>
              <w:szCs w:val="22"/>
              <w:lang w:val="en-US" w:eastAsia="en-US"/>
            </w:rPr>
          </w:pPr>
          <w:r>
            <w:rPr>
              <w:lang w:val="en-US" w:eastAsia="en-US"/>
            </w:rPr>
            <w:t>5.2.10.1</w:t>
          </w:r>
          <w:r>
            <w:rPr>
              <w:rFonts w:cs="Calibri" w:ascii="Calibri" w:hAnsi="Calibri"/>
              <w:sz w:val="22"/>
              <w:szCs w:val="22"/>
              <w:lang w:val="en-US" w:eastAsia="en-US"/>
            </w:rPr>
            <w:tab/>
          </w:r>
          <w:r>
            <w:rPr>
              <w:lang w:val="en-US" w:eastAsia="en-US"/>
            </w:rPr>
            <w:t>SEG deregistration</w:t>
            <w:tab/>
          </w:r>
          <w:hyperlink w:anchor="__RefHeading___Toc145337358">
            <w:r>
              <w:rPr>
                <w:rStyle w:val="IndexLink"/>
                <w:lang w:val="en-US" w:eastAsia="en-US"/>
              </w:rPr>
              <w:t>21</w:t>
            </w:r>
          </w:hyperlink>
        </w:p>
        <w:p>
          <w:pPr>
            <w:pStyle w:val="Contents4"/>
            <w:rPr>
              <w:rFonts w:ascii="Calibri" w:hAnsi="Calibri" w:cs="Calibri"/>
              <w:sz w:val="22"/>
              <w:szCs w:val="22"/>
              <w:lang w:val="en-US" w:eastAsia="en-US"/>
            </w:rPr>
          </w:pPr>
          <w:r>
            <w:rPr>
              <w:lang w:val="en-US" w:eastAsia="en-US"/>
            </w:rPr>
            <w:t>5.2.10.2</w:t>
          </w:r>
          <w:r>
            <w:rPr>
              <w:rFonts w:cs="Calibri" w:ascii="Calibri" w:hAnsi="Calibri"/>
              <w:sz w:val="22"/>
              <w:szCs w:val="22"/>
              <w:lang w:val="en-US" w:eastAsia="en-US"/>
            </w:rPr>
            <w:tab/>
          </w:r>
          <w:r>
            <w:rPr>
              <w:lang w:val="en-US" w:eastAsia="en-US"/>
            </w:rPr>
            <w:t>TLS client deregistration</w:t>
            <w:tab/>
          </w:r>
          <w:hyperlink w:anchor="__RefHeading___Toc145337359">
            <w:r>
              <w:rPr>
                <w:rStyle w:val="IndexLink"/>
                <w:lang w:val="en-US" w:eastAsia="en-US"/>
              </w:rPr>
              <w:t>21</w:t>
            </w:r>
          </w:hyperlink>
        </w:p>
        <w:p>
          <w:pPr>
            <w:pStyle w:val="Contents4"/>
            <w:rPr>
              <w:rFonts w:ascii="Calibri" w:hAnsi="Calibri" w:cs="Calibri"/>
              <w:sz w:val="22"/>
              <w:szCs w:val="22"/>
              <w:lang w:val="en-US" w:eastAsia="en-US"/>
            </w:rPr>
          </w:pPr>
          <w:r>
            <w:rPr>
              <w:lang w:val="en-US" w:eastAsia="en-US"/>
            </w:rPr>
            <w:t>5.2.10.3</w:t>
          </w:r>
          <w:r>
            <w:rPr>
              <w:rFonts w:cs="Calibri" w:ascii="Calibri" w:hAnsi="Calibri"/>
              <w:sz w:val="22"/>
              <w:szCs w:val="22"/>
              <w:lang w:val="en-US" w:eastAsia="en-US"/>
            </w:rPr>
            <w:tab/>
          </w:r>
          <w:r>
            <w:rPr>
              <w:lang w:val="en-US" w:eastAsia="en-US"/>
            </w:rPr>
            <w:t>TLS server deregistration</w:t>
            <w:tab/>
          </w:r>
          <w:hyperlink w:anchor="__RefHeading___Toc145337360">
            <w:r>
              <w:rPr>
                <w:rStyle w:val="IndexLink"/>
                <w:lang w:val="en-US" w:eastAsia="en-US"/>
              </w:rPr>
              <w:t>21</w:t>
            </w:r>
          </w:hyperlink>
        </w:p>
        <w:p>
          <w:pPr>
            <w:pStyle w:val="Contents4"/>
            <w:rPr>
              <w:rFonts w:ascii="Calibri" w:hAnsi="Calibri" w:cs="Calibri"/>
              <w:sz w:val="22"/>
              <w:szCs w:val="22"/>
              <w:lang w:val="en-US" w:eastAsia="en-US"/>
            </w:rPr>
          </w:pPr>
          <w:r>
            <w:rPr>
              <w:lang w:val="en-US" w:eastAsia="en-US"/>
            </w:rPr>
            <w:t>5.2.10.4</w:t>
          </w:r>
          <w:r>
            <w:rPr>
              <w:rFonts w:cs="Calibri" w:ascii="Calibri" w:hAnsi="Calibri"/>
              <w:sz w:val="22"/>
              <w:szCs w:val="22"/>
              <w:lang w:val="en-US" w:eastAsia="en-US"/>
            </w:rPr>
            <w:tab/>
          </w:r>
          <w:r>
            <w:rPr>
              <w:lang w:val="en-US" w:eastAsia="en-US"/>
            </w:rPr>
            <w:t>NE deregistration</w:t>
            <w:tab/>
          </w:r>
          <w:hyperlink w:anchor="__RefHeading___Toc145337361">
            <w:r>
              <w:rPr>
                <w:rStyle w:val="IndexLink"/>
                <w:lang w:val="en-US" w:eastAsia="en-US"/>
              </w:rPr>
              <w:t>21</w:t>
            </w:r>
          </w:hyperlink>
        </w:p>
        <w:p>
          <w:pPr>
            <w:pStyle w:val="Contents3"/>
            <w:rPr>
              <w:rFonts w:ascii="Calibri" w:hAnsi="Calibri" w:cs="Calibri"/>
              <w:sz w:val="22"/>
              <w:szCs w:val="22"/>
              <w:lang w:val="en-US" w:eastAsia="en-US"/>
            </w:rPr>
          </w:pPr>
          <w:r>
            <w:rPr>
              <w:lang w:val="en-US" w:eastAsia="en-US"/>
            </w:rPr>
            <w:t>5.2.11</w:t>
          </w:r>
          <w:r>
            <w:rPr>
              <w:rFonts w:cs="Calibri" w:ascii="Calibri" w:hAnsi="Calibri"/>
              <w:sz w:val="22"/>
              <w:szCs w:val="22"/>
              <w:lang w:val="en-US" w:eastAsia="en-US"/>
            </w:rPr>
            <w:tab/>
          </w:r>
          <w:r>
            <w:rPr>
              <w:lang w:val="en-US" w:eastAsia="en-US"/>
            </w:rPr>
            <w:t>End entity certificate creation</w:t>
            <w:tab/>
          </w:r>
          <w:hyperlink w:anchor="__RefHeading___Toc145337362">
            <w:r>
              <w:rPr>
                <w:rStyle w:val="IndexLink"/>
                <w:lang w:val="en-US" w:eastAsia="en-US"/>
              </w:rPr>
              <w:t>21</w:t>
            </w:r>
          </w:hyperlink>
        </w:p>
        <w:p>
          <w:pPr>
            <w:pStyle w:val="Contents3"/>
            <w:rPr>
              <w:rFonts w:ascii="Calibri" w:hAnsi="Calibri" w:cs="Calibri"/>
              <w:sz w:val="22"/>
              <w:szCs w:val="22"/>
              <w:lang w:val="en-US" w:eastAsia="en-US"/>
            </w:rPr>
          </w:pPr>
          <w:r>
            <w:rPr>
              <w:lang w:val="en-US" w:eastAsia="en-US"/>
            </w:rPr>
            <w:t>5.2.12</w:t>
          </w:r>
          <w:r>
            <w:rPr>
              <w:rFonts w:cs="Calibri" w:ascii="Calibri" w:hAnsi="Calibri"/>
              <w:sz w:val="22"/>
              <w:szCs w:val="22"/>
              <w:lang w:val="en-US" w:eastAsia="en-US"/>
            </w:rPr>
            <w:tab/>
          </w:r>
          <w:r>
            <w:rPr>
              <w:lang w:val="en-US" w:eastAsia="en-US"/>
            </w:rPr>
            <w:t>End entity certificate revocation</w:t>
            <w:tab/>
          </w:r>
          <w:hyperlink w:anchor="__RefHeading___Toc145337363">
            <w:r>
              <w:rPr>
                <w:rStyle w:val="IndexLink"/>
                <w:lang w:val="en-US" w:eastAsia="en-US"/>
              </w:rPr>
              <w:t>21</w:t>
            </w:r>
          </w:hyperlink>
        </w:p>
        <w:p>
          <w:pPr>
            <w:pStyle w:val="Contents3"/>
            <w:rPr>
              <w:rFonts w:ascii="Calibri" w:hAnsi="Calibri" w:cs="Calibri"/>
              <w:sz w:val="22"/>
              <w:szCs w:val="22"/>
              <w:lang w:val="fr-FR" w:eastAsia="en-US"/>
            </w:rPr>
          </w:pPr>
          <w:r>
            <w:rPr>
              <w:lang w:val="fr-FR" w:eastAsia="en-US"/>
            </w:rPr>
            <w:t>5.2.13</w:t>
          </w:r>
          <w:r>
            <w:rPr>
              <w:rFonts w:cs="Calibri" w:ascii="Calibri" w:hAnsi="Calibri"/>
              <w:sz w:val="22"/>
              <w:szCs w:val="22"/>
              <w:lang w:val="fr-FR" w:eastAsia="en-US"/>
            </w:rPr>
            <w:tab/>
          </w:r>
          <w:r>
            <w:rPr>
              <w:lang w:val="fr-FR" w:eastAsia="en-US"/>
            </w:rPr>
            <w:t>End entity certificate renewal</w:t>
            <w:tab/>
          </w:r>
          <w:hyperlink w:anchor="__RefHeading___Toc145337364">
            <w:r>
              <w:rPr>
                <w:rStyle w:val="IndexLink"/>
                <w:lang w:val="fr-FR" w:eastAsia="en-US"/>
              </w:rPr>
              <w:t>21</w:t>
            </w:r>
          </w:hyperlink>
        </w:p>
        <w:p>
          <w:pPr>
            <w:pStyle w:val="Contents3"/>
            <w:rPr>
              <w:rFonts w:ascii="Calibri" w:hAnsi="Calibri" w:cs="Calibri"/>
              <w:sz w:val="22"/>
              <w:szCs w:val="22"/>
              <w:lang w:val="fr-FR" w:eastAsia="en-US"/>
            </w:rPr>
          </w:pPr>
          <w:r>
            <w:rPr>
              <w:lang w:val="fr-FR" w:eastAsia="en-US"/>
            </w:rPr>
            <w:t>5.2.14</w:t>
          </w:r>
          <w:r>
            <w:rPr>
              <w:rFonts w:cs="Calibri" w:ascii="Calibri" w:hAnsi="Calibri"/>
              <w:sz w:val="22"/>
              <w:szCs w:val="22"/>
              <w:lang w:val="fr-FR" w:eastAsia="en-US"/>
            </w:rPr>
            <w:tab/>
          </w:r>
          <w:r>
            <w:rPr>
              <w:lang w:val="fr-FR" w:eastAsia="en-US"/>
            </w:rPr>
            <w:t>NE CA deregistration</w:t>
            <w:tab/>
          </w:r>
          <w:hyperlink w:anchor="__RefHeading___Toc145337365">
            <w:r>
              <w:rPr>
                <w:rStyle w:val="IndexLink"/>
                <w:lang w:val="fr-FR" w:eastAsia="en-US"/>
              </w:rPr>
              <w:t>21</w:t>
            </w:r>
          </w:hyperlink>
        </w:p>
        <w:p>
          <w:pPr>
            <w:pStyle w:val="Contents3"/>
            <w:rPr>
              <w:rFonts w:ascii="Calibri" w:hAnsi="Calibri" w:cs="Calibri"/>
              <w:sz w:val="22"/>
              <w:szCs w:val="22"/>
              <w:lang w:val="fr-FR" w:eastAsia="en-US"/>
            </w:rPr>
          </w:pPr>
          <w:r>
            <w:rPr>
              <w:lang w:val="fr-FR" w:eastAsia="en-US"/>
            </w:rPr>
            <w:t>5.2.15</w:t>
          </w:r>
          <w:r>
            <w:rPr>
              <w:rFonts w:cs="Calibri" w:ascii="Calibri" w:hAnsi="Calibri"/>
              <w:sz w:val="22"/>
              <w:szCs w:val="22"/>
              <w:lang w:val="fr-FR" w:eastAsia="en-US"/>
            </w:rPr>
            <w:tab/>
          </w:r>
          <w:r>
            <w:rPr>
              <w:lang w:val="fr-FR" w:eastAsia="en-US"/>
            </w:rPr>
            <w:t>NE CA certification creation</w:t>
            <w:tab/>
          </w:r>
          <w:hyperlink w:anchor="__RefHeading___Toc145337366">
            <w:r>
              <w:rPr>
                <w:rStyle w:val="IndexLink"/>
                <w:lang w:val="fr-FR" w:eastAsia="en-US"/>
              </w:rPr>
              <w:t>21</w:t>
            </w:r>
          </w:hyperlink>
        </w:p>
        <w:p>
          <w:pPr>
            <w:pStyle w:val="Contents3"/>
            <w:rPr>
              <w:rFonts w:ascii="Calibri" w:hAnsi="Calibri" w:cs="Calibri"/>
              <w:sz w:val="22"/>
              <w:szCs w:val="22"/>
              <w:lang w:val="fr-FR" w:eastAsia="en-US"/>
            </w:rPr>
          </w:pPr>
          <w:r>
            <w:rPr>
              <w:lang w:val="fr-FR" w:eastAsia="en-US"/>
            </w:rPr>
            <w:t>5.2.16</w:t>
          </w:r>
          <w:r>
            <w:rPr>
              <w:rFonts w:cs="Calibri" w:ascii="Calibri" w:hAnsi="Calibri"/>
              <w:sz w:val="22"/>
              <w:szCs w:val="22"/>
              <w:lang w:val="fr-FR" w:eastAsia="en-US"/>
            </w:rPr>
            <w:tab/>
          </w:r>
          <w:r>
            <w:rPr>
              <w:lang w:val="fr-FR" w:eastAsia="en-US"/>
            </w:rPr>
            <w:t>NE CA certificate revocation</w:t>
            <w:tab/>
          </w:r>
          <w:hyperlink w:anchor="__RefHeading___Toc145337367">
            <w:r>
              <w:rPr>
                <w:rStyle w:val="IndexLink"/>
                <w:lang w:val="fr-FR" w:eastAsia="en-US"/>
              </w:rPr>
              <w:t>22</w:t>
            </w:r>
          </w:hyperlink>
        </w:p>
        <w:p>
          <w:pPr>
            <w:pStyle w:val="Contents3"/>
            <w:rPr>
              <w:rFonts w:ascii="Calibri" w:hAnsi="Calibri" w:cs="Calibri"/>
              <w:sz w:val="22"/>
              <w:szCs w:val="22"/>
              <w:lang w:val="fr-FR" w:eastAsia="en-US"/>
            </w:rPr>
          </w:pPr>
          <w:r>
            <w:rPr>
              <w:lang w:val="fr-FR" w:eastAsia="en-US"/>
            </w:rPr>
            <w:t>5.2.17</w:t>
          </w:r>
          <w:r>
            <w:rPr>
              <w:rFonts w:cs="Calibri" w:ascii="Calibri" w:hAnsi="Calibri"/>
              <w:sz w:val="22"/>
              <w:szCs w:val="22"/>
              <w:lang w:val="fr-FR" w:eastAsia="en-US"/>
            </w:rPr>
            <w:tab/>
          </w:r>
          <w:r>
            <w:rPr>
              <w:lang w:val="fr-FR" w:eastAsia="en-US"/>
            </w:rPr>
            <w:t>NE CA certificate renewal</w:t>
            <w:tab/>
          </w:r>
          <w:hyperlink w:anchor="__RefHeading___Toc145337368">
            <w:r>
              <w:rPr>
                <w:rStyle w:val="IndexLink"/>
                <w:lang w:val="fr-FR" w:eastAsia="en-US"/>
              </w:rPr>
              <w:t>22</w:t>
            </w:r>
          </w:hyperlink>
        </w:p>
        <w:p>
          <w:pPr>
            <w:pStyle w:val="Contents1"/>
            <w:rPr>
              <w:rFonts w:ascii="Calibri" w:hAnsi="Calibri" w:cs="Calibri"/>
              <w:szCs w:val="22"/>
              <w:lang w:val="en-US" w:eastAsia="en-US"/>
            </w:rPr>
          </w:pPr>
          <w:r>
            <w:rPr>
              <w:lang w:val="en-US" w:eastAsia="en-US"/>
            </w:rPr>
            <w:t>6</w:t>
          </w:r>
          <w:r>
            <w:rPr>
              <w:rFonts w:cs="Calibri" w:ascii="Calibri" w:hAnsi="Calibri"/>
              <w:szCs w:val="22"/>
              <w:lang w:val="en-US" w:eastAsia="en-US"/>
            </w:rPr>
            <w:tab/>
          </w:r>
          <w:r>
            <w:rPr>
              <w:lang w:val="en-US" w:eastAsia="en-US"/>
            </w:rPr>
            <w:t>Profiling</w:t>
            <w:tab/>
          </w:r>
          <w:hyperlink w:anchor="__RefHeading___Toc145337369">
            <w:r>
              <w:rPr>
                <w:rStyle w:val="IndexLink"/>
                <w:lang w:val="en-US" w:eastAsia="en-US"/>
              </w:rPr>
              <w:t>22</w:t>
            </w:r>
          </w:hyperlink>
        </w:p>
        <w:p>
          <w:pPr>
            <w:pStyle w:val="Contents2"/>
            <w:rPr>
              <w:rFonts w:ascii="Calibri" w:hAnsi="Calibri" w:cs="Calibri"/>
              <w:sz w:val="22"/>
              <w:szCs w:val="22"/>
              <w:lang w:val="en-US" w:eastAsia="en-US"/>
            </w:rPr>
          </w:pPr>
          <w:r>
            <w:rPr>
              <w:lang w:val="en-US" w:eastAsia="en-US"/>
            </w:rPr>
            <w:t>6.1</w:t>
          </w:r>
          <w:r>
            <w:rPr>
              <w:rFonts w:cs="Calibri" w:ascii="Calibri" w:hAnsi="Calibri"/>
              <w:sz w:val="22"/>
              <w:szCs w:val="22"/>
              <w:lang w:val="en-US" w:eastAsia="en-US"/>
            </w:rPr>
            <w:tab/>
          </w:r>
          <w:r>
            <w:rPr>
              <w:lang w:val="en-US" w:eastAsia="en-US"/>
            </w:rPr>
            <w:t>Certificate profiles</w:t>
            <w:tab/>
          </w:r>
          <w:hyperlink w:anchor="__RefHeading___Toc145337370">
            <w:r>
              <w:rPr>
                <w:rStyle w:val="IndexLink"/>
                <w:lang w:val="en-US" w:eastAsia="en-US"/>
              </w:rPr>
              <w:t>22</w:t>
            </w:r>
          </w:hyperlink>
        </w:p>
        <w:p>
          <w:pPr>
            <w:pStyle w:val="Contents3"/>
            <w:rPr>
              <w:rFonts w:ascii="Calibri" w:hAnsi="Calibri" w:cs="Calibri"/>
              <w:sz w:val="22"/>
              <w:szCs w:val="22"/>
              <w:lang w:val="en-US" w:eastAsia="en-US"/>
            </w:rPr>
          </w:pPr>
          <w:r>
            <w:rPr>
              <w:lang w:val="en-US" w:eastAsia="en-US"/>
            </w:rPr>
            <w:t>6.1.1</w:t>
          </w:r>
          <w:r>
            <w:rPr>
              <w:rFonts w:cs="Calibri" w:ascii="Calibri" w:hAnsi="Calibri"/>
              <w:sz w:val="22"/>
              <w:szCs w:val="22"/>
              <w:lang w:val="en-US" w:eastAsia="en-US"/>
            </w:rPr>
            <w:tab/>
          </w:r>
          <w:r>
            <w:rPr>
              <w:lang w:val="en-US" w:eastAsia="en-US"/>
            </w:rPr>
            <w:t>Common rules to all certificates</w:t>
            <w:tab/>
          </w:r>
          <w:hyperlink w:anchor="__RefHeading___Toc145337371">
            <w:r>
              <w:rPr>
                <w:rStyle w:val="IndexLink"/>
                <w:lang w:val="en-US" w:eastAsia="en-US"/>
              </w:rPr>
              <w:t>22</w:t>
            </w:r>
          </w:hyperlink>
        </w:p>
        <w:p>
          <w:pPr>
            <w:pStyle w:val="Contents3"/>
            <w:rPr>
              <w:rFonts w:ascii="Calibri" w:hAnsi="Calibri" w:cs="Calibri"/>
              <w:sz w:val="22"/>
              <w:szCs w:val="22"/>
              <w:lang w:val="fr-FR" w:eastAsia="en-US"/>
            </w:rPr>
          </w:pPr>
          <w:r>
            <w:rPr>
              <w:lang w:val="fr-FR" w:eastAsia="en-US"/>
            </w:rPr>
            <w:t>6.1.2</w:t>
          </w:r>
          <w:r>
            <w:rPr>
              <w:rFonts w:cs="Calibri" w:ascii="Calibri" w:hAnsi="Calibri"/>
              <w:sz w:val="22"/>
              <w:szCs w:val="22"/>
              <w:lang w:val="fr-FR" w:eastAsia="en-US"/>
            </w:rPr>
            <w:tab/>
          </w:r>
          <w:r>
            <w:rPr>
              <w:lang w:val="fr-FR" w:eastAsia="en-US"/>
            </w:rPr>
            <w:t>Interconnection CA Certificate profile</w:t>
            <w:tab/>
          </w:r>
          <w:hyperlink w:anchor="__RefHeading___Toc145337372">
            <w:r>
              <w:rPr>
                <w:rStyle w:val="IndexLink"/>
                <w:lang w:val="fr-FR" w:eastAsia="en-US"/>
              </w:rPr>
              <w:t>23</w:t>
            </w:r>
          </w:hyperlink>
        </w:p>
        <w:p>
          <w:pPr>
            <w:pStyle w:val="Contents3"/>
            <w:rPr>
              <w:rFonts w:ascii="Calibri" w:hAnsi="Calibri" w:cs="Calibri"/>
              <w:sz w:val="22"/>
              <w:szCs w:val="22"/>
              <w:lang w:val="fr-FR" w:eastAsia="en-US"/>
            </w:rPr>
          </w:pPr>
          <w:r>
            <w:rPr>
              <w:lang w:val="fr-FR" w:eastAsia="en-US"/>
            </w:rPr>
            <w:t>6.1.3</w:t>
          </w:r>
          <w:r>
            <w:rPr>
              <w:rFonts w:cs="Calibri" w:ascii="Calibri" w:hAnsi="Calibri"/>
              <w:sz w:val="22"/>
              <w:szCs w:val="22"/>
              <w:lang w:val="fr-FR" w:eastAsia="en-US"/>
            </w:rPr>
            <w:tab/>
          </w:r>
          <w:r>
            <w:rPr>
              <w:lang w:val="fr-FR" w:eastAsia="en-US"/>
            </w:rPr>
            <w:t>SEG Certificate profile</w:t>
            <w:tab/>
          </w:r>
          <w:hyperlink w:anchor="__RefHeading___Toc145337373">
            <w:r>
              <w:rPr>
                <w:rStyle w:val="IndexLink"/>
                <w:lang w:val="fr-FR" w:eastAsia="en-US"/>
              </w:rPr>
              <w:t>24</w:t>
            </w:r>
          </w:hyperlink>
        </w:p>
        <w:p>
          <w:pPr>
            <w:pStyle w:val="Contents3"/>
            <w:rPr>
              <w:rFonts w:ascii="Calibri" w:hAnsi="Calibri" w:cs="Calibri"/>
              <w:sz w:val="22"/>
              <w:szCs w:val="22"/>
              <w:lang w:val="fr-FR" w:eastAsia="en-US"/>
            </w:rPr>
          </w:pPr>
          <w:r>
            <w:rPr>
              <w:lang w:val="fr-FR" w:eastAsia="en-US"/>
            </w:rPr>
            <w:t>6.1.3a</w:t>
          </w:r>
          <w:r>
            <w:rPr>
              <w:rFonts w:cs="Calibri" w:ascii="Calibri" w:hAnsi="Calibri"/>
              <w:sz w:val="22"/>
              <w:szCs w:val="22"/>
              <w:lang w:val="fr-FR" w:eastAsia="en-US"/>
            </w:rPr>
            <w:tab/>
          </w:r>
          <w:r>
            <w:rPr>
              <w:lang w:val="fr-FR" w:eastAsia="en-US"/>
            </w:rPr>
            <w:t>TLS entity certificate profile</w:t>
            <w:tab/>
          </w:r>
          <w:hyperlink w:anchor="__RefHeading___Toc145337374">
            <w:r>
              <w:rPr>
                <w:rStyle w:val="IndexLink"/>
                <w:lang w:val="fr-FR" w:eastAsia="en-US"/>
              </w:rPr>
              <w:t>24</w:t>
            </w:r>
          </w:hyperlink>
        </w:p>
        <w:p>
          <w:pPr>
            <w:pStyle w:val="Contents3"/>
            <w:rPr>
              <w:rFonts w:ascii="Calibri" w:hAnsi="Calibri" w:cs="Calibri"/>
              <w:sz w:val="22"/>
              <w:szCs w:val="22"/>
              <w:lang w:val="fr-FR" w:eastAsia="en-US"/>
            </w:rPr>
          </w:pPr>
          <w:r>
            <w:rPr>
              <w:lang w:val="fr-FR" w:eastAsia="en-US"/>
            </w:rPr>
            <w:t>6.1.3b</w:t>
          </w:r>
          <w:r>
            <w:rPr>
              <w:rFonts w:cs="Calibri" w:ascii="Calibri" w:hAnsi="Calibri"/>
              <w:sz w:val="22"/>
              <w:szCs w:val="22"/>
              <w:lang w:val="fr-FR" w:eastAsia="en-US"/>
            </w:rPr>
            <w:tab/>
          </w:r>
          <w:r>
            <w:rPr>
              <w:lang w:val="fr-FR" w:eastAsia="en-US"/>
            </w:rPr>
            <w:t>NE Certificate profile</w:t>
            <w:tab/>
          </w:r>
          <w:hyperlink w:anchor="__RefHeading___Toc145337375">
            <w:r>
              <w:rPr>
                <w:rStyle w:val="IndexLink"/>
                <w:lang w:val="fr-FR" w:eastAsia="en-US"/>
              </w:rPr>
              <w:t>25</w:t>
            </w:r>
          </w:hyperlink>
        </w:p>
        <w:p>
          <w:pPr>
            <w:pStyle w:val="Contents3"/>
            <w:rPr>
              <w:rFonts w:ascii="Calibri" w:hAnsi="Calibri" w:cs="Calibri"/>
              <w:sz w:val="22"/>
              <w:szCs w:val="22"/>
              <w:lang w:val="fr-FR" w:eastAsia="en-US"/>
            </w:rPr>
          </w:pPr>
          <w:r>
            <w:rPr>
              <w:lang w:val="fr-FR" w:eastAsia="en-US"/>
            </w:rPr>
            <w:t>6.1.3c</w:t>
          </w:r>
          <w:r>
            <w:rPr>
              <w:rFonts w:cs="Calibri" w:ascii="Calibri" w:hAnsi="Calibri"/>
              <w:sz w:val="22"/>
              <w:szCs w:val="22"/>
              <w:lang w:val="fr-FR" w:eastAsia="en-US"/>
            </w:rPr>
            <w:tab/>
          </w:r>
          <w:r>
            <w:rPr>
              <w:lang w:val="fr-FR" w:eastAsia="en-US"/>
            </w:rPr>
            <w:t>SBA Certificate profile</w:t>
            <w:tab/>
          </w:r>
          <w:hyperlink w:anchor="__RefHeading___Toc145337376">
            <w:r>
              <w:rPr>
                <w:rStyle w:val="IndexLink"/>
                <w:lang w:val="fr-FR" w:eastAsia="en-US"/>
              </w:rPr>
              <w:t>25</w:t>
            </w:r>
          </w:hyperlink>
        </w:p>
        <w:p>
          <w:pPr>
            <w:pStyle w:val="Contents4"/>
            <w:rPr>
              <w:rFonts w:ascii="Calibri" w:hAnsi="Calibri" w:cs="Calibri"/>
              <w:sz w:val="22"/>
              <w:szCs w:val="22"/>
              <w:lang w:val="fr-FR" w:eastAsia="en-US"/>
            </w:rPr>
          </w:pPr>
          <w:r>
            <w:rPr>
              <w:lang w:val="fr-FR" w:eastAsia="en-US"/>
            </w:rPr>
            <w:t>6.1.3c.1</w:t>
          </w:r>
          <w:r>
            <w:rPr>
              <w:rFonts w:cs="Calibri" w:ascii="Calibri" w:hAnsi="Calibri"/>
              <w:sz w:val="22"/>
              <w:szCs w:val="22"/>
              <w:lang w:val="fr-FR" w:eastAsia="en-US"/>
            </w:rPr>
            <w:tab/>
          </w:r>
          <w:r>
            <w:rPr>
              <w:lang w:val="fr-FR" w:eastAsia="en-US"/>
            </w:rPr>
            <w:t>Introduction</w:t>
            <w:tab/>
          </w:r>
          <w:hyperlink w:anchor="__RefHeading___Toc145337377">
            <w:r>
              <w:rPr>
                <w:rStyle w:val="IndexLink"/>
                <w:lang w:val="fr-FR" w:eastAsia="en-US"/>
              </w:rPr>
              <w:t>25</w:t>
            </w:r>
          </w:hyperlink>
        </w:p>
        <w:p>
          <w:pPr>
            <w:pStyle w:val="Contents4"/>
            <w:rPr>
              <w:rFonts w:ascii="Calibri" w:hAnsi="Calibri" w:cs="Calibri"/>
              <w:sz w:val="22"/>
              <w:szCs w:val="22"/>
              <w:lang w:val="fr-FR" w:eastAsia="en-US"/>
            </w:rPr>
          </w:pPr>
          <w:r>
            <w:rPr>
              <w:lang w:val="fr-FR" w:eastAsia="en-US"/>
            </w:rPr>
            <w:t>6.1.3c.2</w:t>
          </w:r>
          <w:r>
            <w:rPr>
              <w:rFonts w:cs="Calibri" w:ascii="Calibri" w:hAnsi="Calibri"/>
              <w:sz w:val="22"/>
              <w:szCs w:val="22"/>
              <w:lang w:val="fr-FR" w:eastAsia="en-US"/>
            </w:rPr>
            <w:tab/>
          </w:r>
          <w:r>
            <w:rPr>
              <w:lang w:val="fr-FR" w:eastAsia="en-US"/>
            </w:rPr>
            <w:t>General SBA Certificate profile</w:t>
            <w:tab/>
          </w:r>
          <w:hyperlink w:anchor="__RefHeading___Toc145337378">
            <w:r>
              <w:rPr>
                <w:rStyle w:val="IndexLink"/>
                <w:lang w:val="fr-FR" w:eastAsia="en-US"/>
              </w:rPr>
              <w:t>25</w:t>
            </w:r>
          </w:hyperlink>
        </w:p>
        <w:p>
          <w:pPr>
            <w:pStyle w:val="Contents4"/>
            <w:rPr>
              <w:rFonts w:ascii="Calibri" w:hAnsi="Calibri" w:cs="Calibri"/>
              <w:sz w:val="22"/>
              <w:szCs w:val="22"/>
              <w:lang w:val="fr-FR" w:eastAsia="en-US"/>
            </w:rPr>
          </w:pPr>
          <w:r>
            <w:rPr>
              <w:lang w:val="fr-FR" w:eastAsia="en-US"/>
            </w:rPr>
            <w:t>6.1.3c.3</w:t>
          </w:r>
          <w:r>
            <w:rPr>
              <w:rFonts w:cs="Calibri" w:ascii="Calibri" w:hAnsi="Calibri"/>
              <w:sz w:val="22"/>
              <w:szCs w:val="22"/>
              <w:lang w:val="fr-FR" w:eastAsia="en-US"/>
            </w:rPr>
            <w:tab/>
          </w:r>
          <w:r>
            <w:rPr>
              <w:lang w:val="fr-FR" w:eastAsia="en-US"/>
            </w:rPr>
            <w:t>NF Certificate profile</w:t>
            <w:tab/>
          </w:r>
          <w:hyperlink w:anchor="__RefHeading___Toc145337379">
            <w:r>
              <w:rPr>
                <w:rStyle w:val="IndexLink"/>
                <w:lang w:val="fr-FR" w:eastAsia="en-US"/>
              </w:rPr>
              <w:t>25</w:t>
            </w:r>
          </w:hyperlink>
        </w:p>
        <w:p>
          <w:pPr>
            <w:pStyle w:val="Contents4"/>
            <w:rPr>
              <w:rFonts w:ascii="Calibri" w:hAnsi="Calibri" w:cs="Calibri"/>
              <w:sz w:val="22"/>
              <w:szCs w:val="22"/>
              <w:lang w:val="fr-FR" w:eastAsia="en-US"/>
            </w:rPr>
          </w:pPr>
          <w:r>
            <w:rPr>
              <w:lang w:val="fr-FR" w:eastAsia="en-US"/>
            </w:rPr>
            <w:t>6.1.3c.4</w:t>
          </w:r>
          <w:r>
            <w:rPr>
              <w:rFonts w:cs="Calibri" w:ascii="Calibri" w:hAnsi="Calibri"/>
              <w:sz w:val="22"/>
              <w:szCs w:val="22"/>
              <w:lang w:val="fr-FR" w:eastAsia="en-US"/>
            </w:rPr>
            <w:tab/>
          </w:r>
          <w:r>
            <w:rPr>
              <w:lang w:val="fr-FR" w:eastAsia="en-US"/>
            </w:rPr>
            <w:t>SCP certificate profile</w:t>
            <w:tab/>
          </w:r>
          <w:hyperlink w:anchor="__RefHeading___Toc145337380">
            <w:r>
              <w:rPr>
                <w:rStyle w:val="IndexLink"/>
                <w:lang w:val="fr-FR" w:eastAsia="en-US"/>
              </w:rPr>
              <w:t>27</w:t>
            </w:r>
          </w:hyperlink>
        </w:p>
        <w:p>
          <w:pPr>
            <w:pStyle w:val="Contents4"/>
            <w:rPr>
              <w:rFonts w:ascii="Calibri" w:hAnsi="Calibri" w:cs="Calibri"/>
              <w:sz w:val="22"/>
              <w:szCs w:val="22"/>
              <w:lang w:val="fr-FR" w:eastAsia="en-US"/>
            </w:rPr>
          </w:pPr>
          <w:r>
            <w:rPr>
              <w:lang w:val="fr-FR" w:eastAsia="en-US"/>
            </w:rPr>
            <w:t>6.1.3c.5</w:t>
          </w:r>
          <w:r>
            <w:rPr>
              <w:rFonts w:cs="Calibri" w:ascii="Calibri" w:hAnsi="Calibri"/>
              <w:sz w:val="22"/>
              <w:szCs w:val="22"/>
              <w:lang w:val="fr-FR" w:eastAsia="en-US"/>
            </w:rPr>
            <w:tab/>
          </w:r>
          <w:r>
            <w:rPr>
              <w:lang w:val="fr-FR" w:eastAsia="en-US"/>
            </w:rPr>
            <w:t>SEPP certificate profiles</w:t>
            <w:tab/>
          </w:r>
          <w:hyperlink w:anchor="__RefHeading___Toc145337381">
            <w:r>
              <w:rPr>
                <w:rStyle w:val="IndexLink"/>
                <w:lang w:val="fr-FR" w:eastAsia="en-US"/>
              </w:rPr>
              <w:t>28</w:t>
            </w:r>
          </w:hyperlink>
        </w:p>
        <w:p>
          <w:pPr>
            <w:pStyle w:val="Contents5"/>
            <w:rPr>
              <w:rFonts w:ascii="Calibri" w:hAnsi="Calibri" w:cs="Calibri"/>
              <w:sz w:val="22"/>
              <w:szCs w:val="22"/>
              <w:lang w:val="fr-FR" w:eastAsia="en-US"/>
            </w:rPr>
          </w:pPr>
          <w:r>
            <w:rPr>
              <w:lang w:val="fr-FR" w:eastAsia="en-US"/>
            </w:rPr>
            <w:t>6.1.3c.5.1</w:t>
          </w:r>
          <w:r>
            <w:rPr>
              <w:rFonts w:cs="Calibri" w:ascii="Calibri" w:hAnsi="Calibri"/>
              <w:sz w:val="22"/>
              <w:szCs w:val="22"/>
              <w:lang w:val="fr-FR" w:eastAsia="en-US"/>
            </w:rPr>
            <w:tab/>
          </w:r>
          <w:r>
            <w:rPr>
              <w:lang w:val="fr-FR" w:eastAsia="en-US"/>
            </w:rPr>
            <w:t>Introduction</w:t>
            <w:tab/>
          </w:r>
          <w:hyperlink w:anchor="__RefHeading___Toc145337382">
            <w:r>
              <w:rPr>
                <w:rStyle w:val="IndexLink"/>
                <w:lang w:val="fr-FR" w:eastAsia="en-US"/>
              </w:rPr>
              <w:t>28</w:t>
            </w:r>
          </w:hyperlink>
        </w:p>
        <w:p>
          <w:pPr>
            <w:pStyle w:val="Contents5"/>
            <w:rPr>
              <w:rFonts w:ascii="Calibri" w:hAnsi="Calibri" w:cs="Calibri"/>
              <w:sz w:val="22"/>
              <w:szCs w:val="22"/>
              <w:lang w:val="fr-FR" w:eastAsia="en-US"/>
            </w:rPr>
          </w:pPr>
          <w:r>
            <w:rPr>
              <w:lang w:val="fr-FR" w:eastAsia="en-US"/>
            </w:rPr>
            <w:t>6.1.3c.5.2</w:t>
          </w:r>
          <w:r>
            <w:rPr>
              <w:rFonts w:cs="Calibri" w:ascii="Calibri" w:hAnsi="Calibri"/>
              <w:sz w:val="22"/>
              <w:szCs w:val="22"/>
              <w:lang w:val="fr-FR" w:eastAsia="en-US"/>
            </w:rPr>
            <w:tab/>
          </w:r>
          <w:r>
            <w:rPr>
              <w:lang w:val="fr-FR" w:eastAsia="en-US"/>
            </w:rPr>
            <w:t>SEPP intra-domain certificate profile</w:t>
            <w:tab/>
          </w:r>
          <w:hyperlink w:anchor="__RefHeading___Toc145337383">
            <w:r>
              <w:rPr>
                <w:rStyle w:val="IndexLink"/>
                <w:lang w:val="fr-FR" w:eastAsia="en-US"/>
              </w:rPr>
              <w:t>28</w:t>
            </w:r>
          </w:hyperlink>
        </w:p>
        <w:p>
          <w:pPr>
            <w:pStyle w:val="Contents5"/>
            <w:rPr>
              <w:rFonts w:ascii="Calibri" w:hAnsi="Calibri" w:cs="Calibri"/>
              <w:sz w:val="22"/>
              <w:szCs w:val="22"/>
              <w:lang w:val="fr-FR" w:eastAsia="en-US"/>
            </w:rPr>
          </w:pPr>
          <w:r>
            <w:rPr>
              <w:lang w:val="fr-FR" w:eastAsia="en-US"/>
            </w:rPr>
            <w:t>6.1.3c.5.3</w:t>
          </w:r>
          <w:r>
            <w:rPr>
              <w:rFonts w:cs="Calibri" w:ascii="Calibri" w:hAnsi="Calibri"/>
              <w:sz w:val="22"/>
              <w:szCs w:val="22"/>
              <w:lang w:val="fr-FR" w:eastAsia="en-US"/>
            </w:rPr>
            <w:tab/>
          </w:r>
          <w:r>
            <w:rPr>
              <w:lang w:val="fr-FR" w:eastAsia="en-US"/>
            </w:rPr>
            <w:t>SEPP inter-domain certificate profile</w:t>
            <w:tab/>
          </w:r>
          <w:hyperlink w:anchor="__RefHeading___Toc145337384">
            <w:r>
              <w:rPr>
                <w:rStyle w:val="IndexLink"/>
                <w:lang w:val="fr-FR" w:eastAsia="en-US"/>
              </w:rPr>
              <w:t>28</w:t>
            </w:r>
          </w:hyperlink>
        </w:p>
        <w:p>
          <w:pPr>
            <w:pStyle w:val="Contents6"/>
            <w:rPr>
              <w:rFonts w:ascii="Calibri" w:hAnsi="Calibri" w:cs="Calibri"/>
              <w:sz w:val="22"/>
              <w:szCs w:val="22"/>
              <w:lang w:val="fr-FR" w:eastAsia="en-US"/>
            </w:rPr>
          </w:pPr>
          <w:r>
            <w:rPr>
              <w:lang w:val="fr-FR" w:eastAsia="en-US"/>
            </w:rPr>
            <w:t>6.1.3c.5.3.0</w:t>
          </w:r>
          <w:r>
            <w:rPr>
              <w:rFonts w:cs="Calibri" w:ascii="Calibri" w:hAnsi="Calibri"/>
              <w:sz w:val="22"/>
              <w:szCs w:val="22"/>
              <w:lang w:val="fr-FR" w:eastAsia="en-US"/>
            </w:rPr>
            <w:tab/>
          </w:r>
          <w:r>
            <w:rPr>
              <w:lang w:val="fr-FR" w:eastAsia="en-US"/>
            </w:rPr>
            <w:t>General</w:t>
            <w:tab/>
          </w:r>
          <w:hyperlink w:anchor="__RefHeading___Toc145337385">
            <w:r>
              <w:rPr>
                <w:rStyle w:val="IndexLink"/>
                <w:lang w:val="fr-FR" w:eastAsia="en-US"/>
              </w:rPr>
              <w:t>28</w:t>
            </w:r>
          </w:hyperlink>
        </w:p>
        <w:p>
          <w:pPr>
            <w:pStyle w:val="Contents6"/>
            <w:rPr>
              <w:rFonts w:ascii="Calibri" w:hAnsi="Calibri" w:cs="Calibri"/>
              <w:sz w:val="22"/>
              <w:szCs w:val="22"/>
              <w:lang w:val="fr-FR" w:eastAsia="en-US"/>
            </w:rPr>
          </w:pPr>
          <w:r>
            <w:rPr>
              <w:lang w:val="fr-FR" w:eastAsia="en-US"/>
            </w:rPr>
            <w:t>6.1.3c.5.3.1</w:t>
          </w:r>
          <w:r>
            <w:rPr>
              <w:rFonts w:cs="Calibri" w:ascii="Calibri" w:hAnsi="Calibri"/>
              <w:sz w:val="22"/>
              <w:szCs w:val="22"/>
              <w:lang w:val="fr-FR" w:eastAsia="en-US"/>
            </w:rPr>
            <w:tab/>
          </w:r>
          <w:r>
            <w:rPr>
              <w:lang w:val="fr-FR" w:eastAsia="en-US"/>
            </w:rPr>
            <w:t>SEPP inter-domain certificate profile for inter-PLMN</w:t>
            <w:tab/>
          </w:r>
          <w:hyperlink w:anchor="__RefHeading___Toc145337386">
            <w:r>
              <w:rPr>
                <w:rStyle w:val="IndexLink"/>
                <w:lang w:val="fr-FR" w:eastAsia="en-US"/>
              </w:rPr>
              <w:t>28</w:t>
            </w:r>
          </w:hyperlink>
        </w:p>
        <w:p>
          <w:pPr>
            <w:pStyle w:val="Contents6"/>
            <w:rPr>
              <w:rFonts w:ascii="Calibri" w:hAnsi="Calibri" w:cs="Calibri"/>
              <w:sz w:val="22"/>
              <w:szCs w:val="22"/>
              <w:lang w:val="fr-FR" w:eastAsia="en-US"/>
            </w:rPr>
          </w:pPr>
          <w:r>
            <w:rPr>
              <w:lang w:val="fr-FR" w:eastAsia="en-US"/>
            </w:rPr>
            <w:t>6.1.3c.5.3.2</w:t>
          </w:r>
          <w:r>
            <w:rPr>
              <w:rFonts w:cs="Calibri" w:ascii="Calibri" w:hAnsi="Calibri"/>
              <w:sz w:val="22"/>
              <w:szCs w:val="22"/>
              <w:lang w:val="fr-FR" w:eastAsia="en-US"/>
            </w:rPr>
            <w:tab/>
          </w:r>
          <w:r>
            <w:rPr>
              <w:lang w:val="fr-FR" w:eastAsia="en-US"/>
            </w:rPr>
            <w:t>SEPP inter-domain certificate profile for inter-SNPN</w:t>
            <w:tab/>
          </w:r>
          <w:hyperlink w:anchor="__RefHeading___Toc145337387">
            <w:r>
              <w:rPr>
                <w:rStyle w:val="IndexLink"/>
                <w:lang w:val="fr-FR" w:eastAsia="en-US"/>
              </w:rPr>
              <w:t>28</w:t>
            </w:r>
          </w:hyperlink>
        </w:p>
        <w:p>
          <w:pPr>
            <w:pStyle w:val="Contents3"/>
            <w:rPr>
              <w:rFonts w:ascii="Calibri" w:hAnsi="Calibri" w:cs="Calibri"/>
              <w:sz w:val="22"/>
              <w:szCs w:val="22"/>
              <w:lang w:val="fr-FR" w:eastAsia="en-US"/>
            </w:rPr>
          </w:pPr>
          <w:r>
            <w:rPr>
              <w:lang w:val="fr-FR" w:eastAsia="en-US"/>
            </w:rPr>
            <w:t>6.1.4</w:t>
          </w:r>
          <w:r>
            <w:rPr>
              <w:rFonts w:cs="Calibri" w:ascii="Calibri" w:hAnsi="Calibri"/>
              <w:sz w:val="22"/>
              <w:szCs w:val="22"/>
              <w:lang w:val="fr-FR" w:eastAsia="en-US"/>
            </w:rPr>
            <w:tab/>
          </w:r>
          <w:r>
            <w:rPr>
              <w:lang w:val="fr-FR" w:eastAsia="en-US"/>
            </w:rPr>
            <w:t>SEG CA certificate profile</w:t>
            <w:tab/>
          </w:r>
          <w:hyperlink w:anchor="__RefHeading___Toc145337388">
            <w:r>
              <w:rPr>
                <w:rStyle w:val="IndexLink"/>
                <w:lang w:val="fr-FR" w:eastAsia="en-US"/>
              </w:rPr>
              <w:t>28</w:t>
            </w:r>
          </w:hyperlink>
        </w:p>
        <w:p>
          <w:pPr>
            <w:pStyle w:val="Contents3"/>
            <w:rPr>
              <w:rFonts w:ascii="Calibri" w:hAnsi="Calibri" w:cs="Calibri"/>
              <w:sz w:val="22"/>
              <w:szCs w:val="22"/>
              <w:lang w:val="fr-FR" w:eastAsia="en-US"/>
            </w:rPr>
          </w:pPr>
          <w:r>
            <w:rPr>
              <w:lang w:val="fr-FR" w:eastAsia="en-US"/>
            </w:rPr>
            <w:t>6.1.4a</w:t>
          </w:r>
          <w:r>
            <w:rPr>
              <w:rFonts w:cs="Calibri" w:ascii="Calibri" w:hAnsi="Calibri"/>
              <w:sz w:val="22"/>
              <w:szCs w:val="22"/>
              <w:lang w:val="fr-FR" w:eastAsia="en-US"/>
            </w:rPr>
            <w:tab/>
          </w:r>
          <w:r>
            <w:rPr>
              <w:lang w:val="fr-FR" w:eastAsia="en-US"/>
            </w:rPr>
            <w:t>TLS client/server CA certificate profile</w:t>
            <w:tab/>
          </w:r>
          <w:hyperlink w:anchor="__RefHeading___Toc145337389">
            <w:r>
              <w:rPr>
                <w:rStyle w:val="IndexLink"/>
                <w:lang w:val="fr-FR" w:eastAsia="en-US"/>
              </w:rPr>
              <w:t>29</w:t>
            </w:r>
          </w:hyperlink>
        </w:p>
        <w:p>
          <w:pPr>
            <w:pStyle w:val="Contents3"/>
            <w:rPr>
              <w:rFonts w:ascii="Calibri" w:hAnsi="Calibri" w:cs="Calibri"/>
              <w:sz w:val="22"/>
              <w:szCs w:val="22"/>
              <w:lang w:val="fr-FR" w:eastAsia="en-US"/>
            </w:rPr>
          </w:pPr>
          <w:r>
            <w:rPr>
              <w:lang w:val="fr-FR" w:eastAsia="en-US"/>
            </w:rPr>
            <w:t>6.1.4b</w:t>
          </w:r>
          <w:r>
            <w:rPr>
              <w:rFonts w:cs="Calibri" w:ascii="Calibri" w:hAnsi="Calibri"/>
              <w:sz w:val="22"/>
              <w:szCs w:val="22"/>
              <w:lang w:val="fr-FR" w:eastAsia="en-US"/>
            </w:rPr>
            <w:tab/>
          </w:r>
          <w:r>
            <w:rPr>
              <w:lang w:val="fr-FR" w:eastAsia="en-US"/>
            </w:rPr>
            <w:t>NE CA certificate profile</w:t>
            <w:tab/>
          </w:r>
          <w:hyperlink w:anchor="__RefHeading___Toc145337390">
            <w:r>
              <w:rPr>
                <w:rStyle w:val="IndexLink"/>
                <w:lang w:val="fr-FR" w:eastAsia="en-US"/>
              </w:rPr>
              <w:t>29</w:t>
            </w:r>
          </w:hyperlink>
        </w:p>
        <w:p>
          <w:pPr>
            <w:pStyle w:val="Contents2"/>
            <w:rPr>
              <w:rFonts w:ascii="Calibri" w:hAnsi="Calibri" w:cs="Calibri"/>
              <w:sz w:val="22"/>
              <w:szCs w:val="22"/>
              <w:lang w:val="en-US" w:eastAsia="en-US"/>
            </w:rPr>
          </w:pPr>
          <w:r>
            <w:rPr>
              <w:lang w:val="en-US" w:eastAsia="en-US"/>
            </w:rPr>
            <w:t>6.1a</w:t>
          </w:r>
          <w:r>
            <w:rPr>
              <w:rFonts w:cs="Calibri" w:ascii="Calibri" w:hAnsi="Calibri"/>
              <w:sz w:val="22"/>
              <w:szCs w:val="22"/>
              <w:lang w:val="en-US" w:eastAsia="en-US"/>
            </w:rPr>
            <w:tab/>
          </w:r>
          <w:r>
            <w:rPr>
              <w:lang w:val="en-US" w:eastAsia="en-US"/>
            </w:rPr>
            <w:t>CRL profile</w:t>
            <w:tab/>
          </w:r>
          <w:hyperlink w:anchor="__RefHeading___Toc145337391">
            <w:r>
              <w:rPr>
                <w:rStyle w:val="IndexLink"/>
                <w:lang w:val="en-US" w:eastAsia="en-US"/>
              </w:rPr>
              <w:t>29</w:t>
            </w:r>
          </w:hyperlink>
        </w:p>
        <w:p>
          <w:pPr>
            <w:pStyle w:val="Contents2"/>
            <w:rPr>
              <w:rFonts w:ascii="Calibri" w:hAnsi="Calibri" w:cs="Calibri"/>
              <w:sz w:val="22"/>
              <w:szCs w:val="22"/>
              <w:lang w:val="en-US" w:eastAsia="en-US"/>
            </w:rPr>
          </w:pPr>
          <w:r>
            <w:rPr>
              <w:lang w:val="en-US" w:eastAsia="en-US"/>
            </w:rPr>
            <w:t>6.2</w:t>
          </w:r>
          <w:r>
            <w:rPr>
              <w:rFonts w:cs="Calibri" w:ascii="Calibri" w:hAnsi="Calibri"/>
              <w:sz w:val="22"/>
              <w:szCs w:val="22"/>
              <w:lang w:val="en-US" w:eastAsia="en-US"/>
            </w:rPr>
            <w:tab/>
          </w:r>
          <w:r>
            <w:rPr>
              <w:lang w:val="en-US" w:eastAsia="en-US"/>
            </w:rPr>
            <w:t>IKE negotiation and profiling</w:t>
            <w:tab/>
          </w:r>
          <w:hyperlink w:anchor="__RefHeading___Toc145337392">
            <w:r>
              <w:rPr>
                <w:rStyle w:val="IndexLink"/>
                <w:lang w:val="en-US" w:eastAsia="en-US"/>
              </w:rPr>
              <w:t>30</w:t>
            </w:r>
          </w:hyperlink>
        </w:p>
        <w:p>
          <w:pPr>
            <w:pStyle w:val="Contents3"/>
            <w:rPr>
              <w:rFonts w:ascii="Calibri" w:hAnsi="Calibri" w:cs="Calibri"/>
              <w:sz w:val="22"/>
              <w:szCs w:val="22"/>
              <w:lang w:val="en-US" w:eastAsia="en-US"/>
            </w:rPr>
          </w:pPr>
          <w:r>
            <w:rPr>
              <w:lang w:val="en-US" w:eastAsia="en-US"/>
            </w:rPr>
            <w:t>6.2.1</w:t>
          </w:r>
          <w:r>
            <w:rPr>
              <w:rFonts w:cs="Calibri" w:ascii="Calibri" w:hAnsi="Calibri"/>
              <w:sz w:val="22"/>
              <w:szCs w:val="22"/>
              <w:lang w:val="en-US" w:eastAsia="en-US"/>
            </w:rPr>
            <w:tab/>
          </w:r>
          <w:r>
            <w:rPr>
              <w:lang w:val="en-US" w:eastAsia="en-US"/>
            </w:rPr>
            <w:t>Void</w:t>
            <w:tab/>
          </w:r>
          <w:hyperlink w:anchor="__RefHeading___Toc145337393">
            <w:r>
              <w:rPr>
                <w:rStyle w:val="IndexLink"/>
                <w:lang w:val="en-US" w:eastAsia="en-US"/>
              </w:rPr>
              <w:t>30</w:t>
            </w:r>
          </w:hyperlink>
        </w:p>
        <w:p>
          <w:pPr>
            <w:pStyle w:val="Contents3"/>
            <w:rPr>
              <w:rFonts w:ascii="Calibri" w:hAnsi="Calibri" w:cs="Calibri"/>
              <w:sz w:val="22"/>
              <w:szCs w:val="22"/>
              <w:lang w:val="en-US" w:eastAsia="en-US"/>
            </w:rPr>
          </w:pPr>
          <w:r>
            <w:rPr>
              <w:lang w:val="en-US" w:eastAsia="en-US"/>
            </w:rPr>
            <w:t>6.2.1b</w:t>
          </w:r>
          <w:r>
            <w:rPr>
              <w:rFonts w:cs="Calibri" w:ascii="Calibri" w:hAnsi="Calibri"/>
              <w:sz w:val="22"/>
              <w:szCs w:val="22"/>
              <w:lang w:val="en-US" w:eastAsia="en-US"/>
            </w:rPr>
            <w:tab/>
          </w:r>
          <w:r>
            <w:rPr>
              <w:lang w:val="en-US" w:eastAsia="en-US"/>
            </w:rPr>
            <w:t>IKEv2 profile</w:t>
            <w:tab/>
          </w:r>
          <w:hyperlink w:anchor="__RefHeading___Toc145337394">
            <w:r>
              <w:rPr>
                <w:rStyle w:val="IndexLink"/>
                <w:lang w:val="en-US" w:eastAsia="en-US"/>
              </w:rPr>
              <w:t>30</w:t>
            </w:r>
          </w:hyperlink>
        </w:p>
        <w:p>
          <w:pPr>
            <w:pStyle w:val="Contents3"/>
            <w:rPr>
              <w:rFonts w:ascii="Calibri" w:hAnsi="Calibri" w:cs="Calibri"/>
              <w:sz w:val="22"/>
              <w:szCs w:val="22"/>
              <w:lang w:val="en-US" w:eastAsia="en-US"/>
            </w:rPr>
          </w:pPr>
          <w:r>
            <w:rPr>
              <w:lang w:val="en-US" w:eastAsia="en-US"/>
            </w:rPr>
            <w:t>6.2.2</w:t>
          </w:r>
          <w:r>
            <w:rPr>
              <w:rFonts w:cs="Calibri" w:ascii="Calibri" w:hAnsi="Calibri"/>
              <w:sz w:val="22"/>
              <w:szCs w:val="22"/>
              <w:lang w:val="en-US" w:eastAsia="en-US"/>
            </w:rPr>
            <w:tab/>
          </w:r>
          <w:r>
            <w:rPr>
              <w:lang w:val="en-US" w:eastAsia="en-US"/>
            </w:rPr>
            <w:t>Potential interoperability issues</w:t>
            <w:tab/>
          </w:r>
          <w:hyperlink w:anchor="__RefHeading___Toc145337395">
            <w:r>
              <w:rPr>
                <w:rStyle w:val="IndexLink"/>
                <w:lang w:val="en-US" w:eastAsia="en-US"/>
              </w:rPr>
              <w:t>31</w:t>
            </w:r>
          </w:hyperlink>
        </w:p>
        <w:p>
          <w:pPr>
            <w:pStyle w:val="Contents2"/>
            <w:rPr>
              <w:rFonts w:ascii="Calibri" w:hAnsi="Calibri" w:cs="Calibri"/>
              <w:sz w:val="22"/>
              <w:szCs w:val="22"/>
              <w:lang w:val="en-US" w:eastAsia="en-US"/>
            </w:rPr>
          </w:pPr>
          <w:r>
            <w:rPr>
              <w:lang w:val="en-US" w:eastAsia="en-US"/>
            </w:rPr>
            <w:t>6.2a</w:t>
          </w:r>
          <w:r>
            <w:rPr>
              <w:rFonts w:cs="Calibri" w:ascii="Calibri" w:hAnsi="Calibri"/>
              <w:sz w:val="22"/>
              <w:szCs w:val="22"/>
              <w:lang w:val="en-US" w:eastAsia="en-US"/>
            </w:rPr>
            <w:tab/>
          </w:r>
          <w:r>
            <w:rPr>
              <w:lang w:val="en-US" w:eastAsia="en-US"/>
            </w:rPr>
            <w:t>TLS profiling</w:t>
            <w:tab/>
          </w:r>
          <w:hyperlink w:anchor="__RefHeading___Toc145337396">
            <w:r>
              <w:rPr>
                <w:rStyle w:val="IndexLink"/>
                <w:lang w:val="en-US" w:eastAsia="en-US"/>
              </w:rPr>
              <w:t>31</w:t>
            </w:r>
          </w:hyperlink>
        </w:p>
        <w:p>
          <w:pPr>
            <w:pStyle w:val="Contents3"/>
            <w:rPr>
              <w:rFonts w:ascii="Calibri" w:hAnsi="Calibri" w:cs="Calibri"/>
              <w:sz w:val="22"/>
              <w:szCs w:val="22"/>
              <w:lang w:val="en-US" w:eastAsia="en-US"/>
            </w:rPr>
          </w:pPr>
          <w:r>
            <w:rPr>
              <w:lang w:val="en-US" w:eastAsia="en-US"/>
            </w:rPr>
            <w:t>6.2a.1</w:t>
          </w:r>
          <w:r>
            <w:rPr>
              <w:rFonts w:cs="Calibri" w:ascii="Calibri" w:hAnsi="Calibri"/>
              <w:sz w:val="22"/>
              <w:szCs w:val="22"/>
              <w:lang w:val="en-US" w:eastAsia="en-US"/>
            </w:rPr>
            <w:tab/>
          </w:r>
          <w:r>
            <w:rPr>
              <w:lang w:val="en-US" w:eastAsia="en-US"/>
            </w:rPr>
            <w:t>TLS profile</w:t>
            <w:tab/>
          </w:r>
          <w:hyperlink w:anchor="__RefHeading___Toc145337397">
            <w:r>
              <w:rPr>
                <w:rStyle w:val="IndexLink"/>
                <w:lang w:val="en-US" w:eastAsia="en-US"/>
              </w:rPr>
              <w:t>31</w:t>
            </w:r>
          </w:hyperlink>
        </w:p>
        <w:p>
          <w:pPr>
            <w:pStyle w:val="Contents3"/>
            <w:rPr>
              <w:rFonts w:ascii="Calibri" w:hAnsi="Calibri" w:cs="Calibri"/>
              <w:sz w:val="22"/>
              <w:szCs w:val="22"/>
              <w:lang w:val="en-US" w:eastAsia="en-US"/>
            </w:rPr>
          </w:pPr>
          <w:r>
            <w:rPr>
              <w:lang w:val="en-US" w:eastAsia="en-US"/>
            </w:rPr>
            <w:t>6.2a.2</w:t>
          </w:r>
          <w:r>
            <w:rPr>
              <w:rFonts w:cs="Calibri" w:ascii="Calibri" w:hAnsi="Calibri"/>
              <w:sz w:val="22"/>
              <w:szCs w:val="22"/>
              <w:lang w:val="en-US" w:eastAsia="en-US"/>
            </w:rPr>
            <w:tab/>
          </w:r>
          <w:r>
            <w:rPr>
              <w:lang w:val="en-US" w:eastAsia="en-US"/>
            </w:rPr>
            <w:t>Potential interoperability issues</w:t>
            <w:tab/>
          </w:r>
          <w:hyperlink w:anchor="__RefHeading___Toc145337398">
            <w:r>
              <w:rPr>
                <w:rStyle w:val="IndexLink"/>
                <w:lang w:val="en-US" w:eastAsia="en-US"/>
              </w:rPr>
              <w:t>31</w:t>
            </w:r>
          </w:hyperlink>
        </w:p>
        <w:p>
          <w:pPr>
            <w:pStyle w:val="Contents2"/>
            <w:rPr>
              <w:rFonts w:ascii="Calibri" w:hAnsi="Calibri" w:cs="Calibri"/>
              <w:sz w:val="22"/>
              <w:szCs w:val="22"/>
              <w:lang w:val="en-US" w:eastAsia="en-US"/>
            </w:rPr>
          </w:pPr>
          <w:r>
            <w:rPr>
              <w:lang w:val="en-US" w:eastAsia="en-US"/>
            </w:rPr>
            <w:t>6.3</w:t>
          </w:r>
          <w:r>
            <w:rPr>
              <w:rFonts w:cs="Calibri" w:ascii="Calibri" w:hAnsi="Calibri"/>
              <w:sz w:val="22"/>
              <w:szCs w:val="22"/>
              <w:lang w:val="en-US" w:eastAsia="en-US"/>
            </w:rPr>
            <w:tab/>
          </w:r>
          <w:r>
            <w:rPr>
              <w:lang w:val="en-US" w:eastAsia="en-US"/>
            </w:rPr>
            <w:t>Path validation</w:t>
            <w:tab/>
          </w:r>
          <w:hyperlink w:anchor="__RefHeading___Toc145337399">
            <w:r>
              <w:rPr>
                <w:rStyle w:val="IndexLink"/>
                <w:lang w:val="en-US" w:eastAsia="en-US"/>
              </w:rPr>
              <w:t>31</w:t>
            </w:r>
          </w:hyperlink>
        </w:p>
        <w:p>
          <w:pPr>
            <w:pStyle w:val="Contents3"/>
            <w:rPr>
              <w:rFonts w:ascii="Calibri" w:hAnsi="Calibri" w:cs="Calibri"/>
              <w:sz w:val="22"/>
              <w:szCs w:val="22"/>
              <w:lang w:val="en-US" w:eastAsia="en-US"/>
            </w:rPr>
          </w:pPr>
          <w:r>
            <w:rPr>
              <w:lang w:val="en-US" w:eastAsia="en-US"/>
            </w:rPr>
            <w:t>6.3.1</w:t>
          </w:r>
          <w:r>
            <w:rPr>
              <w:rFonts w:cs="Calibri" w:ascii="Calibri" w:hAnsi="Calibri"/>
              <w:sz w:val="22"/>
              <w:szCs w:val="22"/>
              <w:lang w:val="en-US" w:eastAsia="en-US"/>
            </w:rPr>
            <w:tab/>
          </w:r>
          <w:r>
            <w:rPr>
              <w:lang w:val="en-US" w:eastAsia="en-US"/>
            </w:rPr>
            <w:t>Path validation profiling</w:t>
            <w:tab/>
          </w:r>
          <w:hyperlink w:anchor="__RefHeading___Toc145337400">
            <w:r>
              <w:rPr>
                <w:rStyle w:val="IndexLink"/>
                <w:lang w:val="en-US" w:eastAsia="en-US"/>
              </w:rPr>
              <w:t>31</w:t>
            </w:r>
          </w:hyperlink>
        </w:p>
        <w:p>
          <w:pPr>
            <w:pStyle w:val="Contents1"/>
            <w:rPr>
              <w:rFonts w:ascii="Calibri" w:hAnsi="Calibri" w:cs="Calibri"/>
              <w:szCs w:val="22"/>
              <w:lang w:val="en-US" w:eastAsia="en-US"/>
            </w:rPr>
          </w:pPr>
          <w:r>
            <w:rPr>
              <w:lang w:val="en-US" w:eastAsia="en-US"/>
            </w:rPr>
            <w:t>7</w:t>
          </w:r>
          <w:r>
            <w:rPr>
              <w:rFonts w:cs="Calibri" w:ascii="Calibri" w:hAnsi="Calibri"/>
              <w:szCs w:val="22"/>
              <w:lang w:val="en-US" w:eastAsia="en-US"/>
            </w:rPr>
            <w:tab/>
          </w:r>
          <w:r>
            <w:rPr>
              <w:lang w:val="en-US" w:eastAsia="en-US"/>
            </w:rPr>
            <w:t>Detailed description of architecture and mechanisms</w:t>
            <w:tab/>
          </w:r>
          <w:hyperlink w:anchor="__RefHeading___Toc145337401">
            <w:r>
              <w:rPr>
                <w:rStyle w:val="IndexLink"/>
                <w:lang w:val="en-US" w:eastAsia="en-US"/>
              </w:rPr>
              <w:t>32</w:t>
            </w:r>
          </w:hyperlink>
        </w:p>
        <w:p>
          <w:pPr>
            <w:pStyle w:val="Contents2"/>
            <w:rPr>
              <w:rFonts w:ascii="Calibri" w:hAnsi="Calibri" w:cs="Calibri"/>
              <w:sz w:val="22"/>
              <w:szCs w:val="22"/>
              <w:lang w:val="en-US" w:eastAsia="en-US"/>
            </w:rPr>
          </w:pPr>
          <w:r>
            <w:rPr>
              <w:lang w:val="en-US" w:eastAsia="en-US"/>
            </w:rPr>
            <w:t>7.1</w:t>
          </w:r>
          <w:r>
            <w:rPr>
              <w:rFonts w:cs="Calibri" w:ascii="Calibri" w:hAnsi="Calibri"/>
              <w:sz w:val="22"/>
              <w:szCs w:val="22"/>
              <w:lang w:val="en-US" w:eastAsia="en-US"/>
            </w:rPr>
            <w:tab/>
          </w:r>
          <w:r>
            <w:rPr>
              <w:lang w:val="en-US" w:eastAsia="en-US"/>
            </w:rPr>
            <w:t>Repositories</w:t>
            <w:tab/>
          </w:r>
          <w:hyperlink w:anchor="__RefHeading___Toc145337402">
            <w:r>
              <w:rPr>
                <w:rStyle w:val="IndexLink"/>
                <w:lang w:val="en-US" w:eastAsia="en-US"/>
              </w:rPr>
              <w:t>32</w:t>
            </w:r>
          </w:hyperlink>
        </w:p>
        <w:p>
          <w:pPr>
            <w:pStyle w:val="Contents2"/>
            <w:rPr>
              <w:rFonts w:ascii="Calibri" w:hAnsi="Calibri" w:cs="Calibri"/>
              <w:sz w:val="22"/>
              <w:szCs w:val="22"/>
              <w:lang w:val="en-US" w:eastAsia="en-US"/>
            </w:rPr>
          </w:pPr>
          <w:r>
            <w:rPr>
              <w:lang w:val="en-US" w:eastAsia="en-US"/>
            </w:rPr>
            <w:t>7.2</w:t>
          </w:r>
          <w:r>
            <w:rPr>
              <w:rFonts w:cs="Calibri" w:ascii="Calibri" w:hAnsi="Calibri"/>
              <w:sz w:val="22"/>
              <w:szCs w:val="22"/>
              <w:lang w:val="en-US" w:eastAsia="en-US"/>
            </w:rPr>
            <w:tab/>
          </w:r>
          <w:r>
            <w:rPr>
              <w:lang w:val="en-US" w:eastAsia="en-US"/>
            </w:rPr>
            <w:t>Life cycle management</w:t>
            <w:tab/>
          </w:r>
          <w:hyperlink w:anchor="__RefHeading___Toc145337403">
            <w:r>
              <w:rPr>
                <w:rStyle w:val="IndexLink"/>
                <w:lang w:val="en-US" w:eastAsia="en-US"/>
              </w:rPr>
              <w:t>35</w:t>
            </w:r>
          </w:hyperlink>
        </w:p>
        <w:p>
          <w:pPr>
            <w:pStyle w:val="Contents2"/>
            <w:rPr>
              <w:rFonts w:ascii="Calibri" w:hAnsi="Calibri" w:cs="Calibri"/>
              <w:sz w:val="22"/>
              <w:szCs w:val="22"/>
              <w:lang w:val="en-US" w:eastAsia="en-US"/>
            </w:rPr>
          </w:pPr>
          <w:r>
            <w:rPr>
              <w:lang w:val="en-US" w:eastAsia="en-US"/>
            </w:rPr>
            <w:t>7.3</w:t>
          </w:r>
          <w:r>
            <w:rPr>
              <w:rFonts w:cs="Calibri" w:ascii="Calibri" w:hAnsi="Calibri"/>
              <w:sz w:val="22"/>
              <w:szCs w:val="22"/>
              <w:lang w:val="en-US" w:eastAsia="en-US"/>
            </w:rPr>
            <w:tab/>
          </w:r>
          <w:r>
            <w:rPr>
              <w:lang w:val="en-US" w:eastAsia="en-US"/>
            </w:rPr>
            <w:t>Cross-certification</w:t>
            <w:tab/>
          </w:r>
          <w:hyperlink w:anchor="__RefHeading___Toc145337404">
            <w:r>
              <w:rPr>
                <w:rStyle w:val="IndexLink"/>
                <w:lang w:val="en-US" w:eastAsia="en-US"/>
              </w:rPr>
              <w:t>36</w:t>
            </w:r>
          </w:hyperlink>
        </w:p>
        <w:p>
          <w:pPr>
            <w:pStyle w:val="Contents2"/>
            <w:rPr>
              <w:rFonts w:ascii="Calibri" w:hAnsi="Calibri" w:cs="Calibri"/>
              <w:sz w:val="22"/>
              <w:szCs w:val="22"/>
              <w:lang w:val="en-US" w:eastAsia="en-US"/>
            </w:rPr>
          </w:pPr>
          <w:r>
            <w:rPr>
              <w:lang w:val="en-US" w:eastAsia="en-US"/>
            </w:rPr>
            <w:t>7.4</w:t>
          </w:r>
          <w:r>
            <w:rPr>
              <w:rFonts w:cs="Calibri" w:ascii="Calibri" w:hAnsi="Calibri"/>
              <w:sz w:val="22"/>
              <w:szCs w:val="22"/>
              <w:lang w:val="en-US" w:eastAsia="en-US"/>
            </w:rPr>
            <w:tab/>
          </w:r>
          <w:r>
            <w:rPr>
              <w:lang w:val="en-US" w:eastAsia="en-US"/>
            </w:rPr>
            <w:t>Revoking a SEG/TLS CA cross-certificate</w:t>
            <w:tab/>
          </w:r>
          <w:hyperlink w:anchor="__RefHeading___Toc145337405">
            <w:r>
              <w:rPr>
                <w:rStyle w:val="IndexLink"/>
                <w:lang w:val="en-US" w:eastAsia="en-US"/>
              </w:rPr>
              <w:t>36</w:t>
            </w:r>
          </w:hyperlink>
        </w:p>
        <w:p>
          <w:pPr>
            <w:pStyle w:val="Contents2"/>
            <w:rPr>
              <w:rFonts w:ascii="Calibri" w:hAnsi="Calibri" w:cs="Calibri"/>
              <w:sz w:val="22"/>
              <w:szCs w:val="22"/>
              <w:lang w:val="en-US" w:eastAsia="en-US"/>
            </w:rPr>
          </w:pPr>
          <w:r>
            <w:rPr>
              <w:lang w:val="en-US" w:eastAsia="en-US"/>
            </w:rPr>
            <w:t>7.5</w:t>
          </w:r>
          <w:r>
            <w:rPr>
              <w:rFonts w:cs="Calibri" w:ascii="Calibri" w:hAnsi="Calibri"/>
              <w:sz w:val="22"/>
              <w:szCs w:val="22"/>
              <w:lang w:val="en-US" w:eastAsia="en-US"/>
            </w:rPr>
            <w:tab/>
          </w:r>
          <w:r>
            <w:rPr>
              <w:lang w:val="en-US" w:eastAsia="en-US"/>
            </w:rPr>
            <w:t>Establishing secure connections between NDS/IP end entities using IKE on the Za interface</w:t>
            <w:tab/>
          </w:r>
          <w:hyperlink w:anchor="__RefHeading___Toc145337406">
            <w:r>
              <w:rPr>
                <w:rStyle w:val="IndexLink"/>
                <w:lang w:val="en-US" w:eastAsia="en-US"/>
              </w:rPr>
              <w:t>36</w:t>
            </w:r>
          </w:hyperlink>
        </w:p>
        <w:p>
          <w:pPr>
            <w:pStyle w:val="Contents2"/>
            <w:rPr>
              <w:rFonts w:ascii="Calibri" w:hAnsi="Calibri" w:cs="Calibri"/>
              <w:sz w:val="22"/>
              <w:szCs w:val="22"/>
              <w:lang w:val="en-US" w:eastAsia="en-US"/>
            </w:rPr>
          </w:pPr>
          <w:r>
            <w:rPr>
              <w:lang w:val="en-US" w:eastAsia="en-US"/>
            </w:rPr>
            <w:t>7.5a</w:t>
          </w:r>
          <w:r>
            <w:rPr>
              <w:rFonts w:cs="Calibri" w:ascii="Calibri" w:hAnsi="Calibri"/>
              <w:sz w:val="22"/>
              <w:szCs w:val="22"/>
              <w:lang w:val="en-US" w:eastAsia="en-US"/>
            </w:rPr>
            <w:tab/>
          </w:r>
          <w:r>
            <w:rPr>
              <w:lang w:val="en-US" w:eastAsia="en-US"/>
            </w:rPr>
            <w:t>Establishing secure connections using TLS</w:t>
            <w:tab/>
          </w:r>
          <w:hyperlink w:anchor="__RefHeading___Toc145337407">
            <w:r>
              <w:rPr>
                <w:rStyle w:val="IndexLink"/>
                <w:lang w:val="en-US" w:eastAsia="en-US"/>
              </w:rPr>
              <w:t>37</w:t>
            </w:r>
          </w:hyperlink>
        </w:p>
        <w:p>
          <w:pPr>
            <w:pStyle w:val="Contents2"/>
            <w:rPr>
              <w:rFonts w:ascii="Calibri" w:hAnsi="Calibri" w:cs="Calibri"/>
              <w:sz w:val="22"/>
              <w:szCs w:val="22"/>
              <w:lang w:val="en-US" w:eastAsia="en-US"/>
            </w:rPr>
          </w:pPr>
          <w:r>
            <w:rPr>
              <w:lang w:val="en-US" w:eastAsia="en-US"/>
            </w:rPr>
            <w:t>7.5b</w:t>
          </w:r>
          <w:r>
            <w:rPr>
              <w:rFonts w:cs="Calibri" w:ascii="Calibri" w:hAnsi="Calibri"/>
              <w:sz w:val="22"/>
              <w:szCs w:val="22"/>
              <w:lang w:val="en-US" w:eastAsia="en-US"/>
            </w:rPr>
            <w:tab/>
          </w:r>
          <w:r>
            <w:rPr>
              <w:lang w:val="en-US" w:eastAsia="en-US"/>
            </w:rPr>
            <w:t>Establishing secure connections between NDS/IP entities on the Zb interface</w:t>
            <w:tab/>
          </w:r>
          <w:hyperlink w:anchor="__RefHeading___Toc145337408">
            <w:r>
              <w:rPr>
                <w:rStyle w:val="IndexLink"/>
                <w:lang w:val="en-US" w:eastAsia="en-US"/>
              </w:rPr>
              <w:t>37</w:t>
            </w:r>
          </w:hyperlink>
        </w:p>
        <w:p>
          <w:pPr>
            <w:pStyle w:val="Contents2"/>
            <w:rPr>
              <w:rFonts w:ascii="Calibri" w:hAnsi="Calibri" w:cs="Calibri"/>
              <w:sz w:val="22"/>
              <w:szCs w:val="22"/>
              <w:lang w:val="en-US" w:eastAsia="en-US"/>
            </w:rPr>
          </w:pPr>
          <w:r>
            <w:rPr>
              <w:lang w:val="en-US" w:eastAsia="en-US"/>
            </w:rPr>
            <w:t>7.6</w:t>
          </w:r>
          <w:r>
            <w:rPr>
              <w:rFonts w:cs="Calibri" w:ascii="Calibri" w:hAnsi="Calibri"/>
              <w:sz w:val="22"/>
              <w:szCs w:val="22"/>
              <w:lang w:val="en-US" w:eastAsia="en-US"/>
            </w:rPr>
            <w:tab/>
          </w:r>
          <w:r>
            <w:rPr>
              <w:lang w:val="en-US" w:eastAsia="en-US"/>
            </w:rPr>
            <w:t>CRL management</w:t>
            <w:tab/>
          </w:r>
          <w:hyperlink w:anchor="__RefHeading___Toc145337409">
            <w:r>
              <w:rPr>
                <w:rStyle w:val="IndexLink"/>
                <w:lang w:val="en-US" w:eastAsia="en-US"/>
              </w:rPr>
              <w:t>37</w:t>
            </w:r>
          </w:hyperlink>
        </w:p>
        <w:p>
          <w:pPr>
            <w:pStyle w:val="Contents1"/>
            <w:rPr>
              <w:rFonts w:ascii="Calibri" w:hAnsi="Calibri" w:cs="Calibri"/>
              <w:szCs w:val="22"/>
              <w:lang w:val="en-US" w:eastAsia="en-US"/>
            </w:rPr>
          </w:pPr>
          <w:r>
            <w:rPr>
              <w:lang w:val="en-US" w:eastAsia="en-US"/>
            </w:rPr>
            <w:t>8</w:t>
          </w:r>
          <w:r>
            <w:rPr>
              <w:rFonts w:cs="Calibri" w:ascii="Calibri" w:hAnsi="Calibri"/>
              <w:szCs w:val="22"/>
              <w:lang w:val="en-US" w:eastAsia="en-US"/>
            </w:rPr>
            <w:tab/>
          </w:r>
          <w:r>
            <w:rPr>
              <w:lang w:val="en-US" w:eastAsia="en-US"/>
            </w:rPr>
            <w:t>Backward compatibility for NDS/IP NE's and SEGs</w:t>
            <w:tab/>
          </w:r>
          <w:hyperlink w:anchor="__RefHeading___Toc145337410">
            <w:r>
              <w:rPr>
                <w:rStyle w:val="IndexLink"/>
                <w:lang w:val="en-US" w:eastAsia="en-US"/>
              </w:rPr>
              <w:t>38</w:t>
            </w:r>
          </w:hyperlink>
        </w:p>
        <w:p>
          <w:pPr>
            <w:pStyle w:val="Contents1"/>
            <w:rPr>
              <w:rFonts w:ascii="Calibri" w:hAnsi="Calibri" w:cs="Calibri"/>
              <w:szCs w:val="22"/>
              <w:lang w:val="en-US" w:eastAsia="en-US"/>
            </w:rPr>
          </w:pPr>
          <w:r>
            <w:rPr>
              <w:lang w:val="en-US" w:eastAsia="en-US"/>
            </w:rPr>
            <w:t>9</w:t>
          </w:r>
          <w:r>
            <w:rPr>
              <w:rFonts w:cs="Calibri" w:ascii="Calibri" w:hAnsi="Calibri"/>
              <w:szCs w:val="22"/>
              <w:lang w:val="en-US" w:eastAsia="en-US"/>
            </w:rPr>
            <w:tab/>
          </w:r>
          <w:r>
            <w:rPr>
              <w:lang w:val="en-US" w:eastAsia="en-US"/>
            </w:rPr>
            <w:t>Certificate enrolment for base stations</w:t>
            <w:tab/>
          </w:r>
          <w:hyperlink w:anchor="__RefHeading___Toc145337411">
            <w:r>
              <w:rPr>
                <w:rStyle w:val="IndexLink"/>
                <w:lang w:val="en-US" w:eastAsia="en-US"/>
              </w:rPr>
              <w:t>39</w:t>
            </w:r>
          </w:hyperlink>
        </w:p>
        <w:p>
          <w:pPr>
            <w:pStyle w:val="Contents2"/>
            <w:rPr>
              <w:rFonts w:ascii="Calibri" w:hAnsi="Calibri" w:cs="Calibri"/>
              <w:sz w:val="22"/>
              <w:szCs w:val="22"/>
              <w:lang w:val="en-US" w:eastAsia="en-US"/>
            </w:rPr>
          </w:pPr>
          <w:r>
            <w:rPr>
              <w:lang w:val="en-US" w:eastAsia="en-US"/>
            </w:rPr>
            <w:t>9.1</w:t>
          </w:r>
          <w:r>
            <w:rPr>
              <w:rFonts w:cs="Calibri" w:ascii="Calibri" w:hAnsi="Calibri"/>
              <w:sz w:val="22"/>
              <w:szCs w:val="22"/>
              <w:lang w:val="en-US" w:eastAsia="en-US"/>
            </w:rPr>
            <w:tab/>
          </w:r>
          <w:r>
            <w:rPr>
              <w:lang w:val="en-US" w:eastAsia="en-US"/>
            </w:rPr>
            <w:t>General</w:t>
            <w:tab/>
          </w:r>
          <w:hyperlink w:anchor="__RefHeading___Toc145337412">
            <w:r>
              <w:rPr>
                <w:rStyle w:val="IndexLink"/>
                <w:lang w:val="en-US" w:eastAsia="en-US"/>
              </w:rPr>
              <w:t>39</w:t>
            </w:r>
          </w:hyperlink>
        </w:p>
        <w:p>
          <w:pPr>
            <w:pStyle w:val="Contents2"/>
            <w:rPr>
              <w:rFonts w:ascii="Calibri" w:hAnsi="Calibri" w:cs="Calibri"/>
              <w:sz w:val="22"/>
              <w:szCs w:val="22"/>
              <w:lang w:val="en-US" w:eastAsia="en-US"/>
            </w:rPr>
          </w:pPr>
          <w:r>
            <w:rPr>
              <w:lang w:val="en-US" w:eastAsia="en-US"/>
            </w:rPr>
            <w:t>9.2</w:t>
          </w:r>
          <w:r>
            <w:rPr>
              <w:rFonts w:cs="Calibri" w:ascii="Calibri" w:hAnsi="Calibri"/>
              <w:sz w:val="22"/>
              <w:szCs w:val="22"/>
              <w:lang w:val="en-US" w:eastAsia="en-US"/>
            </w:rPr>
            <w:tab/>
          </w:r>
          <w:r>
            <w:rPr>
              <w:lang w:val="en-US" w:eastAsia="en-US"/>
            </w:rPr>
            <w:t>Architecture</w:t>
            <w:tab/>
          </w:r>
          <w:hyperlink w:anchor="__RefHeading___Toc145337413">
            <w:r>
              <w:rPr>
                <w:rStyle w:val="IndexLink"/>
                <w:lang w:val="en-US" w:eastAsia="en-US"/>
              </w:rPr>
              <w:t>39</w:t>
            </w:r>
          </w:hyperlink>
        </w:p>
        <w:p>
          <w:pPr>
            <w:pStyle w:val="Contents2"/>
            <w:rPr>
              <w:rFonts w:ascii="Calibri" w:hAnsi="Calibri" w:cs="Calibri"/>
              <w:sz w:val="22"/>
              <w:szCs w:val="22"/>
              <w:lang w:val="en-US" w:eastAsia="en-US"/>
            </w:rPr>
          </w:pPr>
          <w:r>
            <w:rPr>
              <w:lang w:val="en-US" w:eastAsia="en-US"/>
            </w:rPr>
            <w:t>9.3</w:t>
          </w:r>
          <w:r>
            <w:rPr>
              <w:rFonts w:cs="Calibri" w:ascii="Calibri" w:hAnsi="Calibri"/>
              <w:sz w:val="22"/>
              <w:szCs w:val="22"/>
              <w:lang w:val="en-US" w:eastAsia="en-US"/>
            </w:rPr>
            <w:tab/>
          </w:r>
          <w:r>
            <w:rPr>
              <w:lang w:val="en-US" w:eastAsia="en-US"/>
            </w:rPr>
            <w:t>Security Mechanisms</w:t>
            <w:tab/>
          </w:r>
          <w:hyperlink w:anchor="__RefHeading___Toc145337414">
            <w:r>
              <w:rPr>
                <w:rStyle w:val="IndexLink"/>
                <w:lang w:val="en-US" w:eastAsia="en-US"/>
              </w:rPr>
              <w:t>40</w:t>
            </w:r>
          </w:hyperlink>
        </w:p>
        <w:p>
          <w:pPr>
            <w:pStyle w:val="Contents2"/>
            <w:rPr>
              <w:rFonts w:ascii="Calibri" w:hAnsi="Calibri" w:cs="Calibri"/>
              <w:sz w:val="22"/>
              <w:szCs w:val="22"/>
              <w:lang w:val="en-US" w:eastAsia="en-US"/>
            </w:rPr>
          </w:pPr>
          <w:r>
            <w:rPr>
              <w:lang w:val="en-US" w:eastAsia="en-US"/>
            </w:rPr>
            <w:t>9.4</w:t>
          </w:r>
          <w:r>
            <w:rPr>
              <w:rFonts w:cs="Calibri" w:ascii="Calibri" w:hAnsi="Calibri"/>
              <w:sz w:val="22"/>
              <w:szCs w:val="22"/>
              <w:lang w:val="en-US" w:eastAsia="en-US"/>
            </w:rPr>
            <w:tab/>
          </w:r>
          <w:r>
            <w:rPr>
              <w:lang w:val="en-US" w:eastAsia="en-US"/>
            </w:rPr>
            <w:t>Certificate Profiles</w:t>
            <w:tab/>
          </w:r>
          <w:hyperlink w:anchor="__RefHeading___Toc145337415">
            <w:r>
              <w:rPr>
                <w:rStyle w:val="IndexLink"/>
                <w:lang w:val="en-US" w:eastAsia="en-US"/>
              </w:rPr>
              <w:t>40</w:t>
            </w:r>
          </w:hyperlink>
        </w:p>
        <w:p>
          <w:pPr>
            <w:pStyle w:val="Contents3"/>
            <w:rPr>
              <w:rFonts w:ascii="Calibri" w:hAnsi="Calibri" w:cs="Calibri"/>
              <w:sz w:val="22"/>
              <w:szCs w:val="22"/>
              <w:lang w:val="es-ES" w:eastAsia="en-US"/>
            </w:rPr>
          </w:pPr>
          <w:r>
            <w:rPr>
              <w:lang w:val="es-ES" w:eastAsia="en-US"/>
            </w:rPr>
            <w:t>9.4.1</w:t>
          </w:r>
          <w:r>
            <w:rPr>
              <w:rFonts w:cs="Calibri" w:ascii="Calibri" w:hAnsi="Calibri"/>
              <w:sz w:val="22"/>
              <w:szCs w:val="22"/>
              <w:lang w:val="es-ES" w:eastAsia="en-US"/>
            </w:rPr>
            <w:tab/>
          </w:r>
          <w:r>
            <w:rPr>
              <w:lang w:val="es-ES" w:eastAsia="en-US"/>
            </w:rPr>
            <w:t>General</w:t>
            <w:tab/>
          </w:r>
          <w:hyperlink w:anchor="__RefHeading___Toc145337416">
            <w:r>
              <w:rPr>
                <w:rStyle w:val="IndexLink"/>
                <w:lang w:val="es-ES" w:eastAsia="en-US"/>
              </w:rPr>
              <w:t>40</w:t>
            </w:r>
          </w:hyperlink>
        </w:p>
        <w:p>
          <w:pPr>
            <w:pStyle w:val="Contents3"/>
            <w:rPr>
              <w:rFonts w:ascii="Calibri" w:hAnsi="Calibri" w:cs="Calibri"/>
              <w:sz w:val="22"/>
              <w:szCs w:val="22"/>
              <w:lang w:val="es-ES" w:eastAsia="en-US"/>
            </w:rPr>
          </w:pPr>
          <w:r>
            <w:rPr>
              <w:lang w:val="es-ES" w:eastAsia="en-US"/>
            </w:rPr>
            <w:t>9.4.2</w:t>
          </w:r>
          <w:r>
            <w:rPr>
              <w:rFonts w:cs="Calibri" w:ascii="Calibri" w:hAnsi="Calibri"/>
              <w:sz w:val="22"/>
              <w:szCs w:val="22"/>
              <w:lang w:val="es-ES" w:eastAsia="en-US"/>
            </w:rPr>
            <w:tab/>
          </w:r>
          <w:r>
            <w:rPr>
              <w:lang w:val="es-ES" w:eastAsia="en-US"/>
            </w:rPr>
            <w:t>Vendor Root CA Certificate</w:t>
            <w:tab/>
          </w:r>
          <w:hyperlink w:anchor="__RefHeading___Toc145337417">
            <w:r>
              <w:rPr>
                <w:rStyle w:val="IndexLink"/>
                <w:lang w:val="es-ES" w:eastAsia="en-US"/>
              </w:rPr>
              <w:t>40</w:t>
            </w:r>
          </w:hyperlink>
        </w:p>
        <w:p>
          <w:pPr>
            <w:pStyle w:val="Contents3"/>
            <w:rPr>
              <w:rFonts w:ascii="Calibri" w:hAnsi="Calibri" w:cs="Calibri"/>
              <w:sz w:val="22"/>
              <w:szCs w:val="22"/>
              <w:lang w:val="es-ES" w:eastAsia="en-US"/>
            </w:rPr>
          </w:pPr>
          <w:r>
            <w:rPr>
              <w:lang w:val="es-ES" w:eastAsia="en-US"/>
            </w:rPr>
            <w:t>9.4.3</w:t>
          </w:r>
          <w:r>
            <w:rPr>
              <w:rFonts w:cs="Calibri" w:ascii="Calibri" w:hAnsi="Calibri"/>
              <w:sz w:val="22"/>
              <w:szCs w:val="22"/>
              <w:lang w:val="es-ES" w:eastAsia="en-US"/>
            </w:rPr>
            <w:tab/>
          </w:r>
          <w:r>
            <w:rPr>
              <w:lang w:val="es-ES" w:eastAsia="en-US"/>
            </w:rPr>
            <w:t>Vendor CA Certificate</w:t>
            <w:tab/>
          </w:r>
          <w:hyperlink w:anchor="__RefHeading___Toc145337418">
            <w:r>
              <w:rPr>
                <w:rStyle w:val="IndexLink"/>
                <w:lang w:val="es-ES" w:eastAsia="en-US"/>
              </w:rPr>
              <w:t>40</w:t>
            </w:r>
          </w:hyperlink>
        </w:p>
        <w:p>
          <w:pPr>
            <w:pStyle w:val="Contents3"/>
            <w:rPr>
              <w:rFonts w:ascii="Calibri" w:hAnsi="Calibri" w:cs="Calibri"/>
              <w:sz w:val="22"/>
              <w:szCs w:val="22"/>
              <w:lang w:val="en-US" w:eastAsia="en-US"/>
            </w:rPr>
          </w:pPr>
          <w:r>
            <w:rPr>
              <w:lang w:val="en-US" w:eastAsia="en-US"/>
            </w:rPr>
            <w:t>9.4.4</w:t>
          </w:r>
          <w:r>
            <w:rPr>
              <w:rFonts w:cs="Calibri" w:ascii="Calibri" w:hAnsi="Calibri"/>
              <w:sz w:val="22"/>
              <w:szCs w:val="22"/>
              <w:lang w:val="en-US" w:eastAsia="en-US"/>
            </w:rPr>
            <w:tab/>
          </w:r>
          <w:r>
            <w:rPr>
              <w:lang w:val="en-US" w:eastAsia="en-US"/>
            </w:rPr>
            <w:t>Vendor Base Station Certificate</w:t>
            <w:tab/>
          </w:r>
          <w:hyperlink w:anchor="__RefHeading___Toc145337419">
            <w:r>
              <w:rPr>
                <w:rStyle w:val="IndexLink"/>
                <w:lang w:val="en-US" w:eastAsia="en-US"/>
              </w:rPr>
              <w:t>40</w:t>
            </w:r>
          </w:hyperlink>
        </w:p>
        <w:p>
          <w:pPr>
            <w:pStyle w:val="Contents3"/>
            <w:rPr>
              <w:rFonts w:ascii="Calibri" w:hAnsi="Calibri" w:cs="Calibri"/>
              <w:sz w:val="22"/>
              <w:szCs w:val="22"/>
              <w:lang w:val="en-US" w:eastAsia="en-US"/>
            </w:rPr>
          </w:pPr>
          <w:r>
            <w:rPr>
              <w:lang w:val="en-US" w:eastAsia="en-US"/>
            </w:rPr>
            <w:t>9.4.5</w:t>
          </w:r>
          <w:r>
            <w:rPr>
              <w:rFonts w:cs="Calibri" w:ascii="Calibri" w:hAnsi="Calibri"/>
              <w:sz w:val="22"/>
              <w:szCs w:val="22"/>
              <w:lang w:val="en-US" w:eastAsia="en-US"/>
            </w:rPr>
            <w:tab/>
          </w:r>
          <w:r>
            <w:rPr>
              <w:lang w:val="en-US" w:eastAsia="en-US"/>
            </w:rPr>
            <w:t>Operator Root CA Certificate</w:t>
            <w:tab/>
          </w:r>
          <w:hyperlink w:anchor="__RefHeading___Toc145337420">
            <w:r>
              <w:rPr>
                <w:rStyle w:val="IndexLink"/>
                <w:lang w:val="en-US" w:eastAsia="en-US"/>
              </w:rPr>
              <w:t>41</w:t>
            </w:r>
          </w:hyperlink>
        </w:p>
        <w:p>
          <w:pPr>
            <w:pStyle w:val="Contents3"/>
            <w:rPr>
              <w:rFonts w:ascii="Calibri" w:hAnsi="Calibri" w:cs="Calibri"/>
              <w:sz w:val="22"/>
              <w:szCs w:val="22"/>
              <w:lang w:val="en-US" w:eastAsia="en-US"/>
            </w:rPr>
          </w:pPr>
          <w:r>
            <w:rPr>
              <w:lang w:val="en-US" w:eastAsia="en-US"/>
            </w:rPr>
            <w:t>9.4.6</w:t>
          </w:r>
          <w:r>
            <w:rPr>
              <w:rFonts w:cs="Calibri" w:ascii="Calibri" w:hAnsi="Calibri"/>
              <w:sz w:val="22"/>
              <w:szCs w:val="22"/>
              <w:lang w:val="en-US" w:eastAsia="en-US"/>
            </w:rPr>
            <w:tab/>
          </w:r>
          <w:r>
            <w:rPr>
              <w:lang w:val="en-US" w:eastAsia="en-US"/>
            </w:rPr>
            <w:t>Operator RA/CA Certificate</w:t>
            <w:tab/>
          </w:r>
          <w:hyperlink w:anchor="__RefHeading___Toc145337421">
            <w:r>
              <w:rPr>
                <w:rStyle w:val="IndexLink"/>
                <w:lang w:val="en-US" w:eastAsia="en-US"/>
              </w:rPr>
              <w:t>41</w:t>
            </w:r>
          </w:hyperlink>
        </w:p>
        <w:p>
          <w:pPr>
            <w:pStyle w:val="Contents3"/>
            <w:rPr>
              <w:rFonts w:ascii="Calibri" w:hAnsi="Calibri" w:cs="Calibri"/>
              <w:sz w:val="22"/>
              <w:szCs w:val="22"/>
              <w:lang w:val="en-US" w:eastAsia="en-US"/>
            </w:rPr>
          </w:pPr>
          <w:r>
            <w:rPr>
              <w:lang w:val="en-US" w:eastAsia="en-US"/>
            </w:rPr>
            <w:t>9.4.7</w:t>
          </w:r>
          <w:r>
            <w:rPr>
              <w:rFonts w:cs="Calibri" w:ascii="Calibri" w:hAnsi="Calibri"/>
              <w:sz w:val="22"/>
              <w:szCs w:val="22"/>
              <w:lang w:val="en-US" w:eastAsia="en-US"/>
            </w:rPr>
            <w:tab/>
          </w:r>
          <w:r>
            <w:rPr>
              <w:lang w:val="en-US" w:eastAsia="en-US"/>
            </w:rPr>
            <w:t>Intermediate Operator CA Certificate</w:t>
            <w:tab/>
          </w:r>
          <w:hyperlink w:anchor="__RefHeading___Toc145337422">
            <w:r>
              <w:rPr>
                <w:rStyle w:val="IndexLink"/>
                <w:lang w:val="en-US" w:eastAsia="en-US"/>
              </w:rPr>
              <w:t>41</w:t>
            </w:r>
          </w:hyperlink>
        </w:p>
        <w:p>
          <w:pPr>
            <w:pStyle w:val="Contents3"/>
            <w:rPr>
              <w:rFonts w:ascii="Calibri" w:hAnsi="Calibri" w:cs="Calibri"/>
              <w:sz w:val="22"/>
              <w:szCs w:val="22"/>
              <w:lang w:val="en-US" w:eastAsia="en-US"/>
            </w:rPr>
          </w:pPr>
          <w:r>
            <w:rPr>
              <w:lang w:val="en-US" w:eastAsia="en-US"/>
            </w:rPr>
            <w:t>9.4.8</w:t>
          </w:r>
          <w:r>
            <w:rPr>
              <w:rFonts w:cs="Calibri" w:ascii="Calibri" w:hAnsi="Calibri"/>
              <w:sz w:val="22"/>
              <w:szCs w:val="22"/>
              <w:lang w:val="en-US" w:eastAsia="en-US"/>
            </w:rPr>
            <w:tab/>
          </w:r>
          <w:r>
            <w:rPr>
              <w:lang w:val="en-US" w:eastAsia="en-US"/>
            </w:rPr>
            <w:t>Operator Base Station Certificate</w:t>
            <w:tab/>
          </w:r>
          <w:hyperlink w:anchor="__RefHeading___Toc145337423">
            <w:r>
              <w:rPr>
                <w:rStyle w:val="IndexLink"/>
                <w:lang w:val="en-US" w:eastAsia="en-US"/>
              </w:rPr>
              <w:t>41</w:t>
            </w:r>
          </w:hyperlink>
        </w:p>
        <w:p>
          <w:pPr>
            <w:pStyle w:val="Contents2"/>
            <w:rPr>
              <w:rFonts w:ascii="Calibri" w:hAnsi="Calibri" w:cs="Calibri"/>
              <w:sz w:val="22"/>
              <w:szCs w:val="22"/>
              <w:lang w:val="en-US" w:eastAsia="en-US"/>
            </w:rPr>
          </w:pPr>
          <w:r>
            <w:rPr>
              <w:lang w:val="en-US" w:eastAsia="en-US"/>
            </w:rPr>
            <w:t>9.5</w:t>
          </w:r>
          <w:r>
            <w:rPr>
              <w:rFonts w:cs="Calibri" w:ascii="Calibri" w:hAnsi="Calibri"/>
              <w:sz w:val="22"/>
              <w:szCs w:val="22"/>
              <w:lang w:val="en-US" w:eastAsia="en-US"/>
            </w:rPr>
            <w:tab/>
          </w:r>
          <w:r>
            <w:rPr>
              <w:lang w:val="en-US" w:eastAsia="en-US"/>
            </w:rPr>
            <w:t>CMPv2 Profiling</w:t>
            <w:tab/>
          </w:r>
          <w:hyperlink w:anchor="__RefHeading___Toc145337424">
            <w:r>
              <w:rPr>
                <w:rStyle w:val="IndexLink"/>
                <w:lang w:val="en-US" w:eastAsia="en-US"/>
              </w:rPr>
              <w:t>42</w:t>
            </w:r>
          </w:hyperlink>
        </w:p>
        <w:p>
          <w:pPr>
            <w:pStyle w:val="Contents3"/>
            <w:rPr>
              <w:rFonts w:ascii="Calibri" w:hAnsi="Calibri" w:cs="Calibri"/>
              <w:sz w:val="22"/>
              <w:szCs w:val="22"/>
              <w:lang w:val="en-US" w:eastAsia="en-US"/>
            </w:rPr>
          </w:pPr>
          <w:r>
            <w:rPr>
              <w:lang w:val="en-US" w:eastAsia="en-US"/>
            </w:rPr>
            <w:t>9.5.1</w:t>
          </w:r>
          <w:r>
            <w:rPr>
              <w:rFonts w:cs="Calibri" w:ascii="Calibri" w:hAnsi="Calibri"/>
              <w:sz w:val="22"/>
              <w:szCs w:val="22"/>
              <w:lang w:val="en-US" w:eastAsia="en-US"/>
            </w:rPr>
            <w:tab/>
          </w:r>
          <w:r>
            <w:rPr>
              <w:lang w:val="en-US" w:eastAsia="en-US"/>
            </w:rPr>
            <w:t>General Requirements</w:t>
            <w:tab/>
          </w:r>
          <w:hyperlink w:anchor="__RefHeading___Toc145337425">
            <w:r>
              <w:rPr>
                <w:rStyle w:val="IndexLink"/>
                <w:lang w:val="en-US" w:eastAsia="en-US"/>
              </w:rPr>
              <w:t>42</w:t>
            </w:r>
          </w:hyperlink>
        </w:p>
        <w:p>
          <w:pPr>
            <w:pStyle w:val="Contents3"/>
            <w:rPr>
              <w:rFonts w:ascii="Calibri" w:hAnsi="Calibri" w:cs="Calibri"/>
              <w:sz w:val="22"/>
              <w:szCs w:val="22"/>
              <w:lang w:val="en-US" w:eastAsia="en-US"/>
            </w:rPr>
          </w:pPr>
          <w:r>
            <w:rPr>
              <w:lang w:val="en-US" w:eastAsia="en-US"/>
            </w:rPr>
            <w:t>9.5.2</w:t>
          </w:r>
          <w:r>
            <w:rPr>
              <w:rFonts w:cs="Calibri" w:ascii="Calibri" w:hAnsi="Calibri"/>
              <w:sz w:val="22"/>
              <w:szCs w:val="22"/>
              <w:lang w:val="en-US" w:eastAsia="en-US"/>
            </w:rPr>
            <w:tab/>
          </w:r>
          <w:r>
            <w:rPr>
              <w:lang w:val="en-US" w:eastAsia="en-US"/>
            </w:rPr>
            <w:t>Profile for the PKIMessage</w:t>
            <w:tab/>
          </w:r>
          <w:hyperlink w:anchor="__RefHeading___Toc145337426">
            <w:r>
              <w:rPr>
                <w:rStyle w:val="IndexLink"/>
                <w:lang w:val="en-US" w:eastAsia="en-US"/>
              </w:rPr>
              <w:t>43</w:t>
            </w:r>
          </w:hyperlink>
        </w:p>
        <w:p>
          <w:pPr>
            <w:pStyle w:val="Contents3"/>
            <w:rPr>
              <w:rFonts w:ascii="Calibri" w:hAnsi="Calibri" w:cs="Calibri"/>
              <w:sz w:val="22"/>
              <w:szCs w:val="22"/>
              <w:lang w:val="en-US" w:eastAsia="en-US"/>
            </w:rPr>
          </w:pPr>
          <w:r>
            <w:rPr>
              <w:lang w:val="en-US" w:eastAsia="en-US"/>
            </w:rPr>
            <w:t>9.5.3</w:t>
          </w:r>
          <w:r>
            <w:rPr>
              <w:rFonts w:cs="Calibri" w:ascii="Calibri" w:hAnsi="Calibri"/>
              <w:sz w:val="22"/>
              <w:szCs w:val="22"/>
              <w:lang w:val="en-US" w:eastAsia="en-US"/>
            </w:rPr>
            <w:tab/>
          </w:r>
          <w:r>
            <w:rPr>
              <w:lang w:val="en-US" w:eastAsia="en-US"/>
            </w:rPr>
            <w:t>Profile for the PKIHeader Field</w:t>
            <w:tab/>
          </w:r>
          <w:hyperlink w:anchor="__RefHeading___Toc145337427">
            <w:r>
              <w:rPr>
                <w:rStyle w:val="IndexLink"/>
                <w:lang w:val="en-US" w:eastAsia="en-US"/>
              </w:rPr>
              <w:t>43</w:t>
            </w:r>
          </w:hyperlink>
        </w:p>
        <w:p>
          <w:pPr>
            <w:pStyle w:val="Contents3"/>
            <w:rPr>
              <w:rFonts w:ascii="Calibri" w:hAnsi="Calibri" w:cs="Calibri"/>
              <w:sz w:val="22"/>
              <w:szCs w:val="22"/>
              <w:lang w:val="en-US" w:eastAsia="en-US"/>
            </w:rPr>
          </w:pPr>
          <w:r>
            <w:rPr>
              <w:lang w:val="en-US" w:eastAsia="en-US"/>
            </w:rPr>
            <w:t>9.5.4</w:t>
          </w:r>
          <w:r>
            <w:rPr>
              <w:rFonts w:cs="Calibri" w:ascii="Calibri" w:hAnsi="Calibri"/>
              <w:sz w:val="22"/>
              <w:szCs w:val="22"/>
              <w:lang w:val="en-US" w:eastAsia="en-US"/>
            </w:rPr>
            <w:tab/>
          </w:r>
          <w:r>
            <w:rPr>
              <w:lang w:val="en-US" w:eastAsia="en-US"/>
            </w:rPr>
            <w:t>Profile for the PKIBody Field</w:t>
            <w:tab/>
          </w:r>
          <w:hyperlink w:anchor="__RefHeading___Toc145337428">
            <w:r>
              <w:rPr>
                <w:rStyle w:val="IndexLink"/>
                <w:lang w:val="en-US" w:eastAsia="en-US"/>
              </w:rPr>
              <w:t>43</w:t>
            </w:r>
          </w:hyperlink>
        </w:p>
        <w:p>
          <w:pPr>
            <w:pStyle w:val="Contents4"/>
            <w:rPr>
              <w:rFonts w:ascii="Calibri" w:hAnsi="Calibri" w:cs="Calibri"/>
              <w:sz w:val="22"/>
              <w:szCs w:val="22"/>
              <w:lang w:val="en-US" w:eastAsia="en-US"/>
            </w:rPr>
          </w:pPr>
          <w:r>
            <w:rPr>
              <w:lang w:val="en-US" w:eastAsia="en-US"/>
            </w:rPr>
            <w:t>9.5.4.1</w:t>
          </w:r>
          <w:r>
            <w:rPr>
              <w:rFonts w:cs="Calibri" w:ascii="Calibri" w:hAnsi="Calibri"/>
              <w:sz w:val="22"/>
              <w:szCs w:val="22"/>
              <w:lang w:val="en-US" w:eastAsia="en-US"/>
            </w:rPr>
            <w:tab/>
          </w:r>
          <w:r>
            <w:rPr>
              <w:lang w:val="en-US" w:eastAsia="en-US"/>
            </w:rPr>
            <w:t>General</w:t>
            <w:tab/>
          </w:r>
          <w:hyperlink w:anchor="__RefHeading___Toc145337429">
            <w:r>
              <w:rPr>
                <w:rStyle w:val="IndexLink"/>
                <w:lang w:val="en-US" w:eastAsia="en-US"/>
              </w:rPr>
              <w:t>43</w:t>
            </w:r>
          </w:hyperlink>
        </w:p>
        <w:p>
          <w:pPr>
            <w:pStyle w:val="Contents4"/>
            <w:rPr>
              <w:rFonts w:ascii="Calibri" w:hAnsi="Calibri" w:cs="Calibri"/>
              <w:sz w:val="22"/>
              <w:szCs w:val="22"/>
              <w:lang w:val="en-US" w:eastAsia="en-US"/>
            </w:rPr>
          </w:pPr>
          <w:r>
            <w:rPr>
              <w:lang w:val="en-US" w:eastAsia="en-US"/>
            </w:rPr>
            <w:t>9.5.4.2</w:t>
          </w:r>
          <w:r>
            <w:rPr>
              <w:rFonts w:cs="Calibri" w:ascii="Calibri" w:hAnsi="Calibri"/>
              <w:sz w:val="22"/>
              <w:szCs w:val="22"/>
              <w:lang w:val="en-US" w:eastAsia="en-US"/>
            </w:rPr>
            <w:tab/>
          </w:r>
          <w:r>
            <w:rPr>
              <w:lang w:val="en-US" w:eastAsia="en-US"/>
            </w:rPr>
            <w:t>Initialization Request</w:t>
            <w:tab/>
          </w:r>
          <w:hyperlink w:anchor="__RefHeading___Toc145337430">
            <w:r>
              <w:rPr>
                <w:rStyle w:val="IndexLink"/>
                <w:lang w:val="en-US" w:eastAsia="en-US"/>
              </w:rPr>
              <w:t>44</w:t>
            </w:r>
          </w:hyperlink>
        </w:p>
        <w:p>
          <w:pPr>
            <w:pStyle w:val="Contents4"/>
            <w:rPr>
              <w:rFonts w:ascii="Calibri" w:hAnsi="Calibri" w:cs="Calibri"/>
              <w:sz w:val="22"/>
              <w:szCs w:val="22"/>
              <w:lang w:val="en-US" w:eastAsia="en-US"/>
            </w:rPr>
          </w:pPr>
          <w:r>
            <w:rPr>
              <w:lang w:val="en-US" w:eastAsia="en-US"/>
            </w:rPr>
            <w:t>9.5.4.3</w:t>
          </w:r>
          <w:r>
            <w:rPr>
              <w:rFonts w:cs="Calibri" w:ascii="Calibri" w:hAnsi="Calibri"/>
              <w:sz w:val="22"/>
              <w:szCs w:val="22"/>
              <w:lang w:val="en-US" w:eastAsia="en-US"/>
            </w:rPr>
            <w:tab/>
          </w:r>
          <w:r>
            <w:rPr>
              <w:lang w:val="en-US" w:eastAsia="en-US"/>
            </w:rPr>
            <w:t>Initialization Response</w:t>
            <w:tab/>
          </w:r>
          <w:hyperlink w:anchor="__RefHeading___Toc145337431">
            <w:r>
              <w:rPr>
                <w:rStyle w:val="IndexLink"/>
                <w:lang w:val="en-US" w:eastAsia="en-US"/>
              </w:rPr>
              <w:t>44</w:t>
            </w:r>
          </w:hyperlink>
        </w:p>
        <w:p>
          <w:pPr>
            <w:pStyle w:val="Contents4"/>
            <w:rPr>
              <w:rFonts w:ascii="Calibri" w:hAnsi="Calibri" w:cs="Calibri"/>
              <w:sz w:val="22"/>
              <w:szCs w:val="22"/>
              <w:lang w:val="en-US" w:eastAsia="en-US"/>
            </w:rPr>
          </w:pPr>
          <w:r>
            <w:rPr>
              <w:lang w:val="en-US" w:eastAsia="en-US"/>
            </w:rPr>
            <w:t>9.5.4.4</w:t>
          </w:r>
          <w:r>
            <w:rPr>
              <w:rFonts w:cs="Calibri" w:ascii="Calibri" w:hAnsi="Calibri"/>
              <w:sz w:val="22"/>
              <w:szCs w:val="22"/>
              <w:lang w:val="en-US" w:eastAsia="en-US"/>
            </w:rPr>
            <w:tab/>
          </w:r>
          <w:r>
            <w:rPr>
              <w:lang w:val="en-US" w:eastAsia="en-US"/>
            </w:rPr>
            <w:t>Key Update Request and Key Update Response</w:t>
            <w:tab/>
          </w:r>
          <w:hyperlink w:anchor="__RefHeading___Toc145337432">
            <w:r>
              <w:rPr>
                <w:rStyle w:val="IndexLink"/>
                <w:lang w:val="en-US" w:eastAsia="en-US"/>
              </w:rPr>
              <w:t>44</w:t>
            </w:r>
          </w:hyperlink>
        </w:p>
        <w:p>
          <w:pPr>
            <w:pStyle w:val="Contents4"/>
            <w:rPr>
              <w:rFonts w:ascii="Calibri" w:hAnsi="Calibri" w:cs="Calibri"/>
              <w:sz w:val="22"/>
              <w:szCs w:val="22"/>
              <w:lang w:val="en-US" w:eastAsia="en-US"/>
            </w:rPr>
          </w:pPr>
          <w:r>
            <w:rPr>
              <w:lang w:val="en-US" w:eastAsia="en-US"/>
            </w:rPr>
            <w:t>9.5.4.5</w:t>
          </w:r>
          <w:r>
            <w:rPr>
              <w:rFonts w:cs="Calibri" w:ascii="Calibri" w:hAnsi="Calibri"/>
              <w:sz w:val="22"/>
              <w:szCs w:val="22"/>
              <w:lang w:val="en-US" w:eastAsia="en-US"/>
            </w:rPr>
            <w:tab/>
          </w:r>
          <w:r>
            <w:rPr>
              <w:lang w:val="en-US" w:eastAsia="en-US"/>
            </w:rPr>
            <w:t>Certificate Confirm Request and Confirmation Response</w:t>
            <w:tab/>
          </w:r>
          <w:hyperlink w:anchor="__RefHeading___Toc145337433">
            <w:r>
              <w:rPr>
                <w:rStyle w:val="IndexLink"/>
                <w:lang w:val="en-US" w:eastAsia="en-US"/>
              </w:rPr>
              <w:t>45</w:t>
            </w:r>
          </w:hyperlink>
        </w:p>
        <w:p>
          <w:pPr>
            <w:pStyle w:val="Contents2"/>
            <w:rPr>
              <w:rFonts w:ascii="Calibri" w:hAnsi="Calibri" w:cs="Calibri"/>
              <w:sz w:val="22"/>
              <w:szCs w:val="22"/>
              <w:lang w:val="en-US" w:eastAsia="en-US"/>
            </w:rPr>
          </w:pPr>
          <w:r>
            <w:rPr>
              <w:lang w:val="en-US" w:eastAsia="en-US"/>
            </w:rPr>
            <w:t>9.6</w:t>
          </w:r>
          <w:r>
            <w:rPr>
              <w:rFonts w:cs="Calibri" w:ascii="Calibri" w:hAnsi="Calibri"/>
              <w:sz w:val="22"/>
              <w:szCs w:val="22"/>
              <w:lang w:val="en-US" w:eastAsia="en-US"/>
            </w:rPr>
            <w:tab/>
          </w:r>
          <w:r>
            <w:rPr>
              <w:lang w:val="en-US" w:eastAsia="en-US"/>
            </w:rPr>
            <w:t>CMPv2 Transport</w:t>
            <w:tab/>
          </w:r>
          <w:hyperlink w:anchor="__RefHeading___Toc145337434">
            <w:r>
              <w:rPr>
                <w:rStyle w:val="IndexLink"/>
                <w:lang w:val="en-US" w:eastAsia="en-US"/>
              </w:rPr>
              <w:t>45</w:t>
            </w:r>
          </w:hyperlink>
        </w:p>
        <w:p>
          <w:pPr>
            <w:pStyle w:val="Contents8"/>
            <w:rPr>
              <w:rFonts w:ascii="Calibri" w:hAnsi="Calibri" w:cs="Calibri"/>
              <w:b w:val="false"/>
              <w:b w:val="false"/>
              <w:szCs w:val="22"/>
              <w:lang w:val="en-US" w:eastAsia="en-US"/>
            </w:rPr>
          </w:pPr>
          <w:r>
            <w:rPr>
              <w:lang w:val="en-US" w:eastAsia="en-US"/>
            </w:rPr>
            <w:t>Annex A (informative):</w:t>
            <w:tab/>
            <w:t>Void</w:t>
            <w:tab/>
          </w:r>
          <w:hyperlink w:anchor="__RefHeading___Toc145337435">
            <w:r>
              <w:rPr>
                <w:rStyle w:val="IndexLink"/>
                <w:lang w:val="en-US" w:eastAsia="en-US"/>
              </w:rPr>
              <w:t>46</w:t>
            </w:r>
          </w:hyperlink>
        </w:p>
        <w:p>
          <w:pPr>
            <w:pStyle w:val="Contents8"/>
            <w:rPr>
              <w:rFonts w:ascii="Calibri" w:hAnsi="Calibri" w:cs="Calibri"/>
              <w:b w:val="false"/>
              <w:b w:val="false"/>
              <w:szCs w:val="22"/>
              <w:lang w:val="en-US" w:eastAsia="en-US"/>
            </w:rPr>
          </w:pPr>
          <w:r>
            <w:rPr>
              <w:lang w:val="en-US" w:eastAsia="en-US"/>
            </w:rPr>
            <w:t>Annex B (informative):</w:t>
            <w:tab/>
            <w:t>Decision for the simple trust model</w:t>
            <w:tab/>
          </w:r>
          <w:hyperlink w:anchor="__RefHeading___Toc145337436">
            <w:r>
              <w:rPr>
                <w:rStyle w:val="IndexLink"/>
                <w:lang w:val="en-US" w:eastAsia="en-US"/>
              </w:rPr>
              <w:t>47</w:t>
            </w:r>
          </w:hyperlink>
        </w:p>
        <w:p>
          <w:pPr>
            <w:pStyle w:val="Contents1"/>
            <w:rPr>
              <w:rFonts w:ascii="Calibri" w:hAnsi="Calibri" w:cs="Calibri"/>
              <w:szCs w:val="22"/>
              <w:lang w:val="en-US" w:eastAsia="en-US"/>
            </w:rPr>
          </w:pPr>
          <w:r>
            <w:rPr>
              <w:lang w:val="en-US" w:eastAsia="en-US"/>
            </w:rPr>
            <w:t>B.1</w:t>
          </w:r>
          <w:r>
            <w:rPr>
              <w:rFonts w:cs="Calibri" w:ascii="Calibri" w:hAnsi="Calibri"/>
              <w:szCs w:val="22"/>
              <w:lang w:val="en-US" w:eastAsia="en-US"/>
            </w:rPr>
            <w:tab/>
          </w:r>
          <w:r>
            <w:rPr>
              <w:lang w:val="en-US" w:eastAsia="en-US"/>
            </w:rPr>
            <w:t>Introduction</w:t>
            <w:tab/>
          </w:r>
          <w:hyperlink w:anchor="__RefHeading___Toc145337437">
            <w:r>
              <w:rPr>
                <w:rStyle w:val="IndexLink"/>
                <w:lang w:val="en-US" w:eastAsia="en-US"/>
              </w:rPr>
              <w:t>47</w:t>
            </w:r>
          </w:hyperlink>
        </w:p>
        <w:p>
          <w:pPr>
            <w:pStyle w:val="Contents1"/>
            <w:rPr>
              <w:rFonts w:ascii="Calibri" w:hAnsi="Calibri" w:cs="Calibri"/>
              <w:szCs w:val="22"/>
              <w:lang w:val="en-US" w:eastAsia="en-US"/>
            </w:rPr>
          </w:pPr>
          <w:r>
            <w:rPr>
              <w:lang w:val="en-US" w:eastAsia="en-US"/>
            </w:rPr>
            <w:t>B.2</w:t>
          </w:r>
          <w:r>
            <w:rPr>
              <w:rFonts w:cs="Calibri" w:ascii="Calibri" w:hAnsi="Calibri"/>
              <w:szCs w:val="22"/>
              <w:lang w:val="en-US" w:eastAsia="en-US"/>
            </w:rPr>
            <w:tab/>
          </w:r>
          <w:r>
            <w:rPr>
              <w:lang w:val="en-US" w:eastAsia="en-US"/>
            </w:rPr>
            <w:t>Requirements for trust model in NDS/AF</w:t>
            <w:tab/>
          </w:r>
          <w:hyperlink w:anchor="__RefHeading___Toc145337438">
            <w:r>
              <w:rPr>
                <w:rStyle w:val="IndexLink"/>
                <w:lang w:val="en-US" w:eastAsia="en-US"/>
              </w:rPr>
              <w:t>47</w:t>
            </w:r>
          </w:hyperlink>
        </w:p>
        <w:p>
          <w:pPr>
            <w:pStyle w:val="Contents1"/>
            <w:rPr>
              <w:rFonts w:ascii="Calibri" w:hAnsi="Calibri" w:cs="Calibri"/>
              <w:szCs w:val="22"/>
              <w:lang w:val="en-US" w:eastAsia="en-US"/>
            </w:rPr>
          </w:pPr>
          <w:r>
            <w:rPr>
              <w:lang w:val="en-US" w:eastAsia="en-US"/>
            </w:rPr>
            <w:t>B.3</w:t>
          </w:r>
          <w:r>
            <w:rPr>
              <w:rFonts w:cs="Calibri" w:ascii="Calibri" w:hAnsi="Calibri"/>
              <w:szCs w:val="22"/>
              <w:lang w:val="en-US" w:eastAsia="en-US"/>
            </w:rPr>
            <w:tab/>
          </w:r>
          <w:r>
            <w:rPr>
              <w:lang w:val="en-US" w:eastAsia="en-US"/>
            </w:rPr>
            <w:t>Cross-certification approaches</w:t>
            <w:tab/>
          </w:r>
          <w:hyperlink w:anchor="__RefHeading___Toc145337439">
            <w:r>
              <w:rPr>
                <w:rStyle w:val="IndexLink"/>
                <w:lang w:val="en-US" w:eastAsia="en-US"/>
              </w:rPr>
              <w:t>47</w:t>
            </w:r>
          </w:hyperlink>
        </w:p>
        <w:p>
          <w:pPr>
            <w:pStyle w:val="Contents2"/>
            <w:rPr>
              <w:rFonts w:ascii="Calibri" w:hAnsi="Calibri" w:cs="Calibri"/>
              <w:sz w:val="22"/>
              <w:szCs w:val="22"/>
              <w:lang w:val="en-US" w:eastAsia="en-US"/>
            </w:rPr>
          </w:pPr>
          <w:r>
            <w:rPr>
              <w:lang w:val="en-US" w:eastAsia="en-US"/>
            </w:rPr>
            <w:t>B.3.1</w:t>
          </w:r>
          <w:r>
            <w:rPr>
              <w:rFonts w:cs="Calibri" w:ascii="Calibri" w:hAnsi="Calibri"/>
              <w:sz w:val="22"/>
              <w:szCs w:val="22"/>
              <w:lang w:val="en-US" w:eastAsia="en-US"/>
            </w:rPr>
            <w:tab/>
          </w:r>
          <w:r>
            <w:rPr>
              <w:lang w:val="en-US" w:eastAsia="en-US"/>
            </w:rPr>
            <w:t>Manual Cross-certification</w:t>
            <w:tab/>
          </w:r>
          <w:hyperlink w:anchor="__RefHeading___Toc145337440">
            <w:r>
              <w:rPr>
                <w:rStyle w:val="IndexLink"/>
                <w:lang w:val="en-US" w:eastAsia="en-US"/>
              </w:rPr>
              <w:t>47</w:t>
            </w:r>
          </w:hyperlink>
        </w:p>
        <w:p>
          <w:pPr>
            <w:pStyle w:val="Contents2"/>
            <w:rPr>
              <w:rFonts w:ascii="Calibri" w:hAnsi="Calibri" w:cs="Calibri"/>
              <w:sz w:val="22"/>
              <w:szCs w:val="22"/>
              <w:lang w:val="en-US" w:eastAsia="en-US"/>
            </w:rPr>
          </w:pPr>
          <w:r>
            <w:rPr>
              <w:lang w:val="en-US" w:eastAsia="en-US"/>
            </w:rPr>
            <w:t>B.3.2</w:t>
          </w:r>
          <w:r>
            <w:rPr>
              <w:rFonts w:cs="Calibri" w:ascii="Calibri" w:hAnsi="Calibri"/>
              <w:sz w:val="22"/>
              <w:szCs w:val="22"/>
              <w:lang w:val="en-US" w:eastAsia="en-US"/>
            </w:rPr>
            <w:tab/>
          </w:r>
          <w:r>
            <w:rPr>
              <w:lang w:val="en-US" w:eastAsia="en-US"/>
            </w:rPr>
            <w:t>Cross-certification with a Bridge CA</w:t>
            <w:tab/>
          </w:r>
          <w:hyperlink w:anchor="__RefHeading___Toc145337441">
            <w:r>
              <w:rPr>
                <w:rStyle w:val="IndexLink"/>
                <w:lang w:val="en-US" w:eastAsia="en-US"/>
              </w:rPr>
              <w:t>48</w:t>
            </w:r>
          </w:hyperlink>
        </w:p>
        <w:p>
          <w:pPr>
            <w:pStyle w:val="Contents1"/>
            <w:rPr>
              <w:rFonts w:ascii="Calibri" w:hAnsi="Calibri" w:cs="Calibri"/>
              <w:szCs w:val="22"/>
              <w:lang w:val="en-US" w:eastAsia="en-US"/>
            </w:rPr>
          </w:pPr>
          <w:r>
            <w:rPr>
              <w:lang w:val="en-US" w:eastAsia="en-US"/>
            </w:rPr>
            <w:t>B.4</w:t>
          </w:r>
          <w:r>
            <w:rPr>
              <w:rFonts w:cs="Calibri" w:ascii="Calibri" w:hAnsi="Calibri"/>
              <w:szCs w:val="22"/>
              <w:lang w:val="en-US" w:eastAsia="en-US"/>
            </w:rPr>
            <w:tab/>
          </w:r>
          <w:r>
            <w:rPr>
              <w:lang w:val="en-US" w:eastAsia="en-US"/>
            </w:rPr>
            <w:t>Issues with the Bridge CA approach</w:t>
            <w:tab/>
          </w:r>
          <w:hyperlink w:anchor="__RefHeading___Toc145337442">
            <w:r>
              <w:rPr>
                <w:rStyle w:val="IndexLink"/>
                <w:lang w:val="en-US" w:eastAsia="en-US"/>
              </w:rPr>
              <w:t>48</w:t>
            </w:r>
          </w:hyperlink>
        </w:p>
        <w:p>
          <w:pPr>
            <w:pStyle w:val="Contents2"/>
            <w:rPr>
              <w:rFonts w:ascii="Calibri" w:hAnsi="Calibri" w:cs="Calibri"/>
              <w:sz w:val="22"/>
              <w:szCs w:val="22"/>
              <w:lang w:val="en-US" w:eastAsia="en-US"/>
            </w:rPr>
          </w:pPr>
          <w:r>
            <w:rPr>
              <w:lang w:val="en-US" w:eastAsia="en-US"/>
            </w:rPr>
            <w:t>B.4.1</w:t>
          </w:r>
          <w:r>
            <w:rPr>
              <w:rFonts w:cs="Calibri" w:ascii="Calibri" w:hAnsi="Calibri"/>
              <w:sz w:val="22"/>
              <w:szCs w:val="22"/>
              <w:lang w:val="en-US" w:eastAsia="en-US"/>
            </w:rPr>
            <w:tab/>
          </w:r>
          <w:r>
            <w:rPr>
              <w:lang w:val="en-US" w:eastAsia="en-US"/>
            </w:rPr>
            <w:t>Need for nameConstraint support in certificates or strong legal bindings and auditing</w:t>
            <w:tab/>
          </w:r>
          <w:hyperlink w:anchor="__RefHeading___Toc145337443">
            <w:r>
              <w:rPr>
                <w:rStyle w:val="IndexLink"/>
                <w:lang w:val="en-US" w:eastAsia="en-US"/>
              </w:rPr>
              <w:t>48</w:t>
            </w:r>
          </w:hyperlink>
        </w:p>
        <w:p>
          <w:pPr>
            <w:pStyle w:val="Contents2"/>
            <w:rPr>
              <w:rFonts w:ascii="Calibri" w:hAnsi="Calibri" w:cs="Calibri"/>
              <w:sz w:val="22"/>
              <w:szCs w:val="22"/>
              <w:lang w:val="en-US" w:eastAsia="en-US"/>
            </w:rPr>
          </w:pPr>
          <w:r>
            <w:rPr>
              <w:lang w:val="en-US" w:eastAsia="en-US"/>
            </w:rPr>
            <w:t>B.4.2</w:t>
          </w:r>
          <w:r>
            <w:rPr>
              <w:rFonts w:cs="Calibri" w:ascii="Calibri" w:hAnsi="Calibri"/>
              <w:sz w:val="22"/>
              <w:szCs w:val="22"/>
              <w:lang w:val="en-US" w:eastAsia="en-US"/>
            </w:rPr>
            <w:tab/>
          </w:r>
          <w:r>
            <w:rPr>
              <w:lang w:val="en-US" w:eastAsia="en-US"/>
            </w:rPr>
            <w:t>Preventing name collisions</w:t>
            <w:tab/>
          </w:r>
          <w:hyperlink w:anchor="__RefHeading___Toc145337444">
            <w:r>
              <w:rPr>
                <w:rStyle w:val="IndexLink"/>
                <w:lang w:val="en-US" w:eastAsia="en-US"/>
              </w:rPr>
              <w:t>49</w:t>
            </w:r>
          </w:hyperlink>
        </w:p>
        <w:p>
          <w:pPr>
            <w:pStyle w:val="Contents2"/>
            <w:rPr>
              <w:rFonts w:ascii="Calibri" w:hAnsi="Calibri" w:cs="Calibri"/>
              <w:sz w:val="22"/>
              <w:szCs w:val="22"/>
              <w:lang w:val="en-US" w:eastAsia="en-US"/>
            </w:rPr>
          </w:pPr>
          <w:r>
            <w:rPr>
              <w:lang w:val="en-US" w:eastAsia="en-US"/>
            </w:rPr>
            <w:t>B.4.3</w:t>
          </w:r>
          <w:r>
            <w:rPr>
              <w:rFonts w:cs="Calibri" w:ascii="Calibri" w:hAnsi="Calibri"/>
              <w:sz w:val="22"/>
              <w:szCs w:val="22"/>
              <w:lang w:val="en-US" w:eastAsia="en-US"/>
            </w:rPr>
            <w:tab/>
          </w:r>
          <w:r>
            <w:rPr>
              <w:lang w:val="en-US" w:eastAsia="en-US"/>
            </w:rPr>
            <w:t>Two redundant steps required for establishing trust</w:t>
            <w:tab/>
          </w:r>
          <w:hyperlink w:anchor="__RefHeading___Toc145337445">
            <w:r>
              <w:rPr>
                <w:rStyle w:val="IndexLink"/>
                <w:lang w:val="en-US" w:eastAsia="en-US"/>
              </w:rPr>
              <w:t>49</w:t>
            </w:r>
          </w:hyperlink>
        </w:p>
        <w:p>
          <w:pPr>
            <w:pStyle w:val="Contents2"/>
            <w:rPr>
              <w:rFonts w:ascii="Calibri" w:hAnsi="Calibri" w:cs="Calibri"/>
              <w:sz w:val="22"/>
              <w:szCs w:val="22"/>
              <w:lang w:val="en-US" w:eastAsia="en-US"/>
            </w:rPr>
          </w:pPr>
          <w:r>
            <w:rPr>
              <w:lang w:val="en-US" w:eastAsia="en-US"/>
            </w:rPr>
            <w:t>B.4.4</w:t>
          </w:r>
          <w:r>
            <w:rPr>
              <w:rFonts w:cs="Calibri" w:ascii="Calibri" w:hAnsi="Calibri"/>
              <w:sz w:val="22"/>
              <w:szCs w:val="22"/>
              <w:lang w:val="en-US" w:eastAsia="en-US"/>
            </w:rPr>
            <w:tab/>
          </w:r>
          <w:r>
            <w:rPr>
              <w:lang w:val="en-US" w:eastAsia="en-US"/>
            </w:rPr>
            <w:t>Long certificate chains connected with IKE implementation issues</w:t>
            <w:tab/>
          </w:r>
          <w:hyperlink w:anchor="__RefHeading___Toc145337446">
            <w:r>
              <w:rPr>
                <w:rStyle w:val="IndexLink"/>
                <w:lang w:val="en-US" w:eastAsia="en-US"/>
              </w:rPr>
              <w:t>49</w:t>
            </w:r>
          </w:hyperlink>
        </w:p>
        <w:p>
          <w:pPr>
            <w:pStyle w:val="Contents2"/>
            <w:rPr>
              <w:rFonts w:ascii="Calibri" w:hAnsi="Calibri" w:cs="Calibri"/>
              <w:sz w:val="22"/>
              <w:szCs w:val="22"/>
              <w:lang w:val="en-US" w:eastAsia="en-US"/>
            </w:rPr>
          </w:pPr>
          <w:r>
            <w:rPr>
              <w:lang w:val="en-US" w:eastAsia="en-US"/>
            </w:rPr>
            <w:t>B.4.5</w:t>
          </w:r>
          <w:r>
            <w:rPr>
              <w:rFonts w:cs="Calibri" w:ascii="Calibri" w:hAnsi="Calibri"/>
              <w:sz w:val="22"/>
              <w:szCs w:val="22"/>
              <w:lang w:val="en-US" w:eastAsia="en-US"/>
            </w:rPr>
            <w:tab/>
          </w:r>
          <w:r>
            <w:rPr>
              <w:lang w:val="en-US" w:eastAsia="en-US"/>
            </w:rPr>
            <w:t>Lack of existing relevant Bridge CA experiences</w:t>
            <w:tab/>
          </w:r>
          <w:hyperlink w:anchor="__RefHeading___Toc145337447">
            <w:r>
              <w:rPr>
                <w:rStyle w:val="IndexLink"/>
                <w:lang w:val="en-US" w:eastAsia="en-US"/>
              </w:rPr>
              <w:t>50</w:t>
            </w:r>
          </w:hyperlink>
        </w:p>
        <w:p>
          <w:pPr>
            <w:pStyle w:val="Contents1"/>
            <w:rPr>
              <w:rFonts w:ascii="Calibri" w:hAnsi="Calibri" w:cs="Calibri"/>
              <w:szCs w:val="22"/>
              <w:lang w:val="en-US" w:eastAsia="en-US"/>
            </w:rPr>
          </w:pPr>
          <w:r>
            <w:rPr>
              <w:lang w:val="en-US" w:eastAsia="en-US"/>
            </w:rPr>
            <w:t>B.5</w:t>
          </w:r>
          <w:r>
            <w:rPr>
              <w:rFonts w:cs="Calibri" w:ascii="Calibri" w:hAnsi="Calibri"/>
              <w:szCs w:val="22"/>
              <w:lang w:val="en-US" w:eastAsia="en-US"/>
            </w:rPr>
            <w:tab/>
          </w:r>
          <w:r>
            <w:rPr>
              <w:lang w:val="en-US" w:eastAsia="en-US"/>
            </w:rPr>
            <w:t>Feasibility of the direct cross-certification approach</w:t>
            <w:tab/>
          </w:r>
          <w:hyperlink w:anchor="__RefHeading___Toc145337448">
            <w:r>
              <w:rPr>
                <w:rStyle w:val="IndexLink"/>
                <w:lang w:val="en-US" w:eastAsia="en-US"/>
              </w:rPr>
              <w:t>50</w:t>
            </w:r>
          </w:hyperlink>
        </w:p>
        <w:p>
          <w:pPr>
            <w:pStyle w:val="Contents2"/>
            <w:rPr>
              <w:rFonts w:ascii="Calibri" w:hAnsi="Calibri" w:cs="Calibri"/>
              <w:sz w:val="22"/>
              <w:szCs w:val="22"/>
              <w:lang w:val="en-US" w:eastAsia="en-US"/>
            </w:rPr>
          </w:pPr>
          <w:r>
            <w:rPr>
              <w:lang w:val="en-US" w:eastAsia="en-US"/>
            </w:rPr>
            <w:t>B.5.1</w:t>
          </w:r>
          <w:r>
            <w:rPr>
              <w:rFonts w:cs="Calibri" w:ascii="Calibri" w:hAnsi="Calibri"/>
              <w:sz w:val="22"/>
              <w:szCs w:val="22"/>
              <w:lang w:val="en-US" w:eastAsia="en-US"/>
            </w:rPr>
            <w:tab/>
          </w:r>
          <w:r>
            <w:rPr>
              <w:lang w:val="en-US" w:eastAsia="en-US"/>
            </w:rPr>
            <w:t>Benefits of direct cross-certification</w:t>
            <w:tab/>
          </w:r>
          <w:hyperlink w:anchor="__RefHeading___Toc145337449">
            <w:r>
              <w:rPr>
                <w:rStyle w:val="IndexLink"/>
                <w:lang w:val="en-US" w:eastAsia="en-US"/>
              </w:rPr>
              <w:t>50</w:t>
            </w:r>
          </w:hyperlink>
        </w:p>
        <w:p>
          <w:pPr>
            <w:pStyle w:val="Contents2"/>
            <w:rPr>
              <w:rFonts w:ascii="Calibri" w:hAnsi="Calibri" w:cs="Calibri"/>
              <w:sz w:val="22"/>
              <w:szCs w:val="22"/>
              <w:lang w:val="en-US" w:eastAsia="en-US"/>
            </w:rPr>
          </w:pPr>
          <w:r>
            <w:rPr>
              <w:lang w:val="en-US" w:eastAsia="en-US"/>
            </w:rPr>
            <w:t>B.5.2</w:t>
          </w:r>
          <w:r>
            <w:rPr>
              <w:rFonts w:cs="Calibri" w:ascii="Calibri" w:hAnsi="Calibri"/>
              <w:sz w:val="22"/>
              <w:szCs w:val="22"/>
              <w:lang w:val="en-US" w:eastAsia="en-US"/>
            </w:rPr>
            <w:tab/>
          </w:r>
          <w:r>
            <w:rPr>
              <w:lang w:val="en-US" w:eastAsia="en-US"/>
            </w:rPr>
            <w:t>Memory and processing power requirements</w:t>
            <w:tab/>
          </w:r>
          <w:hyperlink w:anchor="__RefHeading___Toc145337450">
            <w:r>
              <w:rPr>
                <w:rStyle w:val="IndexLink"/>
                <w:lang w:val="en-US" w:eastAsia="en-US"/>
              </w:rPr>
              <w:t>51</w:t>
            </w:r>
          </w:hyperlink>
        </w:p>
        <w:p>
          <w:pPr>
            <w:pStyle w:val="Contents2"/>
            <w:rPr>
              <w:rFonts w:ascii="Calibri" w:hAnsi="Calibri" w:cs="Calibri"/>
              <w:sz w:val="22"/>
              <w:szCs w:val="22"/>
              <w:lang w:val="en-US" w:eastAsia="en-US"/>
            </w:rPr>
          </w:pPr>
          <w:r>
            <w:rPr>
              <w:lang w:val="en-US" w:eastAsia="en-US"/>
            </w:rPr>
            <w:t>B.5.3</w:t>
          </w:r>
          <w:r>
            <w:rPr>
              <w:rFonts w:cs="Calibri" w:ascii="Calibri" w:hAnsi="Calibri"/>
              <w:sz w:val="22"/>
              <w:szCs w:val="22"/>
              <w:lang w:val="en-US" w:eastAsia="en-US"/>
            </w:rPr>
            <w:tab/>
          </w:r>
          <w:r>
            <w:rPr>
              <w:lang w:val="en-US" w:eastAsia="en-US"/>
            </w:rPr>
            <w:t>Shortcomings</w:t>
            <w:tab/>
          </w:r>
          <w:hyperlink w:anchor="__RefHeading___Toc145337451">
            <w:r>
              <w:rPr>
                <w:rStyle w:val="IndexLink"/>
                <w:lang w:val="en-US" w:eastAsia="en-US"/>
              </w:rPr>
              <w:t>51</w:t>
            </w:r>
          </w:hyperlink>
        </w:p>
        <w:p>
          <w:pPr>
            <w:pStyle w:val="Contents2"/>
            <w:rPr>
              <w:rFonts w:ascii="Calibri" w:hAnsi="Calibri" w:cs="Calibri"/>
              <w:sz w:val="22"/>
              <w:szCs w:val="22"/>
              <w:lang w:val="en-US" w:eastAsia="en-US"/>
            </w:rPr>
          </w:pPr>
          <w:r>
            <w:rPr>
              <w:lang w:val="en-US" w:eastAsia="en-US"/>
            </w:rPr>
            <w:t>B.5.4</w:t>
          </w:r>
          <w:r>
            <w:rPr>
              <w:rFonts w:cs="Calibri" w:ascii="Calibri" w:hAnsi="Calibri"/>
              <w:sz w:val="22"/>
              <w:szCs w:val="22"/>
              <w:lang w:val="en-US" w:eastAsia="en-US"/>
            </w:rPr>
            <w:tab/>
          </w:r>
          <w:r>
            <w:rPr>
              <w:lang w:val="en-US" w:eastAsia="en-US"/>
            </w:rPr>
            <w:t>Possible evolution path to a Bridge CA</w:t>
            <w:tab/>
          </w:r>
          <w:hyperlink w:anchor="__RefHeading___Toc145337452">
            <w:r>
              <w:rPr>
                <w:rStyle w:val="IndexLink"/>
                <w:lang w:val="en-US" w:eastAsia="en-US"/>
              </w:rPr>
              <w:t>51</w:t>
            </w:r>
          </w:hyperlink>
        </w:p>
        <w:p>
          <w:pPr>
            <w:pStyle w:val="Contents8"/>
            <w:rPr>
              <w:rFonts w:ascii="Calibri" w:hAnsi="Calibri" w:cs="Calibri"/>
              <w:b w:val="false"/>
              <w:b w:val="false"/>
              <w:szCs w:val="22"/>
              <w:lang w:val="en-US" w:eastAsia="en-US"/>
            </w:rPr>
          </w:pPr>
          <w:r>
            <w:rPr>
              <w:lang w:val="en-US" w:eastAsia="en-US"/>
            </w:rPr>
            <w:t>Annex C (informative):</w:t>
            <w:tab/>
            <w:t>Decision for the CRL repository access protocol for SEGs</w:t>
            <w:tab/>
          </w:r>
          <w:hyperlink w:anchor="__RefHeading___Toc145337453">
            <w:r>
              <w:rPr>
                <w:rStyle w:val="IndexLink"/>
                <w:lang w:val="en-US" w:eastAsia="en-US"/>
              </w:rPr>
              <w:t>52</w:t>
            </w:r>
          </w:hyperlink>
        </w:p>
        <w:p>
          <w:pPr>
            <w:pStyle w:val="Contents8"/>
            <w:rPr>
              <w:rFonts w:ascii="Calibri" w:hAnsi="Calibri" w:cs="Calibri"/>
              <w:b w:val="false"/>
              <w:b w:val="false"/>
              <w:szCs w:val="22"/>
              <w:lang w:val="en-US" w:eastAsia="en-US"/>
            </w:rPr>
          </w:pPr>
          <w:r>
            <w:rPr>
              <w:lang w:val="en-US" w:eastAsia="en-US"/>
            </w:rPr>
            <w:t>Annex D (informative):</w:t>
            <w:tab/>
            <w:t xml:space="preserve"> Decision for storing the cross-certificates in CR</w:t>
            <w:tab/>
          </w:r>
          <w:hyperlink w:anchor="__RefHeading___Toc145337454">
            <w:r>
              <w:rPr>
                <w:rStyle w:val="IndexLink"/>
                <w:lang w:val="en-US" w:eastAsia="en-US"/>
              </w:rPr>
              <w:t>53</w:t>
            </w:r>
          </w:hyperlink>
        </w:p>
        <w:p>
          <w:pPr>
            <w:pStyle w:val="Contents8"/>
            <w:rPr>
              <w:rFonts w:ascii="Calibri" w:hAnsi="Calibri" w:cs="Calibri"/>
              <w:b w:val="false"/>
              <w:b w:val="false"/>
              <w:szCs w:val="22"/>
              <w:lang w:val="en-US" w:eastAsia="en-US"/>
            </w:rPr>
          </w:pPr>
          <w:r>
            <w:rPr>
              <w:lang w:val="en-US" w:eastAsia="en-US"/>
            </w:rPr>
            <w:t>Annex E (informative):</w:t>
            <w:tab/>
            <w:t>TLS protocol profile</w:t>
            <w:tab/>
          </w:r>
          <w:hyperlink w:anchor="__RefHeading___Toc145337455">
            <w:r>
              <w:rPr>
                <w:rStyle w:val="IndexLink"/>
                <w:lang w:val="en-US" w:eastAsia="en-US"/>
              </w:rPr>
              <w:t>54</w:t>
            </w:r>
          </w:hyperlink>
        </w:p>
        <w:p>
          <w:pPr>
            <w:pStyle w:val="Contents8"/>
            <w:rPr>
              <w:rFonts w:ascii="Calibri" w:hAnsi="Calibri" w:cs="Calibri"/>
              <w:b w:val="false"/>
              <w:b w:val="false"/>
              <w:szCs w:val="22"/>
              <w:lang w:val="en-US" w:eastAsia="en-US"/>
            </w:rPr>
          </w:pPr>
          <w:r>
            <w:rPr>
              <w:lang w:val="en-US" w:eastAsia="en-US"/>
            </w:rPr>
            <w:t>Annex F (informative):</w:t>
            <w:tab/>
            <w:t>Manual handling of TLS certificates</w:t>
            <w:tab/>
          </w:r>
          <w:hyperlink w:anchor="__RefHeading___Toc145337456">
            <w:r>
              <w:rPr>
                <w:rStyle w:val="IndexLink"/>
                <w:lang w:val="en-US" w:eastAsia="en-US"/>
              </w:rPr>
              <w:t>55</w:t>
            </w:r>
          </w:hyperlink>
        </w:p>
        <w:p>
          <w:pPr>
            <w:pStyle w:val="Contents1"/>
            <w:rPr>
              <w:rFonts w:ascii="Calibri" w:hAnsi="Calibri" w:cs="Calibri"/>
              <w:szCs w:val="22"/>
              <w:lang w:val="en-US" w:eastAsia="en-US"/>
            </w:rPr>
          </w:pPr>
          <w:r>
            <w:rPr>
              <w:lang w:val="en-US" w:eastAsia="en-US"/>
            </w:rPr>
            <w:t>F.0</w:t>
          </w:r>
          <w:r>
            <w:rPr>
              <w:rFonts w:cs="Calibri" w:ascii="Calibri" w:hAnsi="Calibri"/>
              <w:szCs w:val="22"/>
              <w:lang w:val="en-US" w:eastAsia="en-US"/>
            </w:rPr>
            <w:tab/>
          </w:r>
          <w:r>
            <w:rPr>
              <w:lang w:val="en-US" w:eastAsia="en-US"/>
            </w:rPr>
            <w:t>General</w:t>
            <w:tab/>
          </w:r>
          <w:hyperlink w:anchor="__RefHeading___Toc145337457">
            <w:r>
              <w:rPr>
                <w:rStyle w:val="IndexLink"/>
                <w:lang w:val="en-US" w:eastAsia="en-US"/>
              </w:rPr>
              <w:t>55</w:t>
            </w:r>
          </w:hyperlink>
        </w:p>
        <w:p>
          <w:pPr>
            <w:pStyle w:val="Contents1"/>
            <w:rPr>
              <w:rFonts w:ascii="Calibri" w:hAnsi="Calibri" w:cs="Calibri"/>
              <w:szCs w:val="22"/>
              <w:lang w:val="en-US" w:eastAsia="en-US"/>
            </w:rPr>
          </w:pPr>
          <w:r>
            <w:rPr>
              <w:lang w:val="en-US" w:eastAsia="en-US"/>
            </w:rPr>
            <w:t>F.1</w:t>
          </w:r>
          <w:r>
            <w:rPr>
              <w:rFonts w:cs="Calibri" w:ascii="Calibri" w:hAnsi="Calibri"/>
              <w:szCs w:val="22"/>
              <w:lang w:val="en-US" w:eastAsia="en-US"/>
            </w:rPr>
            <w:tab/>
          </w:r>
          <w:r>
            <w:rPr>
              <w:lang w:val="en-US" w:eastAsia="en-US"/>
            </w:rPr>
            <w:t>TLS certificate enrolment</w:t>
            <w:tab/>
          </w:r>
          <w:hyperlink w:anchor="__RefHeading___Toc145337458">
            <w:r>
              <w:rPr>
                <w:rStyle w:val="IndexLink"/>
                <w:lang w:val="en-US" w:eastAsia="en-US"/>
              </w:rPr>
              <w:t>55</w:t>
            </w:r>
          </w:hyperlink>
        </w:p>
        <w:p>
          <w:pPr>
            <w:pStyle w:val="Contents1"/>
            <w:rPr>
              <w:rFonts w:ascii="Calibri" w:hAnsi="Calibri" w:cs="Calibri"/>
              <w:szCs w:val="22"/>
              <w:lang w:val="en-US" w:eastAsia="en-US"/>
            </w:rPr>
          </w:pPr>
          <w:r>
            <w:rPr>
              <w:lang w:val="en-US" w:eastAsia="en-US"/>
            </w:rPr>
            <w:t>F.2</w:t>
          </w:r>
          <w:r>
            <w:rPr>
              <w:rFonts w:cs="Calibri" w:ascii="Calibri" w:hAnsi="Calibri"/>
              <w:szCs w:val="22"/>
              <w:lang w:val="en-US" w:eastAsia="en-US"/>
            </w:rPr>
            <w:tab/>
          </w:r>
          <w:r>
            <w:rPr>
              <w:lang w:val="en-US" w:eastAsia="en-US"/>
            </w:rPr>
            <w:t>TLS Certificate revocation</w:t>
          </w:r>
          <w:r>
            <w:rPr>
              <w:lang w:val="en-US" w:eastAsia="en-US"/>
            </w:rPr>
            <w:tab/>
          </w:r>
          <w:hyperlink w:anchor="__RefHeading___Toc145337459">
            <w:r>
              <w:rPr>
                <w:rStyle w:val="IndexLink"/>
                <w:lang w:val="en-US" w:eastAsia="en-US"/>
              </w:rPr>
              <w:t>55</w:t>
            </w:r>
          </w:hyperlink>
        </w:p>
        <w:p>
          <w:pPr>
            <w:pStyle w:val="Contents8"/>
            <w:rPr>
              <w:rFonts w:ascii="Calibri" w:hAnsi="Calibri" w:cs="Calibri"/>
              <w:b w:val="false"/>
              <w:b w:val="false"/>
              <w:szCs w:val="22"/>
              <w:lang w:val="en-US" w:eastAsia="en-US"/>
            </w:rPr>
          </w:pPr>
          <w:r>
            <w:rPr>
              <w:lang w:val="en-US" w:eastAsia="en-US"/>
            </w:rPr>
            <w:t>Annex G (informative):</w:t>
            <w:tab/>
            <w:t>Example CMPv2 message flow for initial enrolment</w:t>
            <w:tab/>
          </w:r>
          <w:hyperlink w:anchor="__RefHeading___Toc145337460">
            <w:r>
              <w:rPr>
                <w:rStyle w:val="IndexLink"/>
                <w:lang w:val="en-US" w:eastAsia="en-US"/>
              </w:rPr>
              <w:t>56</w:t>
            </w:r>
          </w:hyperlink>
        </w:p>
        <w:p>
          <w:pPr>
            <w:pStyle w:val="Contents8"/>
            <w:rPr>
              <w:rFonts w:ascii="Calibri" w:hAnsi="Calibri" w:cs="Calibri"/>
              <w:b w:val="false"/>
              <w:b w:val="false"/>
              <w:szCs w:val="22"/>
              <w:lang w:val="en-US" w:eastAsia="en-US"/>
            </w:rPr>
          </w:pPr>
          <w:r>
            <w:rPr>
              <w:lang w:val="en-US" w:eastAsia="en-US"/>
            </w:rPr>
            <w:t>Annex H (informative):</w:t>
            <w:tab/>
            <w:t>Guidance on eNB certificate enrolment in MOCN LTE RAN sharing</w:t>
            <w:tab/>
          </w:r>
          <w:hyperlink w:anchor="__RefHeading___Toc145337461">
            <w:r>
              <w:rPr>
                <w:rStyle w:val="IndexLink"/>
                <w:lang w:val="en-US" w:eastAsia="en-US"/>
              </w:rPr>
              <w:t>58</w:t>
            </w:r>
          </w:hyperlink>
        </w:p>
        <w:p>
          <w:pPr>
            <w:pStyle w:val="Contents8"/>
            <w:rPr>
              <w:rFonts w:ascii="Calibri" w:hAnsi="Calibri" w:cs="Calibri"/>
              <w:szCs w:val="22"/>
              <w:lang w:val="en-US" w:eastAsia="en-US"/>
            </w:rPr>
          </w:pPr>
          <w:r>
            <w:rPr>
              <w:b w:val="false"/>
              <w:lang w:val="en-US" w:eastAsia="en-US"/>
            </w:rPr>
            <w:t>Annex I (informative):</w:t>
            <w:tab/>
            <w:t>Change history</w:t>
            <w:tab/>
          </w:r>
          <w:hyperlink w:anchor="__RefHeading___Toc145337462">
            <w:r>
              <w:rPr>
                <w:rStyle w:val="IndexLink"/>
                <w:b w:val="false"/>
                <w:lang w:val="en-US" w:eastAsia="en-US"/>
              </w:rPr>
              <w:t>59</w:t>
            </w:r>
          </w:hyperlink>
          <w:r>
            <w:rPr>
              <w:rStyle w:val="IndexLink"/>
              <w:b w:val="false"/>
              <w:lang w:val="en-US" w:eastAsia="en-US"/>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Normal"/>
        <w:rPr/>
      </w:pPr>
      <w:r>
        <w:rPr/>
      </w:r>
    </w:p>
    <w:p>
      <w:pPr>
        <w:pStyle w:val="Heading1"/>
        <w:ind w:left="1134" w:hanging="1134"/>
        <w:rPr/>
      </w:pPr>
      <w:bookmarkStart w:id="7" w:name="__RefHeading___Toc145337319"/>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Normal"/>
        <w:rPr/>
      </w:pPr>
      <w:r>
        <w:rPr/>
        <w:t>Version x.y.z</w:t>
      </w:r>
    </w:p>
    <w:p>
      <w:pPr>
        <w:pStyle w:val="Normal"/>
        <w:rPr/>
      </w:pPr>
      <w:r>
        <w:rPr/>
        <w:t>where:</w:t>
      </w:r>
    </w:p>
    <w:p>
      <w:pPr>
        <w:pStyle w:val="Normal"/>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Normal"/>
        <w:rPr/>
      </w:pPr>
      <w:r>
        <w:rPr/>
        <w:t>y</w:t>
        <w:tab/>
        <w:t>the second digit is incremented for all changes of substance, i.e. technical enhancements, corrections, updates, etc.</w:t>
      </w:r>
    </w:p>
    <w:p>
      <w:pPr>
        <w:pStyle w:val="Normal"/>
        <w:rPr/>
      </w:pPr>
      <w:r>
        <w:rPr/>
        <w:t>z</w:t>
        <w:tab/>
        <w:t>the third digit is incremented when editorial only changes have been incorporated in the document.</w:t>
      </w:r>
    </w:p>
    <w:p>
      <w:pPr>
        <w:pStyle w:val="Heading1"/>
        <w:ind w:left="1134" w:hanging="1134"/>
        <w:rPr/>
      </w:pPr>
      <w:bookmarkStart w:id="8" w:name="__RefHeading___Toc145337320"/>
      <w:bookmarkEnd w:id="8"/>
      <w:r>
        <w:rPr/>
        <w:t>Introduction</w:t>
      </w:r>
    </w:p>
    <w:p>
      <w:pPr>
        <w:pStyle w:val="Normal"/>
        <w:rPr/>
      </w:pPr>
      <w:r>
        <w:rPr/>
        <w:t>For 3GPP systems there is a need for truly scalable entity Authentication Framework (AF) since an increasing number of network elements and interfaces are covered by security mechanisms.</w:t>
      </w:r>
    </w:p>
    <w:p>
      <w:pPr>
        <w:pStyle w:val="Normal"/>
        <w:rPr/>
      </w:pPr>
      <w:r>
        <w:rPr/>
        <w:t xml:space="preserve">This specification provides a highly scalable entity authentication framework for 3GPP network nodes. This framework is developed in the context of the Network Domain Security work item, which effectively limits the scope to the control plane entities of the core network. Thus, </w:t>
      </w:r>
      <w:r>
        <w:rPr>
          <w:i/>
        </w:rPr>
        <w:t>the Authentication Framework will provide entity authentication for the nodes that are using NDS/IP</w:t>
      </w:r>
      <w:r>
        <w:rPr/>
        <w:t>.</w:t>
      </w:r>
    </w:p>
    <w:p>
      <w:pPr>
        <w:pStyle w:val="Normal"/>
        <w:rPr/>
      </w:pPr>
      <w:r>
        <w:rPr/>
        <w:t>Feasible trust models (i.e. how CAs are organized) and their effects are provided. Additionally, requirements are presented for the used protocols and certificate profiles, to make it possible for operator IPsec and PKI implementations to interoperate.</w:t>
      </w:r>
      <w:r>
        <w:br w:type="page"/>
      </w:r>
    </w:p>
    <w:p>
      <w:pPr>
        <w:pStyle w:val="Heading1"/>
        <w:ind w:left="1134" w:hanging="1134"/>
        <w:rPr/>
      </w:pPr>
      <w:bookmarkStart w:id="9" w:name="__RefHeading___Toc145337321"/>
      <w:bookmarkEnd w:id="9"/>
      <w:r>
        <w:rPr/>
        <w:t>1</w:t>
        <w:tab/>
        <w:t>Scope</w:t>
      </w:r>
    </w:p>
    <w:p>
      <w:pPr>
        <w:pStyle w:val="Normal"/>
        <w:rPr/>
      </w:pPr>
      <w:bookmarkStart w:id="10" w:name="historyclause"/>
      <w:bookmarkEnd w:id="10"/>
      <w:r>
        <w:rPr/>
        <w:t xml:space="preserve">The scope of this Technical Specification is limited to authentication of network elements, which are using NDS/IP or TLS, and to </w:t>
      </w:r>
      <w:r>
        <w:rPr>
          <w:lang w:eastAsia="zh-CN"/>
        </w:rPr>
        <w:t>Certificate Enrolment for Base Stations as described in the present document</w:t>
      </w:r>
      <w:r>
        <w:rPr/>
        <w:t xml:space="preserve">. </w:t>
      </w:r>
    </w:p>
    <w:p>
      <w:pPr>
        <w:pStyle w:val="Normal"/>
        <w:rPr/>
      </w:pPr>
      <w:r>
        <w:rPr/>
        <w:t>In the case of NDS/IP this specification includes both the authentication of Security Gateways (SEG) at the corresponding Za-interfaces and the authentication between NEs and between NEs and SEGs at the Zb-interface. Authentication of end entities (i.e. NEs and SEGs) in the intra-operator domain is considered an internal issue for operators. This is quite much in line with [1] which states that only Za is mandatory and that the security domain operator can decide if the Zb-interface is deployed or not, as the Zb-interface is optional for implementation. Validity of certificates may be restricted to the operator's domain in case of Zb interface or in case of Za-interface between two security domains of the same operator.</w:t>
      </w:r>
    </w:p>
    <w:p>
      <w:pPr>
        <w:pStyle w:val="NO"/>
        <w:rPr/>
      </w:pPr>
      <w:r>
        <w:rPr/>
        <w:t>NOTE:</w:t>
        <w:tab/>
        <w:t>In case two SEGs interconnect separate network regions under a single administrative authority (e.g. owned by the same mobile operator) then the Za-interface is not subject to interconnect agreements, but the decision on applying Za-interface is left to operators.</w:t>
      </w:r>
    </w:p>
    <w:p>
      <w:pPr>
        <w:pStyle w:val="Normal"/>
        <w:rPr/>
      </w:pPr>
      <w:r>
        <w:rPr/>
        <w:t>The NDS architecture for IP-based protocols is illustrated in figure </w:t>
      </w:r>
      <w:r>
        <w:rPr>
          <w:lang w:val="en-US" w:eastAsia="en-US"/>
        </w:rPr>
        <w:t>1</w:t>
      </w:r>
      <w:r>
        <w:rPr/>
        <w:t>.</w:t>
      </w:r>
    </w:p>
    <w:p>
      <w:pPr>
        <w:pStyle w:val="TH"/>
        <w:rPr/>
      </w:pPr>
      <w:bookmarkStart w:id="11" w:name="_1331472083"/>
      <w:bookmarkStart w:id="12" w:name="_1128453800"/>
      <w:bookmarkStart w:id="13" w:name="_1128452521"/>
      <w:bookmarkStart w:id="14" w:name="_1128452338"/>
      <w:bookmarkStart w:id="15" w:name="_1112610591"/>
      <w:bookmarkStart w:id="16" w:name="_1112609242"/>
      <w:bookmarkStart w:id="17" w:name="_1112609081"/>
      <w:bookmarkEnd w:id="11"/>
      <w:bookmarkEnd w:id="12"/>
      <w:bookmarkEnd w:id="13"/>
      <w:bookmarkEnd w:id="14"/>
      <w:bookmarkEnd w:id="15"/>
      <w:bookmarkEnd w:id="16"/>
      <w:bookmarkEnd w:id="17"/>
      <w:r>
        <w:rPr/>
        <w:object w:dxaOrig="7906" w:dyaOrig="4846">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395.3pt;height:242.3pt" filled="f" o:ole="">
            <v:imagedata r:id="rId8" o:title=""/>
          </v:shape>
          <o:OLEObject Type="Embed" ProgID="" ShapeID="ole_rId7" DrawAspect="Content" ObjectID="_656442931" r:id="rId7"/>
        </w:object>
      </w:r>
    </w:p>
    <w:p>
      <w:pPr>
        <w:pStyle w:val="Normal"/>
        <w:rPr/>
      </w:pPr>
      <w:bookmarkStart w:id="18" w:name="_Ref11660071"/>
      <w:r>
        <w:rPr/>
        <w:t xml:space="preserve">Figure </w:t>
      </w:r>
      <w:r>
        <w:rPr>
          <w:lang w:val="en-US" w:eastAsia="en-US"/>
        </w:rPr>
        <w:t>1</w:t>
      </w:r>
      <w:bookmarkEnd w:id="18"/>
      <w:r>
        <w:rPr>
          <w:lang w:val="en-US" w:eastAsia="en-US"/>
        </w:rPr>
        <w:t xml:space="preserve">: NDS architecture for IP-based protocols [1] </w:t>
      </w:r>
    </w:p>
    <w:p>
      <w:pPr>
        <w:pStyle w:val="Normal"/>
        <w:rPr/>
      </w:pPr>
      <w:r>
        <w:rPr/>
        <w:t>In the case of TLS this Specification concentrates on authentication of TLS entities across inter-operator links. For example, TLS is specified for inter-operator communications between IMS and non-IMS networks TS 33.203 [9] and on the Zn' interface in GBA TS 33.220 [10]. Authentication of TLS entities across intra-operator links is considered an internal issue for operators. However, NDS/AF can easily be adapted to the intra-operator use case since it is just a simplification of the inter-operator case when all TLS NEs and the PKI infrastructure belong to the same operator. Validity of certificates may be restricted to the operator's domain. An Annex contains information on the manual handling of TLS certificates in case automatic enrolment and revocation according to NDS/AF for TLS is not implemented.</w:t>
      </w:r>
    </w:p>
    <w:p>
      <w:pPr>
        <w:pStyle w:val="Heading1"/>
        <w:ind w:left="1134" w:hanging="1134"/>
        <w:rPr/>
      </w:pPr>
      <w:bookmarkStart w:id="19" w:name="__RefHeading___Toc145337322"/>
      <w:bookmarkEnd w:id="19"/>
      <w:r>
        <w:rPr/>
        <w:t>2</w:t>
        <w:tab/>
        <w:t>References</w:t>
      </w:r>
    </w:p>
    <w:p>
      <w:pPr>
        <w:pStyle w:val="Normal"/>
        <w:keepNext w:val="true"/>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rPr>
        <w:t>in the same Release as the present document</w:t>
      </w:r>
      <w:r>
        <w:rPr/>
        <w:t>.</w:t>
      </w:r>
    </w:p>
    <w:p>
      <w:pPr>
        <w:pStyle w:val="EX"/>
        <w:keepNext w:val="true"/>
        <w:rPr/>
      </w:pPr>
      <w:r>
        <w:rPr/>
        <w:t>[1]</w:t>
        <w:tab/>
        <w:t>3GPP TS 33.210: "3rd Generation Partnership Project; Technical Specification Group Services and System Aspects; 3G Security; Network domain security; IP network layer security".</w:t>
      </w:r>
    </w:p>
    <w:p>
      <w:pPr>
        <w:pStyle w:val="EX"/>
        <w:keepNext w:val="true"/>
        <w:rPr/>
      </w:pPr>
      <w:r>
        <w:rPr/>
        <w:t>[2]</w:t>
        <w:tab/>
        <w:t>IETF RFC 2986: "PKCS#10 Certification Request Syntax Specification Version 1.7".</w:t>
      </w:r>
    </w:p>
    <w:p>
      <w:pPr>
        <w:pStyle w:val="EX"/>
        <w:rPr/>
      </w:pPr>
      <w:r>
        <w:rPr/>
        <w:t>[3]</w:t>
        <w:tab/>
        <w:t>Void.</w:t>
      </w:r>
    </w:p>
    <w:p>
      <w:pPr>
        <w:pStyle w:val="EX"/>
        <w:rPr/>
      </w:pPr>
      <w:r>
        <w:rPr/>
        <w:t>[4]</w:t>
        <w:tab/>
        <w:t>IETF RFC 4210: "Internet X.509 Public Key Infrastructure Certificate Management Protocol".</w:t>
      </w:r>
    </w:p>
    <w:p>
      <w:pPr>
        <w:pStyle w:val="EX"/>
        <w:rPr/>
      </w:pPr>
      <w:r>
        <w:rPr/>
        <w:t>[5]</w:t>
        <w:tab/>
        <w:t>IETF RFC 2252: "Lightweight Directory Access Protocol (v3): Attribute Syntax Definitions".</w:t>
      </w:r>
    </w:p>
    <w:p>
      <w:pPr>
        <w:pStyle w:val="EX"/>
        <w:rPr/>
      </w:pPr>
      <w:r>
        <w:rPr/>
        <w:t>[6]</w:t>
        <w:tab/>
        <w:t>Void.</w:t>
      </w:r>
    </w:p>
    <w:p>
      <w:pPr>
        <w:pStyle w:val="EX"/>
        <w:rPr/>
      </w:pPr>
      <w:r>
        <w:rPr/>
        <w:t>[7]</w:t>
        <w:tab/>
        <w:t xml:space="preserve">"PKI basics – A Technical Perspective", November 2002, </w:t>
      </w:r>
      <w:hyperlink r:id="rId9">
        <w:r>
          <w:rPr>
            <w:rStyle w:val="InternetLink"/>
          </w:rPr>
          <w:t>http://www.oasis-pki.org/pdfs/PKI_Basics-A_technical_perspective.pdf</w:t>
        </w:r>
      </w:hyperlink>
      <w:r>
        <w:rPr/>
        <w:t xml:space="preserve">. </w:t>
      </w:r>
    </w:p>
    <w:p>
      <w:pPr>
        <w:pStyle w:val="EX"/>
        <w:rPr/>
      </w:pPr>
      <w:r>
        <w:rPr/>
        <w:t>[8]</w:t>
        <w:tab/>
      </w:r>
      <w:r>
        <w:rPr>
          <w:lang w:eastAsia="en-GB"/>
        </w:rPr>
        <w:t>3GPP TR 21.905: "Vocabulary for 3GPP Specifications".</w:t>
      </w:r>
    </w:p>
    <w:p>
      <w:pPr>
        <w:pStyle w:val="EX"/>
        <w:rPr/>
      </w:pPr>
      <w:r>
        <w:rPr>
          <w:lang w:eastAsia="en-GB"/>
        </w:rPr>
        <w:t>[9]</w:t>
        <w:tab/>
        <w:t>3GPP TS 33.203: "Access security for IP-based services".</w:t>
      </w:r>
    </w:p>
    <w:p>
      <w:pPr>
        <w:pStyle w:val="EX"/>
        <w:rPr/>
      </w:pPr>
      <w:r>
        <w:rPr>
          <w:lang w:eastAsia="en-GB"/>
        </w:rPr>
        <w:t>[10]</w:t>
        <w:tab/>
        <w:t>3GPP TS 33.220: "Generic Authentication Architecture: Generic Bootstrapping Architecture".</w:t>
      </w:r>
    </w:p>
    <w:p>
      <w:pPr>
        <w:pStyle w:val="EX"/>
        <w:rPr>
          <w:lang w:eastAsia="en-GB"/>
        </w:rPr>
      </w:pPr>
      <w:r>
        <w:rPr>
          <w:lang w:eastAsia="en-GB"/>
        </w:rPr>
        <w:t>[11]</w:t>
        <w:tab/>
        <w:t>Void.</w:t>
      </w:r>
    </w:p>
    <w:p>
      <w:pPr>
        <w:pStyle w:val="EX"/>
        <w:rPr/>
      </w:pPr>
      <w:r>
        <w:rPr/>
        <w:t>[12]</w:t>
        <w:tab/>
        <w:t>Void.</w:t>
      </w:r>
    </w:p>
    <w:p>
      <w:pPr>
        <w:pStyle w:val="EX"/>
        <w:rPr/>
      </w:pPr>
      <w:r>
        <w:rPr/>
        <w:t>[13]</w:t>
        <w:tab/>
        <w:t>Void.</w:t>
      </w:r>
    </w:p>
    <w:p>
      <w:pPr>
        <w:pStyle w:val="EX"/>
        <w:rPr/>
      </w:pPr>
      <w:r>
        <w:rPr/>
        <w:t>[14]</w:t>
        <w:tab/>
        <w:t>IETF RFC 5280: "Internet X.509 Public Key Infrastructure Certificate and Certificate Revocation List (CRL) Profile".</w:t>
      </w:r>
    </w:p>
    <w:p>
      <w:pPr>
        <w:pStyle w:val="EX"/>
        <w:rPr/>
      </w:pPr>
      <w:r>
        <w:rPr/>
        <w:t>[15]</w:t>
        <w:tab/>
        <w:t>IETF RFC 4945: "The Internet IP Security PKI Profile of IKEv1/ISAKMP, IKEv2, and PKIX".</w:t>
      </w:r>
    </w:p>
    <w:p>
      <w:pPr>
        <w:pStyle w:val="EX"/>
        <w:rPr>
          <w:lang w:eastAsia="zh-CN"/>
        </w:rPr>
      </w:pPr>
      <w:r>
        <w:rPr>
          <w:lang w:eastAsia="zh-CN"/>
        </w:rPr>
        <w:t>[16]</w:t>
        <w:tab/>
        <w:t>Void</w:t>
      </w:r>
      <w:r>
        <w:rPr/>
        <w:t>.</w:t>
      </w:r>
    </w:p>
    <w:p>
      <w:pPr>
        <w:pStyle w:val="EX"/>
        <w:rPr/>
      </w:pPr>
      <w:r>
        <w:rPr>
          <w:lang w:eastAsia="zh-CN"/>
        </w:rPr>
        <w:t>[17]</w:t>
        <w:tab/>
        <w:t>Void</w:t>
      </w:r>
      <w:r>
        <w:rPr/>
        <w:t>.</w:t>
      </w:r>
    </w:p>
    <w:p>
      <w:pPr>
        <w:pStyle w:val="EX"/>
        <w:rPr/>
      </w:pPr>
      <w:r>
        <w:rPr/>
        <w:t>[18]</w:t>
        <w:tab/>
        <w:t>IETF  RFC 6712: "Internet X.509 Public Key Infrastructure -- HTTP Transfer for the Certificate Management Protocol (CMP)".</w:t>
      </w:r>
    </w:p>
    <w:p>
      <w:pPr>
        <w:pStyle w:val="EX"/>
        <w:rPr/>
      </w:pPr>
      <w:r>
        <w:rPr/>
        <w:t>[19]</w:t>
        <w:tab/>
        <w:t>IETF RFC 4211: "Internet X.509 Public Key Infrastructure Certificate Request Message Format (CRMF)".</w:t>
      </w:r>
    </w:p>
    <w:p>
      <w:pPr>
        <w:pStyle w:val="EX"/>
        <w:rPr/>
      </w:pPr>
      <w:r>
        <w:rPr/>
        <w:t>[20]</w:t>
        <w:tab/>
        <w:t>IETF RFC 2818: "HTTP Over TLS".</w:t>
      </w:r>
    </w:p>
    <w:p>
      <w:pPr>
        <w:pStyle w:val="EX"/>
        <w:rPr/>
      </w:pPr>
      <w:r>
        <w:rPr/>
        <w:t>[21]</w:t>
        <w:tab/>
        <w:t>IETF RFC 5922: "Domain Certificates in the Session Initiation Protocol (SIP)".</w:t>
      </w:r>
    </w:p>
    <w:p>
      <w:pPr>
        <w:pStyle w:val="EX"/>
        <w:rPr/>
      </w:pPr>
      <w:r>
        <w:rPr/>
        <w:t>[22]</w:t>
        <w:tab/>
        <w:t>IETF RFC 5924: "Extended Key Usage (EKU) for Session Initiation Protocol (SIP) X.509 Certificates".</w:t>
      </w:r>
    </w:p>
    <w:p>
      <w:pPr>
        <w:pStyle w:val="EX"/>
        <w:rPr/>
      </w:pPr>
      <w:r>
        <w:rPr>
          <w:lang w:eastAsia="zh-CN"/>
        </w:rPr>
        <w:t>[23]</w:t>
        <w:tab/>
        <w:t>Void</w:t>
      </w:r>
      <w:r>
        <w:rPr/>
        <w:t>.</w:t>
      </w:r>
    </w:p>
    <w:p>
      <w:pPr>
        <w:pStyle w:val="EX"/>
        <w:rPr/>
      </w:pPr>
      <w:r>
        <w:rPr>
          <w:lang w:val="en-US"/>
        </w:rPr>
        <w:t>[24]</w:t>
        <w:tab/>
        <w:t>Void.</w:t>
      </w:r>
    </w:p>
    <w:p>
      <w:pPr>
        <w:pStyle w:val="EX"/>
        <w:rPr/>
      </w:pPr>
      <w:r>
        <w:rPr/>
        <w:t>[25]</w:t>
        <w:tab/>
        <w:t>IETF RFC 1035: "Domain Names - Implementation and Specification".</w:t>
      </w:r>
    </w:p>
    <w:p>
      <w:pPr>
        <w:pStyle w:val="EX"/>
        <w:rPr/>
      </w:pPr>
      <w:r>
        <w:rPr/>
        <w:t>[26]</w:t>
        <w:tab/>
      </w:r>
      <w:r>
        <w:rPr>
          <w:lang w:val="en-US"/>
        </w:rPr>
        <w:t>Void</w:t>
      </w:r>
      <w:r>
        <w:rPr/>
        <w:t>.</w:t>
      </w:r>
    </w:p>
    <w:p>
      <w:pPr>
        <w:pStyle w:val="EX"/>
        <w:rPr/>
      </w:pPr>
      <w:r>
        <w:rPr/>
        <w:t>[27]</w:t>
        <w:tab/>
      </w:r>
      <w:r>
        <w:rPr>
          <w:lang w:val="en-US"/>
        </w:rPr>
        <w:t>Void</w:t>
      </w:r>
      <w:r>
        <w:rPr/>
        <w:t>.</w:t>
      </w:r>
    </w:p>
    <w:p>
      <w:pPr>
        <w:pStyle w:val="EX"/>
        <w:rPr/>
      </w:pPr>
      <w:r>
        <w:rPr/>
        <w:t>[28]</w:t>
        <w:tab/>
        <w:t>Void.</w:t>
      </w:r>
    </w:p>
    <w:p>
      <w:pPr>
        <w:pStyle w:val="EX"/>
        <w:rPr/>
      </w:pPr>
      <w:r>
        <w:rPr/>
        <w:t>[29]</w:t>
        <w:tab/>
      </w:r>
      <w:r>
        <w:rPr>
          <w:lang w:val="en-US"/>
        </w:rPr>
        <w:t>Void</w:t>
      </w:r>
      <w:r>
        <w:rPr/>
        <w:t>.</w:t>
      </w:r>
    </w:p>
    <w:p>
      <w:pPr>
        <w:pStyle w:val="EX"/>
        <w:rPr/>
      </w:pPr>
      <w:r>
        <w:rPr/>
        <w:t>[30]</w:t>
        <w:tab/>
      </w:r>
      <w:r>
        <w:rPr>
          <w:lang w:val="en-US"/>
        </w:rPr>
        <w:t>Void</w:t>
      </w:r>
      <w:r>
        <w:rPr/>
        <w:t>.</w:t>
      </w:r>
    </w:p>
    <w:p>
      <w:pPr>
        <w:pStyle w:val="EX"/>
        <w:rPr/>
      </w:pPr>
      <w:r>
        <w:rPr/>
        <w:t>[31]</w:t>
        <w:tab/>
      </w:r>
      <w:r>
        <w:rPr>
          <w:lang w:eastAsia="en-GB"/>
        </w:rPr>
        <w:t xml:space="preserve">3GPP TS 23.251: </w:t>
      </w:r>
      <w:r>
        <w:rPr/>
        <w:t>"</w:t>
      </w:r>
      <w:r>
        <w:rPr>
          <w:lang w:eastAsia="en-GB"/>
        </w:rPr>
        <w:t>Network sharing; Architecture and functional description</w:t>
      </w:r>
      <w:r>
        <w:rPr/>
        <w:t>".</w:t>
      </w:r>
    </w:p>
    <w:p>
      <w:pPr>
        <w:pStyle w:val="EX"/>
        <w:rPr/>
      </w:pPr>
      <w:r>
        <w:rPr/>
        <w:t>[32]</w:t>
        <w:tab/>
      </w:r>
      <w:r>
        <w:rPr>
          <w:lang w:eastAsia="en-GB"/>
        </w:rPr>
        <w:t>3GPP TS 32.508: "Telecommunication management; Procedure flows for multi-vendor plug-and-play eNode B connection to the network".</w:t>
      </w:r>
    </w:p>
    <w:p>
      <w:pPr>
        <w:pStyle w:val="EX"/>
        <w:rPr/>
      </w:pPr>
      <w:r>
        <w:rPr>
          <w:lang w:eastAsia="en-GB"/>
        </w:rPr>
        <w:t>[33]</w:t>
        <w:tab/>
        <w:t>3GPP TS 32.509: "</w:t>
      </w:r>
      <w:r>
        <w:rPr>
          <w:color w:val="444444"/>
        </w:rPr>
        <w:t>Telecommunication management; Data formats for multi-vendor plug and play eNode B connection to the network</w:t>
      </w:r>
      <w:r>
        <w:rPr>
          <w:lang w:eastAsia="en-GB"/>
        </w:rPr>
        <w:t>".</w:t>
      </w:r>
    </w:p>
    <w:p>
      <w:pPr>
        <w:pStyle w:val="EX"/>
        <w:rPr>
          <w:lang w:val="en-US" w:eastAsia="en-GB"/>
        </w:rPr>
      </w:pPr>
      <w:r>
        <w:rPr>
          <w:lang w:eastAsia="en-GB"/>
        </w:rPr>
        <w:t>[34]</w:t>
        <w:tab/>
      </w:r>
      <w:r>
        <w:rPr>
          <w:lang w:val="en-US"/>
        </w:rPr>
        <w:t>Void</w:t>
      </w:r>
      <w:r>
        <w:rPr>
          <w:lang w:val="en-US" w:eastAsia="en-GB"/>
        </w:rPr>
        <w:t>.</w:t>
      </w:r>
    </w:p>
    <w:p>
      <w:pPr>
        <w:pStyle w:val="EX"/>
        <w:rPr>
          <w:lang w:eastAsia="en-GB"/>
        </w:rPr>
      </w:pPr>
      <w:r>
        <w:rPr>
          <w:lang w:eastAsia="en-GB"/>
        </w:rPr>
        <w:t>[35]</w:t>
        <w:tab/>
      </w:r>
      <w:r>
        <w:rPr>
          <w:lang w:val="en-US"/>
        </w:rPr>
        <w:t>Void</w:t>
      </w:r>
      <w:r>
        <w:rPr>
          <w:lang w:eastAsia="en-GB"/>
        </w:rPr>
        <w:t>.</w:t>
      </w:r>
    </w:p>
    <w:p>
      <w:pPr>
        <w:pStyle w:val="EX"/>
        <w:rPr>
          <w:lang w:val="en-US" w:eastAsia="en-US"/>
        </w:rPr>
      </w:pPr>
      <w:r>
        <w:rPr>
          <w:lang w:val="en-US" w:eastAsia="en-US"/>
        </w:rPr>
        <w:t>[36]</w:t>
        <w:tab/>
      </w:r>
      <w:r>
        <w:rPr>
          <w:lang w:val="en-US"/>
        </w:rPr>
        <w:t>Void</w:t>
      </w:r>
      <w:r>
        <w:rPr>
          <w:lang w:val="en-US" w:eastAsia="en-US"/>
        </w:rPr>
        <w:t>.</w:t>
      </w:r>
    </w:p>
    <w:p>
      <w:pPr>
        <w:pStyle w:val="EX"/>
        <w:rPr/>
      </w:pPr>
      <w:r>
        <w:rPr>
          <w:lang w:val="en-US" w:eastAsia="en-US"/>
        </w:rPr>
        <w:t>[37]</w:t>
        <w:tab/>
      </w:r>
      <w:r>
        <w:rPr/>
        <w:t>Void</w:t>
      </w:r>
      <w:r>
        <w:rPr>
          <w:lang w:val="en-US" w:eastAsia="en-US"/>
        </w:rPr>
        <w:t>.</w:t>
      </w:r>
    </w:p>
    <w:p>
      <w:pPr>
        <w:pStyle w:val="EX"/>
        <w:rPr/>
      </w:pPr>
      <w:r>
        <w:rPr>
          <w:lang w:val="en-US" w:eastAsia="en-US"/>
        </w:rPr>
        <w:t>[38]</w:t>
        <w:tab/>
      </w:r>
      <w:r>
        <w:rPr>
          <w:lang w:val="en-US"/>
        </w:rPr>
        <w:t>Void</w:t>
      </w:r>
      <w:r>
        <w:rPr>
          <w:lang w:val="en-US" w:eastAsia="en-US"/>
        </w:rPr>
        <w:t>.</w:t>
      </w:r>
    </w:p>
    <w:p>
      <w:pPr>
        <w:pStyle w:val="EX"/>
        <w:rPr/>
      </w:pPr>
      <w:r>
        <w:rPr>
          <w:lang w:val="en-US" w:eastAsia="en-US"/>
        </w:rPr>
        <w:t>[39]</w:t>
        <w:tab/>
      </w:r>
      <w:r>
        <w:rPr>
          <w:lang w:val="en-US"/>
        </w:rPr>
        <w:t>Void</w:t>
      </w:r>
      <w:r>
        <w:rPr>
          <w:lang w:val="en-US" w:eastAsia="en-US"/>
        </w:rPr>
        <w:t>.</w:t>
      </w:r>
    </w:p>
    <w:p>
      <w:pPr>
        <w:pStyle w:val="EX"/>
        <w:rPr/>
      </w:pPr>
      <w:r>
        <w:rPr>
          <w:lang w:val="en-US" w:eastAsia="en-US"/>
        </w:rPr>
        <w:t>[40]</w:t>
        <w:tab/>
      </w:r>
      <w:r>
        <w:rPr>
          <w:lang w:val="en-US"/>
        </w:rPr>
        <w:t>Void</w:t>
      </w:r>
      <w:r>
        <w:rPr>
          <w:lang w:val="en-US" w:eastAsia="en-US"/>
        </w:rPr>
        <w:t>.</w:t>
      </w:r>
    </w:p>
    <w:p>
      <w:pPr>
        <w:pStyle w:val="EX"/>
        <w:rPr/>
      </w:pPr>
      <w:r>
        <w:rPr>
          <w:lang w:val="en-US" w:eastAsia="en-US"/>
        </w:rPr>
        <w:t>[41]</w:t>
        <w:tab/>
      </w:r>
      <w:r>
        <w:rPr>
          <w:lang w:val="en-US"/>
        </w:rPr>
        <w:t>Void</w:t>
      </w:r>
      <w:r>
        <w:rPr>
          <w:lang w:val="en-US" w:eastAsia="en-US"/>
        </w:rPr>
        <w:t>.</w:t>
      </w:r>
    </w:p>
    <w:p>
      <w:pPr>
        <w:pStyle w:val="EX"/>
        <w:rPr/>
      </w:pPr>
      <w:r>
        <w:rPr>
          <w:lang w:val="en-US" w:eastAsia="en-US"/>
        </w:rPr>
        <w:t>[42]</w:t>
        <w:tab/>
      </w:r>
      <w:r>
        <w:rPr/>
        <w:t xml:space="preserve">IETF </w:t>
      </w:r>
      <w:r>
        <w:rPr>
          <w:lang w:val="en-US" w:eastAsia="en-US"/>
        </w:rPr>
        <w:t>RFC 7296: "Internet Key Exchange Protocol Version 2 (IKEv2)".</w:t>
      </w:r>
    </w:p>
    <w:p>
      <w:pPr>
        <w:pStyle w:val="EX"/>
        <w:rPr/>
      </w:pPr>
      <w:r>
        <w:rPr>
          <w:lang w:val="en-US" w:eastAsia="en-US"/>
        </w:rPr>
        <w:t>[43]</w:t>
        <w:tab/>
      </w:r>
      <w:r>
        <w:rPr/>
        <w:t xml:space="preserve">IETF </w:t>
      </w:r>
      <w:r>
        <w:rPr>
          <w:lang w:val="en-US" w:eastAsia="en-US"/>
        </w:rPr>
        <w:t>RFC 7427: "Signature Authentication in the Internet Key Exchange Version 2 (IKEv2)".</w:t>
      </w:r>
    </w:p>
    <w:p>
      <w:pPr>
        <w:pStyle w:val="EX"/>
        <w:rPr/>
      </w:pPr>
      <w:r>
        <w:rPr>
          <w:lang w:val="en-US" w:eastAsia="en-US"/>
        </w:rPr>
        <w:t>[44]</w:t>
        <w:tab/>
      </w:r>
      <w:r>
        <w:rPr>
          <w:lang w:val="en-US"/>
        </w:rPr>
        <w:t>Void</w:t>
      </w:r>
      <w:r>
        <w:rPr>
          <w:lang w:val="en-US" w:eastAsia="en-US"/>
        </w:rPr>
        <w:t>.</w:t>
      </w:r>
    </w:p>
    <w:p>
      <w:pPr>
        <w:pStyle w:val="EX"/>
        <w:rPr/>
      </w:pPr>
      <w:r>
        <w:rPr>
          <w:lang w:val="en-US" w:eastAsia="en-US"/>
        </w:rPr>
        <w:t>[45]</w:t>
        <w:tab/>
      </w:r>
      <w:r>
        <w:rPr>
          <w:lang w:val="en-US"/>
        </w:rPr>
        <w:t>Void</w:t>
      </w:r>
      <w:r>
        <w:rPr>
          <w:lang w:val="en-US" w:eastAsia="en-US"/>
        </w:rPr>
        <w:t>.</w:t>
      </w:r>
    </w:p>
    <w:p>
      <w:pPr>
        <w:pStyle w:val="EX"/>
        <w:rPr/>
      </w:pPr>
      <w:r>
        <w:rPr>
          <w:lang w:val="en-US" w:eastAsia="en-US"/>
        </w:rPr>
        <w:t>[</w:t>
      </w:r>
      <w:r>
        <w:rPr>
          <w:lang w:val="en-US" w:eastAsia="en-US"/>
        </w:rPr>
        <w:t>46</w:t>
      </w:r>
      <w:r>
        <w:rPr>
          <w:lang w:val="en-US" w:eastAsia="en-US"/>
        </w:rPr>
        <w:t>]</w:t>
        <w:tab/>
      </w:r>
      <w:r>
        <w:rPr>
          <w:lang w:val="en-US"/>
        </w:rPr>
        <w:t>Void</w:t>
      </w:r>
      <w:r>
        <w:rPr>
          <w:lang w:val="en-US" w:eastAsia="en-US"/>
        </w:rPr>
        <w:t>.</w:t>
      </w:r>
    </w:p>
    <w:p>
      <w:pPr>
        <w:pStyle w:val="EX"/>
        <w:rPr/>
      </w:pPr>
      <w:r>
        <w:rPr>
          <w:lang w:val="en-US" w:eastAsia="en-US"/>
        </w:rPr>
        <w:t>[47]</w:t>
        <w:tab/>
      </w:r>
      <w:r>
        <w:rPr/>
        <w:t xml:space="preserve">IETF </w:t>
      </w:r>
      <w:r>
        <w:rPr>
          <w:lang w:val="en-US" w:eastAsia="en-US"/>
        </w:rPr>
        <w:t>RFC 6960: "</w:t>
      </w:r>
      <w:r>
        <w:rPr/>
        <w:t xml:space="preserve"> </w:t>
      </w:r>
      <w:r>
        <w:rPr>
          <w:lang w:val="en-US" w:eastAsia="en-US"/>
        </w:rPr>
        <w:t>X.509 Internet Public Key Infrastructure Online Certificate Status Protocol - OCSP".</w:t>
      </w:r>
    </w:p>
    <w:p>
      <w:pPr>
        <w:pStyle w:val="EX"/>
        <w:rPr/>
      </w:pPr>
      <w:r>
        <w:rPr>
          <w:lang w:val="en-US" w:eastAsia="en-US"/>
        </w:rPr>
        <w:t>[48]</w:t>
        <w:tab/>
      </w:r>
      <w:r>
        <w:rPr/>
        <w:t xml:space="preserve">IETF </w:t>
      </w:r>
      <w:r>
        <w:rPr>
          <w:lang w:val="en-US" w:eastAsia="en-US"/>
        </w:rPr>
        <w:t>RFC 8201: "Path MTU Discovery for IP version 6".</w:t>
      </w:r>
    </w:p>
    <w:p>
      <w:pPr>
        <w:pStyle w:val="EX"/>
        <w:rPr>
          <w:lang w:val="en-US" w:eastAsia="en-US"/>
        </w:rPr>
      </w:pPr>
      <w:r>
        <w:rPr>
          <w:lang w:val="en-US" w:eastAsia="en-US"/>
        </w:rPr>
        <w:t>[49]</w:t>
        <w:tab/>
      </w:r>
      <w:r>
        <w:rPr/>
        <w:t xml:space="preserve">IETF </w:t>
      </w:r>
      <w:r>
        <w:rPr>
          <w:lang w:val="en-US" w:eastAsia="en-US"/>
        </w:rPr>
        <w:t>RFC 8446: "The Transport Layer Security (TLS) Protocol Version 1.3".</w:t>
      </w:r>
    </w:p>
    <w:p>
      <w:pPr>
        <w:pStyle w:val="EX"/>
        <w:rPr/>
      </w:pPr>
      <w:r>
        <w:rPr>
          <w:lang w:val="en-US" w:eastAsia="en-US"/>
        </w:rPr>
        <w:t>[50]</w:t>
        <w:tab/>
      </w:r>
      <w:r>
        <w:rPr/>
        <w:t>IETF RFC 7540: "Hypertext Transfer Protocol Version 2 (HTTP/2)".</w:t>
      </w:r>
    </w:p>
    <w:p>
      <w:pPr>
        <w:pStyle w:val="EX"/>
        <w:rPr/>
      </w:pPr>
      <w:r>
        <w:rPr/>
        <w:t>[51]</w:t>
        <w:tab/>
        <w:t>IETF RFC 6066: "Transport Layer Security (TLS) Extensions: Extension Definitions".</w:t>
      </w:r>
    </w:p>
    <w:p>
      <w:pPr>
        <w:pStyle w:val="EX"/>
        <w:rPr/>
      </w:pPr>
      <w:r>
        <w:rPr/>
        <w:t>[52]</w:t>
        <w:tab/>
        <w:t>IETF RFC 6125: "Representation and Verification of Domain-Based Application Service Identity within Internet Public Key Infrastructure Using X.509 (PKIX) Certificates in the Context of Transport Layer Security (TLS)".</w:t>
      </w:r>
    </w:p>
    <w:p>
      <w:pPr>
        <w:pStyle w:val="EX"/>
        <w:rPr/>
      </w:pPr>
      <w:r>
        <w:rPr/>
        <w:t>[53]</w:t>
        <w:tab/>
        <w:t>IETF RFC 7633: "X.509v3 Transport Layer Security (TLS) Feature Extension".</w:t>
      </w:r>
    </w:p>
    <w:p>
      <w:pPr>
        <w:pStyle w:val="EX"/>
        <w:rPr/>
      </w:pPr>
      <w:r>
        <w:rPr/>
        <w:t>[54]</w:t>
        <w:tab/>
        <w:t>IETF RFC 5246: "The Transport Layer Security (TLS) Protocol Version 1.2".</w:t>
      </w:r>
    </w:p>
    <w:p>
      <w:pPr>
        <w:pStyle w:val="EX"/>
        <w:rPr/>
      </w:pPr>
      <w:r>
        <w:rPr/>
        <w:t>[55]</w:t>
        <w:tab/>
        <w:t>3GPP TS 23.003: "Numbering, addressing and identification".</w:t>
      </w:r>
    </w:p>
    <w:p>
      <w:pPr>
        <w:pStyle w:val="EX"/>
        <w:rPr/>
      </w:pPr>
      <w:r>
        <w:rPr/>
        <w:t>[56]</w:t>
        <w:tab/>
        <w:t xml:space="preserve">3GPP TS 29.510: "5G System; Network function repository services; Stage 3". </w:t>
      </w:r>
    </w:p>
    <w:p>
      <w:pPr>
        <w:pStyle w:val="EX"/>
        <w:rPr/>
      </w:pPr>
      <w:r>
        <w:rPr/>
        <w:t>[57]</w:t>
        <w:tab/>
        <w:t>3GPP TS 29.571: "5G System; Common Data Types for Service Based Interfaces; Stage 3".</w:t>
      </w:r>
    </w:p>
    <w:p>
      <w:pPr>
        <w:pStyle w:val="EX"/>
        <w:rPr/>
      </w:pPr>
      <w:r>
        <w:rPr/>
        <w:t>[58]</w:t>
        <w:tab/>
        <w:t xml:space="preserve">CA-Browser-Forum-BR-1.8.0, August 2021, </w:t>
      </w:r>
      <w:hyperlink r:id="rId10">
        <w:r>
          <w:rPr>
            <w:rStyle w:val="InternetLink"/>
          </w:rPr>
          <w:t>https://cabforum.org/wp-content/uploads/CA-Browser-Forum-BR-1.8.0.pdf</w:t>
        </w:r>
      </w:hyperlink>
      <w:r>
        <w:rPr/>
        <w:t>.</w:t>
      </w:r>
    </w:p>
    <w:p>
      <w:pPr>
        <w:pStyle w:val="EX"/>
        <w:rPr>
          <w:lang w:val="en-US" w:eastAsia="en-US"/>
        </w:rPr>
      </w:pPr>
      <w:r>
        <w:rPr>
          <w:lang w:val="en-US" w:eastAsia="en-US"/>
        </w:rPr>
        <w:t>[59]</w:t>
        <w:tab/>
        <w:t xml:space="preserve">GSMA FS.34  Key Management for 4G and 5G inter-PLMN Security, </w:t>
      </w:r>
      <w:hyperlink r:id="rId11">
        <w:r>
          <w:rPr>
            <w:rStyle w:val="InternetLink"/>
            <w:lang w:val="en-US" w:eastAsia="en-US"/>
          </w:rPr>
          <w:t>https://www.gsma.com/security/resources/fs-34-key-management-for-4g-and-5g-inter-plmn-security/</w:t>
        </w:r>
      </w:hyperlink>
      <w:r>
        <w:rPr>
          <w:lang w:val="en-US" w:eastAsia="en-US"/>
        </w:rPr>
        <w:t>.</w:t>
      </w:r>
    </w:p>
    <w:p>
      <w:pPr>
        <w:pStyle w:val="EX"/>
        <w:rPr/>
      </w:pPr>
      <w:r>
        <w:rPr/>
        <w:t>[60]</w:t>
        <w:tab/>
        <w:t>IETF RFC 9310: "X.509 Certificate Extension for 5G Network Function Types".</w:t>
      </w:r>
    </w:p>
    <w:p>
      <w:pPr>
        <w:pStyle w:val="EX"/>
        <w:rPr/>
      </w:pPr>
      <w:r>
        <w:rPr>
          <w:lang w:val="en-US" w:eastAsia="en-US"/>
        </w:rPr>
        <w:t>[</w:t>
      </w:r>
      <w:r>
        <w:rPr/>
        <w:t>61</w:t>
      </w:r>
      <w:r>
        <w:rPr>
          <w:lang w:val="en-US" w:eastAsia="en-US"/>
        </w:rPr>
        <w:t>]</w:t>
        <w:tab/>
        <w:t>3GPP TS 33.501: "</w:t>
      </w:r>
      <w:r>
        <w:rPr/>
        <w:t>Security architecture and procedures for 5G system</w:t>
      </w:r>
      <w:r>
        <w:rPr>
          <w:lang w:val="en-US" w:eastAsia="en-US"/>
        </w:rPr>
        <w:t>"</w:t>
      </w:r>
      <w:r>
        <w:rPr/>
        <w:t>.</w:t>
      </w:r>
    </w:p>
    <w:p>
      <w:pPr>
        <w:pStyle w:val="Heading1"/>
        <w:ind w:left="1134" w:hanging="1134"/>
        <w:rPr/>
      </w:pPr>
      <w:bookmarkStart w:id="20" w:name="__RefHeading___Toc145337323"/>
      <w:bookmarkEnd w:id="20"/>
      <w:r>
        <w:rPr/>
        <w:t>3</w:t>
        <w:tab/>
        <w:t>Definitions and abbreviations</w:t>
      </w:r>
    </w:p>
    <w:p>
      <w:pPr>
        <w:pStyle w:val="Heading2"/>
        <w:rPr/>
      </w:pPr>
      <w:bookmarkStart w:id="21" w:name="__RefHeading___Toc145337324"/>
      <w:bookmarkEnd w:id="21"/>
      <w:r>
        <w:rPr/>
        <w:t>3.1</w:t>
        <w:tab/>
        <w:t>Definitions</w:t>
      </w:r>
    </w:p>
    <w:p>
      <w:pPr>
        <w:pStyle w:val="Normal"/>
        <w:rPr/>
      </w:pPr>
      <w:r>
        <w:rPr/>
        <w:t>For the purposes of the present document, the definitions given in TR 21.905 [8] and the following definitions apply:</w:t>
      </w:r>
    </w:p>
    <w:p>
      <w:pPr>
        <w:pStyle w:val="Normal"/>
        <w:rPr>
          <w:b/>
          <w:b/>
          <w:lang w:val="en-US" w:eastAsia="en-US"/>
        </w:rPr>
      </w:pPr>
      <w:r>
        <w:rPr>
          <w:b/>
          <w:lang w:val="en-US" w:eastAsia="en-US"/>
        </w:rPr>
        <w:t xml:space="preserve">CA: </w:t>
      </w:r>
      <w:r>
        <w:rPr>
          <w:lang w:val="en-US" w:eastAsia="en-US"/>
        </w:rPr>
        <w:t>"Certification Authority", a PKI entity issuing X.509 certificates</w:t>
      </w:r>
      <w:r>
        <w:rPr>
          <w:b/>
          <w:lang w:val="en-US" w:eastAsia="en-US"/>
        </w:rPr>
        <w:t xml:space="preserve"> </w:t>
      </w:r>
    </w:p>
    <w:p>
      <w:pPr>
        <w:pStyle w:val="Normal"/>
        <w:rPr/>
      </w:pPr>
      <w:r>
        <w:rPr>
          <w:b/>
          <w:lang w:val="en-US" w:eastAsia="en-US"/>
        </w:rPr>
        <w:t>Interconnection CA:</w:t>
      </w:r>
      <w:r>
        <w:rPr>
          <w:lang w:val="en-US" w:eastAsia="en-US"/>
        </w:rPr>
        <w:t xml:space="preserve"> The CA that issues cross-certificates on behalf of a particular operator to the SEG CAs of other domains with which the operator’s SEGs have interconnection. </w:t>
      </w:r>
    </w:p>
    <w:p>
      <w:pPr>
        <w:pStyle w:val="Normal"/>
        <w:rPr/>
      </w:pPr>
      <w:r>
        <w:rPr>
          <w:b/>
          <w:lang w:val="en-US" w:eastAsia="en-US"/>
        </w:rPr>
        <w:t>Interconnect Agreement</w:t>
      </w:r>
      <w:r>
        <w:rPr>
          <w:lang w:val="en-US" w:eastAsia="en-US"/>
        </w:rPr>
        <w:t>: In the context of this specification an interconnect agreement is an agreement by two operators to establish secure communications. This may be for the purpose of protecting various forms of communications between the operators, e.g. GPRS roaming, MMS interconnect, WLAN roaming and IMS interconnect.</w:t>
      </w:r>
    </w:p>
    <w:p>
      <w:pPr>
        <w:pStyle w:val="Normal"/>
        <w:rPr>
          <w:b/>
          <w:b/>
          <w:lang w:val="en-US" w:eastAsia="en-US"/>
        </w:rPr>
      </w:pPr>
      <w:r>
        <w:rPr>
          <w:b/>
          <w:lang w:val="en-US" w:eastAsia="en-US"/>
        </w:rPr>
        <w:t>Local CR:</w:t>
      </w:r>
      <w:r>
        <w:rPr>
          <w:lang w:val="en-US" w:eastAsia="en-US"/>
        </w:rPr>
        <w:t xml:space="preserve"> Repository that contains cross-certificates.</w:t>
      </w:r>
    </w:p>
    <w:p>
      <w:pPr>
        <w:pStyle w:val="Normal"/>
        <w:rPr/>
      </w:pPr>
      <w:r>
        <w:rPr>
          <w:b/>
          <w:lang w:val="en-US" w:eastAsia="en-US"/>
        </w:rPr>
        <w:t>Local CRL:</w:t>
      </w:r>
      <w:r>
        <w:rPr>
          <w:lang w:val="en-US" w:eastAsia="en-US"/>
        </w:rPr>
        <w:t xml:space="preserve"> Repository that contains cross-certificate revocations.</w:t>
      </w:r>
    </w:p>
    <w:p>
      <w:pPr>
        <w:pStyle w:val="Normal"/>
        <w:rPr/>
      </w:pPr>
      <w:r>
        <w:rPr>
          <w:b/>
        </w:rPr>
        <w:t>PSK</w:t>
      </w:r>
      <w:r>
        <w:rPr/>
        <w:t>: Pre-Shared Key. Method of authentication used by IKE between SEG in NDS/IP [1].</w:t>
      </w:r>
    </w:p>
    <w:p>
      <w:pPr>
        <w:pStyle w:val="Normal"/>
        <w:rPr/>
      </w:pPr>
      <w:r>
        <w:rPr>
          <w:b/>
          <w:lang w:val="en-US" w:eastAsia="en-US"/>
        </w:rPr>
        <w:t>Public CRL:</w:t>
      </w:r>
      <w:r>
        <w:rPr>
          <w:lang w:val="en-US" w:eastAsia="en-US"/>
        </w:rPr>
        <w:t xml:space="preserve"> Repository that contains revocations of SEG and CA certificates and can be accessed by other operators.</w:t>
      </w:r>
    </w:p>
    <w:p>
      <w:pPr>
        <w:pStyle w:val="Normal"/>
        <w:rPr/>
      </w:pPr>
      <w:r>
        <w:rPr>
          <w:b/>
          <w:lang w:val="en-US" w:eastAsia="en-US"/>
        </w:rPr>
        <w:t>RA</w:t>
      </w:r>
      <w:r>
        <w:rPr>
          <w:lang w:val="en-US" w:eastAsia="en-US"/>
        </w:rPr>
        <w:t xml:space="preserve">: "Registration Authority", an optional PKI entity that does not issue certificates and is separate from the CA. </w:t>
      </w:r>
    </w:p>
    <w:p>
      <w:pPr>
        <w:pStyle w:val="NO"/>
        <w:rPr/>
      </w:pPr>
      <w:r>
        <w:rPr>
          <w:lang w:val="en-US" w:eastAsia="en-US"/>
        </w:rPr>
        <w:t>NOTE: An RA is delegated by a CA to receive and evaluate certificate signing requests, potentially verify them, and forward them to the CA which will issue an X.509 certificate.</w:t>
      </w:r>
    </w:p>
    <w:p>
      <w:pPr>
        <w:pStyle w:val="Normal"/>
        <w:rPr/>
      </w:pPr>
      <w:r>
        <w:rPr>
          <w:b/>
        </w:rPr>
        <w:t>RA/CA:</w:t>
      </w:r>
      <w:r>
        <w:rPr/>
        <w:t xml:space="preserve"> The PKI entity or entities in the operator network issuing certificates, and making them available to base stations via CMPv2. </w:t>
      </w:r>
    </w:p>
    <w:p>
      <w:pPr>
        <w:pStyle w:val="NO"/>
        <w:rPr/>
      </w:pPr>
      <w:r>
        <w:rPr/>
        <w:t>NOTE: If used in context of receiving certificate signing requests from a base station, the term may mean RA. If used in context of issuing certificates, the term means CA.</w:t>
      </w:r>
    </w:p>
    <w:p>
      <w:pPr>
        <w:pStyle w:val="Normal"/>
        <w:rPr/>
      </w:pPr>
      <w:r>
        <w:rPr>
          <w:b/>
          <w:lang w:val="en-US" w:eastAsia="en-US"/>
        </w:rPr>
        <w:t>SEG CA:</w:t>
      </w:r>
      <w:r>
        <w:rPr>
          <w:lang w:val="en-US" w:eastAsia="en-US"/>
        </w:rPr>
        <w:t xml:space="preserve"> The CA that issues end entity certificates to SEGs within a particular operator’s domain.</w:t>
      </w:r>
    </w:p>
    <w:p>
      <w:pPr>
        <w:pStyle w:val="Heading2"/>
        <w:rPr/>
      </w:pPr>
      <w:bookmarkStart w:id="22" w:name="__RefHeading___Toc145337325"/>
      <w:bookmarkEnd w:id="22"/>
      <w:r>
        <w:rPr/>
        <w:t>3.2</w:t>
        <w:tab/>
        <w:t>Abbreviations</w:t>
      </w:r>
    </w:p>
    <w:p>
      <w:pPr>
        <w:pStyle w:val="Normal"/>
        <w:keepNext w:val="true"/>
        <w:rPr/>
      </w:pPr>
      <w:r>
        <w:rPr/>
        <w:t>For the purposes of the present document, the abbreviations given in TR 21.905 [8] and the following abbreviations apply:</w:t>
      </w:r>
    </w:p>
    <w:p>
      <w:pPr>
        <w:pStyle w:val="EW"/>
        <w:keepNext w:val="true"/>
        <w:rPr/>
      </w:pPr>
      <w:r>
        <w:rPr/>
        <w:t>AF</w:t>
        <w:tab/>
        <w:t>Authentication Framework</w:t>
      </w:r>
    </w:p>
    <w:p>
      <w:pPr>
        <w:pStyle w:val="EW"/>
        <w:keepNext w:val="true"/>
        <w:rPr/>
      </w:pPr>
      <w:r>
        <w:rPr/>
        <w:t>CA</w:t>
        <w:tab/>
        <w:t>Certification Authority</w:t>
      </w:r>
    </w:p>
    <w:p>
      <w:pPr>
        <w:pStyle w:val="EW"/>
        <w:keepNext w:val="true"/>
        <w:rPr/>
      </w:pPr>
      <w:r>
        <w:rPr/>
        <w:t>CR</w:t>
        <w:tab/>
        <w:t>Certificate Repository</w:t>
      </w:r>
    </w:p>
    <w:p>
      <w:pPr>
        <w:pStyle w:val="EW"/>
        <w:keepNext w:val="true"/>
        <w:rPr/>
      </w:pPr>
      <w:r>
        <w:rPr/>
        <w:t>CRL</w:t>
        <w:tab/>
        <w:t>Certificate Revocation List</w:t>
      </w:r>
    </w:p>
    <w:p>
      <w:pPr>
        <w:pStyle w:val="EW"/>
        <w:keepNext w:val="true"/>
        <w:rPr/>
      </w:pPr>
      <w:r>
        <w:rPr/>
        <w:t>GBA</w:t>
        <w:tab/>
        <w:t>Generic Bootstrapping Architecture</w:t>
      </w:r>
    </w:p>
    <w:p>
      <w:pPr>
        <w:pStyle w:val="EW"/>
        <w:keepNext w:val="true"/>
        <w:rPr/>
      </w:pPr>
      <w:r>
        <w:rPr/>
        <w:t>IMS</w:t>
        <w:tab/>
        <w:t>IP Multimedia Subsystem</w:t>
      </w:r>
    </w:p>
    <w:p>
      <w:pPr>
        <w:pStyle w:val="EW"/>
        <w:keepNext w:val="true"/>
        <w:rPr/>
      </w:pPr>
      <w:r>
        <w:rPr/>
        <w:t>NDS</w:t>
        <w:tab/>
        <w:t>Network Domain Security</w:t>
      </w:r>
    </w:p>
    <w:p>
      <w:pPr>
        <w:pStyle w:val="EW"/>
        <w:keepNext w:val="true"/>
        <w:rPr/>
      </w:pPr>
      <w:r>
        <w:rPr/>
        <w:t>PKI</w:t>
        <w:tab/>
        <w:t>Public Key Infrastructure</w:t>
      </w:r>
    </w:p>
    <w:p>
      <w:pPr>
        <w:pStyle w:val="EW"/>
        <w:keepNext w:val="true"/>
        <w:rPr/>
      </w:pPr>
      <w:r>
        <w:rPr/>
        <w:t>POP</w:t>
        <w:tab/>
        <w:t>Proof Of Possession</w:t>
      </w:r>
    </w:p>
    <w:p>
      <w:pPr>
        <w:pStyle w:val="EW"/>
        <w:keepNext w:val="true"/>
        <w:rPr/>
      </w:pPr>
      <w:r>
        <w:rPr/>
        <w:t>PSK</w:t>
        <w:tab/>
        <w:t>Pre-Shared Key</w:t>
      </w:r>
    </w:p>
    <w:p>
      <w:pPr>
        <w:pStyle w:val="EW"/>
        <w:rPr/>
      </w:pPr>
      <w:r>
        <w:rPr/>
        <w:t>RA</w:t>
        <w:tab/>
        <w:t>Registration Authority</w:t>
      </w:r>
    </w:p>
    <w:p>
      <w:pPr>
        <w:pStyle w:val="EW"/>
        <w:rPr/>
      </w:pPr>
      <w:r>
        <w:rPr/>
        <w:t>SEG</w:t>
        <w:tab/>
        <w:t>Security Gateway</w:t>
      </w:r>
    </w:p>
    <w:p>
      <w:pPr>
        <w:pStyle w:val="EW"/>
        <w:rPr/>
      </w:pPr>
      <w:r>
        <w:rPr/>
        <w:t>VPN</w:t>
        <w:tab/>
        <w:t>Virtual Private Network</w:t>
      </w:r>
    </w:p>
    <w:p>
      <w:pPr>
        <w:pStyle w:val="EW"/>
        <w:rPr/>
      </w:pPr>
      <w:r>
        <w:rPr/>
        <w:t>Za</w:t>
        <w:tab/>
        <w:t>Interface between SEGs belonging to different networks/security domains (a Za interface may be an intra or an inter operator interface).</w:t>
      </w:r>
    </w:p>
    <w:p>
      <w:pPr>
        <w:pStyle w:val="EW"/>
        <w:rPr/>
      </w:pPr>
      <w:r>
        <w:rPr/>
        <w:t>Zb</w:t>
        <w:tab/>
        <w:t>Interface between SEGs and NEs and interface between NEs within the same network/security domain</w:t>
      </w:r>
    </w:p>
    <w:p>
      <w:pPr>
        <w:pStyle w:val="Heading1"/>
        <w:tabs>
          <w:tab w:val="clear" w:pos="284"/>
          <w:tab w:val="left" w:pos="1140" w:leader="none"/>
        </w:tabs>
        <w:ind w:left="1140" w:hanging="1140"/>
        <w:rPr/>
      </w:pPr>
      <w:bookmarkStart w:id="23" w:name="__RefHeading___Toc145337326"/>
      <w:bookmarkEnd w:id="23"/>
      <w:r>
        <w:rPr/>
        <w:t>4</w:t>
        <w:tab/>
        <w:t>Introduction to Public Key Infrastructure (PKI)</w:t>
      </w:r>
    </w:p>
    <w:p>
      <w:pPr>
        <w:pStyle w:val="Normal"/>
        <w:keepNext w:val="true"/>
        <w:keepLines/>
        <w:rPr/>
      </w:pPr>
      <w:r>
        <w:rPr>
          <w:iCs/>
        </w:rPr>
        <w:t>PKI Forum's "</w:t>
      </w:r>
      <w:r>
        <w:rPr/>
        <w:t>PKI basics – A Technical Perspective" [7]</w:t>
      </w:r>
      <w:r>
        <w:rPr>
          <w:iCs/>
        </w:rPr>
        <w:t xml:space="preserve"> provides a concise vendor neutral introduction to the PKI technology. Thus only two cross-certification aspects are described in this introduction section.</w:t>
      </w:r>
    </w:p>
    <w:p>
      <w:pPr>
        <w:pStyle w:val="Normal"/>
        <w:keepLines/>
        <w:rPr/>
      </w:pPr>
      <w:r>
        <w:rPr/>
        <w:t>Cross-certification is a process that establishes a trust relationship between two authorities. When an authority A is cross-certified with authority B, the authority A has chosen to trust certificates issued by the authority B. Cross-certification process enables the users under both authorities to trust the other authority's certificates. Trust in this context equals being able to authenticate.</w:t>
      </w:r>
    </w:p>
    <w:p>
      <w:pPr>
        <w:pStyle w:val="Heading2"/>
        <w:tabs>
          <w:tab w:val="clear" w:pos="284"/>
          <w:tab w:val="left" w:pos="1140" w:leader="none"/>
        </w:tabs>
        <w:ind w:left="1140" w:hanging="1140"/>
        <w:rPr/>
      </w:pPr>
      <w:bookmarkStart w:id="24" w:name="__RefHeading___Toc145337327"/>
      <w:r>
        <w:rPr/>
        <w:t>4.1</w:t>
        <w:tab/>
        <w:t>Manual Cross-certification</w:t>
      </w:r>
      <w:bookmarkEnd w:id="24"/>
      <w:r>
        <w:rPr/>
        <w:t xml:space="preserve"> </w:t>
      </w:r>
    </w:p>
    <w:p>
      <w:pPr>
        <w:pStyle w:val="Normal"/>
        <w:rPr/>
      </w:pPr>
      <w:r>
        <w:rPr/>
        <w:t xml:space="preserve">Mutual cross-certifications are established directly between the authorities. This approach is often called manual cross-certification. In manual cross-certification the authority makes decisions about trust locally. When an authority A chooses to trust an authority B, the authority A signs the certificate of the authority B and distributes the new certificate (B's certificate signed by A) locally. </w:t>
      </w:r>
    </w:p>
    <w:p>
      <w:pPr>
        <w:pStyle w:val="Normal"/>
        <w:rPr/>
      </w:pPr>
      <w:r>
        <w:rPr/>
        <w:t>The disadvantage of this approach is that it often results in scenarios where there needs to be a lot of certificates available for the entities doing the trust decisions: There needs to be a certificate signed by the local authority for each security domain the local authority wishes to trust. However, all the certificates can be configured locally and are locally signed, so the management of them is often flexible.</w:t>
      </w:r>
    </w:p>
    <w:p>
      <w:pPr>
        <w:pStyle w:val="Heading2"/>
        <w:tabs>
          <w:tab w:val="clear" w:pos="284"/>
          <w:tab w:val="left" w:pos="1140" w:leader="none"/>
        </w:tabs>
        <w:ind w:left="1140" w:hanging="1140"/>
        <w:rPr/>
      </w:pPr>
      <w:bookmarkStart w:id="25" w:name="__RefHeading___Toc145337328"/>
      <w:bookmarkEnd w:id="25"/>
      <w:r>
        <w:rPr/>
        <w:t>4.2</w:t>
        <w:tab/>
        <w:t>Cross-certification with a Bridge CA</w:t>
      </w:r>
    </w:p>
    <w:p>
      <w:pPr>
        <w:pStyle w:val="Normal"/>
        <w:rPr/>
      </w:pPr>
      <w:r>
        <w:rPr/>
        <w:t xml:space="preserve">The bridge CA is a concept that reduces the amount of certificates that needs to be configured for the entity that does the certificate checking. The name "bridge" is descriptive; when two authorities are mutually cross-certified with the bridge, the authorities do not need to know about each other. Authorities can still trust each other because the trust in this model is transitive (A trusts bridge, bridge trusts B, thus A trusts B and vice versa). The bridge CA acts like a bridge between the authorities. However, the two authorities shall also trust that the bridge does the right thing for them. All the decisions about trust can be delegated to the bridge, which is desirable in some use cases. If the bridge decides to cross-certify with an authority M, the previously cross-certified authorities start to trust M automatically. </w:t>
      </w:r>
    </w:p>
    <w:p>
      <w:pPr>
        <w:pStyle w:val="Normal"/>
        <w:rPr/>
      </w:pPr>
      <w:r>
        <w:rPr/>
        <w:t xml:space="preserve">Bridge CA style cross-certifications are useful in scenarios where all entities share a common authority that everybody believes to work correctly for them. If an authority needs to restrict the trust or access control derived from the bridge CA, it additionally needs to implement those restrictions. </w:t>
      </w:r>
    </w:p>
    <w:p>
      <w:pPr>
        <w:pStyle w:val="Heading1"/>
        <w:tabs>
          <w:tab w:val="clear" w:pos="284"/>
          <w:tab w:val="left" w:pos="1140" w:leader="none"/>
        </w:tabs>
        <w:ind w:left="1140" w:hanging="1140"/>
        <w:rPr/>
      </w:pPr>
      <w:bookmarkStart w:id="26" w:name="__RefHeading___Toc145337329"/>
      <w:bookmarkEnd w:id="26"/>
      <w:r>
        <w:rPr/>
        <w:t>5</w:t>
        <w:tab/>
        <w:t>Architecture and use cases of the NDS/AF</w:t>
      </w:r>
    </w:p>
    <w:p>
      <w:pPr>
        <w:pStyle w:val="Normal"/>
        <w:rPr/>
      </w:pPr>
      <w:r>
        <w:rPr/>
        <w:t>The following types of certification authority are defined:</w:t>
      </w:r>
    </w:p>
    <w:p>
      <w:pPr>
        <w:pStyle w:val="Normal"/>
        <w:rPr/>
      </w:pPr>
      <w:r>
        <w:rPr/>
        <w:t>-</w:t>
        <w:tab/>
        <w:t>SEG CA: A CA that issues end entity certificates to SEGs within a particular operator's domain.</w:t>
      </w:r>
    </w:p>
    <w:p>
      <w:pPr>
        <w:pStyle w:val="Normal"/>
        <w:rPr/>
      </w:pPr>
      <w:r>
        <w:rPr/>
        <w:t>-</w:t>
        <w:tab/>
        <w:t>NE CA: A CA that issues end entity IPsec certificates to NE's within a particular operator's domain. Certificates issued by an NE CA shall be restricted to the Zb-interface.</w:t>
      </w:r>
    </w:p>
    <w:p>
      <w:pPr>
        <w:pStyle w:val="Normal"/>
        <w:rPr/>
      </w:pPr>
      <w:r>
        <w:rPr/>
        <w:t>-</w:t>
        <w:tab/>
        <w:t>TLS client CA: A CA that issues end entity TLS client certificates to TLS entities within a particular operator's domain.</w:t>
      </w:r>
    </w:p>
    <w:p>
      <w:pPr>
        <w:pStyle w:val="Normal"/>
        <w:rPr/>
      </w:pPr>
      <w:r>
        <w:rPr/>
        <w:t>-</w:t>
        <w:tab/>
        <w:t>TLS server CA: A CA that issues end entity TLS server certificates to TLS entities within a particular operator's domain.</w:t>
      </w:r>
    </w:p>
    <w:p>
      <w:pPr>
        <w:pStyle w:val="Normal"/>
        <w:rPr/>
      </w:pPr>
      <w:r>
        <w:rPr/>
        <w:t>-</w:t>
        <w:tab/>
        <w:t>Interconnection CA: A CA that issues cross-certificates on behalf of a particular operator to the SEG CAs, TLS client CAs and TLS server CAs of other domains with which the operator's SEGs and TLS entities have interconnection.</w:t>
      </w:r>
    </w:p>
    <w:p>
      <w:pPr>
        <w:pStyle w:val="Normal"/>
        <w:rPr/>
      </w:pPr>
      <w:r>
        <w:rPr/>
        <w:t>The public key of the interconnection CA shall be stored securely in each SEG and TLS entity within the operator's domain. This allows the SEG and TLS entity to verify cross-certificates issued by its operator's Interconnection CA. It is assumed that each operator domain could include 10s, but not 100s of SEGs or TLS entities.</w:t>
      </w:r>
    </w:p>
    <w:p>
      <w:pPr>
        <w:pStyle w:val="Normal"/>
        <w:rPr/>
      </w:pPr>
      <w:r>
        <w:rPr>
          <w:lang w:val="en-US" w:eastAsia="en-US"/>
        </w:rPr>
        <w:t xml:space="preserve">An operator may choose to combine two or more of the above CAs. For example, the same CA may be used to issue end entity TLS and IPsec certificates. Furthermore, the same CA may be used to issue both end entity certificates and cross-certificates. </w:t>
      </w:r>
    </w:p>
    <w:p>
      <w:pPr>
        <w:pStyle w:val="Normal"/>
        <w:rPr>
          <w:i/>
          <w:i/>
        </w:rPr>
      </w:pPr>
      <w:r>
        <w:rPr>
          <w:lang w:val="en-US" w:eastAsia="en-US"/>
        </w:rPr>
        <w:t>The NDS/AF is initially based on a simple trust model (see Annex B) that avoids the introduction of transitive trust and/or additional authorisation information. The simple trust model implies manual cross-certification.</w:t>
      </w:r>
    </w:p>
    <w:p>
      <w:pPr>
        <w:pStyle w:val="Heading2"/>
        <w:tabs>
          <w:tab w:val="clear" w:pos="284"/>
          <w:tab w:val="left" w:pos="1140" w:leader="none"/>
        </w:tabs>
        <w:ind w:left="1140" w:hanging="1140"/>
        <w:rPr/>
      </w:pPr>
      <w:bookmarkStart w:id="27" w:name="__RefHeading___Toc145337330"/>
      <w:bookmarkEnd w:id="27"/>
      <w:r>
        <w:rPr/>
        <w:t>5.1</w:t>
        <w:tab/>
        <w:t>PKI architecture for NDS/AF</w:t>
      </w:r>
    </w:p>
    <w:p>
      <w:pPr>
        <w:pStyle w:val="Normal"/>
        <w:rPr/>
      </w:pPr>
      <w:r>
        <w:rPr/>
        <w:t>This chapter defines the PKI architecture for the NDS/AF. The goal is to define a flexible, yet simple architecture, which is easily interoperable with other implementations.</w:t>
      </w:r>
    </w:p>
    <w:p>
      <w:pPr>
        <w:pStyle w:val="Normal"/>
        <w:rPr/>
      </w:pPr>
      <w:r>
        <w:rPr/>
        <w:t>The architecture described below uses a simple access control method, i.e. every element which is authenticated is also provided service. More fine-grained access control may be implemented, but it is out of scope of this specification.</w:t>
      </w:r>
    </w:p>
    <w:p>
      <w:pPr>
        <w:pStyle w:val="Normal"/>
        <w:rPr>
          <w:i/>
          <w:i/>
        </w:rPr>
      </w:pPr>
      <w:r>
        <w:rPr/>
        <w:t>The architecture does not rely on bridge CAs, but instead uses direct cross-certifications between the security domains. This enables easy policy configurations in the SEGs and TLS entities.</w:t>
      </w:r>
    </w:p>
    <w:p>
      <w:pPr>
        <w:pStyle w:val="Heading3"/>
        <w:tabs>
          <w:tab w:val="clear" w:pos="284"/>
          <w:tab w:val="left" w:pos="1140" w:leader="none"/>
        </w:tabs>
        <w:ind w:left="1140" w:hanging="1140"/>
        <w:rPr/>
      </w:pPr>
      <w:bookmarkStart w:id="28" w:name="__RefHeading___Toc145337331"/>
      <w:bookmarkEnd w:id="28"/>
      <w:r>
        <w:rPr/>
        <w:t>5.1.1</w:t>
        <w:tab/>
        <w:t>General architecture</w:t>
      </w:r>
    </w:p>
    <w:p>
      <w:pPr>
        <w:pStyle w:val="Normal"/>
        <w:rPr/>
      </w:pPr>
      <w:r>
        <w:rPr/>
        <w:t>Unless the operator chooses to combine CAs, each security domain has at least one SEG CA, NE CA, TLS client CA or TLS server CA, and one Interconnection CA dedicated to it.</w:t>
      </w:r>
    </w:p>
    <w:p>
      <w:pPr>
        <w:pStyle w:val="Normal"/>
        <w:rPr/>
      </w:pPr>
      <w:r>
        <w:rPr/>
        <w:t>The SEG CA of the domain issues certificates to the SEGs in the domain that have interconnection with SEGs in other domains i.e. Za-interface. The SEG certificate can be used also in communication with an NE over the Zb-interface. An NE CA issues certificates to NE's for communication between NEs and between NE and SEGs within the responsible domain i.e. Zb interface. The TLS client CA of the domain issues certificates to the TLS clients in that domain that need to establish TLS connections with TLS servers in other domains. The TLS server CA of the domain issues certificates to the TLS servers in that domain that need to establish TLS connections with TLS clients in other domains. The Interconnection CA of the domain issues certificates to the SEG CAs, TLS client CA or TLS server CA, of other domains with which the operator’s SEGs and TLS entities have interconnection. This specification describes the profile for the various certificates that are needed. Also a method for creating the cross-certificates is described.</w:t>
      </w:r>
    </w:p>
    <w:p>
      <w:pPr>
        <w:pStyle w:val="Normal"/>
        <w:rPr/>
      </w:pPr>
      <w:r>
        <w:rPr/>
        <w:t>In general, all of the certificates shall be based on the Internet X.509 certificate profile [14].</w:t>
      </w:r>
    </w:p>
    <w:p>
      <w:pPr>
        <w:pStyle w:val="Heading4"/>
        <w:ind w:left="1418" w:hanging="1418"/>
        <w:rPr/>
      </w:pPr>
      <w:bookmarkStart w:id="29" w:name="__RefHeading___Toc145337332"/>
      <w:bookmarkEnd w:id="29"/>
      <w:r>
        <w:rPr/>
        <w:t>5.1.1.1</w:t>
        <w:tab/>
        <w:t>NDS/IP case</w:t>
      </w:r>
    </w:p>
    <w:p>
      <w:pPr>
        <w:pStyle w:val="Normal"/>
        <w:rPr/>
      </w:pPr>
      <w:r>
        <w:rPr/>
        <w:t xml:space="preserve">In the following, the architecture for issuing IPsec certificates using SEG CAs is described. </w:t>
      </w:r>
    </w:p>
    <w:p>
      <w:pPr>
        <w:pStyle w:val="Normal"/>
        <w:rPr/>
      </w:pPr>
      <w:r>
        <w:rPr/>
        <w:t>The SEG CA shall issue certificates for SEGs that implement the Za interface. When SEG of the security domain A establishes a secure connection with the SEG of the domain B, they shall be able to authenticate each other. The mutual authentication is checked using the certificates the SEG CAs issued for the SEGs. When an interconnect agreement is established between the domains, the Interconnection CA cross-certifies the SEG CA of the peer operator. The created cross-certificates need only to be configured locally to each domain. The cross-certificate, which Interconnection CA of security domain A created for the SEG CA of security domain B, shall be available for the domain A SEG which provides the Za interface towards domain B. Equally the corresponding certificate, which the Interconnection CA of the security domain B created for the SEG CA of security domain A, shall be available for the domain B SEG which provides Za interface towards domain A.</w:t>
      </w:r>
    </w:p>
    <w:p>
      <w:pPr>
        <w:pStyle w:val="Normal"/>
        <w:rPr/>
      </w:pPr>
      <w:r>
        <w:rPr/>
        <w:t>The general architecture for IPsec certificate based authentication of SEGs and NEs is illustrated in Figure 2.</w:t>
      </w:r>
    </w:p>
    <w:p>
      <w:pPr>
        <w:pStyle w:val="NO"/>
        <w:rPr/>
      </w:pPr>
      <w:r>
        <w:rPr/>
        <w:t>NOTE 1: A potential NE CA</w:t>
      </w:r>
      <w:r>
        <w:rPr>
          <w:vertAlign w:val="subscript"/>
        </w:rPr>
        <w:t>A</w:t>
      </w:r>
      <w:r>
        <w:rPr/>
        <w:t xml:space="preserve"> has not been depicted in the Figure 2, in order not to overload it. </w:t>
      </w:r>
    </w:p>
    <w:p>
      <w:pPr>
        <w:pStyle w:val="Normal"/>
        <w:rPr/>
      </w:pPr>
      <w:r>
        <w:rPr/>
      </w:r>
    </w:p>
    <w:p>
      <w:pPr>
        <w:pStyle w:val="TH"/>
        <w:rPr/>
      </w:pPr>
      <w:bookmarkStart w:id="30" w:name="_1331472087"/>
      <w:bookmarkStart w:id="31" w:name="_1148103760"/>
      <w:bookmarkStart w:id="32" w:name="_1147878620"/>
      <w:bookmarkStart w:id="33" w:name="_1147075820"/>
      <w:bookmarkEnd w:id="30"/>
      <w:bookmarkEnd w:id="31"/>
      <w:bookmarkEnd w:id="32"/>
      <w:bookmarkEnd w:id="33"/>
      <w:r>
        <w:rPr/>
        <w:object w:dxaOrig="7905" w:dyaOrig="7761">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95.25pt;height:388.05pt" filled="f" o:ole="">
            <v:imagedata r:id="rId13" o:title=""/>
          </v:shape>
          <o:OLEObject Type="Embed" ProgID="" ShapeID="ole_rId12" DrawAspect="Content" ObjectID="_905799837" r:id="rId12"/>
        </w:object>
      </w:r>
    </w:p>
    <w:p>
      <w:pPr>
        <w:pStyle w:val="TF"/>
        <w:rPr/>
      </w:pPr>
      <w:r>
        <w:rPr/>
        <w:t>Figure 2: Trust validation path in the context of NDS/IP</w:t>
      </w:r>
    </w:p>
    <w:p>
      <w:pPr>
        <w:pStyle w:val="Normal"/>
        <w:rPr/>
      </w:pPr>
      <w:r>
        <w:rPr/>
        <w:t>After cross-certification, the SEGa is able to verify the path: SEGb -&gt; SEG CA</w:t>
      </w:r>
      <w:r>
        <w:rPr>
          <w:vertAlign w:val="subscript"/>
        </w:rPr>
        <w:t>B</w:t>
      </w:r>
      <w:r>
        <w:rPr/>
        <w:t xml:space="preserve">  -&gt; Interconnection CA</w:t>
      </w:r>
      <w:r>
        <w:rPr>
          <w:vertAlign w:val="subscript"/>
        </w:rPr>
        <w:t>A</w:t>
      </w:r>
      <w:r>
        <w:rPr/>
        <w:t>. Only the certificate of the Interconnection CA</w:t>
      </w:r>
      <w:r>
        <w:rPr>
          <w:vertAlign w:val="subscript"/>
        </w:rPr>
        <w:t>A</w:t>
      </w:r>
      <w:r>
        <w:rPr/>
        <w:t xml:space="preserve"> in domain A needs to be trusted by entities in security domain A. </w:t>
      </w:r>
    </w:p>
    <w:p>
      <w:pPr>
        <w:pStyle w:val="Normal"/>
        <w:rPr/>
      </w:pPr>
      <w:r>
        <w:rPr/>
        <w:t>Equally the SEGb is able to verify the path: SEGa -&gt; SEG CA</w:t>
      </w:r>
      <w:r>
        <w:rPr>
          <w:vertAlign w:val="subscript"/>
        </w:rPr>
        <w:t>A</w:t>
      </w:r>
      <w:r>
        <w:rPr/>
        <w:t xml:space="preserve"> -&gt; Interconnection</w:t>
      </w:r>
      <w:r>
        <w:rPr>
          <w:lang w:eastAsia="zh-CN"/>
        </w:rPr>
        <w:t xml:space="preserve"> CA</w:t>
      </w:r>
      <w:r>
        <w:rPr>
          <w:vertAlign w:val="subscript"/>
          <w:lang w:eastAsia="zh-CN"/>
        </w:rPr>
        <w:t>B</w:t>
      </w:r>
      <w:r>
        <w:rPr/>
        <w:t>. The path is verifiable in domain B, because the path terminates to a trusted certificate (Interconnection CA</w:t>
      </w:r>
      <w:r>
        <w:rPr>
          <w:vertAlign w:val="subscript"/>
        </w:rPr>
        <w:t>B</w:t>
      </w:r>
      <w:r>
        <w:rPr/>
        <w:t xml:space="preserve"> of the security domain B in this case). </w:t>
      </w:r>
    </w:p>
    <w:p>
      <w:pPr>
        <w:pStyle w:val="Normal"/>
        <w:rPr/>
      </w:pPr>
      <w:r>
        <w:rPr/>
        <w:t xml:space="preserve">The Interconnection CA signs the second certificate in the path. For example, in domain A, the certificate for SEG CA B is signed by the Interconnection CA of domain A when the cross-certification is done. </w:t>
      </w:r>
    </w:p>
    <w:p>
      <w:pPr>
        <w:pStyle w:val="Heading4"/>
        <w:ind w:left="1418" w:hanging="1418"/>
        <w:rPr/>
      </w:pPr>
      <w:bookmarkStart w:id="34" w:name="__RefHeading___Toc145337333"/>
      <w:bookmarkEnd w:id="34"/>
      <w:r>
        <w:rPr/>
        <w:t>5.1.1.2</w:t>
        <w:tab/>
        <w:t>TLS case</w:t>
      </w:r>
    </w:p>
    <w:p>
      <w:pPr>
        <w:pStyle w:val="Normal"/>
        <w:rPr/>
      </w:pPr>
      <w:r>
        <w:rPr/>
        <w:t>In the following, the architecture for issuing TLS certificates using TLS CAs is described.</w:t>
      </w:r>
    </w:p>
    <w:p>
      <w:pPr>
        <w:pStyle w:val="Normal"/>
        <w:rPr/>
      </w:pPr>
      <w:r>
        <w:rPr/>
        <w:t>The TLS client CA shall issue certificates for TLS clients in its domain. Similarly the TLS server CA shall issue certificates for TLS servers in its domain. When a TLS entity of the security domain A establishes a secure connection with a TLS entity of the domain B, they shall be able to authenticate each other. The mutual authentication is checked using the certificates the TLS client/server CAs issued for the TLS entities. When an interconnect agreement is established between the domains, the Interconnection CA cross-certifies the TLS client/server CAs of the peer operator. The created cross-certificates need only to be configured locally to each domain. The cross-certificate, which Interconnection CA of security domain A created for the TLS client/server CAs of security domain B, shall be available for the domain A TLS entities which need to communicate with domain B. Equally the corresponding certificate, which the Interconnection CA of the security domain B created for the TLS client/server CAs of security domain A, shall be available for the domain B TLS entities which need to communicate with domain A.</w:t>
      </w:r>
    </w:p>
    <w:p>
      <w:pPr>
        <w:pStyle w:val="Normal"/>
        <w:rPr/>
      </w:pPr>
      <w:r>
        <w:rPr/>
        <w:t xml:space="preserve">The general architecture for authentication of TLS entities is illustrated in Figure 2a. </w:t>
      </w:r>
    </w:p>
    <w:p>
      <w:pPr>
        <w:pStyle w:val="TH"/>
        <w:rPr/>
      </w:pPr>
      <w:r>
        <w:rPr/>
      </w:r>
    </w:p>
    <w:p>
      <w:pPr>
        <w:pStyle w:val="TH"/>
        <w:rPr/>
      </w:pPr>
      <w:bookmarkStart w:id="35" w:name="_1297501466"/>
      <w:bookmarkEnd w:id="35"/>
      <w:r>
        <w:rPr/>
        <w:object w:dxaOrig="7905" w:dyaOrig="7042">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95.25pt;height:352.1pt" filled="f" o:ole="">
            <v:imagedata r:id="rId15" o:title=""/>
          </v:shape>
          <o:OLEObject Type="Embed" ProgID="" ShapeID="ole_rId14" DrawAspect="Content" ObjectID="_2038250225" r:id="rId14"/>
        </w:object>
      </w:r>
    </w:p>
    <w:p>
      <w:pPr>
        <w:pStyle w:val="TF"/>
        <w:rPr/>
      </w:pPr>
      <w:r>
        <w:rPr/>
        <w:t>Figure 2a: Trust validation path in the context of TLS</w:t>
      </w:r>
    </w:p>
    <w:p>
      <w:pPr>
        <w:pStyle w:val="Normal"/>
        <w:rPr/>
      </w:pPr>
      <w:r>
        <w:rPr/>
        <w:t xml:space="preserve">After cross-certification, the TLS client </w:t>
      </w:r>
      <w:r>
        <w:rPr>
          <w:vertAlign w:val="subscript"/>
        </w:rPr>
        <w:t>A</w:t>
      </w:r>
      <w:r>
        <w:rPr/>
        <w:t xml:space="preserve"> is able to verify the path: TLS server </w:t>
      </w:r>
      <w:r>
        <w:rPr>
          <w:vertAlign w:val="subscript"/>
        </w:rPr>
        <w:t>B</w:t>
      </w:r>
      <w:r>
        <w:rPr/>
        <w:t xml:space="preserve"> -&gt; TLS server CA</w:t>
      </w:r>
      <w:r>
        <w:rPr>
          <w:vertAlign w:val="subscript"/>
        </w:rPr>
        <w:t>B</w:t>
      </w:r>
      <w:r>
        <w:rPr/>
        <w:t xml:space="preserve">  -&gt; Interconnection CA</w:t>
      </w:r>
      <w:r>
        <w:rPr>
          <w:vertAlign w:val="subscript"/>
        </w:rPr>
        <w:t>A</w:t>
      </w:r>
      <w:r>
        <w:rPr/>
        <w:t>. Only the certificate of the Interconnection CA</w:t>
      </w:r>
      <w:r>
        <w:rPr>
          <w:vertAlign w:val="subscript"/>
        </w:rPr>
        <w:t>A</w:t>
      </w:r>
      <w:r>
        <w:rPr/>
        <w:t xml:space="preserve"> in domain A needs to be trusted by entities in security domain A. </w:t>
      </w:r>
    </w:p>
    <w:p>
      <w:pPr>
        <w:pStyle w:val="Normal"/>
        <w:rPr/>
      </w:pPr>
      <w:r>
        <w:rPr/>
        <w:t xml:space="preserve">Equally the TLS server </w:t>
      </w:r>
      <w:r>
        <w:rPr>
          <w:vertAlign w:val="subscript"/>
        </w:rPr>
        <w:t>B</w:t>
      </w:r>
      <w:r>
        <w:rPr/>
        <w:t xml:space="preserve"> is able to verify the path: TLS client </w:t>
      </w:r>
      <w:r>
        <w:rPr>
          <w:vertAlign w:val="subscript"/>
        </w:rPr>
        <w:t>A</w:t>
      </w:r>
      <w:r>
        <w:rPr/>
        <w:t xml:space="preserve"> -&gt; TLS client CA</w:t>
      </w:r>
      <w:r>
        <w:rPr>
          <w:vertAlign w:val="subscript"/>
        </w:rPr>
        <w:t>A</w:t>
      </w:r>
      <w:r>
        <w:rPr/>
        <w:t xml:space="preserve"> -&gt; Interconnection CA</w:t>
      </w:r>
      <w:r>
        <w:rPr>
          <w:vertAlign w:val="subscript"/>
          <w:lang w:eastAsia="zh-CN"/>
        </w:rPr>
        <w:t>B</w:t>
      </w:r>
      <w:r>
        <w:rPr/>
        <w:t>. The path is verifiable in domain B, because the path terminates to a trusted certificate (Interconnection CA</w:t>
      </w:r>
      <w:r>
        <w:rPr>
          <w:vertAlign w:val="subscript"/>
        </w:rPr>
        <w:t>B</w:t>
      </w:r>
      <w:r>
        <w:rPr/>
        <w:t xml:space="preserve"> of the security domain B in this case). </w:t>
      </w:r>
    </w:p>
    <w:p>
      <w:pPr>
        <w:pStyle w:val="Normal"/>
        <w:rPr/>
      </w:pPr>
      <w:r>
        <w:rPr/>
        <w:t>The Interconnection CA signs the second certificate in the path. For example, in domain A, the certificates for TLS server CA B and TLS client CA B are signed by the Interconnection CA of domain A when the cross-certification is done.</w:t>
      </w:r>
    </w:p>
    <w:p>
      <w:pPr>
        <w:pStyle w:val="Heading2"/>
        <w:tabs>
          <w:tab w:val="clear" w:pos="284"/>
          <w:tab w:val="left" w:pos="1140" w:leader="none"/>
        </w:tabs>
        <w:ind w:left="1140" w:hanging="1140"/>
        <w:rPr/>
      </w:pPr>
      <w:bookmarkStart w:id="36" w:name="__RefHeading___Toc145337334"/>
      <w:bookmarkEnd w:id="36"/>
      <w:r>
        <w:rPr/>
        <w:t>5.2</w:t>
        <w:tab/>
        <w:t>Use cases</w:t>
      </w:r>
    </w:p>
    <w:p>
      <w:pPr>
        <w:pStyle w:val="Heading3"/>
        <w:tabs>
          <w:tab w:val="clear" w:pos="284"/>
          <w:tab w:val="left" w:pos="1140" w:leader="none"/>
        </w:tabs>
        <w:ind w:left="1140" w:hanging="1140"/>
        <w:rPr/>
      </w:pPr>
      <w:bookmarkStart w:id="37" w:name="__RefHeading___Toc145337335"/>
      <w:bookmarkEnd w:id="37"/>
      <w:r>
        <w:rPr/>
        <w:t>5.2.1</w:t>
        <w:tab/>
        <w:t>Operator Registration: Creation of interconnect agreement</w:t>
      </w:r>
    </w:p>
    <w:p>
      <w:pPr>
        <w:pStyle w:val="Normal"/>
        <w:rPr/>
      </w:pPr>
      <w:r>
        <w:rPr/>
        <w:t>SEGs or TLS entities of two different security domains need to establish a secure connection, when the operators make an interconnect agreement. The first technical step in creating the interconnect agreement between domains is the creation of cross-certificates by the Interconnection CAs of the two domains.</w:t>
      </w:r>
    </w:p>
    <w:p>
      <w:pPr>
        <w:pStyle w:val="Normal"/>
        <w:rPr/>
      </w:pPr>
      <w:r>
        <w:rPr/>
        <w:t>Inter-operator cross-certification can be done using different protocols, but the certification authority shall support the PKCS#10 method for certificate requests as specified in RFC 2986 [2]. The SEG CA, TLS client CA and TLS server CA create a PKCS#10 certificate request, and send it to the other operator's Interconnection CA. The method for transferring the PKCS#10 request is not specified, but the transfer method shall be secure. The PKCS#10 can be transferred e.g. HTTPS, in a flash drive, or be send in a signed email. The PKCS#10 request contains the public key of the authority and the name of the authority requesting the cross-certificate. When the Interconnection CA accepts the request, a new cross-certificate is created for the requesting CA. The Interconnection CA shall make the new cross-certificate available to SEGs and TLS entities in its own domain that need to use it. Cross-certificates on the other domain's SEG CA's are stored in a local CR (Certificate Repository) which all SEGs that need to communicate with the other domains shall access using LDAP as specified in RFC 2252  [5]. Cross-certificates on TLS client CAs and TLS server CAs are made available to TLS entities, e.g. by storing them in a file of trusted CAs on the TLS entity, or by storing them in a local CR (Certificate Repository) which all TLS entities that need to communicate with the other domain shall access e.g. using LDAP as specified in RFC 2252  [5].</w:t>
      </w:r>
    </w:p>
    <w:p>
      <w:pPr>
        <w:pStyle w:val="Normal"/>
        <w:rPr/>
      </w:pPr>
      <w:r>
        <w:rPr/>
        <w:t>The cross-certification is a manual operation, and thus PKCS#10 is a suitable solution for the interconnect agreement.</w:t>
      </w:r>
    </w:p>
    <w:p>
      <w:pPr>
        <w:pStyle w:val="Normal"/>
        <w:rPr/>
      </w:pPr>
      <w:r>
        <w:rPr/>
        <w:t>Creation of an interconnect agreement only involves use of the private keys of the Interconnection CAs. There is no need for the operators to use the private keys of their respective SEG CAs, TLS client CAs or TLS server CAs in forming an interconnect agreement.</w:t>
      </w:r>
    </w:p>
    <w:p>
      <w:pPr>
        <w:pStyle w:val="Normal"/>
        <w:rPr/>
      </w:pPr>
      <w:r>
        <w:rPr/>
        <w:t>When creating the new cross-certificate, the Interconnection CA should use basic constraint extension (according to section 4.2.1.9 of RFC 5280 [14]) and set the path length to zero. This inhibits the new cross-certificate to be used in signing new CA certificates. The validity of the certificate should be set sufficiently long. The cross-certification process needs to be done again when the validity of the cross-certificate is ending.</w:t>
      </w:r>
    </w:p>
    <w:p>
      <w:pPr>
        <w:pStyle w:val="Normal"/>
        <w:rPr/>
      </w:pPr>
      <w:r>
        <w:rPr/>
        <w:t xml:space="preserve">When the new cross-certificate is available to the SEG, all that needs to be configured in the SEG is the DNS name or IP address of the peering SEG gateway. The authentication can be done based on the created cross-certificates. </w:t>
      </w:r>
    </w:p>
    <w:p>
      <w:pPr>
        <w:pStyle w:val="Normal"/>
        <w:rPr/>
      </w:pPr>
      <w:r>
        <w:rPr/>
        <w:t xml:space="preserve">When the new cross-certificate is available to a TLS entity, it allows that TLS entity to authenticate TLS entities in the peering network. Authentication is done based on the created cross-certificates. </w:t>
      </w:r>
    </w:p>
    <w:p>
      <w:pPr>
        <w:pStyle w:val="Normal"/>
        <w:rPr/>
      </w:pPr>
      <w:r>
        <w:rPr/>
        <w:t>The certificate hierarchy in the case of two peering operators is illustrated in Figure 3.</w:t>
      </w:r>
    </w:p>
    <w:p>
      <w:pPr>
        <w:pStyle w:val="TH"/>
        <w:rPr/>
      </w:pPr>
      <w:r>
        <w:rPr/>
      </w:r>
    </w:p>
    <w:p>
      <w:pPr>
        <w:pStyle w:val="TH"/>
        <w:rPr/>
      </w:pPr>
      <w:bookmarkStart w:id="38" w:name="_1331472346"/>
      <w:bookmarkStart w:id="39" w:name="_1331472090"/>
      <w:bookmarkStart w:id="40" w:name="_1204463999"/>
      <w:bookmarkStart w:id="41" w:name="_1204461038"/>
      <w:bookmarkStart w:id="42" w:name="_1204459851"/>
      <w:bookmarkStart w:id="43" w:name="_1202728945"/>
      <w:bookmarkEnd w:id="38"/>
      <w:bookmarkEnd w:id="39"/>
      <w:bookmarkEnd w:id="40"/>
      <w:bookmarkEnd w:id="41"/>
      <w:bookmarkEnd w:id="42"/>
      <w:bookmarkEnd w:id="43"/>
      <w:r>
        <w:rPr/>
        <w:object w:dxaOrig="13305" w:dyaOrig="7222">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576.75pt;height:313.4pt" filled="f" o:ole="">
            <v:imagedata r:id="rId17" o:title=""/>
          </v:shape>
          <o:OLEObject Type="Embed" ProgID="" ShapeID="ole_rId16" DrawAspect="Content" ObjectID="_749681843" r:id="rId16"/>
        </w:object>
      </w:r>
    </w:p>
    <w:p>
      <w:pPr>
        <w:pStyle w:val="Normal"/>
        <w:rPr/>
      </w:pPr>
      <w:r>
        <w:rPr/>
        <w:t>Figure 3: Certificate Hierarchy</w:t>
      </w:r>
    </w:p>
    <w:p>
      <w:pPr>
        <w:pStyle w:val="Heading3"/>
        <w:tabs>
          <w:tab w:val="clear" w:pos="284"/>
          <w:tab w:val="left" w:pos="1140" w:leader="none"/>
        </w:tabs>
        <w:ind w:left="1140" w:hanging="1140"/>
        <w:rPr/>
      </w:pPr>
      <w:bookmarkStart w:id="44" w:name="__RefHeading___Toc145337336"/>
      <w:bookmarkEnd w:id="44"/>
      <w:r>
        <w:rPr/>
        <w:t>5.2.2</w:t>
        <w:tab/>
        <w:t>Establishment of secure communications</w:t>
      </w:r>
    </w:p>
    <w:p>
      <w:pPr>
        <w:pStyle w:val="Heading4"/>
        <w:ind w:left="1418" w:hanging="1418"/>
        <w:rPr/>
      </w:pPr>
      <w:bookmarkStart w:id="45" w:name="__RefHeading___Toc145337337"/>
      <w:bookmarkEnd w:id="45"/>
      <w:r>
        <w:rPr/>
        <w:t>5.2.2.1</w:t>
        <w:tab/>
        <w:t>NDS/IP case</w:t>
      </w:r>
    </w:p>
    <w:p>
      <w:pPr>
        <w:pStyle w:val="Heading4"/>
        <w:ind w:left="1418" w:hanging="1418"/>
        <w:rPr/>
      </w:pPr>
      <w:bookmarkStart w:id="46" w:name="__RefHeading___Toc145337338"/>
      <w:bookmarkEnd w:id="46"/>
      <w:r>
        <w:rPr/>
        <w:t>5.2.2.1.1</w:t>
        <w:tab/>
        <w:t>NDS/IP case for the Za interface</w:t>
      </w:r>
    </w:p>
    <w:p>
      <w:pPr>
        <w:pStyle w:val="Normal"/>
        <w:rPr/>
      </w:pPr>
      <w:r>
        <w:rPr/>
        <w:t>After establishing an interconnect agreement and finishing the required preliminary certificate management operations as specified in clause 5.2.1, the operators configure their SEGs for SEG-SEG connection, and the SAs are established as specified by NDS/IP [1].</w:t>
      </w:r>
    </w:p>
    <w:p>
      <w:pPr>
        <w:pStyle w:val="Normal"/>
        <w:rPr/>
      </w:pPr>
      <w:r>
        <w:rPr/>
        <w:t>In each connection configuration, the remote SEG DNS name or IP address is specified. Only the local Interconnection CA and SEG CA are configured as trusted CAs. Because of the cross-certification, any operator whose SEG CA has been cross-certified can get access using this VPN connection configuration.</w:t>
      </w:r>
    </w:p>
    <w:p>
      <w:pPr>
        <w:pStyle w:val="Normal"/>
        <w:rPr/>
      </w:pPr>
      <w:r>
        <w:rPr/>
        <w:t>The following is the flow of connection negotiation from the point of view of Operator A's SEG (initiator). Operator B's SEG (responder) shall behave in a similar fashion.</w:t>
      </w:r>
      <w:r>
        <w:rPr>
          <w:lang w:eastAsia="zh-CN"/>
        </w:rPr>
        <w:t xml:space="preserve"> In case of any failure in following steps, SEG A will treat this as an error and abort the procedure.</w:t>
      </w:r>
    </w:p>
    <w:p>
      <w:pPr>
        <w:pStyle w:val="B1"/>
        <w:rPr/>
      </w:pPr>
      <w:r>
        <w:rPr/>
        <w:t>-</w:t>
        <w:tab/>
        <w:t xml:space="preserve">During connection initiation, the initiating Operator A's </w:t>
      </w:r>
      <w:r>
        <w:rPr>
          <w:lang w:eastAsia="zh-CN"/>
        </w:rPr>
        <w:t xml:space="preserve">SEG A </w:t>
      </w:r>
      <w:r>
        <w:rPr/>
        <w:t>provides its own SEG certificate and the corresponding digital signature in the IKE_AUTH exchange for IKEv2;</w:t>
      </w:r>
    </w:p>
    <w:p>
      <w:pPr>
        <w:pStyle w:val="B1"/>
        <w:rPr/>
      </w:pPr>
      <w:r>
        <w:rPr/>
        <w:t>-</w:t>
        <w:tab/>
        <w:t>SEG A receives the remote SEG B certificate and signature;</w:t>
      </w:r>
    </w:p>
    <w:p>
      <w:pPr>
        <w:pStyle w:val="B1"/>
        <w:rPr/>
      </w:pPr>
      <w:r>
        <w:rPr/>
        <w:t>-</w:t>
        <w:tab/>
        <w:t>SEG A verifies the remote SEG B signature;</w:t>
      </w:r>
    </w:p>
    <w:p>
      <w:pPr>
        <w:pStyle w:val="B1"/>
        <w:rPr/>
      </w:pPr>
      <w:r>
        <w:rPr/>
        <w:t>-</w:t>
        <w:tab/>
        <w:t>SEG A checks the validity of the SEG B certificate by a CRL check to Operator B’s CRL databases. If a SEG cannot successfully perform the CRL check, it shall treat this as an error and abort tunnel establishment;</w:t>
      </w:r>
    </w:p>
    <w:p>
      <w:pPr>
        <w:pStyle w:val="B1"/>
        <w:rPr/>
      </w:pPr>
      <w:r>
        <w:rPr/>
        <w:t>-</w:t>
        <w:tab/>
        <w:t>SEG A verifies the SEG B certificate by executing the following actions:</w:t>
      </w:r>
    </w:p>
    <w:p>
      <w:pPr>
        <w:pStyle w:val="B2"/>
        <w:rPr/>
      </w:pPr>
      <w:r>
        <w:rPr/>
        <w:t>-</w:t>
        <w:tab/>
        <w:tab/>
        <w:t>SEG A fetches the cross-certificate for Operator B's SEG CA from Operator A's Certificate Repository or from a local cache.</w:t>
      </w:r>
    </w:p>
    <w:p>
      <w:pPr>
        <w:pStyle w:val="B1"/>
        <w:rPr/>
      </w:pPr>
      <w:r>
        <w:rPr/>
        <w:t>-</w:t>
        <w:tab/>
        <w:t>SEG A checks the validity of the cross-certificate for Operator B's SEG CA by a CRL check to Operator A's Interconnection CA CRL database. If a SEG cannot successfully perform the CRL check, it shall treat this as an error and abort tunnel establishment;</w:t>
      </w:r>
    </w:p>
    <w:p>
      <w:pPr>
        <w:pStyle w:val="B1"/>
        <w:rPr>
          <w:lang w:eastAsia="zh-CN"/>
        </w:rPr>
      </w:pPr>
      <w:r>
        <w:rPr/>
        <w:t>-</w:t>
        <w:tab/>
        <w:t>SEG A verifies the cross-certificate for Operator B's SEG CA using Operator A's Interconnection CA's certificate</w:t>
      </w:r>
      <w:r>
        <w:rPr/>
        <w:t xml:space="preserve">. </w:t>
      </w:r>
      <w:r>
        <w:rPr/>
        <w:t>Operator A's Interconnection CA's certificate</w:t>
      </w:r>
      <w:r>
        <w:rPr/>
        <w:t xml:space="preserve"> </w:t>
      </w:r>
      <w:r>
        <w:rPr>
          <w:lang w:eastAsia="zh-CN"/>
        </w:rPr>
        <w:t>shall</w:t>
      </w:r>
      <w:r>
        <w:rPr/>
        <w:t xml:space="preserve"> be verified</w:t>
      </w:r>
      <w:r>
        <w:rPr/>
        <w:t xml:space="preserve"> if the Interconnection CA is not a top-level CA, otherwise the Interconnection CA's public key is implicitly trusted.</w:t>
      </w:r>
    </w:p>
    <w:p>
      <w:pPr>
        <w:pStyle w:val="B2"/>
        <w:rPr/>
      </w:pPr>
      <w:r>
        <w:rPr/>
        <w:t>-     SEG A verifies the SEG B certificate using cross-certificate for Operator B</w:t>
      </w:r>
      <w:r>
        <w:rPr/>
        <w:t>’</w:t>
      </w:r>
      <w:r>
        <w:rPr/>
        <w:t>s SEG CA.</w:t>
      </w:r>
    </w:p>
    <w:p>
      <w:pPr>
        <w:pStyle w:val="Normal"/>
        <w:rPr/>
      </w:pPr>
      <w:r>
        <w:rPr/>
        <w:t>When IKEv2 has been initiated, then the IKE_AUTH exchange is now completed. Now the IKEv2 CREATE_CHILD_SA exchange can be initiated as described in NDS/IP [1] with PSK authentication.</w:t>
      </w:r>
    </w:p>
    <w:p>
      <w:pPr>
        <w:pStyle w:val="NO"/>
        <w:rPr/>
      </w:pPr>
      <w:r>
        <w:rPr/>
        <w:t>NOTE:</w:t>
        <w:tab/>
        <w:t>This specification provides authentication of SEGs in an "end-to-end" fashion as regards to interconnect traffic (operator to operator). If NDS/AF (IKE) authentication were to be used for both access to the transport network (e.g. GRX) and for the end-to-end interconnect traffic, IPsec mechanisms and policies such as iterated tunnels or hop-by-hop security would need to be used. However, it is highlighted that the authentication framework specified is independent of the underlying IP transport network.</w:t>
      </w:r>
    </w:p>
    <w:p>
      <w:pPr>
        <w:pStyle w:val="Heading4"/>
        <w:ind w:left="1418" w:hanging="1418"/>
        <w:rPr/>
      </w:pPr>
      <w:bookmarkStart w:id="47" w:name="__RefHeading___Toc145337339"/>
      <w:bookmarkEnd w:id="47"/>
      <w:r>
        <w:rPr/>
        <w:t>5.2.2.1.2</w:t>
        <w:tab/>
        <w:t>NDS/IP case for the Zb-interface</w:t>
      </w:r>
    </w:p>
    <w:p>
      <w:pPr>
        <w:pStyle w:val="Normal"/>
        <w:rPr/>
      </w:pPr>
      <w:r>
        <w:rPr/>
        <w:t>In this case there is no need for cross-certification. Both end entity certificates belong to the same administrative domain and thus authorization check resolves to the same top level CA.</w:t>
      </w:r>
    </w:p>
    <w:p>
      <w:pPr>
        <w:pStyle w:val="Normal"/>
        <w:rPr/>
      </w:pPr>
      <w:r>
        <w:rPr/>
        <w:t>The following is the flow of connection negotiation from the point of view of NE-A (initiator). NE-B (or SEG-B) from the same domain (responder) shall behave in a similar fashion.</w:t>
      </w:r>
      <w:r>
        <w:rPr>
          <w:lang w:eastAsia="zh-CN"/>
        </w:rPr>
        <w:t xml:space="preserve"> In case of any failure in following steps, NE A will treat this as an error and abort the procedure.</w:t>
      </w:r>
    </w:p>
    <w:p>
      <w:pPr>
        <w:pStyle w:val="Normal"/>
        <w:rPr/>
      </w:pPr>
      <w:r>
        <w:rPr/>
        <w:t>-</w:t>
        <w:tab/>
        <w:t>During connection initiation, the initiating Operator A's NE-A provides its own NE certificate and the corresponding digital signature in the IKE_AUTH exchange for IKEv2;</w:t>
      </w:r>
    </w:p>
    <w:p>
      <w:pPr>
        <w:pStyle w:val="Normal"/>
        <w:rPr/>
      </w:pPr>
      <w:r>
        <w:rPr/>
        <w:t>-</w:t>
        <w:tab/>
        <w:t>NE A receives the NE B (or SEG B) certificate and signature;</w:t>
      </w:r>
    </w:p>
    <w:p>
      <w:pPr>
        <w:pStyle w:val="Normal"/>
        <w:rPr/>
      </w:pPr>
      <w:r>
        <w:rPr/>
        <w:t>-</w:t>
        <w:tab/>
        <w:t>NE A verifies the NE B (or SEG B) signature;</w:t>
      </w:r>
    </w:p>
    <w:p>
      <w:pPr>
        <w:pStyle w:val="Normal"/>
        <w:rPr>
          <w:lang w:eastAsia="zh-CN"/>
        </w:rPr>
      </w:pPr>
      <w:r>
        <w:rPr/>
        <w:t>-</w:t>
        <w:tab/>
        <w:t>NE A checks the validity of the NE B (or SEG B) certificate by a CRL check to the CRL databases of the same domain. If a NE cannot successfully perform the CRL check, it shall treat this as an error and abort tunnel establishment;</w:t>
      </w:r>
    </w:p>
    <w:p>
      <w:pPr>
        <w:pStyle w:val="B1"/>
        <w:ind w:left="284" w:hanging="284"/>
        <w:rPr/>
      </w:pPr>
      <w:r>
        <w:rPr/>
        <w:t xml:space="preserve">-    NE A verifies the NE B (or SEG B) </w:t>
      </w:r>
      <w:r>
        <w:rPr/>
        <w:t>certificate</w:t>
      </w:r>
      <w:r>
        <w:rPr/>
        <w:t xml:space="preserve"> using Operator NE CA certificate.</w:t>
      </w:r>
    </w:p>
    <w:p>
      <w:pPr>
        <w:pStyle w:val="Normal"/>
        <w:rPr/>
      </w:pPr>
      <w:r>
        <w:rPr/>
        <w:t>When IKEv2 has been initiated, then the IKE_AUTH exchange is now completed. Now the IKEv2 CREATE_CHILD_SA exchange can be initiated as described in NDS/IP [1] with PSK authentication.</w:t>
      </w:r>
    </w:p>
    <w:p>
      <w:pPr>
        <w:pStyle w:val="Heading4"/>
        <w:ind w:left="1418" w:hanging="1418"/>
        <w:rPr/>
      </w:pPr>
      <w:bookmarkStart w:id="48" w:name="__RefHeading___Toc145337340"/>
      <w:bookmarkEnd w:id="48"/>
      <w:r>
        <w:rPr/>
        <w:t>5.2.2.2</w:t>
        <w:tab/>
        <w:t>TLS case</w:t>
      </w:r>
    </w:p>
    <w:p>
      <w:pPr>
        <w:pStyle w:val="Normal"/>
        <w:rPr/>
      </w:pPr>
      <w:r>
        <w:rPr/>
        <w:t>After establishing a interconnect agreement and finishing the required preliminary certificate management operations as specified in clause 5.2.1, the operators configure their TLS entities for secure interconnection. The exact process for establishing the TLS connections is dependent on the application protocol and is outside the scope of this specification. However, the general flow is described in the remainder of this clause.</w:t>
      </w:r>
    </w:p>
    <w:p>
      <w:pPr>
        <w:pStyle w:val="Normal"/>
        <w:rPr/>
      </w:pPr>
      <w:r>
        <w:rPr/>
        <w:t>The local Interconnection CA and TLS client/server CAs are configured as trusted CAs in the TLS entity typically by storing them in a file of trusted CAs on the TLS entity. The cross-certificates on the TLS client/server CAs of the remote operator are also made available to the TLS entity, e.g. by storing them in a file of trusted CAs on the TLS entity, or by storing them in a local CR (Certificate Repository) which all TLS entities that need to communicate with the other domain shall access e.g. using LDAP. Because of the cross-certification, any operator whose TLS client CA or TLS server CA has been cross-certified by another operator can establish TLS connections with that other operator.</w:t>
      </w:r>
    </w:p>
    <w:p>
      <w:pPr>
        <w:pStyle w:val="Normal"/>
        <w:rPr>
          <w:lang w:eastAsia="zh-CN"/>
        </w:rPr>
      </w:pPr>
      <w:r>
        <w:rPr/>
        <w:t>The following is the connection establishment from the point of view of a TLS client in Operator A (TLSa) and a TLS server in Operator B (TLSb). The case where the TLS client is in Operator B and the TLS server is in Operator A is treated in a similar fashion. The flow is based on the TLS handshake protocol as described in RFC 8446 [49].</w:t>
      </w:r>
      <w:r>
        <w:rPr>
          <w:lang w:eastAsia="zh-CN"/>
        </w:rPr>
        <w:t xml:space="preserve"> </w:t>
      </w:r>
      <w:r>
        <w:rPr>
          <w:lang w:eastAsia="zh-CN"/>
        </w:rPr>
        <w:t>In case of any failure in following steps, TLSa or TLSb will treat this as an error and abort the procedure.</w:t>
      </w:r>
    </w:p>
    <w:p>
      <w:pPr>
        <w:pStyle w:val="B1"/>
        <w:rPr/>
      </w:pPr>
      <w:r>
        <w:rPr/>
        <w:t>-</w:t>
        <w:tab/>
        <w:t xml:space="preserve">During connection initiation, the TLSa sends a ClientHello message to TLSb. TLSb responds with a ServerHello message followed by a Certificate message, an optional CertificateRequest message, and other additional messages depending on the TLS version and options. The Certificate message will contain TLSb's certificate (or certificate chain)that was issued by Operator B's TLS server CA. The CertificateRequest message is sent if TLSb wants to authenticate TLSa using certificates in TLS, TLSa may otherwise be authenticated at a later stage using the application layer. </w:t>
      </w:r>
    </w:p>
    <w:p>
      <w:pPr>
        <w:pStyle w:val="B1"/>
        <w:rPr/>
      </w:pPr>
      <w:r>
        <w:rPr/>
        <w:t>-</w:t>
        <w:tab/>
        <w:t>TLSa receives the messages from TLSb</w:t>
      </w:r>
    </w:p>
    <w:p>
      <w:pPr>
        <w:pStyle w:val="B1"/>
        <w:rPr/>
      </w:pPr>
      <w:r>
        <w:rPr/>
        <w:t>-</w:t>
        <w:tab/>
        <w:t>TLSa verifies the received TLS messages using TLSb's public key</w:t>
      </w:r>
    </w:p>
    <w:p>
      <w:pPr>
        <w:pStyle w:val="B1"/>
        <w:rPr/>
      </w:pPr>
      <w:r>
        <w:rPr/>
        <w:t>-</w:t>
        <w:tab/>
        <w:t>TLSa checks the validity of TLSb's certificate by a CRL check to Operator B’s CRL databases. If a TLS peer cannot successfully perform the CRL check, it shall treat this as an error and abort the TLS handshake</w:t>
      </w:r>
    </w:p>
    <w:p>
      <w:pPr>
        <w:pStyle w:val="B1"/>
        <w:rPr/>
      </w:pPr>
      <w:r>
        <w:rPr/>
        <w:t>-</w:t>
        <w:tab/>
        <w:t>TLSa verifies TLSb's certificate using the cross-certificate for Operator B's TLS server CA by executing the following actions:</w:t>
      </w:r>
    </w:p>
    <w:p>
      <w:pPr>
        <w:pStyle w:val="B3"/>
        <w:rPr/>
      </w:pPr>
      <w:r>
        <w:rPr/>
        <w:t>-</w:t>
        <w:tab/>
        <w:t>TLSa fetches the cross-certificate for Operator B's TLS server CA from Operator A's Certificate Repository, from a local cache of the Certificate Repository on TLSa, or from a local certificate store on TLSa if a separate Certificate Repository is not used.</w:t>
      </w:r>
    </w:p>
    <w:p>
      <w:pPr>
        <w:pStyle w:val="B3"/>
        <w:rPr/>
      </w:pPr>
      <w:r>
        <w:rPr/>
        <w:t>-</w:t>
        <w:tab/>
        <w:t>TLSa checks the validity of the cross-certificate for Operator B's TLS server CA by a CRL check to Operator A's Interconnection CA CRL database. If a TLS peer cannot successfully perform the CRL check, it shall treat this as an error and abort the TLS handshake;</w:t>
      </w:r>
    </w:p>
    <w:p>
      <w:pPr>
        <w:pStyle w:val="B3"/>
        <w:rPr>
          <w:lang w:eastAsia="zh-CN"/>
        </w:rPr>
      </w:pPr>
      <w:r>
        <w:rPr/>
        <w:t>-</w:t>
        <w:tab/>
        <w:t>TLSa verifies the cross-certificate for Operator B's TLS server CA using Operator A's Interconnection CA's certificate if the Interconnection CA is not a top-level CA, otherwise the Interconnection CA's public key is implicitly trusted.</w:t>
      </w:r>
    </w:p>
    <w:p>
      <w:pPr>
        <w:pStyle w:val="B3"/>
        <w:rPr/>
      </w:pPr>
      <w:r>
        <w:rPr>
          <w:lang w:eastAsia="zh-CN"/>
        </w:rPr>
        <w:t>-     TLSa verifies TLSb</w:t>
      </w:r>
      <w:r>
        <w:rPr>
          <w:lang w:eastAsia="zh-CN"/>
        </w:rPr>
        <w:t>’</w:t>
      </w:r>
      <w:r>
        <w:rPr>
          <w:lang w:eastAsia="zh-CN"/>
        </w:rPr>
        <w:t>s certificate using the cross-certificate for Operator B</w:t>
      </w:r>
      <w:r>
        <w:rPr>
          <w:lang w:eastAsia="zh-CN"/>
        </w:rPr>
        <w:t>’</w:t>
      </w:r>
      <w:r>
        <w:rPr>
          <w:lang w:eastAsia="zh-CN"/>
        </w:rPr>
        <w:t>s TLS server CA.</w:t>
      </w:r>
    </w:p>
    <w:p>
      <w:pPr>
        <w:pStyle w:val="B1"/>
        <w:rPr/>
      </w:pPr>
      <w:r>
        <w:rPr/>
        <w:t>-</w:t>
        <w:tab/>
        <w:t xml:space="preserve">If TLSb requested a certificate using the CertificateRequest message, then TLSa responds with a Certificate message followed by a CertificateVerify message and a Finished message. The Certificate and CertificateVerify messages are only sent if the Server requests a certificate. If present, the Certificate message will contain TLSa's certificate (or certificate chain) that was issued by Operator A's TLS client CA. The CertificateVerify message is used to provide explicit verification of a client certificate. </w:t>
      </w:r>
    </w:p>
    <w:p>
      <w:pPr>
        <w:pStyle w:val="B1"/>
        <w:rPr/>
      </w:pPr>
      <w:r>
        <w:rPr/>
        <w:t>-</w:t>
        <w:tab/>
        <w:t>TLSb receives the messages from TLSa.</w:t>
      </w:r>
    </w:p>
    <w:p>
      <w:pPr>
        <w:pStyle w:val="B1"/>
        <w:rPr/>
      </w:pPr>
      <w:r>
        <w:rPr/>
        <w:t>-</w:t>
        <w:tab/>
        <w:t>If TLSb requested a certificate using the CertificateRequest message, then TLSb verifies the CertificateVerify message using TLSa’s public key.</w:t>
      </w:r>
    </w:p>
    <w:p>
      <w:pPr>
        <w:pStyle w:val="B1"/>
        <w:rPr/>
      </w:pPr>
      <w:r>
        <w:rPr/>
        <w:t>-</w:t>
        <w:tab/>
        <w:t>If TLSb requested a certificate using the CertificateRequest message, then TLSb checks the validity of TLSa's certificate by a CRL check to Operator A's CRL databases. If a TLS entity cannot successfully perform both CRL checks, it shall treat this as an error and abort the TLS handshake.</w:t>
      </w:r>
    </w:p>
    <w:p>
      <w:pPr>
        <w:pStyle w:val="B1"/>
        <w:rPr/>
      </w:pPr>
      <w:r>
        <w:rPr/>
        <w:t>-</w:t>
        <w:tab/>
        <w:t>If TLSb requested a certificate using the CertificateRequest message, then TLSb validates TLSa's certificate using the cross-certificate for Operator A's TLS client CA by executing the following actions:</w:t>
      </w:r>
    </w:p>
    <w:p>
      <w:pPr>
        <w:pStyle w:val="B3"/>
        <w:rPr/>
      </w:pPr>
      <w:r>
        <w:rPr/>
        <w:t>-</w:t>
        <w:tab/>
        <w:t>TLSb fetches the cross-certificate for Operator A's TLS client CA from Operator B's Certificate Repository, from a local cache of the Certificate Repository on TLSb, or from a local certificate store on TLSb if a separate Certificate Repository is not used.</w:t>
      </w:r>
    </w:p>
    <w:p>
      <w:pPr>
        <w:pStyle w:val="B3"/>
        <w:rPr/>
      </w:pPr>
      <w:r>
        <w:rPr/>
        <w:t>-</w:t>
        <w:tab/>
        <w:t>TLSb checks the validity of the cross-certificate for Operator A's TLS client CA by a CRL check to Operator B's Interconnection CA CRL database. If a TLS entity cannot successfully perform the CRL check, it shall treat this as an error and abort the TLS handshake</w:t>
      </w:r>
    </w:p>
    <w:p>
      <w:pPr>
        <w:pStyle w:val="B3"/>
        <w:rPr>
          <w:lang w:eastAsia="zh-CN"/>
        </w:rPr>
      </w:pPr>
      <w:r>
        <w:rPr/>
        <w:t>-</w:t>
        <w:tab/>
        <w:t>TLSb verifies the cross-certificate for Operator A's TLS client CA using Operator B's Interconnection CA's certificate if the Interconnection CA is not a top-level CA, otherwise the Interconnection CA's public key is implicitly trusted.</w:t>
      </w:r>
    </w:p>
    <w:p>
      <w:pPr>
        <w:pStyle w:val="B3"/>
        <w:rPr/>
      </w:pPr>
      <w:r>
        <w:rPr/>
        <w:t>-</w:t>
        <w:tab/>
        <w:t>TLSb verifies TLSa’s certificate using the cross-certificate for Operator A’s TLS client CA.</w:t>
      </w:r>
    </w:p>
    <w:p>
      <w:pPr>
        <w:pStyle w:val="B1"/>
        <w:rPr/>
      </w:pPr>
      <w:r>
        <w:rPr/>
      </w:r>
    </w:p>
    <w:p>
      <w:pPr>
        <w:pStyle w:val="Normal"/>
        <w:rPr/>
      </w:pPr>
      <w:r>
        <w:rPr/>
        <w:t>When both Finished messages has been sent, then the secure communications can take place over the TLS connection.</w:t>
      </w:r>
    </w:p>
    <w:p>
      <w:pPr>
        <w:pStyle w:val="Heading3"/>
        <w:tabs>
          <w:tab w:val="clear" w:pos="284"/>
          <w:tab w:val="left" w:pos="1140" w:leader="none"/>
        </w:tabs>
        <w:ind w:left="1140" w:hanging="1140"/>
        <w:rPr/>
      </w:pPr>
      <w:bookmarkStart w:id="49" w:name="__RefHeading___Toc145337341"/>
      <w:bookmarkEnd w:id="49"/>
      <w:r>
        <w:rPr/>
        <w:t>5.2.3</w:t>
        <w:tab/>
        <w:t>Operator deregistration: Termination of interconnect agreement</w:t>
      </w:r>
    </w:p>
    <w:p>
      <w:pPr>
        <w:pStyle w:val="Normal"/>
        <w:rPr/>
      </w:pPr>
      <w:r>
        <w:rPr/>
        <w:t xml:space="preserve">When an interconnect agreement is terminated or due to an urgent service termination need, all concerned SEG peers shall remove the IPsec SAs using device-specific management methods, while all concerned TLS entities shall terminate any ongoing TLS sessions with the peer network and not permit those sessions to be resumed (e.g. by prohibiting TLS session resumption). </w:t>
      </w:r>
    </w:p>
    <w:p>
      <w:pPr>
        <w:pStyle w:val="Normal"/>
        <w:rPr/>
      </w:pPr>
      <w:r>
        <w:rPr/>
        <w:t xml:space="preserve">Each concerned operator shall also list the cross-certificate created for the Interconnection CA, </w:t>
      </w:r>
      <w:r>
        <w:rPr>
          <w:lang w:eastAsia="zh-CN"/>
        </w:rPr>
        <w:t>SEG CA, TLS client CA and TLS server CA</w:t>
      </w:r>
      <w:r>
        <w:rPr/>
        <w:t xml:space="preserve"> of the terminated operator in his own local CRL.</w:t>
      </w:r>
    </w:p>
    <w:p>
      <w:pPr>
        <w:pStyle w:val="Heading3"/>
        <w:tabs>
          <w:tab w:val="clear" w:pos="284"/>
          <w:tab w:val="left" w:pos="1140" w:leader="none"/>
        </w:tabs>
        <w:ind w:left="1140" w:hanging="1140"/>
        <w:rPr/>
      </w:pPr>
      <w:bookmarkStart w:id="50" w:name="__RefHeading___Toc145337342"/>
      <w:bookmarkEnd w:id="50"/>
      <w:r>
        <w:rPr/>
        <w:t>5.2.3a</w:t>
        <w:tab/>
        <w:t>Interconnection CA registration</w:t>
      </w:r>
    </w:p>
    <w:p>
      <w:pPr>
        <w:pStyle w:val="Normal"/>
        <w:rPr/>
      </w:pPr>
      <w:r>
        <w:rPr/>
        <w:t>In principle only one Interconnection CA shall be used within the operator's network, but using more than one Interconnection CA is possible (in which case the public keys of all the operator’s interconnection CAs should be installed in the operator’s SEGs or TLS entities). The involved actions in Interconnection CA registration are those as described in the cross-certification part of clause 5.2.1: 'Operator Registration: creation of interconnect agreement'. Such a situation may exist if the Interconnection CA functions are to be moved from one responsible organisation to another (e.g. outsourcing of CA services).</w:t>
      </w:r>
    </w:p>
    <w:p>
      <w:pPr>
        <w:pStyle w:val="Heading3"/>
        <w:tabs>
          <w:tab w:val="clear" w:pos="284"/>
          <w:tab w:val="left" w:pos="1140" w:leader="none"/>
        </w:tabs>
        <w:ind w:left="1140" w:hanging="1140"/>
        <w:rPr/>
      </w:pPr>
      <w:bookmarkStart w:id="51" w:name="__RefHeading___Toc145337343"/>
      <w:bookmarkEnd w:id="51"/>
      <w:r>
        <w:rPr/>
        <w:t>5.2.3b</w:t>
        <w:tab/>
        <w:t>Interconnection CA deregistration</w:t>
      </w:r>
    </w:p>
    <w:p>
      <w:pPr>
        <w:pStyle w:val="Normal"/>
        <w:rPr/>
      </w:pPr>
      <w:r>
        <w:rPr/>
        <w:t>If an Interconnection CA is removed from the network, it shall be assured that all certificates that have been issued by that CA to SEG or TLS CAs, and have not expired yet, shall be listed in the CRLs.</w:t>
      </w:r>
    </w:p>
    <w:p>
      <w:pPr>
        <w:pStyle w:val="Heading3"/>
        <w:rPr/>
      </w:pPr>
      <w:bookmarkStart w:id="52" w:name="__RefHeading___Toc145337344"/>
      <w:bookmarkEnd w:id="52"/>
      <w:r>
        <w:rPr/>
        <w:t>5.2.3c</w:t>
        <w:tab/>
        <w:t>Interconnection CA certification creation</w:t>
      </w:r>
    </w:p>
    <w:p>
      <w:pPr>
        <w:pStyle w:val="Normal"/>
        <w:rPr/>
      </w:pPr>
      <w:r>
        <w:rPr/>
        <w:t>The Interconnection CA certificate may not be the top-level CA of the operator, which means that the Interconnection CA certificate is not self-signed. If the Interconnection CA certificate is self-signed then it needs to be securely transferred to each SEG or TLS entity and stored within secure memory otherwise it can be managed in the same way as a SEG or TLS entity certificate.</w:t>
      </w:r>
    </w:p>
    <w:p>
      <w:pPr>
        <w:pStyle w:val="Normal"/>
        <w:rPr/>
      </w:pPr>
      <w:r>
        <w:rPr/>
        <w:t>The Interconnection CA certificate shall have a 'longer' lifetime than SEG CA or TLS CA certificates in order to avoid the cross-certification actions that are needed each time an Interconnection CA certificate has to be renewed.</w:t>
      </w:r>
    </w:p>
    <w:p>
      <w:pPr>
        <w:pStyle w:val="NO"/>
        <w:rPr/>
      </w:pPr>
      <w:r>
        <w:rPr/>
        <w:t>NOTE:</w:t>
        <w:tab/>
        <w:t>There is no need to involve other operators when creating an Interconnection CA certificate.</w:t>
      </w:r>
    </w:p>
    <w:p>
      <w:pPr>
        <w:pStyle w:val="Heading3"/>
        <w:rPr/>
      </w:pPr>
      <w:bookmarkStart w:id="53" w:name="__RefHeading___Toc145337345"/>
      <w:bookmarkEnd w:id="53"/>
      <w:r>
        <w:rPr/>
        <w:t>5.2.3d</w:t>
        <w:tab/>
        <w:t>Interconnection CA certification revocation</w:t>
      </w:r>
    </w:p>
    <w:p>
      <w:pPr>
        <w:pStyle w:val="Normal"/>
        <w:rPr/>
      </w:pPr>
      <w:r>
        <w:rPr/>
        <w:t>If an Interconnection CA key pair gets compromised then a hacker could use the keys to issue himself SEG CA or TLS CA certificates which in turn could be used to issue SEG or TLS entity certificates. Since however the trusted Interconnection CA certificates are stored locally on the SEG or TLS entity device or in a dedicated repository (i.e. received Interconnection CA certificates within the IKE payload or TLS handshake shall not be accepted), the hacker also needs to compromise the SEG, TLS entity, or the local repository to be able to set up a secure connection.</w:t>
      </w:r>
    </w:p>
    <w:p>
      <w:pPr>
        <w:pStyle w:val="Normal"/>
        <w:rPr/>
      </w:pPr>
      <w:r>
        <w:rPr/>
        <w:t>Existing secure connections need not be torn down. The old cross-certificates - and any other certificates - issued by the Interconnection CA shall be taken out of service by listing them in the Interconnection CA’s CRL (provided the operator still has the key available to sign this CRL) and removing them from the dedicated repository. If the Interconnection CA certificate is self-signed then it shall be removed from each of the operator’s SEGs and TLS entities. If the Interconnection CA certificate is issued by a higher level CA of the operator, then it shall be revoked by this higher level CA.</w:t>
      </w:r>
    </w:p>
    <w:p>
      <w:pPr>
        <w:pStyle w:val="Normal"/>
        <w:rPr/>
      </w:pPr>
      <w:r>
        <w:rPr/>
        <w:t>The operator has to create a new Interconnection CA key pair, perform the actions as described within clause 5.2.3c for Interconnection CA certification creation, and perform the actions as described within clause 5.2.1 to generate new cross-certificates for all his interconnected networks SEG CAs or TLS CAs.</w:t>
      </w:r>
    </w:p>
    <w:p>
      <w:pPr>
        <w:pStyle w:val="NO"/>
        <w:rPr/>
      </w:pPr>
      <w:r>
        <w:rPr/>
        <w:t>NOTE:</w:t>
        <w:tab/>
        <w:t>There is no need to involve other operators when revoking an Interconnection CA certificate.</w:t>
      </w:r>
    </w:p>
    <w:p>
      <w:pPr>
        <w:pStyle w:val="Heading3"/>
        <w:rPr/>
      </w:pPr>
      <w:bookmarkStart w:id="54" w:name="__RefHeading___Toc145337346"/>
      <w:bookmarkEnd w:id="54"/>
      <w:r>
        <w:rPr/>
        <w:t>5.2.3e</w:t>
        <w:tab/>
        <w:t>Interconnection CA certification renewal</w:t>
      </w:r>
    </w:p>
    <w:p>
      <w:pPr>
        <w:pStyle w:val="Normal"/>
        <w:rPr/>
      </w:pPr>
      <w:r>
        <w:rPr/>
        <w:t>The Interconnection CA certificate has to be renewed before the old Interconnection CA certificate expires. The renewing of an Interconnection CA certificate involves repeating the actions as described in clause 5.2.3c. This should be done before the old certificate expires.</w:t>
      </w:r>
    </w:p>
    <w:p>
      <w:pPr>
        <w:pStyle w:val="NO"/>
        <w:rPr/>
      </w:pPr>
      <w:r>
        <w:rPr/>
        <w:t>NOTE:</w:t>
        <w:tab/>
        <w:t>There is no need to involve other operators when renewing an Interconnection CA certificate.</w:t>
      </w:r>
    </w:p>
    <w:p>
      <w:pPr>
        <w:pStyle w:val="Heading3"/>
        <w:tabs>
          <w:tab w:val="clear" w:pos="284"/>
          <w:tab w:val="left" w:pos="1140" w:leader="none"/>
        </w:tabs>
        <w:ind w:left="1140" w:hanging="1140"/>
        <w:rPr/>
      </w:pPr>
      <w:bookmarkStart w:id="55" w:name="__RefHeading___Toc145337347"/>
      <w:bookmarkEnd w:id="55"/>
      <w:r>
        <w:rPr/>
        <w:t>5.2.4</w:t>
        <w:tab/>
        <w:t>SEG/TLS CA registration</w:t>
      </w:r>
    </w:p>
    <w:p>
      <w:pPr>
        <w:pStyle w:val="Normal"/>
        <w:rPr/>
      </w:pPr>
      <w:r>
        <w:rPr/>
        <w:t>In principle only one SEG CA, one TLS client CA and one TLS server CA shall be used within the operator's network, but using more than one of each of these CAs is possible. The involved actions are those as described in the cross-certification part of clause 5.2.1: 'Operator Registration: creation of interconnect agreement'. Such a situation of having multiple CAs of each type may exist if the CA functions are to be moved from one responsible organisation to another (e.g. outsourcing of CA services).</w:t>
      </w:r>
    </w:p>
    <w:p>
      <w:pPr>
        <w:pStyle w:val="Heading3"/>
        <w:tabs>
          <w:tab w:val="clear" w:pos="284"/>
          <w:tab w:val="left" w:pos="1140" w:leader="none"/>
        </w:tabs>
        <w:ind w:left="1140" w:hanging="1140"/>
        <w:rPr/>
      </w:pPr>
      <w:bookmarkStart w:id="56" w:name="__RefHeading___Toc145337348"/>
      <w:bookmarkEnd w:id="56"/>
      <w:r>
        <w:rPr/>
        <w:t>5.2.5</w:t>
        <w:tab/>
        <w:t>SEG/TLS CA deregistration</w:t>
      </w:r>
    </w:p>
    <w:p>
      <w:pPr>
        <w:pStyle w:val="Normal"/>
        <w:rPr/>
      </w:pPr>
      <w:r>
        <w:rPr/>
        <w:t>If a SEG CA or TLS CA is removed from the network, it shall be assured that the SEG CA or TLS CA certificates and all certificates that have been issued by the SEG CA or TLS CA to SEGs or TLS entities, and have not expired yet, shall be listed in CRLs.</w:t>
      </w:r>
      <w:r>
        <w:rPr>
          <w:lang w:eastAsia="zh-CN"/>
        </w:rPr>
        <w:t xml:space="preserve"> The cross-certificates that are issued to these SEG CAs or TLS CAs, and have not expired yet, should also be listed in CRLs.</w:t>
      </w:r>
    </w:p>
    <w:p>
      <w:pPr>
        <w:pStyle w:val="Heading3"/>
        <w:tabs>
          <w:tab w:val="clear" w:pos="284"/>
          <w:tab w:val="left" w:pos="1140" w:leader="none"/>
        </w:tabs>
        <w:ind w:left="1140" w:hanging="1140"/>
        <w:rPr/>
      </w:pPr>
      <w:bookmarkStart w:id="57" w:name="__RefHeading___Toc145337349"/>
      <w:bookmarkEnd w:id="57"/>
      <w:r>
        <w:rPr/>
        <w:t>5.2.6</w:t>
        <w:tab/>
        <w:t>SEG/TLS CA certificate creation</w:t>
      </w:r>
    </w:p>
    <w:p>
      <w:pPr>
        <w:pStyle w:val="Normal"/>
        <w:rPr/>
      </w:pPr>
      <w:r>
        <w:rPr/>
        <w:t>The involved actions are those as described in the cross-certification part of clause 5.2.1: 'Operator Registration: creation of interconnect agreement'.</w:t>
      </w:r>
    </w:p>
    <w:p>
      <w:pPr>
        <w:pStyle w:val="Normal"/>
        <w:rPr/>
      </w:pPr>
      <w:r>
        <w:rPr/>
        <w:t>The SEG CA or TLS CA certificate does not have to be the top-level CA of the operator, which means that the SEG CA or TLS CA certificate is not self-signed. One option is to sign the operator's SEG CA and TLS CAs with the operator’s own Interconnection CA, as this will already be a trust point established in the operator's own SEGs and TLS entities. If the SEG CA or TLS CA certificates are self-signed then they should be securely transferred to each of the operator's SEGs and TLS entities and stored within secure memory (see NOTE to clause 7.5).</w:t>
      </w:r>
    </w:p>
    <w:p>
      <w:pPr>
        <w:pStyle w:val="Heading3"/>
        <w:tabs>
          <w:tab w:val="clear" w:pos="284"/>
          <w:tab w:val="left" w:pos="1140" w:leader="none"/>
        </w:tabs>
        <w:ind w:left="1140" w:hanging="1140"/>
        <w:rPr/>
      </w:pPr>
      <w:bookmarkStart w:id="58" w:name="__RefHeading___Toc145337350"/>
      <w:bookmarkEnd w:id="58"/>
      <w:r>
        <w:rPr/>
        <w:t>5.2.7</w:t>
        <w:tab/>
        <w:t>SEG/TLS CA certificate revocation</w:t>
      </w:r>
    </w:p>
    <w:p>
      <w:pPr>
        <w:pStyle w:val="Normal"/>
        <w:rPr/>
      </w:pPr>
      <w:r>
        <w:rPr/>
        <w:t>This compromise is a serious event as it will require all the cross-certificates issued by other operators' Interconnection CAs to that SEG CA or TLS CA to be revoked.</w:t>
      </w:r>
    </w:p>
    <w:p>
      <w:pPr>
        <w:pStyle w:val="Normal"/>
        <w:rPr/>
      </w:pPr>
      <w:r>
        <w:rPr/>
        <w:t>Existing secure connections need not be torn down, unless they were formed very recently i.e. after the time at which the operator suspects the CA key became compromised, but before the cross-certificate used to establish the tunnel was revoked.</w:t>
      </w:r>
    </w:p>
    <w:p>
      <w:pPr>
        <w:pStyle w:val="Normal"/>
        <w:rPr/>
      </w:pPr>
      <w:r>
        <w:rPr/>
        <w:t>It shall be assured that the SEG CA or TLS CA certificates and all certificates that have been issued by the SEG CA or TLS CA to SEGs or TLS entities, and have not expired yet, shall be listed in CRLs.</w:t>
      </w:r>
      <w:r>
        <w:rPr>
          <w:lang w:eastAsia="zh-CN"/>
        </w:rPr>
        <w:t xml:space="preserve"> The cross-certificates that are issued to these SEG CAs or TLS CAs, and have not expired yet, should also be listed in CRLs.</w:t>
      </w:r>
    </w:p>
    <w:p>
      <w:pPr>
        <w:pStyle w:val="Normal"/>
        <w:rPr/>
      </w:pPr>
      <w:r>
        <w:rPr/>
        <w:t>To restore inter-domain interoperability, the operator has to create a new SEG CA or TLS CA key pair and use it to issue certificates to all the SEGs and TLS entities in the operator’s own domain. The operator shall then provide a cross-certification request (see clause 5.2.1) for the new SEG CA or TLS CA key pair to the operators with whom it has interconnect agreements.</w:t>
      </w:r>
    </w:p>
    <w:p>
      <w:pPr>
        <w:pStyle w:val="Normal"/>
        <w:rPr/>
      </w:pPr>
      <w:r>
        <w:rPr/>
        <w:t>It is recommended that operators carefully protect their SEG CA and TLS CA keys to limit this knock-on effect across the operator community.</w:t>
      </w:r>
    </w:p>
    <w:p>
      <w:pPr>
        <w:pStyle w:val="Heading3"/>
        <w:tabs>
          <w:tab w:val="clear" w:pos="284"/>
          <w:tab w:val="left" w:pos="1140" w:leader="none"/>
        </w:tabs>
        <w:ind w:left="1140" w:hanging="1140"/>
        <w:rPr/>
      </w:pPr>
      <w:bookmarkStart w:id="59" w:name="__RefHeading___Toc145337351"/>
      <w:bookmarkEnd w:id="59"/>
      <w:r>
        <w:rPr/>
        <w:t>5.2.8</w:t>
        <w:tab/>
        <w:t>SEG/TLS CA certificate renewal</w:t>
      </w:r>
    </w:p>
    <w:p>
      <w:pPr>
        <w:pStyle w:val="Normal"/>
        <w:rPr/>
      </w:pPr>
      <w:r>
        <w:rPr/>
        <w:t>The SEG CA and TLS CA certificate has to be renewed before the old SEG CA and TLS CA certificate expires. The renewing of a SEG CA or TLS CA certificate involves repeating the actions as described in the cross-certification part of clause 5.2.1: 'Operator Registration: creation of interconnect agreement'. This should be done before the old certificate expires.</w:t>
      </w:r>
    </w:p>
    <w:p>
      <w:pPr>
        <w:pStyle w:val="Heading3"/>
        <w:tabs>
          <w:tab w:val="clear" w:pos="284"/>
          <w:tab w:val="left" w:pos="1140" w:leader="none"/>
        </w:tabs>
        <w:ind w:left="1140" w:hanging="1140"/>
        <w:rPr/>
      </w:pPr>
      <w:bookmarkStart w:id="60" w:name="__RefHeading___Toc145337352"/>
      <w:bookmarkEnd w:id="60"/>
      <w:r>
        <w:rPr/>
        <w:t>5.2.9</w:t>
        <w:tab/>
        <w:t>End entity registration</w:t>
      </w:r>
    </w:p>
    <w:p>
      <w:pPr>
        <w:pStyle w:val="Heading4"/>
        <w:ind w:left="1418" w:hanging="1418"/>
        <w:rPr/>
      </w:pPr>
      <w:bookmarkStart w:id="61" w:name="__RefHeading___Toc145337353"/>
      <w:bookmarkEnd w:id="61"/>
      <w:r>
        <w:rPr/>
        <w:t>5.2.9.1</w:t>
        <w:tab/>
        <w:t>SEG registration</w:t>
      </w:r>
    </w:p>
    <w:p>
      <w:pPr>
        <w:pStyle w:val="Normal"/>
        <w:rPr/>
      </w:pPr>
      <w:r>
        <w:rPr/>
        <w:t>If not already done, a SEG certificate has to be created (see clause 5.2.11 for a description on certificate creation).</w:t>
      </w:r>
    </w:p>
    <w:p>
      <w:pPr>
        <w:pStyle w:val="Normal"/>
        <w:rPr/>
      </w:pPr>
      <w:r>
        <w:rPr/>
        <w:t xml:space="preserve">If a SEG is added to the network, the policy database of this SEG has to be configured using device-specific management methods. </w:t>
      </w:r>
    </w:p>
    <w:p>
      <w:pPr>
        <w:pStyle w:val="Normal"/>
        <w:rPr/>
      </w:pPr>
      <w:r>
        <w:rPr/>
        <w:t>Other operators have to be informed of the new SEG: The SEG policy databases of SEGs in other networks may have to be adapted.</w:t>
      </w:r>
    </w:p>
    <w:p>
      <w:pPr>
        <w:pStyle w:val="Heading4"/>
        <w:ind w:left="1418" w:hanging="1418"/>
        <w:rPr/>
      </w:pPr>
      <w:bookmarkStart w:id="62" w:name="__RefHeading___Toc145337354"/>
      <w:bookmarkEnd w:id="62"/>
      <w:r>
        <w:rPr/>
        <w:t>5.2.9.2</w:t>
        <w:tab/>
        <w:t>TLS client registration</w:t>
      </w:r>
    </w:p>
    <w:p>
      <w:pPr>
        <w:pStyle w:val="Normal"/>
        <w:rPr/>
      </w:pPr>
      <w:r>
        <w:rPr/>
        <w:t xml:space="preserve">If not already done, a TLS client certificate has to be created (see clause 5.2.11 for a description on certificate creation). </w:t>
      </w:r>
    </w:p>
    <w:p>
      <w:pPr>
        <w:pStyle w:val="Normal"/>
        <w:rPr/>
      </w:pPr>
      <w:r>
        <w:rPr/>
        <w:t>If a TLS client is added to the network, then some local configuration may be needed to take the new TLS client into use for secure inter-operator communication. In addition, other operators may need to be informed of the new TLS client.</w:t>
      </w:r>
    </w:p>
    <w:p>
      <w:pPr>
        <w:pStyle w:val="Heading4"/>
        <w:ind w:left="1418" w:hanging="1418"/>
        <w:rPr/>
      </w:pPr>
      <w:bookmarkStart w:id="63" w:name="__RefHeading___Toc145337355"/>
      <w:bookmarkEnd w:id="63"/>
      <w:r>
        <w:rPr/>
        <w:t>5.2.9.3</w:t>
        <w:tab/>
        <w:t>TLS server registration</w:t>
      </w:r>
    </w:p>
    <w:p>
      <w:pPr>
        <w:pStyle w:val="Normal"/>
        <w:rPr/>
      </w:pPr>
      <w:r>
        <w:rPr/>
        <w:t xml:space="preserve">If not already done, a TLS server certificate has to be created (see clause 5.2.11 for a description on certificate creation). </w:t>
      </w:r>
    </w:p>
    <w:p>
      <w:pPr>
        <w:pStyle w:val="Normal"/>
        <w:rPr/>
      </w:pPr>
      <w:r>
        <w:rPr/>
        <w:t>If a TLS server is added to the network, then some local configuration may be needed to take the new TLS server into use for secure inter-operator communication. In addition, other operators may need to be informed of the new TLS server.</w:t>
      </w:r>
    </w:p>
    <w:p>
      <w:pPr>
        <w:pStyle w:val="Heading4"/>
        <w:ind w:left="1418" w:hanging="1418"/>
        <w:rPr/>
      </w:pPr>
      <w:bookmarkStart w:id="64" w:name="__RefHeading___Toc145337356"/>
      <w:bookmarkEnd w:id="64"/>
      <w:r>
        <w:rPr/>
        <w:t>5.2.9.4</w:t>
        <w:tab/>
        <w:t>NE registration</w:t>
      </w:r>
    </w:p>
    <w:p>
      <w:pPr>
        <w:pStyle w:val="Normal"/>
        <w:rPr/>
      </w:pPr>
      <w:r>
        <w:rPr/>
        <w:t>If not already done, an NE certificate has to be created (see clause 5.2.11 for a description on certificate creation).</w:t>
      </w:r>
    </w:p>
    <w:p>
      <w:pPr>
        <w:pStyle w:val="Normal"/>
        <w:rPr/>
      </w:pPr>
      <w:r>
        <w:rPr/>
        <w:t>If an NE is added to the network, the policy database of this NE has to be configured using device-specific management methods.</w:t>
      </w:r>
    </w:p>
    <w:p>
      <w:pPr>
        <w:pStyle w:val="Heading3"/>
        <w:tabs>
          <w:tab w:val="clear" w:pos="284"/>
          <w:tab w:val="left" w:pos="1140" w:leader="none"/>
        </w:tabs>
        <w:ind w:left="1140" w:hanging="1140"/>
        <w:rPr/>
      </w:pPr>
      <w:bookmarkStart w:id="65" w:name="__RefHeading___Toc145337357"/>
      <w:bookmarkEnd w:id="65"/>
      <w:r>
        <w:rPr/>
        <w:t>5.2.10</w:t>
        <w:tab/>
        <w:t>End entity deregistration</w:t>
      </w:r>
    </w:p>
    <w:p>
      <w:pPr>
        <w:pStyle w:val="Heading4"/>
        <w:ind w:left="1418" w:hanging="1418"/>
        <w:rPr/>
      </w:pPr>
      <w:bookmarkStart w:id="66" w:name="__RefHeading___Toc145337358"/>
      <w:bookmarkEnd w:id="66"/>
      <w:r>
        <w:rPr/>
        <w:t>5.2.10.1</w:t>
        <w:tab/>
        <w:t>SEG deregistration</w:t>
      </w:r>
    </w:p>
    <w:p>
      <w:pPr>
        <w:pStyle w:val="Normal"/>
        <w:rPr/>
      </w:pPr>
      <w:r>
        <w:rPr/>
        <w:t>If a SEG is removed from the network, the SAs shall be removed using device-specific management methods. The operator of the SEG shall have the certificate of the SEG listed in his CRL. The SPD of the partner network may have to be adapted.</w:t>
      </w:r>
    </w:p>
    <w:p>
      <w:pPr>
        <w:pStyle w:val="Heading4"/>
        <w:ind w:left="1418" w:hanging="1418"/>
        <w:rPr/>
      </w:pPr>
      <w:bookmarkStart w:id="67" w:name="__RefHeading___Toc145337359"/>
      <w:bookmarkEnd w:id="67"/>
      <w:r>
        <w:rPr/>
        <w:t>5.2.10.2</w:t>
        <w:tab/>
        <w:t>TLS client deregistration</w:t>
      </w:r>
    </w:p>
    <w:p>
      <w:pPr>
        <w:pStyle w:val="Normal"/>
        <w:rPr/>
      </w:pPr>
      <w:r>
        <w:rPr/>
        <w:t xml:space="preserve">If a TLS client is removed from the network, the TLS connections shall be terminated using device-specific management methods. The operator of the TLS client shall have the certificate of the TLS client listed in his CRL. </w:t>
      </w:r>
    </w:p>
    <w:p>
      <w:pPr>
        <w:pStyle w:val="Heading4"/>
        <w:ind w:left="1418" w:hanging="1418"/>
        <w:rPr/>
      </w:pPr>
      <w:bookmarkStart w:id="68" w:name="__RefHeading___Toc145337360"/>
      <w:bookmarkEnd w:id="68"/>
      <w:r>
        <w:rPr/>
        <w:t>5.2.10.3</w:t>
        <w:tab/>
        <w:t>TLS server deregistration</w:t>
      </w:r>
    </w:p>
    <w:p>
      <w:pPr>
        <w:pStyle w:val="Normal"/>
        <w:rPr/>
      </w:pPr>
      <w:r>
        <w:rPr/>
        <w:t xml:space="preserve">If a TLS server is removed from the network, the TLS connections shall be terminated using device-specific management methods. The operator of the TLS server shall have the certificate of the TLS server listed in his CRL. </w:t>
      </w:r>
    </w:p>
    <w:p>
      <w:pPr>
        <w:pStyle w:val="Heading4"/>
        <w:ind w:left="1418" w:hanging="1418"/>
        <w:rPr/>
      </w:pPr>
      <w:bookmarkStart w:id="69" w:name="__RefHeading___Toc145337361"/>
      <w:bookmarkEnd w:id="69"/>
      <w:r>
        <w:rPr/>
        <w:t>5.2.10.4</w:t>
        <w:tab/>
        <w:t>NE deregistration</w:t>
      </w:r>
    </w:p>
    <w:p>
      <w:pPr>
        <w:pStyle w:val="Normal"/>
        <w:rPr/>
      </w:pPr>
      <w:r>
        <w:rPr/>
        <w:t xml:space="preserve">If a NE is removed from the network, the SAs shall be removed using device-specific management methods. The operator of the NE shall have the certificate of the NE listed in his CRL. </w:t>
      </w:r>
    </w:p>
    <w:p>
      <w:pPr>
        <w:pStyle w:val="Heading3"/>
        <w:tabs>
          <w:tab w:val="clear" w:pos="284"/>
          <w:tab w:val="left" w:pos="1140" w:leader="none"/>
        </w:tabs>
        <w:ind w:left="1140" w:hanging="1140"/>
        <w:rPr/>
      </w:pPr>
      <w:bookmarkStart w:id="70" w:name="__RefHeading___Toc145337362"/>
      <w:bookmarkEnd w:id="70"/>
      <w:r>
        <w:rPr/>
        <w:t>5.2.11</w:t>
        <w:tab/>
        <w:t>End entity certificate creation</w:t>
      </w:r>
    </w:p>
    <w:p>
      <w:pPr>
        <w:pStyle w:val="Normal"/>
        <w:rPr/>
      </w:pPr>
      <w:r>
        <w:rPr/>
        <w:t>Using device-specific management methods, the certificate creation shall be initiated. As specified in section 7.2, either the CMPv2 protocol for automatic certificate enrolment or manual certificate installation using PKCS#10 formats can be used. This is an operator decision depending for example on the number of NEs or SEGs and TLS entities.</w:t>
      </w:r>
    </w:p>
    <w:p>
      <w:pPr>
        <w:pStyle w:val="Heading3"/>
        <w:tabs>
          <w:tab w:val="clear" w:pos="284"/>
          <w:tab w:val="left" w:pos="1140" w:leader="none"/>
        </w:tabs>
        <w:ind w:left="1140" w:hanging="1140"/>
        <w:rPr/>
      </w:pPr>
      <w:bookmarkStart w:id="71" w:name="__RefHeading___Toc145337363"/>
      <w:bookmarkEnd w:id="71"/>
      <w:r>
        <w:rPr/>
        <w:t>5.2.12</w:t>
        <w:tab/>
        <w:t>End entity certificate revocation</w:t>
      </w:r>
    </w:p>
    <w:p>
      <w:pPr>
        <w:pStyle w:val="Normal"/>
        <w:rPr/>
      </w:pPr>
      <w:r>
        <w:rPr/>
        <w:t>If a SEG or TLS entity key pair gets compromised then the existing SAs shall be removed using device-specific management methods. The operator of the SEG or TLS entity shall include the revoked certificate in his CRL.</w:t>
      </w:r>
    </w:p>
    <w:p>
      <w:pPr>
        <w:pStyle w:val="Heading3"/>
        <w:tabs>
          <w:tab w:val="clear" w:pos="284"/>
          <w:tab w:val="left" w:pos="1140" w:leader="none"/>
        </w:tabs>
        <w:ind w:left="1140" w:hanging="1140"/>
        <w:rPr/>
      </w:pPr>
      <w:bookmarkStart w:id="72" w:name="__RefHeading___Toc145337364"/>
      <w:bookmarkEnd w:id="72"/>
      <w:r>
        <w:rPr/>
        <w:t>5.2.13</w:t>
        <w:tab/>
        <w:t>End entity certificate renewal</w:t>
      </w:r>
    </w:p>
    <w:p>
      <w:pPr>
        <w:pStyle w:val="Normal"/>
        <w:rPr/>
      </w:pPr>
      <w:r>
        <w:rPr/>
        <w:t>A new NE, SEG or TLS entity certificate needs to be in place before the old certificate expires. The procedure is similar to the certificate creation and can be either fully automated by using CMPv2 as specified in section 7.2 or done manually using PKCS#10 formats. This is an operator decision depending for example on the number of NEs, SEGs and TLS entities.</w:t>
      </w:r>
    </w:p>
    <w:p>
      <w:pPr>
        <w:pStyle w:val="Heading3"/>
        <w:tabs>
          <w:tab w:val="clear" w:pos="284"/>
          <w:tab w:val="left" w:pos="1140" w:leader="none"/>
        </w:tabs>
        <w:ind w:left="1140" w:hanging="1140"/>
        <w:rPr/>
      </w:pPr>
      <w:bookmarkStart w:id="73" w:name="__RefHeading___Toc145337365"/>
      <w:bookmarkEnd w:id="73"/>
      <w:r>
        <w:rPr/>
        <w:t>5.2.14</w:t>
        <w:tab/>
        <w:t>NE CA deregistration</w:t>
      </w:r>
    </w:p>
    <w:p>
      <w:pPr>
        <w:pStyle w:val="Normal"/>
        <w:rPr/>
      </w:pPr>
      <w:r>
        <w:rPr/>
        <w:t>If an NE CA is removed from the network, it shall be assured that the NE CA certificate and all certificates that have been issued by the NE CA to the NEs, and have not expired yet, shall be listed in CRLs.</w:t>
      </w:r>
    </w:p>
    <w:p>
      <w:pPr>
        <w:pStyle w:val="Heading3"/>
        <w:rPr/>
      </w:pPr>
      <w:bookmarkStart w:id="74" w:name="__RefHeading___Toc145337366"/>
      <w:bookmarkEnd w:id="74"/>
      <w:r>
        <w:rPr/>
        <w:t>5.2.15</w:t>
        <w:tab/>
        <w:t>NE CA certification creation</w:t>
      </w:r>
    </w:p>
    <w:p>
      <w:pPr>
        <w:pStyle w:val="Normal"/>
        <w:rPr/>
      </w:pPr>
      <w:r>
        <w:rPr/>
        <w:t>The NE CA certificate does not have to be the top-level CA of the operator, which means that the NE CA certificate is not self-signed. If the NE CA certificates are self-signed then they should be securely transferred to each of the operator's NEs and stored within secure memory (see NOTE to clause 7.5).</w:t>
      </w:r>
    </w:p>
    <w:p>
      <w:pPr>
        <w:pStyle w:val="NO"/>
        <w:rPr/>
      </w:pPr>
      <w:r>
        <w:rPr/>
        <w:t>NOTE:</w:t>
        <w:tab/>
        <w:t>There is no need to involve other operators when creating an NE CA certificate.</w:t>
      </w:r>
    </w:p>
    <w:p>
      <w:pPr>
        <w:pStyle w:val="Heading3"/>
        <w:tabs>
          <w:tab w:val="clear" w:pos="284"/>
          <w:tab w:val="left" w:pos="1140" w:leader="none"/>
        </w:tabs>
        <w:ind w:left="1140" w:hanging="1140"/>
        <w:rPr/>
      </w:pPr>
      <w:bookmarkStart w:id="75" w:name="__RefHeading___Toc145337367"/>
      <w:bookmarkEnd w:id="75"/>
      <w:r>
        <w:rPr/>
        <w:t>5.2.16</w:t>
        <w:tab/>
        <w:t>NE CA certificate revocation</w:t>
      </w:r>
    </w:p>
    <w:p>
      <w:pPr>
        <w:pStyle w:val="Normal"/>
        <w:rPr/>
      </w:pPr>
      <w:r>
        <w:rPr/>
        <w:t xml:space="preserve">This serious event will require that all NE certificates needs to be revoked. </w:t>
      </w:r>
    </w:p>
    <w:p>
      <w:pPr>
        <w:pStyle w:val="Normal"/>
        <w:rPr/>
      </w:pPr>
      <w:r>
        <w:rPr/>
        <w:t>Existing intra-security domain security connections need not be torn down, unless they were formed very recently i.e. after the time at which the operator suspects the NE CA key became compromised but before the certificate has been listed as revoked.</w:t>
      </w:r>
    </w:p>
    <w:p>
      <w:pPr>
        <w:pStyle w:val="Normal"/>
        <w:rPr/>
      </w:pPr>
      <w:r>
        <w:rPr/>
        <w:t>It shall be assured that the NE CA certificate and all certificates that have been issued by the NE CA to NEs, and have not expired yet, shall be listed in CRLs.</w:t>
      </w:r>
    </w:p>
    <w:p>
      <w:pPr>
        <w:pStyle w:val="Normal"/>
        <w:rPr/>
      </w:pPr>
      <w:r>
        <w:rPr/>
        <w:t>To restore intra-domain security, the operator has to create a new NE CA key pair and use it to issue certificates to all the NEs in the operator’s own domain.</w:t>
      </w:r>
    </w:p>
    <w:p>
      <w:pPr>
        <w:pStyle w:val="NO"/>
        <w:rPr/>
      </w:pPr>
      <w:r>
        <w:rPr/>
        <w:t>NOTE:</w:t>
        <w:tab/>
        <w:t>There is no need to involve other operators when revoking an NE CA certificate.</w:t>
      </w:r>
    </w:p>
    <w:p>
      <w:pPr>
        <w:pStyle w:val="Heading3"/>
        <w:tabs>
          <w:tab w:val="clear" w:pos="284"/>
          <w:tab w:val="left" w:pos="1140" w:leader="none"/>
        </w:tabs>
        <w:ind w:left="1140" w:hanging="1140"/>
        <w:rPr/>
      </w:pPr>
      <w:bookmarkStart w:id="76" w:name="__RefHeading___Toc145337368"/>
      <w:bookmarkEnd w:id="76"/>
      <w:r>
        <w:rPr/>
        <w:t>5.2.17</w:t>
        <w:tab/>
        <w:t>NE CA certificate renewal</w:t>
      </w:r>
    </w:p>
    <w:p>
      <w:pPr>
        <w:pStyle w:val="Normal"/>
        <w:rPr/>
      </w:pPr>
      <w:r>
        <w:rPr/>
        <w:t xml:space="preserve">The NE CA certificate has to be renewed before the old NE CA certificate expires. </w:t>
      </w:r>
    </w:p>
    <w:p>
      <w:pPr>
        <w:pStyle w:val="NO"/>
        <w:rPr/>
      </w:pPr>
      <w:r>
        <w:rPr/>
        <w:t>NOTE:</w:t>
        <w:tab/>
        <w:t>There is no need to involve other operators when renewing an NE CA certificate.</w:t>
      </w:r>
    </w:p>
    <w:p>
      <w:pPr>
        <w:pStyle w:val="Heading1"/>
        <w:ind w:left="1134" w:hanging="1134"/>
        <w:rPr/>
      </w:pPr>
      <w:bookmarkStart w:id="77" w:name="__RefHeading___Toc145337369"/>
      <w:bookmarkEnd w:id="77"/>
      <w:r>
        <w:rPr/>
        <w:t>6</w:t>
        <w:tab/>
        <w:t>Profiling</w:t>
      </w:r>
    </w:p>
    <w:p>
      <w:pPr>
        <w:pStyle w:val="Heading2"/>
        <w:tabs>
          <w:tab w:val="clear" w:pos="284"/>
          <w:tab w:val="left" w:pos="1140" w:leader="none"/>
        </w:tabs>
        <w:ind w:left="1140" w:hanging="1140"/>
        <w:rPr/>
      </w:pPr>
      <w:bookmarkStart w:id="78" w:name="__RefHeading___Toc145337370"/>
      <w:bookmarkEnd w:id="78"/>
      <w:r>
        <w:rPr/>
        <w:t>6.1</w:t>
        <w:tab/>
        <w:t>Certificate profiles</w:t>
      </w:r>
    </w:p>
    <w:p>
      <w:pPr>
        <w:pStyle w:val="NO"/>
        <w:rPr/>
      </w:pPr>
      <w:r>
        <w:rPr/>
        <w:t>NOTE:</w:t>
        <w:tab/>
        <w:t>The present clause contains the general 3GPP certificate profile. Other 3GPP specifications (e.g. TS 33.203 [9], TS 33.220 [10], etc.) point to the present clause. Thus parts of the present clause may also apply to devices and network nodes as specified in other specifications. New specifications using certificates should refer to this profile with as few exceptions as possible.</w:t>
      </w:r>
    </w:p>
    <w:p>
      <w:pPr>
        <w:pStyle w:val="Normal"/>
        <w:rPr/>
      </w:pPr>
      <w:r>
        <w:rPr/>
        <w:t>The present clause profiles the certificates to be used for NDS/AF. An NDS/AF component shall not expect any specific behaviour from other entities, based on certificate fields not specified in this section.</w:t>
      </w:r>
    </w:p>
    <w:p>
      <w:pPr>
        <w:pStyle w:val="Normal"/>
        <w:rPr/>
      </w:pPr>
      <w:r>
        <w:rPr/>
        <w:t xml:space="preserve">Certificate profiling requirements as contained in this specification have to be applied in addition to those contained within RFC5280 [14]. In case of conflicting requirements, the requirements in this specification override and obsolete the requirements in RFC5280 [14]. This applies for the SEG, NE, the TLS entity, the SEG CA and the Interconnection CA. </w:t>
      </w:r>
    </w:p>
    <w:p>
      <w:pPr>
        <w:pStyle w:val="Normal"/>
        <w:rPr/>
      </w:pPr>
      <w:r>
        <w:rPr>
          <w:rFonts w:eastAsia="MS Mincho;MS Mincho"/>
        </w:rPr>
        <w:t>A receiving SEG or TLS entity shall be able to process an extension marked as critical in the present document.</w:t>
      </w:r>
    </w:p>
    <w:p>
      <w:pPr>
        <w:pStyle w:val="Normal"/>
        <w:rPr>
          <w:rFonts w:eastAsia="MS Mincho;MS Mincho"/>
        </w:rPr>
      </w:pPr>
      <w:r>
        <w:rPr>
          <w:rFonts w:eastAsia="MS Mincho;MS Mincho"/>
        </w:rPr>
      </w:r>
    </w:p>
    <w:p>
      <w:pPr>
        <w:pStyle w:val="Normal"/>
        <w:rPr/>
      </w:pPr>
      <w:r>
        <w:rPr/>
        <w:t>Before fulfilling any certificate signing request, the NE CA, SEG CA and Interconnection CA shall make sure that the request suits the profiles defined in this section. Furthermore, the CAs shall check the Subject's DirectoryString order for consistency, and that the Subject's DirectoryString belongs to its own administrative domain.</w:t>
      </w:r>
    </w:p>
    <w:p>
      <w:pPr>
        <w:pStyle w:val="Normal"/>
        <w:rPr/>
      </w:pPr>
      <w:r>
        <w:rPr/>
        <w:t>NEs, SEGs and TLS entities shall check compliance of certificates with the NDS/AF profiles and shall only accept compliant certificates.</w:t>
      </w:r>
    </w:p>
    <w:p>
      <w:pPr>
        <w:pStyle w:val="Heading3"/>
        <w:rPr/>
      </w:pPr>
      <w:bookmarkStart w:id="79" w:name="__RefHeading___Toc145337371"/>
      <w:bookmarkEnd w:id="79"/>
      <w:r>
        <w:rPr/>
        <w:t>6.1.1</w:t>
        <w:tab/>
        <w:t>Common rules to all certificates</w:t>
      </w:r>
    </w:p>
    <w:p>
      <w:pPr>
        <w:pStyle w:val="B1"/>
        <w:rPr/>
      </w:pPr>
      <w:r>
        <w:rPr/>
        <w:t>-</w:t>
        <w:tab/>
        <w:t>Version 3 certificate according to RFC5280 [14].</w:t>
      </w:r>
    </w:p>
    <w:p>
      <w:pPr>
        <w:pStyle w:val="B1"/>
        <w:rPr/>
      </w:pPr>
      <w:r>
        <w:rPr/>
        <w:t>-</w:t>
        <w:tab/>
        <w:t xml:space="preserve">Hash algorithm for use before signing certificate: SHA-256 shall be supported, SHA-384 should be supported, MD5, MD2, and SHA-1 shall not be supported. </w:t>
      </w:r>
    </w:p>
    <w:p>
      <w:pPr>
        <w:pStyle w:val="NO"/>
        <w:rPr/>
      </w:pPr>
      <w:r>
        <w:rPr/>
        <w:t>NOTE 1:</w:t>
        <w:tab/>
        <w:t>Void.</w:t>
      </w:r>
    </w:p>
    <w:p>
      <w:pPr>
        <w:pStyle w:val="B1"/>
        <w:rPr/>
      </w:pPr>
      <w:r>
        <w:rPr/>
        <w:t>-</w:t>
        <w:tab/>
        <w:t xml:space="preserve">Signature algorithm: RSAEncryption and ecdsa </w:t>
      </w:r>
      <w:r>
        <w:rPr>
          <w:lang w:val="en-US"/>
        </w:rPr>
        <w:t>shall be supported</w:t>
      </w:r>
      <w:r>
        <w:rPr/>
        <w:t>. RSAEncryption is not recommended as it uses PKCS#1v1.5 padding.</w:t>
      </w:r>
    </w:p>
    <w:p>
      <w:pPr>
        <w:pStyle w:val="B1"/>
        <w:rPr/>
      </w:pPr>
      <w:r>
        <w:rPr/>
        <w:t>-</w:t>
        <w:tab/>
        <w:t>Public key algorithm: rsaEncryption and id-ecPublicKey s</w:t>
      </w:r>
      <w:r>
        <w:rPr>
          <w:lang w:val="en-US"/>
        </w:rPr>
        <w:t>hall be supported</w:t>
      </w:r>
      <w:r>
        <w:rPr/>
        <w:t>.</w:t>
      </w:r>
    </w:p>
    <w:p>
      <w:pPr>
        <w:pStyle w:val="B1"/>
        <w:overflowPunct w:val="true"/>
        <w:autoSpaceDE w:val="true"/>
        <w:ind w:left="0" w:hanging="0"/>
        <w:textAlignment w:val="auto"/>
        <w:rPr/>
      </w:pPr>
      <w:r>
        <w:rPr/>
        <w:tab/>
        <w:t>-</w:t>
        <w:tab/>
        <w:t xml:space="preserve">Parameters: For ecdsa and id-ecPublicKey, secp256r1 shall be supported. </w:t>
      </w:r>
      <w:r>
        <w:rPr>
          <w:lang w:val="en-US"/>
        </w:rPr>
        <w:t>secp384r1 should be supported.</w:t>
      </w:r>
    </w:p>
    <w:p>
      <w:pPr>
        <w:pStyle w:val="B1"/>
        <w:rPr/>
      </w:pPr>
      <w:r>
        <w:rPr/>
        <w:t>-</w:t>
        <w:tab/>
        <w:t xml:space="preserve">ECDSA is </w:t>
      </w:r>
      <w:r>
        <w:rPr>
          <w:lang w:val="en-US"/>
        </w:rPr>
        <w:t>recommended for newly created certificates.</w:t>
      </w:r>
    </w:p>
    <w:p>
      <w:pPr>
        <w:pStyle w:val="B1"/>
        <w:rPr>
          <w:lang w:val="en-US"/>
        </w:rPr>
      </w:pPr>
      <w:r>
        <w:rPr/>
        <w:t>-</w:t>
        <w:tab/>
        <w:t>For RSA certificates: The public key length shall be at least 2048-bit. A public key length of at least 4096-bit shall be supported. Public key lengths of less than 2048-bit shall not be supported. PKCS#1v1.5 padding and key lengths less than 3072-bits should not be used in certificates that expire after 2030. RSA public exponent shall be no less than 65537</w:t>
      </w:r>
      <w:r>
        <w:rPr>
          <w:lang w:val="en-US" w:eastAsia="zh-CN"/>
        </w:rPr>
        <w:t>.</w:t>
      </w:r>
    </w:p>
    <w:p>
      <w:pPr>
        <w:pStyle w:val="B1"/>
        <w:rPr/>
      </w:pPr>
      <w:r>
        <w:rPr/>
        <w:t>-</w:t>
        <w:tab/>
        <w:t>For ECDSA certificates: Except curve25519, ed25519, and W-25519, elliptic curve groups of less than 256 bits shall not be supported. A public key length of at least 384-bit shall be supported.</w:t>
      </w:r>
    </w:p>
    <w:p>
      <w:pPr>
        <w:pStyle w:val="NO"/>
        <w:rPr/>
      </w:pPr>
      <w:r>
        <w:rPr/>
        <w:t>NOTE 2:</w:t>
        <w:tab/>
        <w:t>Void.</w:t>
      </w:r>
    </w:p>
    <w:p>
      <w:pPr>
        <w:pStyle w:val="NO"/>
        <w:rPr/>
      </w:pPr>
      <w:r>
        <w:rPr/>
        <w:t>NOTE 3:</w:t>
        <w:tab/>
        <w:t>In practice, certificates often have a long lifetime, for example about ten years. The use of RSA with PKCS#1v1.5 padding and key lengths less than 3072-bits is planned to be prohibited by several organisations no later than 2030.</w:t>
      </w:r>
    </w:p>
    <w:p>
      <w:pPr>
        <w:pStyle w:val="B1"/>
        <w:rPr/>
      </w:pPr>
      <w:r>
        <w:rPr/>
        <w:t>-</w:t>
        <w:tab/>
        <w:t>The security level of the public key used to sign the certificate shall be at least the same as the public keys in the certificate.</w:t>
      </w:r>
    </w:p>
    <w:p>
      <w:pPr>
        <w:pStyle w:val="B1"/>
        <w:rPr/>
      </w:pPr>
      <w:r>
        <w:rPr/>
        <w:t>-</w:t>
        <w:tab/>
        <w:t xml:space="preserve">Subject and issuer name format. </w:t>
      </w:r>
    </w:p>
    <w:p>
      <w:pPr>
        <w:pStyle w:val="B2"/>
        <w:rPr/>
      </w:pPr>
      <w:r>
        <w:rPr/>
        <w:t>-</w:t>
        <w:tab/>
        <w:t>(C=&lt;country&gt;), O=&lt;Organization Name&gt;, CN=&lt;Some distinguishing name&gt;. Organization and CN shall be in UTF8 format. Note that C is optional element.</w:t>
      </w:r>
    </w:p>
    <w:p>
      <w:pPr>
        <w:pStyle w:val="B2"/>
        <w:rPr>
          <w:lang w:val="fr-FR"/>
        </w:rPr>
      </w:pPr>
      <w:r>
        <w:rPr>
          <w:lang w:val="fr-FR"/>
        </w:rPr>
        <w:t>or</w:t>
      </w:r>
    </w:p>
    <w:p>
      <w:pPr>
        <w:pStyle w:val="B2"/>
        <w:rPr/>
      </w:pPr>
      <w:r>
        <w:rPr>
          <w:lang w:val="fr-FR"/>
        </w:rPr>
        <w:t>-</w:t>
        <w:tab/>
        <w:t xml:space="preserve">cn=&lt;hostname&gt;, (ou=&lt;servers&gt;), dc=&lt;domain&gt;, dc=&lt;domain&gt;. </w:t>
      </w:r>
      <w:r>
        <w:rPr/>
        <w:t>Note that ou is optional element.</w:t>
      </w:r>
    </w:p>
    <w:p>
      <w:pPr>
        <w:pStyle w:val="B1"/>
        <w:rPr>
          <w:i/>
          <w:i/>
          <w:iCs/>
        </w:rPr>
      </w:pPr>
      <w:r>
        <w:rPr/>
        <w:t>-</w:t>
        <w:tab/>
        <w:t xml:space="preserve">CRLs as specified in subclause 6.1a shall be supported for certificate revocation verification. </w:t>
      </w:r>
    </w:p>
    <w:p>
      <w:pPr>
        <w:pStyle w:val="B1"/>
        <w:rPr/>
      </w:pPr>
      <w:r>
        <w:rPr/>
        <w:t>-</w:t>
        <w:tab/>
        <w:t xml:space="preserve">Certificate extensions which are not mandated by this specification but which are mentioned within RFC5280 [14] are optional for implementation. If present, such optional extensions shall be marked as </w:t>
      </w:r>
      <w:r>
        <w:rPr>
          <w:rFonts w:cs="Arial" w:ascii="Arial" w:hAnsi="Arial"/>
        </w:rPr>
        <w:t>“</w:t>
      </w:r>
      <w:r>
        <w:rPr/>
        <w:t>non critical</w:t>
      </w:r>
      <w:r>
        <w:rPr>
          <w:rFonts w:cs="Arial" w:ascii="Arial" w:hAnsi="Arial"/>
        </w:rPr>
        <w:t>“</w:t>
      </w:r>
      <w:r>
        <w:rPr/>
        <w:t>.</w:t>
      </w:r>
    </w:p>
    <w:p>
      <w:pPr>
        <w:pStyle w:val="NO"/>
        <w:rPr/>
      </w:pPr>
      <w:r>
        <w:rPr/>
        <w:t>NOTE 3:</w:t>
        <w:tab/>
        <w:t xml:space="preserve">The above requirement implies that an NE, SEG or TLS entity receiving such optional extensions marked as </w:t>
      </w:r>
      <w:r>
        <w:rPr>
          <w:rFonts w:cs="Arial" w:ascii="Arial" w:hAnsi="Arial"/>
        </w:rPr>
        <w:t>“</w:t>
      </w:r>
      <w:r>
        <w:rPr/>
        <w:t>critical” will react with an error because, according to the introduction to clause 6.1 of the present document, NEs, SEGs and TLS entities shall only accept compliant certificates.</w:t>
      </w:r>
    </w:p>
    <w:p>
      <w:pPr>
        <w:pStyle w:val="Heading3"/>
        <w:rPr/>
      </w:pPr>
      <w:bookmarkStart w:id="80" w:name="__RefHeading___Toc145337372"/>
      <w:bookmarkEnd w:id="80"/>
      <w:r>
        <w:rPr/>
        <w:t>6.1.2</w:t>
        <w:tab/>
        <w:t>Interconnection CA Certificate profile</w:t>
      </w:r>
    </w:p>
    <w:p>
      <w:pPr>
        <w:pStyle w:val="Normal"/>
        <w:keepNext w:val="true"/>
        <w:keepLines/>
        <w:rPr/>
      </w:pPr>
      <w:r>
        <w:rPr/>
        <w:t>In addition to clause 6.1.1, the following requirements apply:</w:t>
      </w:r>
    </w:p>
    <w:p>
      <w:pPr>
        <w:pStyle w:val="B1"/>
        <w:rPr/>
      </w:pPr>
      <w:r>
        <w:rPr/>
        <w:t>-</w:t>
        <w:tab/>
        <w:t>Extensions:</w:t>
      </w:r>
    </w:p>
    <w:p>
      <w:pPr>
        <w:pStyle w:val="B2"/>
        <w:rPr/>
      </w:pPr>
      <w:r>
        <w:rPr/>
        <w:t>-</w:t>
        <w:tab/>
        <w:t>Optionally non critical authority key identifier;</w:t>
      </w:r>
    </w:p>
    <w:p>
      <w:pPr>
        <w:pStyle w:val="B2"/>
        <w:rPr/>
      </w:pPr>
      <w:r>
        <w:rPr/>
        <w:t>-</w:t>
        <w:tab/>
        <w:t>Optionally non critical subject key identifier;</w:t>
      </w:r>
    </w:p>
    <w:p>
      <w:pPr>
        <w:pStyle w:val="B2"/>
        <w:rPr/>
      </w:pPr>
      <w:r>
        <w:rPr/>
        <w:t>-</w:t>
        <w:tab/>
        <w:t>Mandatory critical key usage: At least keyCertSign and cRLSign should be asserted;</w:t>
      </w:r>
    </w:p>
    <w:p>
      <w:pPr>
        <w:pStyle w:val="B2"/>
        <w:rPr/>
      </w:pPr>
      <w:r>
        <w:rPr/>
        <w:t>-</w:t>
        <w:tab/>
        <w:t>Mandatory critical basic constraints:  CA=True, path length unlimited or at least 1.</w:t>
      </w:r>
    </w:p>
    <w:p>
      <w:pPr>
        <w:pStyle w:val="Heading3"/>
        <w:tabs>
          <w:tab w:val="clear" w:pos="284"/>
          <w:tab w:val="left" w:pos="1140" w:leader="none"/>
        </w:tabs>
        <w:ind w:left="1140" w:hanging="1140"/>
        <w:rPr/>
      </w:pPr>
      <w:bookmarkStart w:id="81" w:name="__RefHeading___Toc145337373"/>
      <w:bookmarkEnd w:id="81"/>
      <w:r>
        <w:rPr/>
        <w:t>6.1.3</w:t>
        <w:tab/>
        <w:t>SEG Certificate profile</w:t>
      </w:r>
    </w:p>
    <w:p>
      <w:pPr>
        <w:pStyle w:val="Normal"/>
        <w:keepNext w:val="true"/>
        <w:keepLines/>
        <w:rPr/>
      </w:pPr>
      <w:r>
        <w:rPr/>
        <w:t>SEG certificates shall be directly signed by the SEG CA in the operator domain that the SEG belongs to. Any SEG shall use exactly one certificate to identify itself within the NDS/AF.</w:t>
      </w:r>
    </w:p>
    <w:p>
      <w:pPr>
        <w:pStyle w:val="Normal"/>
        <w:keepNext w:val="true"/>
        <w:keepLines/>
        <w:rPr/>
      </w:pPr>
      <w:r>
        <w:rPr/>
        <w:t>In addition to clause 6.1.1 and the provisions of RFC4945 [15], the following requirements apply:</w:t>
      </w:r>
    </w:p>
    <w:p>
      <w:pPr>
        <w:pStyle w:val="B1"/>
        <w:rPr/>
      </w:pPr>
      <w:r>
        <w:rPr/>
        <w:t>-</w:t>
        <w:tab/>
        <w:t>Issuer name is the same as the subject name in the SEG CA certificate.</w:t>
      </w:r>
    </w:p>
    <w:p>
      <w:pPr>
        <w:pStyle w:val="B1"/>
        <w:rPr/>
      </w:pPr>
      <w:r>
        <w:rPr/>
        <w:t>-</w:t>
        <w:tab/>
        <w:t>Extensions:</w:t>
      </w:r>
    </w:p>
    <w:p>
      <w:pPr>
        <w:pStyle w:val="B2"/>
        <w:rPr/>
      </w:pPr>
      <w:r>
        <w:rPr/>
        <w:t>-</w:t>
        <w:tab/>
        <w:t>Optionally non critical authority key identifier;</w:t>
      </w:r>
    </w:p>
    <w:p>
      <w:pPr>
        <w:pStyle w:val="B2"/>
        <w:rPr/>
      </w:pPr>
      <w:r>
        <w:rPr/>
        <w:t>-</w:t>
        <w:tab/>
        <w:t>Optionally non critical subject key identifier;</w:t>
      </w:r>
    </w:p>
    <w:p>
      <w:pPr>
        <w:pStyle w:val="B2"/>
        <w:rPr/>
      </w:pPr>
      <w:r>
        <w:rPr/>
        <w:t>-</w:t>
        <w:tab/>
        <w:t>Mandatory non-critical subjectAltName;</w:t>
      </w:r>
    </w:p>
    <w:p>
      <w:pPr>
        <w:pStyle w:val="B2"/>
        <w:rPr/>
      </w:pPr>
      <w:r>
        <w:rPr/>
        <w:t>-</w:t>
        <w:tab/>
        <w:t>Mandatory critical key usage: At least digitalSignature or nonRepudiation bits shall be set;</w:t>
      </w:r>
    </w:p>
    <w:p>
      <w:pPr>
        <w:pStyle w:val="B2"/>
        <w:rPr/>
      </w:pPr>
      <w:r>
        <w:rPr/>
        <w:t>-</w:t>
        <w:tab/>
        <w:t>Mandatory non-critical Distribution points: CRL distribution point;</w:t>
      </w:r>
    </w:p>
    <w:p>
      <w:pPr>
        <w:pStyle w:val="NO"/>
        <w:rPr/>
      </w:pPr>
      <w:r>
        <w:rPr/>
        <w:t>NOTE:</w:t>
        <w:tab/>
        <w:t>Depending on the availability of DNS between peer SEGs, the following rule is applied:</w:t>
      </w:r>
    </w:p>
    <w:p>
      <w:pPr>
        <w:pStyle w:val="B4"/>
        <w:rPr/>
      </w:pPr>
      <w:r>
        <w:rPr/>
        <w:t>-</w:t>
        <w:tab/>
        <w:t>subjectAltName should contain IP address (in case DNS is not available);</w:t>
      </w:r>
    </w:p>
    <w:p>
      <w:pPr>
        <w:pStyle w:val="B4"/>
        <w:rPr/>
      </w:pPr>
      <w:r>
        <w:rPr/>
        <w:t>-</w:t>
        <w:tab/>
        <w:t>subjectAltName should contain FQDN (in case DNS is available).</w:t>
      </w:r>
    </w:p>
    <w:p>
      <w:pPr>
        <w:pStyle w:val="Heading3"/>
        <w:tabs>
          <w:tab w:val="clear" w:pos="284"/>
          <w:tab w:val="left" w:pos="1140" w:leader="none"/>
        </w:tabs>
        <w:ind w:left="1140" w:hanging="1140"/>
        <w:rPr/>
      </w:pPr>
      <w:bookmarkStart w:id="82" w:name="__RefHeading___Toc145337374"/>
      <w:bookmarkEnd w:id="82"/>
      <w:r>
        <w:rPr/>
        <w:t>6.1.3a</w:t>
        <w:tab/>
        <w:t>TLS entity certificate profile</w:t>
      </w:r>
    </w:p>
    <w:p>
      <w:pPr>
        <w:pStyle w:val="Normal"/>
        <w:keepNext w:val="true"/>
        <w:keepLines/>
        <w:rPr/>
      </w:pPr>
      <w:r>
        <w:rPr/>
        <w:t xml:space="preserve">TLS client certificates shall be directly signed by the TLS client CA in the operator domain that the TLS client belongs to. TLS server certificates shall be directly signed by the TLS server CA in the operator domain that the TLS server belongs to. </w:t>
      </w:r>
    </w:p>
    <w:p>
      <w:pPr>
        <w:pStyle w:val="Normal"/>
        <w:keepNext w:val="true"/>
        <w:keepLines/>
        <w:rPr/>
      </w:pPr>
      <w:r>
        <w:rPr/>
        <w:t>In addition to clause 6.1.1, the following requirements apply:</w:t>
      </w:r>
    </w:p>
    <w:p>
      <w:pPr>
        <w:pStyle w:val="B1"/>
        <w:rPr/>
      </w:pPr>
      <w:r>
        <w:rPr/>
        <w:t>-</w:t>
        <w:tab/>
        <w:t>For SIP domain certificates, the recommendations in RFC 5922 [21] and RFC 5924 [22] should be followed.</w:t>
      </w:r>
    </w:p>
    <w:p>
      <w:pPr>
        <w:pStyle w:val="B1"/>
        <w:rPr/>
      </w:pPr>
      <w:r>
        <w:rPr/>
        <w:t>-</w:t>
        <w:tab/>
        <w:t>Issuer name is the same as the subject name in the TLS CA certificate.</w:t>
      </w:r>
    </w:p>
    <w:p>
      <w:pPr>
        <w:pStyle w:val="Normal"/>
        <w:rPr/>
      </w:pPr>
      <w:r>
        <w:rPr/>
        <w:t>-</w:t>
        <w:tab/>
        <w:t>Extensions:</w:t>
      </w:r>
    </w:p>
    <w:p>
      <w:pPr>
        <w:pStyle w:val="B1"/>
        <w:rPr/>
      </w:pPr>
      <w:r>
        <w:rPr/>
        <w:t>-</w:t>
        <w:tab/>
        <w:t>Optionally non critical authority key identifier;</w:t>
      </w:r>
    </w:p>
    <w:p>
      <w:pPr>
        <w:pStyle w:val="B1"/>
        <w:rPr/>
      </w:pPr>
      <w:r>
        <w:rPr/>
        <w:t>-</w:t>
        <w:tab/>
        <w:t>Optionally non critical subject key identifier;</w:t>
      </w:r>
    </w:p>
    <w:p>
      <w:pPr>
        <w:pStyle w:val="B1"/>
        <w:rPr/>
      </w:pPr>
      <w:r>
        <w:rPr/>
        <w:t>-</w:t>
        <w:tab/>
        <w:t>Mandatory critical key usage: At least digitalSignature or keyEncipherment shall be set; According to RFC 8446 [49] keyAgreement shall be set on Diffie-Hellman certificates;</w:t>
      </w:r>
    </w:p>
    <w:p>
      <w:pPr>
        <w:pStyle w:val="B1"/>
        <w:rPr/>
      </w:pPr>
      <w:r>
        <w:rPr/>
        <w:t>-</w:t>
        <w:tab/>
        <w:t>Optional non-critical extended key usage: If present, at least id-kp-serverAuth shall be set for TLS server certificates, and at least id-kp-clientAuth shall be set for TLS client certificates;</w:t>
      </w:r>
    </w:p>
    <w:p>
      <w:pPr>
        <w:pStyle w:val="B1"/>
        <w:rPr/>
      </w:pPr>
      <w:r>
        <w:rPr/>
        <w:t>-</w:t>
        <w:tab/>
        <w:t>Mandatory non-critical Distribution points: CRL distribution point.</w:t>
      </w:r>
    </w:p>
    <w:p>
      <w:pPr>
        <w:pStyle w:val="Heading3"/>
        <w:rPr/>
      </w:pPr>
      <w:bookmarkStart w:id="83" w:name="__RefHeading___Toc145337375"/>
      <w:bookmarkEnd w:id="83"/>
      <w:r>
        <w:rPr/>
        <w:t>6.1.3b</w:t>
        <w:tab/>
        <w:t>NE Certificate profile</w:t>
      </w:r>
    </w:p>
    <w:p>
      <w:pPr>
        <w:pStyle w:val="Normal"/>
        <w:keepNext w:val="true"/>
        <w:keepLines/>
        <w:rPr/>
      </w:pPr>
      <w:r>
        <w:rPr/>
        <w:t>NE certificates shall be directly signed by the NE CA in the operator domain that the NE belongs to. Any NE shall use exactly one certificate to identify itself within the NDS/AF.</w:t>
      </w:r>
    </w:p>
    <w:p>
      <w:pPr>
        <w:pStyle w:val="Normal"/>
        <w:keepNext w:val="true"/>
        <w:keepLines/>
        <w:rPr/>
      </w:pPr>
      <w:r>
        <w:rPr/>
        <w:t>The same requirements as listed in section 6.1.3 apply.</w:t>
      </w:r>
    </w:p>
    <w:p>
      <w:pPr>
        <w:pStyle w:val="Heading3"/>
        <w:rPr/>
      </w:pPr>
      <w:bookmarkStart w:id="84" w:name="__RefHeading___Toc145337376"/>
      <w:bookmarkEnd w:id="84"/>
      <w:r>
        <w:rPr/>
        <w:t>6.1.3c</w:t>
        <w:tab/>
        <w:t>SBA Certificate profile</w:t>
      </w:r>
    </w:p>
    <w:p>
      <w:pPr>
        <w:pStyle w:val="Heading4"/>
        <w:ind w:left="1418" w:hanging="1418"/>
        <w:rPr/>
      </w:pPr>
      <w:bookmarkStart w:id="85" w:name="__RefHeading___Toc145337377"/>
      <w:bookmarkEnd w:id="85"/>
      <w:r>
        <w:rPr/>
        <w:t>6.1.3c.1</w:t>
        <w:tab/>
        <w:t>Introduction</w:t>
      </w:r>
    </w:p>
    <w:p>
      <w:pPr>
        <w:pStyle w:val="Normal"/>
        <w:keepNext w:val="true"/>
        <w:keepLines/>
        <w:rPr/>
      </w:pPr>
      <w:r>
        <w:rPr/>
        <w:t xml:space="preserve">Clause 6.1.3c profiles the certificates to be used for 5GC Service Based Architecture (SBA). </w:t>
      </w:r>
    </w:p>
    <w:p>
      <w:pPr>
        <w:pStyle w:val="Normal"/>
        <w:keepNext w:val="true"/>
        <w:keepLines/>
        <w:rPr/>
      </w:pPr>
      <w:r>
        <w:rPr/>
        <w:t>Different TLS entity certificate profile requirements may be applied to intra-domain and/or inter-domain SBA for NF producers, NF consumers and NRF instances, Service Communication Proxy (SCP) nodes, and Security Edge Protection Proxy (SEPP) nodes applicable to 3GPP 5GC roaming. A separate TLS entity certificate profile is also needed to cover the usage of the certificates issued by the InterconnectionCA(s) for inter-domain SBA context for TLS connections between SEPP nodes. Furthermore, separate TLS entity certificate profile requirements may be applied for Service Communication Proxy (SCP) needed for 3GPP 5GC SBA Indirect Communication model architectural Options C and D.</w:t>
      </w:r>
    </w:p>
    <w:p>
      <w:pPr>
        <w:pStyle w:val="Heading4"/>
        <w:ind w:left="1418" w:hanging="1418"/>
        <w:rPr/>
      </w:pPr>
      <w:bookmarkStart w:id="86" w:name="__RefHeading___Toc145337378"/>
      <w:bookmarkEnd w:id="86"/>
      <w:r>
        <w:rPr/>
        <w:t>6.1.3c.2</w:t>
        <w:tab/>
        <w:t>General SBA Certificate profile</w:t>
      </w:r>
    </w:p>
    <w:p>
      <w:pPr>
        <w:pStyle w:val="Normal"/>
        <w:rPr/>
      </w:pPr>
      <w:r>
        <w:rPr/>
        <w:t>The following additions and deviations to the common profiles shall hold for all SBA-related entities (NFs, SCPs, SEPPs):</w:t>
      </w:r>
    </w:p>
    <w:p>
      <w:pPr>
        <w:pStyle w:val="B1"/>
        <w:rPr/>
      </w:pPr>
      <w:r>
        <w:rPr/>
        <w:t>-</w:t>
        <w:tab/>
        <w:t xml:space="preserve">Signature algorithm: RSAEncryption </w:t>
      </w:r>
      <w:r>
        <w:rPr>
          <w:lang w:val="en-US"/>
        </w:rPr>
        <w:t>need not be supported</w:t>
      </w:r>
      <w:r>
        <w:rPr/>
        <w:t>.</w:t>
      </w:r>
    </w:p>
    <w:p>
      <w:pPr>
        <w:pStyle w:val="B1"/>
        <w:ind w:left="0" w:firstLine="284"/>
        <w:rPr/>
      </w:pPr>
      <w:r>
        <w:rPr/>
        <w:t>-</w:t>
        <w:tab/>
        <w:t>ECDSA is recommended for TLS entity certificates with 5GC Service Based Architecture (SBA).</w:t>
      </w:r>
    </w:p>
    <w:p>
      <w:pPr>
        <w:pStyle w:val="Heading4"/>
        <w:ind w:left="1418" w:hanging="1418"/>
        <w:rPr/>
      </w:pPr>
      <w:bookmarkStart w:id="87" w:name="__RefHeading___Toc145337379"/>
      <w:bookmarkEnd w:id="87"/>
      <w:r>
        <w:rPr/>
        <w:t>6.1.3c.3</w:t>
        <w:tab/>
        <w:t>NF Certificate profile</w:t>
      </w:r>
    </w:p>
    <w:p>
      <w:pPr>
        <w:pStyle w:val="Normal"/>
        <w:keepNext w:val="true"/>
        <w:keepLines/>
        <w:rPr/>
      </w:pPr>
      <w:r>
        <w:rPr/>
        <w:t>TLS certificates shall be directly signed by the CA in the operator domain that the entity belongs to.</w:t>
      </w:r>
    </w:p>
    <w:p>
      <w:pPr>
        <w:pStyle w:val="NO"/>
        <w:rPr/>
      </w:pPr>
      <w:r>
        <w:rPr/>
        <w:t>NOTE:</w:t>
        <w:tab/>
        <w:t>RFC 6125 [52] describes guidelines and procedures for representing and verifying the identity of application service using X.509 PKIX certificates with TLS. It mandates use of subjectAltName entries (DNS-ID, SRV-ID, URI-ID, etc.) over the use of the subject field (CN-ID) where available. Furthermore, it is stated that a client does not seek a match for a reference identifier of CN-ID if the presented identifiers include a DNS-ID, SRV-ID, URI-ID, or any application-specific identifier types supported by the client. Additionally, CA-browser forum [58] has the following requirement on the CN-ID: if CN-ID is present, this field contains exactly one entry that is one of the values contained in the Certificate’s subjectAltName extension.</w:t>
      </w:r>
    </w:p>
    <w:p>
      <w:pPr>
        <w:pStyle w:val="Normal"/>
        <w:keepNext w:val="true"/>
        <w:keepLines/>
        <w:rPr/>
      </w:pPr>
      <w:r>
        <w:rPr/>
        <w:t>In addition to clause 6.1.1 and the provisions of RFC 5280 [14] the following table captures the certificate profile for NF:</w:t>
      </w:r>
    </w:p>
    <w:p>
      <w:pPr>
        <w:pStyle w:val="TH"/>
        <w:rPr/>
      </w:pPr>
      <w:r>
        <w:rPr>
          <w:lang w:val="pt-BR"/>
        </w:rPr>
        <w:t>Table 6.1.3c.3-1: NF TLS Client and Server Certificate Profile</w:t>
      </w:r>
    </w:p>
    <w:tbl>
      <w:tblPr>
        <w:tblW w:w="9747" w:type="dxa"/>
        <w:jc w:val="left"/>
        <w:tblInd w:w="-5" w:type="dxa"/>
        <w:tblLayout w:type="fixed"/>
        <w:tblCellMar>
          <w:top w:w="0" w:type="dxa"/>
          <w:left w:w="108" w:type="dxa"/>
          <w:bottom w:w="0" w:type="dxa"/>
          <w:right w:w="108" w:type="dxa"/>
        </w:tblCellMar>
      </w:tblPr>
      <w:tblGrid>
        <w:gridCol w:w="2250"/>
        <w:gridCol w:w="1440"/>
        <w:gridCol w:w="1272"/>
        <w:gridCol w:w="1134"/>
        <w:gridCol w:w="3651"/>
      </w:tblGrid>
      <w:tr>
        <w:trPr/>
        <w:tc>
          <w:tcPr>
            <w:tcW w:w="9747" w:type="dxa"/>
            <w:gridSpan w:val="5"/>
            <w:tcBorders>
              <w:top w:val="single" w:sz="4" w:space="0" w:color="000000"/>
              <w:left w:val="single" w:sz="4" w:space="0" w:color="000000"/>
              <w:bottom w:val="single" w:sz="4" w:space="0" w:color="000000"/>
              <w:right w:val="single" w:sz="4" w:space="0" w:color="000000"/>
            </w:tcBorders>
          </w:tcPr>
          <w:p>
            <w:pPr>
              <w:pStyle w:val="TAH"/>
              <w:rPr>
                <w:lang w:val="pt-BR"/>
              </w:rPr>
            </w:pPr>
            <w:r>
              <w:rPr>
                <w:lang w:val="pt-BR"/>
              </w:rPr>
              <w:t>NF TLS Client and Server Certificate Profile</w:t>
            </w:r>
          </w:p>
        </w:tc>
      </w:tr>
      <w:tr>
        <w:trPr/>
        <w:tc>
          <w:tcPr>
            <w:tcW w:w="3690" w:type="dxa"/>
            <w:gridSpan w:val="2"/>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Version</w:t>
            </w:r>
          </w:p>
        </w:tc>
        <w:tc>
          <w:tcPr>
            <w:tcW w:w="6057" w:type="dxa"/>
            <w:gridSpan w:val="3"/>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v3</w:t>
            </w:r>
          </w:p>
        </w:tc>
      </w:tr>
      <w:tr>
        <w:trPr/>
        <w:tc>
          <w:tcPr>
            <w:tcW w:w="3690" w:type="dxa"/>
            <w:gridSpan w:val="2"/>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Serial Number</w:t>
            </w:r>
          </w:p>
        </w:tc>
        <w:tc>
          <w:tcPr>
            <w:tcW w:w="6057" w:type="dxa"/>
            <w:gridSpan w:val="3"/>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Unique Positive Integer in the context of the issuing Root CA and not longer than 20 octets.</w:t>
            </w:r>
          </w:p>
        </w:tc>
      </w:tr>
      <w:tr>
        <w:trPr/>
        <w:tc>
          <w:tcPr>
            <w:tcW w:w="3690" w:type="dxa"/>
            <w:gridSpan w:val="2"/>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Subject DN</w:t>
            </w:r>
          </w:p>
        </w:tc>
        <w:tc>
          <w:tcPr>
            <w:tcW w:w="6057" w:type="dxa"/>
            <w:gridSpan w:val="3"/>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C=&lt;Country&gt;</w:t>
            </w:r>
          </w:p>
          <w:p>
            <w:pPr>
              <w:pStyle w:val="TAL"/>
              <w:rPr>
                <w:lang w:val="pt-BR"/>
              </w:rPr>
            </w:pPr>
            <w:r>
              <w:rPr>
                <w:lang w:val="pt-BR"/>
              </w:rPr>
              <w:t>O=</w:t>
            </w:r>
            <w:r>
              <w:rPr/>
              <w:t xml:space="preserve"> </w:t>
            </w:r>
            <w:r>
              <w:rPr>
                <w:lang w:val="pt-BR"/>
              </w:rPr>
              <w:t>Home Domain Name (e.g., in "5gc.mnc&lt;MNC&gt;.mcc&lt;MCC&gt;.3gppnetwork.org" format) as defined in clause 28.2 of TS 23.003 [55])</w:t>
            </w:r>
          </w:p>
          <w:p>
            <w:pPr>
              <w:pStyle w:val="TAL"/>
              <w:rPr>
                <w:b/>
                <w:b/>
                <w:bCs/>
                <w:color w:val="FF0000"/>
                <w:lang w:val="pt-BR"/>
              </w:rPr>
            </w:pPr>
            <w:r>
              <w:rPr>
                <w:b/>
                <w:bCs/>
                <w:color w:val="FF0000"/>
                <w:lang w:val="pt-BR"/>
              </w:rPr>
            </w:r>
          </w:p>
        </w:tc>
      </w:tr>
      <w:tr>
        <w:trPr/>
        <w:tc>
          <w:tcPr>
            <w:tcW w:w="3690" w:type="dxa"/>
            <w:gridSpan w:val="2"/>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Validity Period</w:t>
            </w:r>
          </w:p>
        </w:tc>
        <w:tc>
          <w:tcPr>
            <w:tcW w:w="6057" w:type="dxa"/>
            <w:gridSpan w:val="3"/>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3 years or less</w:t>
            </w:r>
          </w:p>
        </w:tc>
      </w:tr>
      <w:tr>
        <w:trPr/>
        <w:tc>
          <w:tcPr>
            <w:tcW w:w="3690" w:type="dxa"/>
            <w:gridSpan w:val="2"/>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 xml:space="preserve">Signature </w:t>
            </w:r>
          </w:p>
        </w:tc>
        <w:tc>
          <w:tcPr>
            <w:tcW w:w="6057" w:type="dxa"/>
            <w:gridSpan w:val="3"/>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See clause 6.1.1 for the list of supported signature algorithms.</w:t>
            </w:r>
          </w:p>
        </w:tc>
      </w:tr>
      <w:tr>
        <w:trPr>
          <w:trHeight w:val="70" w:hRule="atLeast"/>
        </w:trPr>
        <w:tc>
          <w:tcPr>
            <w:tcW w:w="3690" w:type="dxa"/>
            <w:gridSpan w:val="2"/>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 xml:space="preserve">Subject Public Key Info </w:t>
            </w:r>
          </w:p>
        </w:tc>
        <w:tc>
          <w:tcPr>
            <w:tcW w:w="6057" w:type="dxa"/>
            <w:gridSpan w:val="3"/>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See clause 6.1.1 for the list of supported public key types.</w:t>
            </w:r>
          </w:p>
        </w:tc>
      </w:tr>
      <w:tr>
        <w:trPr/>
        <w:tc>
          <w:tcPr>
            <w:tcW w:w="2250" w:type="dxa"/>
            <w:tcBorders>
              <w:top w:val="single" w:sz="4" w:space="0" w:color="000000"/>
              <w:left w:val="single" w:sz="4" w:space="0" w:color="000000"/>
              <w:bottom w:val="single" w:sz="4" w:space="0" w:color="000000"/>
              <w:right w:val="single" w:sz="4" w:space="0" w:color="000000"/>
            </w:tcBorders>
          </w:tcPr>
          <w:p>
            <w:pPr>
              <w:pStyle w:val="TAH"/>
              <w:rPr>
                <w:lang w:val="pt-BR"/>
              </w:rPr>
            </w:pPr>
            <w:r>
              <w:rPr>
                <w:lang w:val="pt-BR"/>
              </w:rPr>
              <w:t>Extensions</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val="pt-BR"/>
              </w:rPr>
            </w:pPr>
            <w:r>
              <w:rPr>
                <w:lang w:val="pt-BR"/>
              </w:rPr>
              <w:t>OID</w:t>
            </w:r>
          </w:p>
        </w:tc>
        <w:tc>
          <w:tcPr>
            <w:tcW w:w="1272" w:type="dxa"/>
            <w:tcBorders>
              <w:top w:val="single" w:sz="4" w:space="0" w:color="000000"/>
              <w:left w:val="single" w:sz="4" w:space="0" w:color="000000"/>
              <w:bottom w:val="single" w:sz="4" w:space="0" w:color="000000"/>
              <w:right w:val="single" w:sz="4" w:space="0" w:color="000000"/>
            </w:tcBorders>
          </w:tcPr>
          <w:p>
            <w:pPr>
              <w:pStyle w:val="TAH"/>
              <w:rPr>
                <w:lang w:val="pt-BR"/>
              </w:rPr>
            </w:pPr>
            <w:r>
              <w:rPr>
                <w:lang w:val="pt-BR"/>
              </w:rPr>
              <w:t>Mandatory</w:t>
            </w:r>
          </w:p>
        </w:tc>
        <w:tc>
          <w:tcPr>
            <w:tcW w:w="1134" w:type="dxa"/>
            <w:tcBorders>
              <w:top w:val="single" w:sz="4" w:space="0" w:color="000000"/>
              <w:left w:val="single" w:sz="4" w:space="0" w:color="000000"/>
              <w:bottom w:val="single" w:sz="4" w:space="0" w:color="000000"/>
              <w:right w:val="single" w:sz="4" w:space="0" w:color="000000"/>
            </w:tcBorders>
          </w:tcPr>
          <w:p>
            <w:pPr>
              <w:pStyle w:val="TAH"/>
              <w:rPr>
                <w:lang w:val="pt-BR"/>
              </w:rPr>
            </w:pPr>
            <w:r>
              <w:rPr>
                <w:lang w:val="pt-BR"/>
              </w:rPr>
              <w:t>Criticality</w:t>
            </w:r>
          </w:p>
        </w:tc>
        <w:tc>
          <w:tcPr>
            <w:tcW w:w="3651" w:type="dxa"/>
            <w:tcBorders>
              <w:top w:val="single" w:sz="4" w:space="0" w:color="000000"/>
              <w:left w:val="single" w:sz="4" w:space="0" w:color="000000"/>
              <w:bottom w:val="single" w:sz="4" w:space="0" w:color="000000"/>
              <w:right w:val="single" w:sz="4" w:space="0" w:color="000000"/>
            </w:tcBorders>
          </w:tcPr>
          <w:p>
            <w:pPr>
              <w:pStyle w:val="TAH"/>
              <w:rPr>
                <w:lang w:val="pt-BR"/>
              </w:rPr>
            </w:pPr>
            <w:r>
              <w:rPr>
                <w:lang w:val="pt-BR"/>
              </w:rPr>
              <w:t>Value</w:t>
            </w:r>
          </w:p>
        </w:tc>
      </w:tr>
      <w:tr>
        <w:trPr/>
        <w:tc>
          <w:tcPr>
            <w:tcW w:w="2250" w:type="dxa"/>
            <w:vMerge w:val="restart"/>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keyUsage</w:t>
            </w:r>
          </w:p>
        </w:tc>
        <w:tc>
          <w:tcPr>
            <w:tcW w:w="1440" w:type="dxa"/>
            <w:vMerge w:val="restart"/>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{id-ce 15}</w:t>
            </w:r>
          </w:p>
        </w:tc>
        <w:tc>
          <w:tcPr>
            <w:tcW w:w="1272" w:type="dxa"/>
            <w:vMerge w:val="restart"/>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TRUE</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TRUE</w:t>
            </w:r>
          </w:p>
        </w:tc>
        <w:tc>
          <w:tcPr>
            <w:tcW w:w="3651"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digitalSignature for TLS clients and servers</w:t>
            </w:r>
          </w:p>
        </w:tc>
      </w:tr>
      <w:tr>
        <w:trPr/>
        <w:tc>
          <w:tcPr>
            <w:tcW w:w="225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pt-BR"/>
              </w:rPr>
            </w:pPr>
            <w:r>
              <w:rPr>
                <w:lang w:val="pt-BR"/>
              </w:rPr>
            </w:r>
          </w:p>
        </w:tc>
        <w:tc>
          <w:tcPr>
            <w:tcW w:w="144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pt-BR"/>
              </w:rPr>
            </w:pPr>
            <w:r>
              <w:rPr>
                <w:lang w:val="pt-BR"/>
              </w:rPr>
            </w:r>
          </w:p>
        </w:tc>
        <w:tc>
          <w:tcPr>
            <w:tcW w:w="127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pt-BR"/>
              </w:rPr>
            </w:pPr>
            <w:r>
              <w:rPr>
                <w:lang w:val="pt-BR"/>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pt-BR"/>
              </w:rPr>
            </w:pPr>
            <w:r>
              <w:rPr>
                <w:lang w:val="pt-BR"/>
              </w:rPr>
            </w:r>
          </w:p>
        </w:tc>
        <w:tc>
          <w:tcPr>
            <w:tcW w:w="3651" w:type="dxa"/>
            <w:tcBorders>
              <w:top w:val="single" w:sz="4" w:space="0" w:color="000000"/>
              <w:left w:val="single" w:sz="4" w:space="0" w:color="000000"/>
              <w:bottom w:val="single" w:sz="4" w:space="0" w:color="000000"/>
              <w:right w:val="single" w:sz="4" w:space="0" w:color="000000"/>
            </w:tcBorders>
          </w:tcPr>
          <w:p>
            <w:pPr>
              <w:pStyle w:val="TAL"/>
              <w:snapToGrid w:val="false"/>
              <w:rPr>
                <w:lang w:val="pt-BR"/>
              </w:rPr>
            </w:pPr>
            <w:r>
              <w:rPr>
                <w:lang w:val="pt-BR"/>
              </w:rPr>
            </w:r>
          </w:p>
        </w:tc>
      </w:tr>
      <w:tr>
        <w:trPr/>
        <w:tc>
          <w:tcPr>
            <w:tcW w:w="2250" w:type="dxa"/>
            <w:vMerge w:val="restart"/>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extendedKeyUsage</w:t>
            </w:r>
          </w:p>
        </w:tc>
        <w:tc>
          <w:tcPr>
            <w:tcW w:w="1440" w:type="dxa"/>
            <w:vMerge w:val="restart"/>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{id-ce 37}</w:t>
            </w:r>
          </w:p>
        </w:tc>
        <w:tc>
          <w:tcPr>
            <w:tcW w:w="1272" w:type="dxa"/>
            <w:vMerge w:val="restart"/>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TRUE</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FALSE</w:t>
            </w:r>
          </w:p>
        </w:tc>
        <w:tc>
          <w:tcPr>
            <w:tcW w:w="3651"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 xml:space="preserve">id-kp-clientAuth TLS clients </w:t>
            </w:r>
          </w:p>
        </w:tc>
      </w:tr>
      <w:tr>
        <w:trPr/>
        <w:tc>
          <w:tcPr>
            <w:tcW w:w="225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pt-BR"/>
              </w:rPr>
            </w:pPr>
            <w:r>
              <w:rPr>
                <w:lang w:val="pt-BR"/>
              </w:rPr>
            </w:r>
          </w:p>
        </w:tc>
        <w:tc>
          <w:tcPr>
            <w:tcW w:w="144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pt-BR"/>
              </w:rPr>
            </w:pPr>
            <w:r>
              <w:rPr>
                <w:lang w:val="pt-BR"/>
              </w:rPr>
            </w:r>
          </w:p>
        </w:tc>
        <w:tc>
          <w:tcPr>
            <w:tcW w:w="127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pt-BR"/>
              </w:rPr>
            </w:pPr>
            <w:r>
              <w:rPr>
                <w:lang w:val="pt-BR"/>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pt-BR"/>
              </w:rPr>
            </w:pPr>
            <w:r>
              <w:rPr>
                <w:lang w:val="pt-BR"/>
              </w:rPr>
            </w:r>
          </w:p>
        </w:tc>
        <w:tc>
          <w:tcPr>
            <w:tcW w:w="3651"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 xml:space="preserve">id-kp-serverAuth for TLS servers  </w:t>
            </w:r>
          </w:p>
          <w:p>
            <w:pPr>
              <w:pStyle w:val="TAL"/>
              <w:rPr>
                <w:lang w:val="pt-BR"/>
              </w:rPr>
            </w:pPr>
            <w:r>
              <w:rPr>
                <w:lang w:val="pt-BR"/>
              </w:rPr>
              <w:t>NF that may be both client and server shall have both OIDs set.</w:t>
            </w:r>
          </w:p>
        </w:tc>
      </w:tr>
      <w:tr>
        <w:trPr/>
        <w:tc>
          <w:tcPr>
            <w:tcW w:w="2250"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authorityKeyIdentifier</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{id-ce 35}</w:t>
            </w:r>
          </w:p>
        </w:tc>
        <w:tc>
          <w:tcPr>
            <w:tcW w:w="1272"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TRUE</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FALSE</w:t>
            </w:r>
          </w:p>
        </w:tc>
        <w:tc>
          <w:tcPr>
            <w:tcW w:w="3651"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This shall be the same as subjectKeyIdentifier of the Issuer’s certificate. CA shall utilitize the method (1) as defined in clause 4.2.1.2 of RFC 5280 [14] to generate the value for this extension.</w:t>
            </w:r>
          </w:p>
        </w:tc>
      </w:tr>
      <w:tr>
        <w:trPr/>
        <w:tc>
          <w:tcPr>
            <w:tcW w:w="2250"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subjectKeyIdentifier</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{id-ce 14}</w:t>
            </w:r>
          </w:p>
        </w:tc>
        <w:tc>
          <w:tcPr>
            <w:tcW w:w="1272"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FALSE</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FALSE</w:t>
            </w:r>
          </w:p>
        </w:tc>
        <w:tc>
          <w:tcPr>
            <w:tcW w:w="3651"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This shall be calculated by the issuing CA utilitizing the method (1) as defined in clause 4.2.1.2 of RFC 5280 [14] to generate the value for this extension.</w:t>
            </w:r>
          </w:p>
        </w:tc>
      </w:tr>
      <w:tr>
        <w:trPr/>
        <w:tc>
          <w:tcPr>
            <w:tcW w:w="2250"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cRLDistributionPoint</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{id-ce 31}</w:t>
            </w:r>
          </w:p>
        </w:tc>
        <w:tc>
          <w:tcPr>
            <w:tcW w:w="1272"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TRUE</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FALSE</w:t>
            </w:r>
          </w:p>
        </w:tc>
        <w:tc>
          <w:tcPr>
            <w:tcW w:w="3651"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distributionPoint</w:t>
            </w:r>
          </w:p>
          <w:p>
            <w:pPr>
              <w:pStyle w:val="TAL"/>
              <w:rPr>
                <w:lang w:val="pt-BR"/>
              </w:rPr>
            </w:pPr>
            <w:r>
              <w:rPr>
                <w:lang w:val="pt-BR"/>
              </w:rPr>
              <w:t>Ac cording to RFC 5280 [14] this indicates if the CRL is available for retrieval using access protocol and location with LDAP or HTTP URI.</w:t>
            </w:r>
          </w:p>
        </w:tc>
      </w:tr>
      <w:tr>
        <w:trPr/>
        <w:tc>
          <w:tcPr>
            <w:tcW w:w="2250"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subjectAltName</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{id-ce 17}</w:t>
            </w:r>
          </w:p>
        </w:tc>
        <w:tc>
          <w:tcPr>
            <w:tcW w:w="1272"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TRUE</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TRUE</w:t>
            </w:r>
          </w:p>
        </w:tc>
        <w:tc>
          <w:tcPr>
            <w:tcW w:w="3651"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Multiple subjectAltName entries can be used as a sequence, see below for the detailed instructions.</w:t>
            </w:r>
          </w:p>
        </w:tc>
      </w:tr>
      <w:tr>
        <w:trPr/>
        <w:tc>
          <w:tcPr>
            <w:tcW w:w="2250"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nfTypes</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{id-pe 34}</w:t>
            </w:r>
          </w:p>
        </w:tc>
        <w:tc>
          <w:tcPr>
            <w:tcW w:w="1272"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TRUE</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FALSE</w:t>
            </w:r>
          </w:p>
        </w:tc>
        <w:tc>
          <w:tcPr>
            <w:tcW w:w="3651"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 xml:space="preserve">id-pe-nftypes specified in RFC 9310 [60] enables including Network Function types (NFTypes) for the 5G System in X.509 v3 public key certificates. </w:t>
            </w:r>
          </w:p>
        </w:tc>
      </w:tr>
      <w:tr>
        <w:trPr/>
        <w:tc>
          <w:tcPr>
            <w:tcW w:w="2250" w:type="dxa"/>
            <w:vMerge w:val="restart"/>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authorityInfoAccess</w:t>
            </w:r>
          </w:p>
        </w:tc>
        <w:tc>
          <w:tcPr>
            <w:tcW w:w="1440" w:type="dxa"/>
            <w:vMerge w:val="restart"/>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{id-pe 1}</w:t>
            </w:r>
          </w:p>
        </w:tc>
        <w:tc>
          <w:tcPr>
            <w:tcW w:w="1272" w:type="dxa"/>
            <w:vMerge w:val="restart"/>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FALSE</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FALSE</w:t>
            </w:r>
          </w:p>
        </w:tc>
        <w:tc>
          <w:tcPr>
            <w:tcW w:w="3651"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id-ad-caIssuers</w:t>
            </w:r>
          </w:p>
          <w:p>
            <w:pPr>
              <w:pStyle w:val="TAL"/>
              <w:rPr>
                <w:lang w:val="pt-BR"/>
              </w:rPr>
            </w:pPr>
            <w:r>
              <w:rPr>
                <w:lang w:val="pt-BR"/>
              </w:rPr>
              <w:t xml:space="preserve">According to RFC 5280 [14] id-ad-caIssuers describes the referenced description server and the access protocol and location, for example, using one or multiple HTTP and/or LDAP URIs. </w:t>
            </w:r>
          </w:p>
        </w:tc>
      </w:tr>
      <w:tr>
        <w:trPr/>
        <w:tc>
          <w:tcPr>
            <w:tcW w:w="225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pt-BR"/>
              </w:rPr>
            </w:pPr>
            <w:r>
              <w:rPr>
                <w:lang w:val="pt-BR"/>
              </w:rPr>
            </w:r>
          </w:p>
        </w:tc>
        <w:tc>
          <w:tcPr>
            <w:tcW w:w="144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pt-BR"/>
              </w:rPr>
            </w:pPr>
            <w:r>
              <w:rPr>
                <w:lang w:val="pt-BR"/>
              </w:rPr>
            </w:r>
          </w:p>
        </w:tc>
        <w:tc>
          <w:tcPr>
            <w:tcW w:w="127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pt-BR"/>
              </w:rPr>
            </w:pPr>
            <w:r>
              <w:rPr>
                <w:lang w:val="pt-BR"/>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pt-BR"/>
              </w:rPr>
            </w:pPr>
            <w:r>
              <w:rPr>
                <w:lang w:val="pt-BR"/>
              </w:rPr>
            </w:r>
          </w:p>
        </w:tc>
        <w:tc>
          <w:tcPr>
            <w:tcW w:w="3651"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id-ad-ocsp</w:t>
            </w:r>
          </w:p>
          <w:p>
            <w:pPr>
              <w:pStyle w:val="TAL"/>
              <w:rPr>
                <w:lang w:val="pt-BR"/>
              </w:rPr>
            </w:pPr>
            <w:r>
              <w:rPr>
                <w:lang w:val="pt-BR"/>
              </w:rPr>
              <w:t>According to RFC 5280 [14] id-ad-ocsp defines the location of the OCSP responder using HTTP URI.</w:t>
            </w:r>
          </w:p>
        </w:tc>
      </w:tr>
      <w:tr>
        <w:trPr/>
        <w:tc>
          <w:tcPr>
            <w:tcW w:w="2250"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TLS feature extension</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{id-pe 24}</w:t>
            </w:r>
          </w:p>
        </w:tc>
        <w:tc>
          <w:tcPr>
            <w:tcW w:w="1272"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FALSE</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FALSE</w:t>
            </w:r>
          </w:p>
        </w:tc>
        <w:tc>
          <w:tcPr>
            <w:tcW w:w="3651" w:type="dxa"/>
            <w:tcBorders>
              <w:top w:val="single" w:sz="4" w:space="0" w:color="000000"/>
              <w:left w:val="single" w:sz="4" w:space="0" w:color="000000"/>
              <w:bottom w:val="single" w:sz="4" w:space="0" w:color="000000"/>
              <w:right w:val="single" w:sz="4" w:space="0" w:color="000000"/>
            </w:tcBorders>
          </w:tcPr>
          <w:p>
            <w:pPr>
              <w:pStyle w:val="TAL"/>
              <w:rPr>
                <w:lang w:val="pt-BR"/>
              </w:rPr>
            </w:pPr>
            <w:r>
              <w:rPr>
                <w:lang w:val="pt-BR"/>
              </w:rPr>
              <w:t>id-pe-tlsfeature</w:t>
            </w:r>
          </w:p>
          <w:p>
            <w:pPr>
              <w:pStyle w:val="TAL"/>
              <w:rPr>
                <w:lang w:val="pt-BR"/>
              </w:rPr>
            </w:pPr>
            <w:r>
              <w:rPr>
                <w:lang w:val="pt-BR"/>
              </w:rPr>
              <w:t>This can be used according to RFC 7633 [53] to prevent downgrade attacks that are not otherwise prevented by the TLS protocol; also to be used with OCSP stapling with TLS server end-entity certificates.</w:t>
            </w:r>
          </w:p>
        </w:tc>
      </w:tr>
    </w:tbl>
    <w:p>
      <w:pPr>
        <w:pStyle w:val="B2"/>
        <w:rPr/>
      </w:pPr>
      <w:r>
        <w:rPr/>
      </w:r>
    </w:p>
    <w:p>
      <w:pPr>
        <w:pStyle w:val="Normal"/>
        <w:rPr/>
      </w:pPr>
      <w:r>
        <w:rPr/>
        <w:t>With (intra-domain) SBA, the following rules are applied:</w:t>
      </w:r>
    </w:p>
    <w:p>
      <w:pPr>
        <w:pStyle w:val="B1"/>
        <w:rPr/>
      </w:pPr>
      <w:r>
        <w:rPr/>
        <w:t>-</w:t>
        <w:tab/>
        <w:t>subjectAltName should (in TLS client and server certificates) contain a URI-ID with the URI for the NF Instance ID as an URN; this URI-ID shall contain the nfInstanceID of the Network Function instance using the format of the NFInstanceId as described in clause 5.3.2 of TS 29.571 [57].</w:t>
      </w:r>
    </w:p>
    <w:p>
      <w:pPr>
        <w:pStyle w:val="B1"/>
        <w:rPr/>
      </w:pPr>
      <w:r>
        <w:rPr/>
        <w:t>NOTE 1:</w:t>
        <w:tab/>
        <w:t>Since the format of the NF instance ID according to clause 5.3.2 of TS 29.571 [57] is a universally unique identifier (UUID), the URN formed using the UUID is the string "urn:uuid:" followed by a hexadecimal representation of the UUID. For example, "urn:uuid:f81d4fae-7dec-11d0-a765-00a0c91e6bf6" is the string representation of the NF Instance ID "f81d4fae-7dec-11d0-a765-00a0c91e6bf6" as a URN.</w:t>
      </w:r>
    </w:p>
    <w:p>
      <w:pPr>
        <w:pStyle w:val="B1"/>
        <w:rPr/>
      </w:pPr>
      <w:r>
        <w:rPr/>
        <w:t>-</w:t>
        <w:tab/>
        <w:t xml:space="preserve">subjectAltName should (in TLS server certificates) contain </w:t>
      </w:r>
      <w:r>
        <w:rPr>
          <w:rFonts w:eastAsia="Calibri" w:cs="Calibri"/>
          <w:szCs w:val="22"/>
          <w:lang w:val="en-US"/>
        </w:rPr>
        <w:t>URI-ID  with the</w:t>
      </w:r>
      <w:r>
        <w:rPr/>
        <w:t xml:space="preserve"> HTTPS URI(s) for the apiRoot of a Network Function producer instance for the NF service API(s) that it provides; using wildcard URIs should be avoided;</w:t>
      </w:r>
    </w:p>
    <w:p>
      <w:pPr>
        <w:pStyle w:val="B1"/>
        <w:rPr/>
      </w:pPr>
      <w:r>
        <w:rPr/>
        <w:t>-</w:t>
        <w:tab/>
        <w:t>subjectAltName should (in TLS server certificates) contain DNS-ID with the FQDN(s) (host DNS name) of the NF service callback URI(s) that a Network Function consumer instance provides; the rules for using wildcard certificates in DNS-ID are described in RFC 6125 [51].</w:t>
      </w:r>
    </w:p>
    <w:p>
      <w:pPr>
        <w:pStyle w:val="B1"/>
        <w:rPr/>
      </w:pPr>
      <w:r>
        <w:rPr/>
        <w:t>-</w:t>
        <w:tab/>
        <w:t>subjectAltName should (in TLS client certificates) or shall (for TLS server certificates) contain a DNS-ID with the FQDN (host DNS name) for the Network Function instance, for example, using the instructions for Network Function (host DNS) names in FQDN format as used for Network Function producers in NFProfile and/or in NFService profile according to clause 6.1.6.2 in TS 29.510 [56], and in general as described in clause 28.3 of TS 23.003 [55] (regardless if DNS is available or not); for AMF, this is the AMF Name as described in clause 28.3.2.5 of TS 23.003 [55]; for NRF, this is the NRF FQDN as described in clause 28.3.2.3.2 of TS 23.003 [55]; the rules for using wildcard certificates in DNS-ID are defined in RFC 6125 [51].</w:t>
      </w:r>
    </w:p>
    <w:p>
      <w:pPr>
        <w:pStyle w:val="NO"/>
        <w:rPr/>
      </w:pPr>
      <w:r>
        <w:rPr/>
        <w:t>NOTE 2: RFC 7540 [50] mandates using the Server Name Indication (SNI) extension to TLS with HTTP/2. RFC 6066 [51], which is applicable to TLS 1.2, defines that currently only server names supported in SNI extension to TLS are DNS hostnames where "HostName" contains the fully qualified DNS hostname (FQDN) of the TLS server. RFC 6066 [51] also defines</w:t>
      </w:r>
      <w:r>
        <w:rPr>
          <w:color w:val="FF0000"/>
        </w:rPr>
        <w:t xml:space="preserve"> </w:t>
      </w:r>
      <w:r>
        <w:rPr/>
        <w:t xml:space="preserve">that literal IPv4 and IPv6 addresses are not permitted in "HostName". In practice, this means that at least one subjectAltName attribute with FQDN is to be included in server-side TLS end-entity certificates. </w:t>
      </w:r>
    </w:p>
    <w:p>
      <w:pPr>
        <w:pStyle w:val="B1"/>
        <w:rPr/>
      </w:pPr>
      <w:r>
        <w:rPr/>
        <w:t>-</w:t>
        <w:tab/>
        <w:t xml:space="preserve">nfTypes shall (in TLS client and server certificates) contain NF type for the Network Function instance formatted according to RFC 9310 [60] using the Enumerated NF Type format according to clause 6.1.6.3.3 of TS 29.510 [56]. </w:t>
      </w:r>
    </w:p>
    <w:p>
      <w:pPr>
        <w:pStyle w:val="NO"/>
        <w:rPr/>
      </w:pPr>
      <w:r>
        <w:rPr/>
        <w:t>NOTE 3: Void</w:t>
      </w:r>
    </w:p>
    <w:p>
      <w:pPr>
        <w:pStyle w:val="B1"/>
        <w:rPr/>
      </w:pPr>
      <w:r>
        <w:rPr/>
        <w:t>-</w:t>
        <w:tab/>
        <w:t>subjectAltName shall not contain only IP address in TLS server certificates;</w:t>
      </w:r>
    </w:p>
    <w:p>
      <w:pPr>
        <w:pStyle w:val="EditorsNote"/>
        <w:rPr/>
      </w:pPr>
      <w:r>
        <w:rPr/>
        <w:t>Editor’s Note: It is ffs whether subjectAltName contains URI for the NF Instance ID mandatory or optional in the TLS client and server certificates.</w:t>
      </w:r>
    </w:p>
    <w:p>
      <w:pPr>
        <w:pStyle w:val="NO"/>
        <w:rPr/>
      </w:pPr>
      <w:r>
        <w:rPr>
          <w:lang w:val="en-US" w:eastAsia="en-US"/>
        </w:rPr>
        <w:t>NOTE 4:</w:t>
        <w:tab/>
        <w:t>Void</w:t>
      </w:r>
    </w:p>
    <w:p>
      <w:pPr>
        <w:pStyle w:val="Heading4"/>
        <w:ind w:left="1418" w:hanging="1418"/>
        <w:rPr/>
      </w:pPr>
      <w:bookmarkStart w:id="88" w:name="__RefHeading___Toc145337380"/>
      <w:bookmarkEnd w:id="88"/>
      <w:r>
        <w:rPr/>
        <w:t>6.1.3c.4</w:t>
        <w:tab/>
        <w:t>SCP certificate profile</w:t>
      </w:r>
    </w:p>
    <w:p>
      <w:pPr>
        <w:pStyle w:val="Normal"/>
        <w:keepNext w:val="true"/>
        <w:keepLines/>
        <w:rPr/>
      </w:pPr>
      <w:r>
        <w:rPr/>
        <w:t>TLS certificates shall be directly signed by the CA in the operator domain that the SCP entity belongs to.</w:t>
      </w:r>
    </w:p>
    <w:p>
      <w:pPr>
        <w:pStyle w:val="Normal"/>
        <w:rPr/>
      </w:pPr>
      <w:r>
        <w:rPr/>
        <w:t>The same requirements to the NF certificate profile as listed in clause 6.1.3c.3 apply, except for the following requirements:</w:t>
      </w:r>
    </w:p>
    <w:p>
      <w:pPr>
        <w:pStyle w:val="B1"/>
        <w:rPr/>
      </w:pPr>
      <w:r>
        <w:rPr/>
        <w:t>-</w:t>
        <w:tab/>
        <w:t xml:space="preserve">The following requirement is not applicable: "subjectAltName should (in TLS server certificates) contain </w:t>
      </w:r>
      <w:r>
        <w:rPr>
          <w:rFonts w:eastAsia="Calibri" w:cs="Calibri"/>
          <w:szCs w:val="22"/>
          <w:lang w:val="en-US"/>
        </w:rPr>
        <w:t>URI-ID with the</w:t>
      </w:r>
      <w:r>
        <w:rPr/>
        <w:t xml:space="preserve"> HTTPS URI(s) for the apiRoot of a Network Function producer instance for the NF service API(s) that it provides; using wildcard URIs should be avoided";</w:t>
      </w:r>
    </w:p>
    <w:p>
      <w:pPr>
        <w:pStyle w:val="B1"/>
        <w:rPr/>
      </w:pPr>
      <w:r>
        <w:rPr/>
        <w:t>-</w:t>
        <w:tab/>
        <w:t>The following requirement is not applicable: "subjectAltName should (in TLS server certificates) contain DNS-ID with the FQDN(s) (host DNS name) of the NF service callback URI(s) that a Network Function consumer instance provides; the rules for using wildcard certificates in DNS-ID are described in RFC 6125 [51]".</w:t>
      </w:r>
    </w:p>
    <w:p>
      <w:pPr>
        <w:pStyle w:val="Heading4"/>
        <w:ind w:left="1418" w:hanging="1418"/>
        <w:rPr/>
      </w:pPr>
      <w:bookmarkStart w:id="89" w:name="__RefHeading___Toc145337381"/>
      <w:bookmarkEnd w:id="89"/>
      <w:r>
        <w:rPr/>
        <w:t>6.1.3c.5</w:t>
        <w:tab/>
        <w:t>SEPP certificate profiles</w:t>
      </w:r>
    </w:p>
    <w:p>
      <w:pPr>
        <w:pStyle w:val="Heading5"/>
        <w:ind w:left="1701" w:hanging="1701"/>
        <w:rPr/>
      </w:pPr>
      <w:bookmarkStart w:id="90" w:name="__RefHeading___Toc145337382"/>
      <w:r>
        <w:rPr/>
        <w:t>6.1.3c.5.1</w:t>
        <w:tab/>
        <w:t>Introduction</w:t>
      </w:r>
      <w:bookmarkEnd w:id="90"/>
      <w:r>
        <w:rPr/>
        <w:t xml:space="preserve"> </w:t>
      </w:r>
    </w:p>
    <w:p>
      <w:pPr>
        <w:pStyle w:val="Normal"/>
        <w:rPr/>
      </w:pPr>
      <w:r>
        <w:rPr/>
        <w:t>The TLS certificate requirements on the SEPP depend on whether the certificate is used in intra-domain or inter-domain cases.</w:t>
      </w:r>
    </w:p>
    <w:p>
      <w:pPr>
        <w:pStyle w:val="Normal"/>
        <w:rPr/>
      </w:pPr>
      <w:r>
        <w:rPr/>
        <w:t xml:space="preserve">SEPP intra-domain certificate profile requirements are applied for SEPP when connecting to other NFs/SCPs/SEPPs in the same operator domain. For example, it is applied for SEPP when providing the Nsepp_Telescopic_FQDN_Mapping service to the NFs/SEPPs in the same operator domain. </w:t>
      </w:r>
    </w:p>
    <w:p>
      <w:pPr>
        <w:pStyle w:val="Normal"/>
        <w:rPr/>
      </w:pPr>
      <w:r>
        <w:rPr/>
        <w:t xml:space="preserve">SEPP inter-domain certificate profile requirements are applied for SEPP when connecting to SEPPs in other operator domains. </w:t>
      </w:r>
    </w:p>
    <w:p>
      <w:pPr>
        <w:pStyle w:val="Heading5"/>
        <w:ind w:left="1701" w:hanging="1701"/>
        <w:rPr/>
      </w:pPr>
      <w:bookmarkStart w:id="91" w:name="__RefHeading___Toc145337383"/>
      <w:bookmarkEnd w:id="91"/>
      <w:r>
        <w:rPr/>
        <w:t>6.1.3c.5.2</w:t>
        <w:tab/>
        <w:t>SEPP intra-domain certificate profile</w:t>
      </w:r>
    </w:p>
    <w:p>
      <w:pPr>
        <w:pStyle w:val="Normal"/>
        <w:rPr/>
      </w:pPr>
      <w:r>
        <w:rPr/>
        <w:t>TLS certificates used between a SEPP and other NFs/SCPs/SEPPs in the same operator domain shall be directly signed by the root CA or an intermediate CA whose certificate has a valid certificate chain up to this root CA in the operator domain that the SEPP entity belongs to.</w:t>
      </w:r>
    </w:p>
    <w:p>
      <w:pPr>
        <w:pStyle w:val="Normal"/>
        <w:rPr/>
      </w:pPr>
      <w:r>
        <w:rPr/>
        <w:t>The NF certificate profile requirements in clause 6.1.3c.2 and 6.1.3c.3 apply for SEPP intra-domain certificate profiles.</w:t>
      </w:r>
    </w:p>
    <w:p>
      <w:pPr>
        <w:pStyle w:val="Heading5"/>
        <w:ind w:left="1701" w:hanging="1701"/>
        <w:rPr/>
      </w:pPr>
      <w:bookmarkStart w:id="92" w:name="__RefHeading___Toc145337384"/>
      <w:bookmarkEnd w:id="92"/>
      <w:r>
        <w:rPr/>
        <w:t>6.1.3c.5.3</w:t>
        <w:tab/>
        <w:t>SEPP inter-domain certificate profile</w:t>
      </w:r>
    </w:p>
    <w:p>
      <w:pPr>
        <w:pStyle w:val="Heading6"/>
        <w:rPr/>
      </w:pPr>
      <w:bookmarkStart w:id="93" w:name="__RefHeading___Toc145337385"/>
      <w:bookmarkEnd w:id="93"/>
      <w:r>
        <w:rPr/>
        <w:t>6.1.3c.5.3.0</w:t>
        <w:tab/>
        <w:t>General</w:t>
      </w:r>
    </w:p>
    <w:p>
      <w:pPr>
        <w:pStyle w:val="Normal"/>
        <w:rPr/>
      </w:pPr>
      <w:r>
        <w:rPr/>
        <w:t>The SEPP inter-domain certificate is used when a SEPP interconnects to other SEPPs in the different network domain, e.g., a PLMN or a SNPN.</w:t>
      </w:r>
    </w:p>
    <w:p>
      <w:pPr>
        <w:pStyle w:val="Heading6"/>
        <w:rPr/>
      </w:pPr>
      <w:bookmarkStart w:id="94" w:name="__RefHeading___Toc145337386"/>
      <w:bookmarkEnd w:id="94"/>
      <w:r>
        <w:rPr/>
        <w:t>6.1.3c.5.3.1</w:t>
        <w:tab/>
        <w:t>SEPP inter-domain certificate profile for inter-PLMN</w:t>
      </w:r>
    </w:p>
    <w:p>
      <w:pPr>
        <w:pStyle w:val="Normal"/>
        <w:rPr/>
      </w:pPr>
      <w:r>
        <w:rPr/>
        <w:t xml:space="preserve">In general, the same requirements to the NF certificate profile as listed in clause 6.1.3c.2 and 6.1.3c.3 apply for SEPP inter-domain certificate profiles, except for the </w:t>
      </w:r>
      <w:r>
        <w:rPr>
          <w:lang w:val="en-US" w:eastAsia="en-US"/>
        </w:rPr>
        <w:t>the contents of the Subject DN field as well as the subjectAltName field</w:t>
      </w:r>
      <w:r>
        <w:rPr/>
        <w:t>.</w:t>
      </w:r>
    </w:p>
    <w:p>
      <w:pPr>
        <w:pStyle w:val="Normal"/>
        <w:rPr>
          <w:lang w:val="en-US" w:eastAsia="en-US"/>
        </w:rPr>
      </w:pPr>
      <w:r>
        <w:rPr>
          <w:lang w:val="en-US" w:eastAsia="en-US"/>
        </w:rPr>
        <w:t>For inter-PLMN domain N32 certificates, the contents of the Subject DN field as well as the subjectAltName field are specified in GSMA FS.34 [59].</w:t>
      </w:r>
    </w:p>
    <w:p>
      <w:pPr>
        <w:pStyle w:val="Heading6"/>
        <w:rPr/>
      </w:pPr>
      <w:bookmarkStart w:id="95" w:name="__RefHeading___Toc145337387"/>
      <w:bookmarkEnd w:id="95"/>
      <w:r>
        <w:rPr/>
        <w:t>6.1.3c.5.3.2</w:t>
        <w:tab/>
        <w:t>SEPP inter-domain certificate profile for inter-SNPN</w:t>
      </w:r>
    </w:p>
    <w:p>
      <w:pPr>
        <w:pStyle w:val="Normal"/>
        <w:rPr>
          <w:lang w:val="en-US" w:eastAsia="en-US"/>
        </w:rPr>
      </w:pPr>
      <w:r>
        <w:rPr/>
        <w:t>For inter-SNPN domain N32 certificates, the SEPP certificates shall include all PLMN IDs and Network identifiers (NIDs) identify the SNPN in SAN fields as DNS name for where it runs the N32 connection, and the</w:t>
      </w:r>
      <w:r>
        <w:rPr>
          <w:lang w:val="en-US" w:eastAsia="en-US"/>
        </w:rPr>
        <w:t xml:space="preserve"> subjectAltName field SHALL be structured as</w:t>
      </w:r>
    </w:p>
    <w:p>
      <w:pPr>
        <w:pStyle w:val="Normal"/>
        <w:ind w:firstLine="284"/>
        <w:rPr>
          <w:lang w:val="en-US" w:eastAsia="en-US"/>
        </w:rPr>
      </w:pPr>
      <w:r>
        <w:rPr>
          <w:lang w:val="en-US" w:eastAsia="en-US"/>
        </w:rPr>
        <w:t>&lt;SEPP-id&gt;.sepp. 5gc.nid&lt;NID&gt;.mnc&lt;MNC&gt;.mcc&lt;MCC&gt;.3gppnetwork.org</w:t>
      </w:r>
    </w:p>
    <w:p>
      <w:pPr>
        <w:pStyle w:val="Normal"/>
        <w:rPr/>
      </w:pPr>
      <w:r>
        <w:rPr>
          <w:lang w:val="en-US" w:eastAsia="en-US"/>
        </w:rPr>
        <w:t xml:space="preserve">where </w:t>
      </w:r>
      <w:r>
        <w:rPr>
          <w:lang w:val="en-US" w:eastAsia="en-US"/>
        </w:rPr>
        <w:t>SEPP-id</w:t>
      </w:r>
      <w:r>
        <w:rPr>
          <w:lang w:val="en-US" w:eastAsia="en-US"/>
        </w:rPr>
        <w:t xml:space="preserve"> is the SEPP ID as specified in the TS 33.501 [</w:t>
      </w:r>
      <w:r>
        <w:rPr/>
        <w:t>61</w:t>
      </w:r>
      <w:r>
        <w:rPr>
          <w:lang w:val="en-US" w:eastAsia="en-US"/>
        </w:rPr>
        <w:t xml:space="preserve">], and NID is the </w:t>
      </w:r>
      <w:r>
        <w:rPr/>
        <w:t xml:space="preserve">Network Identifier </w:t>
      </w:r>
      <w:r>
        <w:rPr>
          <w:lang w:val="en-US" w:eastAsia="en-US"/>
        </w:rPr>
        <w:t>as specified in the TS 23.003 [55].</w:t>
      </w:r>
    </w:p>
    <w:p>
      <w:pPr>
        <w:pStyle w:val="Heading3"/>
        <w:rPr/>
      </w:pPr>
      <w:bookmarkStart w:id="96" w:name="__RefHeading___Toc145337388"/>
      <w:bookmarkEnd w:id="96"/>
      <w:r>
        <w:rPr/>
        <w:t>6.1.4</w:t>
        <w:tab/>
        <w:t>SEG CA certificate profile</w:t>
      </w:r>
    </w:p>
    <w:p>
      <w:pPr>
        <w:pStyle w:val="Normal"/>
        <w:keepNext w:val="true"/>
        <w:rPr/>
      </w:pPr>
      <w:r>
        <w:rPr/>
        <w:t>In addition to clause 6.1.1, the following requirements apply:</w:t>
      </w:r>
    </w:p>
    <w:p>
      <w:pPr>
        <w:pStyle w:val="B1"/>
        <w:rPr/>
      </w:pPr>
      <w:r>
        <w:rPr/>
        <w:t>-</w:t>
        <w:tab/>
        <w:t>Subject name is the same as the issuer name in the SEG certificate;</w:t>
      </w:r>
    </w:p>
    <w:p>
      <w:pPr>
        <w:pStyle w:val="B1"/>
        <w:rPr/>
      </w:pPr>
      <w:r>
        <w:rPr/>
        <w:t>-</w:t>
        <w:tab/>
        <w:t>Issuer name depends on the usage of the certificates issued by the SEG CA:</w:t>
      </w:r>
    </w:p>
    <w:p>
      <w:pPr>
        <w:pStyle w:val="B3"/>
        <w:rPr/>
      </w:pPr>
      <w:r>
        <w:rPr/>
        <w:t>-</w:t>
        <w:tab/>
        <w:t>if used for interconnections between security domains with different root CAs the issuer name is the same as the subject name in the Interconnection CA certificate;</w:t>
      </w:r>
    </w:p>
    <w:p>
      <w:pPr>
        <w:pStyle w:val="B3"/>
        <w:rPr/>
      </w:pPr>
      <w:r>
        <w:rPr/>
        <w:t>-</w:t>
        <w:tab/>
        <w:t>if used for connections with elements having the same root CA certificate installed as used in the domain the SEG CA is located in, the issuer name is the subject name of either this root CA or an intermediate CA whose certificate has a valid certificate chain up to this root CA;</w:t>
      </w:r>
    </w:p>
    <w:p>
      <w:pPr>
        <w:pStyle w:val="B1"/>
        <w:rPr/>
      </w:pPr>
      <w:r>
        <w:rPr/>
        <w:t>-</w:t>
        <w:tab/>
        <w:t>Extensions:</w:t>
      </w:r>
    </w:p>
    <w:p>
      <w:pPr>
        <w:pStyle w:val="B3"/>
        <w:rPr/>
      </w:pPr>
      <w:r>
        <w:rPr/>
        <w:t>-</w:t>
        <w:tab/>
        <w:t>Optionally non critical authority key identifier;</w:t>
      </w:r>
    </w:p>
    <w:p>
      <w:pPr>
        <w:pStyle w:val="B3"/>
        <w:rPr/>
      </w:pPr>
      <w:r>
        <w:rPr/>
        <w:t>-</w:t>
        <w:tab/>
        <w:t>Optionally non critical subject key identifier;</w:t>
      </w:r>
    </w:p>
    <w:p>
      <w:pPr>
        <w:pStyle w:val="B3"/>
        <w:rPr/>
      </w:pPr>
      <w:r>
        <w:rPr/>
        <w:t>-</w:t>
        <w:tab/>
        <w:t>Mandatory critical key usage: At least keyCertSign and cRLSign, should be asserted;</w:t>
      </w:r>
    </w:p>
    <w:p>
      <w:pPr>
        <w:pStyle w:val="B3"/>
        <w:rPr/>
      </w:pPr>
      <w:r>
        <w:rPr/>
        <w:t>-</w:t>
        <w:tab/>
        <w:t>Mandatory critical basic constraints:  CA=True, path length 0.</w:t>
      </w:r>
    </w:p>
    <w:p>
      <w:pPr>
        <w:pStyle w:val="Heading3"/>
        <w:tabs>
          <w:tab w:val="clear" w:pos="284"/>
          <w:tab w:val="left" w:pos="1140" w:leader="none"/>
        </w:tabs>
        <w:ind w:left="1140" w:hanging="1140"/>
        <w:rPr/>
      </w:pPr>
      <w:bookmarkStart w:id="97" w:name="__RefHeading___Toc145337389"/>
      <w:bookmarkEnd w:id="97"/>
      <w:r>
        <w:rPr/>
        <w:t>6.1.4a</w:t>
        <w:tab/>
        <w:t>TLS client/server CA certificate profile</w:t>
      </w:r>
    </w:p>
    <w:p>
      <w:pPr>
        <w:pStyle w:val="Normal"/>
        <w:keepNext w:val="true"/>
        <w:rPr/>
      </w:pPr>
      <w:r>
        <w:rPr/>
        <w:t>In addition to clause 6.1.1, the following requirements apply:</w:t>
      </w:r>
    </w:p>
    <w:p>
      <w:pPr>
        <w:pStyle w:val="B1"/>
        <w:rPr/>
      </w:pPr>
      <w:r>
        <w:rPr/>
        <w:t>-</w:t>
        <w:tab/>
        <w:t>Subject name is the same as the issuer name in the TLS entity certificate;</w:t>
      </w:r>
    </w:p>
    <w:p>
      <w:pPr>
        <w:pStyle w:val="B1"/>
        <w:rPr/>
      </w:pPr>
      <w:r>
        <w:rPr/>
        <w:t>-</w:t>
        <w:tab/>
        <w:t>Issuer name depends on the usage of the certificates issued by the TLS client/server CA:</w:t>
      </w:r>
    </w:p>
    <w:p>
      <w:pPr>
        <w:pStyle w:val="B1"/>
        <w:rPr/>
      </w:pPr>
      <w:r>
        <w:rPr/>
        <w:t>-</w:t>
        <w:tab/>
        <w:t xml:space="preserve">if used for interconnections between security domains with different root CAs the issuer name is the same as the subject name in the Interconnection CA certificate; </w:t>
      </w:r>
    </w:p>
    <w:p>
      <w:pPr>
        <w:pStyle w:val="B1"/>
        <w:rPr/>
      </w:pPr>
      <w:r>
        <w:rPr/>
        <w:t>-</w:t>
        <w:tab/>
        <w:t>if used for connections with elements having the same root CA certificate installed as used in the domain the TLS client/server CA is located in, the issuer name is the subject name of either this root CA or an intermediate CA whose certificate has a valid certificate chain up to this root CA;</w:t>
      </w:r>
    </w:p>
    <w:p>
      <w:pPr>
        <w:pStyle w:val="B1"/>
        <w:rPr/>
      </w:pPr>
      <w:r>
        <w:rPr/>
        <w:t>-</w:t>
        <w:tab/>
        <w:t>if used for TLS clients with certificates not issued by an operator CA, the issuer name is the subject name of either a root CA trusted by the operator or an intermediate CA whose certificate has a valid certificate chain up to a root CA trusted by the operator;</w:t>
      </w:r>
    </w:p>
    <w:p>
      <w:pPr>
        <w:pStyle w:val="Normal"/>
        <w:rPr/>
      </w:pPr>
      <w:r>
        <w:rPr/>
        <w:t>-</w:t>
        <w:tab/>
        <w:t>Extensions:</w:t>
      </w:r>
    </w:p>
    <w:p>
      <w:pPr>
        <w:pStyle w:val="B1"/>
        <w:rPr/>
      </w:pPr>
      <w:r>
        <w:rPr/>
        <w:t>-</w:t>
        <w:tab/>
        <w:t>Optionally non critical authority key identifier;</w:t>
      </w:r>
    </w:p>
    <w:p>
      <w:pPr>
        <w:pStyle w:val="B1"/>
        <w:rPr/>
      </w:pPr>
      <w:r>
        <w:rPr/>
        <w:t>-</w:t>
        <w:tab/>
        <w:t>Optionally non critical subject key identifier;</w:t>
      </w:r>
    </w:p>
    <w:p>
      <w:pPr>
        <w:pStyle w:val="B1"/>
        <w:rPr/>
      </w:pPr>
      <w:r>
        <w:rPr/>
        <w:t>-</w:t>
        <w:tab/>
        <w:t>Mandatory critical key usage: At least keyCertSign and cRLSign, should be asserted;</w:t>
      </w:r>
    </w:p>
    <w:p>
      <w:pPr>
        <w:pStyle w:val="B1"/>
        <w:rPr/>
      </w:pPr>
      <w:r>
        <w:rPr/>
        <w:t>-</w:t>
        <w:tab/>
        <w:t>Mandatory critical basic constraints:  CA=True, path length 0.</w:t>
      </w:r>
    </w:p>
    <w:p>
      <w:pPr>
        <w:pStyle w:val="Heading3"/>
        <w:tabs>
          <w:tab w:val="clear" w:pos="284"/>
          <w:tab w:val="left" w:pos="1140" w:leader="none"/>
        </w:tabs>
        <w:ind w:left="1140" w:hanging="1140"/>
        <w:rPr/>
      </w:pPr>
      <w:bookmarkStart w:id="98" w:name="__RefHeading___Toc145337390"/>
      <w:bookmarkEnd w:id="98"/>
      <w:r>
        <w:rPr/>
        <w:t>6.1.4b</w:t>
        <w:tab/>
        <w:t>NE CA certificate profile</w:t>
      </w:r>
    </w:p>
    <w:p>
      <w:pPr>
        <w:pStyle w:val="Normal"/>
        <w:keepNext w:val="true"/>
        <w:keepLines/>
        <w:rPr/>
      </w:pPr>
      <w:r>
        <w:rPr/>
        <w:t>The same requirements as listed in section 6.1.4 apply except that there is no restriction in the issuer name.</w:t>
      </w:r>
    </w:p>
    <w:p>
      <w:pPr>
        <w:pStyle w:val="Heading2"/>
        <w:rPr/>
      </w:pPr>
      <w:bookmarkStart w:id="99" w:name="__RefHeading___Toc145337391"/>
      <w:bookmarkEnd w:id="99"/>
      <w:r>
        <w:rPr/>
        <w:t>6.1a</w:t>
        <w:tab/>
        <w:t>CRL profile</w:t>
      </w:r>
    </w:p>
    <w:p>
      <w:pPr>
        <w:pStyle w:val="B1"/>
        <w:rPr/>
      </w:pPr>
      <w:r>
        <w:rPr/>
        <w:t>-</w:t>
        <w:tab/>
        <w:t>Version 2 CRL according to RFC5280 [14].</w:t>
      </w:r>
    </w:p>
    <w:p>
      <w:pPr>
        <w:pStyle w:val="B1"/>
        <w:rPr/>
      </w:pPr>
      <w:r>
        <w:rPr/>
        <w:t>-</w:t>
        <w:tab/>
        <w:t xml:space="preserve">Hash algorithm for use before signing CRL: SHA-256 shall be supported SHA-384 should be supported, MD5 MD2, and SHA-1 shall not be supported. </w:t>
      </w:r>
    </w:p>
    <w:p>
      <w:pPr>
        <w:pStyle w:val="NO"/>
        <w:rPr/>
      </w:pPr>
      <w:r>
        <w:rPr/>
        <w:t>NOTE:</w:t>
        <w:tab/>
        <w:t>Void.</w:t>
      </w:r>
    </w:p>
    <w:p>
      <w:pPr>
        <w:pStyle w:val="B1"/>
        <w:rPr/>
      </w:pPr>
      <w:r>
        <w:rPr/>
        <w:t>-</w:t>
        <w:tab/>
        <w:t xml:space="preserve">Signature algorithm: RSAEncryption and ecdsa </w:t>
      </w:r>
      <w:r>
        <w:rPr>
          <w:lang w:val="en-US"/>
        </w:rPr>
        <w:t xml:space="preserve">shall be supported. </w:t>
      </w:r>
      <w:r>
        <w:rPr/>
        <w:t>RSAEncryption is not recommended as it uses PKCS#1v1.5 padding.</w:t>
      </w:r>
    </w:p>
    <w:p>
      <w:pPr>
        <w:pStyle w:val="B1"/>
        <w:ind w:left="284" w:hanging="0"/>
        <w:rPr/>
      </w:pPr>
      <w:r>
        <w:rPr/>
        <w:t>-</w:t>
        <w:tab/>
        <w:t>Parameters: For ecdsa, secp256r1 shall be supported, secp384r1 should be supported.</w:t>
      </w:r>
    </w:p>
    <w:p>
      <w:pPr>
        <w:pStyle w:val="B1"/>
        <w:rPr/>
      </w:pPr>
      <w:r>
        <w:rPr/>
        <w:t>-</w:t>
        <w:tab/>
        <w:t xml:space="preserve">ECDSA is </w:t>
      </w:r>
      <w:r>
        <w:rPr>
          <w:lang w:val="en-US"/>
        </w:rPr>
        <w:t>recommended for newly created CRLs</w:t>
      </w:r>
      <w:r>
        <w:rPr/>
        <w:t>.</w:t>
      </w:r>
    </w:p>
    <w:p>
      <w:pPr>
        <w:pStyle w:val="B1"/>
        <w:rPr/>
      </w:pPr>
      <w:r>
        <w:rPr/>
        <w:t>-</w:t>
        <w:tab/>
        <w:t>The security level of the public key used to sign the CRL shall be at least the same as the public keys used to sign the revoked certificates.</w:t>
      </w:r>
    </w:p>
    <w:p>
      <w:pPr>
        <w:pStyle w:val="B1"/>
        <w:rPr/>
      </w:pPr>
      <w:r>
        <w:rPr/>
        <w:t>-</w:t>
        <w:tab/>
        <w:t xml:space="preserve">For RSA: The key length shall be at least 2048-bit. A key length of at least 4096-bit shall be supported. Key lengths of less than 2048-bit shall not be supported. PKCS#1v1.5 padding and key lengths less than 3072-bits should not be used in </w:t>
      </w:r>
      <w:bookmarkStart w:id="100" w:name="_Hlk34309972"/>
      <w:r>
        <w:rPr/>
        <w:t>certificates that expire after 2030</w:t>
      </w:r>
      <w:bookmarkEnd w:id="100"/>
      <w:r>
        <w:rPr/>
        <w:t>.</w:t>
      </w:r>
    </w:p>
    <w:p>
      <w:pPr>
        <w:pStyle w:val="B1"/>
        <w:rPr/>
      </w:pPr>
      <w:r>
        <w:rPr/>
        <w:t>-</w:t>
        <w:tab/>
        <w:t xml:space="preserve">For ECDSA: Except curve25519, ed25519, and W-25519, elliptic curve groups of less than 256 bits shall not be supported. A key length of at least 384-bit shall be supported.  </w:t>
      </w:r>
    </w:p>
    <w:p>
      <w:pPr>
        <w:pStyle w:val="NO"/>
        <w:rPr/>
      </w:pPr>
      <w:r>
        <w:rPr/>
        <w:t>NOTE 1:</w:t>
        <w:tab/>
        <w:t>In practice, certificates often have a long lifetime, for example about ten years. The use of RSA with PKCS#1v1.5 padding and key lengths less than 3072-bits is planned to be prohibited by several organisations no later than 2030.</w:t>
      </w:r>
    </w:p>
    <w:p>
      <w:pPr>
        <w:pStyle w:val="B1"/>
        <w:rPr/>
      </w:pPr>
      <w:r>
        <w:rPr/>
        <w:t>CRL retrieval with LDAPv3 [5] shall be supported as the primary method. HTTP may be used for checking the revocation status of TLS and NE certificates.</w:t>
      </w:r>
    </w:p>
    <w:p>
      <w:pPr>
        <w:pStyle w:val="Heading2"/>
        <w:rPr/>
      </w:pPr>
      <w:bookmarkStart w:id="101" w:name="__RefHeading___Toc145337392"/>
      <w:bookmarkEnd w:id="101"/>
      <w:r>
        <w:rPr/>
        <w:t>6.2</w:t>
        <w:tab/>
        <w:t>IKE negotiation and profiling</w:t>
      </w:r>
    </w:p>
    <w:p>
      <w:pPr>
        <w:pStyle w:val="Normal"/>
        <w:rPr/>
      </w:pPr>
      <w:r>
        <w:rPr/>
        <w:t xml:space="preserve">For certificate based establishment of IPsec SAs between NDS/IP elements, the IKE profile in this clause shall be used. </w:t>
      </w:r>
    </w:p>
    <w:p>
      <w:pPr>
        <w:pStyle w:val="Heading3"/>
        <w:tabs>
          <w:tab w:val="clear" w:pos="284"/>
          <w:tab w:val="left" w:pos="1140" w:leader="none"/>
        </w:tabs>
        <w:ind w:left="1140" w:hanging="1140"/>
        <w:rPr/>
      </w:pPr>
      <w:bookmarkStart w:id="102" w:name="__RefHeading___Toc145337393"/>
      <w:bookmarkEnd w:id="102"/>
      <w:r>
        <w:rPr/>
        <w:t>6.2.1</w:t>
        <w:tab/>
        <w:t>Void</w:t>
      </w:r>
    </w:p>
    <w:p>
      <w:pPr>
        <w:pStyle w:val="Heading3"/>
        <w:tabs>
          <w:tab w:val="clear" w:pos="284"/>
          <w:tab w:val="left" w:pos="1140" w:leader="none"/>
        </w:tabs>
        <w:ind w:left="1140" w:hanging="1140"/>
        <w:rPr/>
      </w:pPr>
      <w:bookmarkStart w:id="103" w:name="__RefHeading___Toc145337394"/>
      <w:bookmarkEnd w:id="103"/>
      <w:r>
        <w:rPr/>
        <w:t>6.2.1b</w:t>
        <w:tab/>
        <w:t>IKEv2 profile</w:t>
      </w:r>
    </w:p>
    <w:p>
      <w:pPr>
        <w:pStyle w:val="Normal"/>
        <w:rPr/>
      </w:pPr>
      <w:r>
        <w:rPr/>
        <w:t>The following requirements on certificate based IKEv2 authentication in addition to those specified in NDS/IP [1] shall be applied:</w:t>
      </w:r>
    </w:p>
    <w:p>
      <w:pPr>
        <w:pStyle w:val="Normal"/>
        <w:rPr/>
      </w:pPr>
      <w:r>
        <w:rPr/>
        <w:t>For the IKE_INIT_SA and IKE_AUTH exchanges:</w:t>
      </w:r>
    </w:p>
    <w:p>
      <w:pPr>
        <w:pStyle w:val="B1"/>
        <w:rPr/>
      </w:pPr>
      <w:r>
        <w:rPr/>
        <w:t>-</w:t>
        <w:tab/>
        <w:t>Following algorithms shall be supported:</w:t>
      </w:r>
    </w:p>
    <w:p>
      <w:pPr>
        <w:pStyle w:val="B2"/>
        <w:rPr/>
      </w:pPr>
      <w:r>
        <w:rPr>
          <w:lang w:val="en-US"/>
        </w:rPr>
        <w:t>-</w:t>
        <w:tab/>
        <w:t xml:space="preserve">Authentication: Method </w:t>
      </w:r>
      <w:r>
        <w:rPr/>
        <w:t xml:space="preserve">1 - </w:t>
      </w:r>
      <w:r>
        <w:rPr>
          <w:lang w:val="en-US"/>
        </w:rPr>
        <w:t>RSA Digital Signature [42]</w:t>
      </w:r>
      <w:r>
        <w:rPr/>
        <w:t>;</w:t>
      </w:r>
    </w:p>
    <w:p>
      <w:pPr>
        <w:pStyle w:val="B3"/>
        <w:rPr/>
      </w:pPr>
      <w:r>
        <w:rPr/>
        <w:t>-</w:t>
        <w:tab/>
        <w:t>Implementations shall support signatures that use SHA-256, should support signatures that use SHA-384, and shall not support signatures that use SHA-1. Implementations should use SHA-256 as the default hash function when generating signatures.</w:t>
      </w:r>
    </w:p>
    <w:p>
      <w:pPr>
        <w:pStyle w:val="B3"/>
        <w:rPr/>
      </w:pPr>
      <w:r>
        <w:rPr/>
        <w:t>-</w:t>
        <w:tab/>
        <w:t xml:space="preserve">Usage of </w:t>
      </w:r>
      <w:r>
        <w:rPr>
          <w:lang w:val="en-US"/>
        </w:rPr>
        <w:t xml:space="preserve">Method </w:t>
      </w:r>
      <w:r>
        <w:rPr/>
        <w:t>1 is not recommended as it uses PKCS#1v1.5 padding.</w:t>
      </w:r>
    </w:p>
    <w:p>
      <w:pPr>
        <w:pStyle w:val="B2"/>
        <w:rPr/>
      </w:pPr>
      <w:r>
        <w:rPr>
          <w:lang w:val="en-US"/>
        </w:rPr>
        <w:t>-</w:t>
        <w:tab/>
        <w:t>Hash Algorithm Notification [43]</w:t>
      </w:r>
    </w:p>
    <w:p>
      <w:pPr>
        <w:pStyle w:val="B3"/>
        <w:rPr/>
      </w:pPr>
      <w:r>
        <w:rPr/>
        <w:t>-</w:t>
        <w:tab/>
        <w:t>Implementations shall support SHA2-256, should support SHA2-384, and shall not support SHA1.</w:t>
      </w:r>
    </w:p>
    <w:p>
      <w:pPr>
        <w:pStyle w:val="B2"/>
        <w:rPr/>
      </w:pPr>
      <w:r>
        <w:rPr>
          <w:color w:val="000000"/>
          <w:lang w:val="en-US"/>
        </w:rPr>
        <w:t>-</w:t>
        <w:tab/>
        <w:t xml:space="preserve">Authentication: Method </w:t>
      </w:r>
      <w:r>
        <w:rPr/>
        <w:t>14 - Digital Signature [43].</w:t>
      </w:r>
    </w:p>
    <w:p>
      <w:pPr>
        <w:pStyle w:val="B3"/>
        <w:rPr/>
      </w:pPr>
      <w:r>
        <w:rPr/>
        <w:t>-</w:t>
        <w:tab/>
        <w:t>Implementations shall support ecdsa-with-sha256 and should support ecdsa-with-sha384, and should support RSASSA-PSS with SHA-256. Implementations shall not support sha1WithRSAEncryption, dsa-with-sha1, ecdsa-with-sha1, RSASSA-PSS with Empty Parameters, and RSASSA-PSS with Default Parameters.</w:t>
      </w:r>
    </w:p>
    <w:p>
      <w:pPr>
        <w:pStyle w:val="B1"/>
        <w:rPr>
          <w:i/>
          <w:i/>
          <w:iCs/>
        </w:rPr>
      </w:pPr>
      <w:bookmarkStart w:id="104" w:name="_GoBack"/>
      <w:bookmarkEnd w:id="104"/>
      <w:r>
        <w:rPr/>
        <w:t>-</w:t>
        <w:tab/>
        <w:t>The identity of the CERT payload (including the end entity certificate) shall be used for policy checks;</w:t>
      </w:r>
    </w:p>
    <w:p>
      <w:pPr>
        <w:pStyle w:val="B1"/>
        <w:rPr/>
      </w:pPr>
      <w:r>
        <w:rPr/>
        <w:t>-</w:t>
        <w:tab/>
        <w:t>Initiating/responding end entities are required to send certificate requests in the IKE_INIT_SA exchange for the responder and in the IKE_AUTH exchange for the initiator;</w:t>
      </w:r>
    </w:p>
    <w:p>
      <w:pPr>
        <w:pStyle w:val="B1"/>
        <w:rPr/>
      </w:pPr>
      <w:r>
        <w:rPr/>
        <w:t>-</w:t>
        <w:tab/>
        <w:t>Cross-certificates shall not be sent by the peer end entity as they are pre-configured in the end entity;</w:t>
      </w:r>
    </w:p>
    <w:p>
      <w:pPr>
        <w:pStyle w:val="B1"/>
        <w:rPr/>
      </w:pPr>
      <w:r>
        <w:rPr/>
        <w:t>-</w:t>
        <w:tab/>
        <w:t>The certificates in the certificate payload shall be encoded as type 4 (X.509 Certificate – Signature);</w:t>
      </w:r>
    </w:p>
    <w:p>
      <w:pPr>
        <w:pStyle w:val="B1"/>
        <w:rPr/>
      </w:pPr>
      <w:r>
        <w:rPr/>
        <w:t>-</w:t>
        <w:tab/>
        <w:t>An end entity shall rekey the IKE SA when any used end entity certificate expires.</w:t>
      </w:r>
    </w:p>
    <w:p>
      <w:pPr>
        <w:pStyle w:val="NO"/>
        <w:rPr/>
      </w:pPr>
      <w:r>
        <w:rPr/>
        <w:t>NOTE 2:</w:t>
        <w:tab/>
        <w:t>Depending on the availability of DNS between peer end entities, the following rule is applied:</w:t>
      </w:r>
    </w:p>
    <w:p>
      <w:pPr>
        <w:pStyle w:val="B4"/>
        <w:rPr/>
      </w:pPr>
      <w:r>
        <w:rPr/>
        <w:t>-</w:t>
        <w:tab/>
        <w:t>subjectAltName and IKEv2 policy should both contain IP address (in case DNS is not available);</w:t>
      </w:r>
    </w:p>
    <w:p>
      <w:pPr>
        <w:pStyle w:val="B4"/>
        <w:rPr/>
      </w:pPr>
      <w:r>
        <w:rPr/>
        <w:t>-</w:t>
        <w:tab/>
        <w:t>subjectAltName and IKEv2 policy should both contain FQDN (in case DNS is available).</w:t>
      </w:r>
    </w:p>
    <w:p>
      <w:pPr>
        <w:pStyle w:val="Heading3"/>
        <w:tabs>
          <w:tab w:val="clear" w:pos="284"/>
          <w:tab w:val="left" w:pos="1140" w:leader="none"/>
        </w:tabs>
        <w:ind w:left="1140" w:hanging="1140"/>
        <w:rPr/>
      </w:pPr>
      <w:bookmarkStart w:id="105" w:name="__RefHeading___Toc145337395"/>
      <w:bookmarkEnd w:id="105"/>
      <w:r>
        <w:rPr/>
        <w:t>6.2.2</w:t>
        <w:tab/>
        <w:t>Potential interoperability issues</w:t>
      </w:r>
    </w:p>
    <w:p>
      <w:pPr>
        <w:pStyle w:val="Normal"/>
        <w:keepNext w:val="true"/>
        <w:keepLines/>
        <w:rPr/>
      </w:pPr>
      <w:r>
        <w:rPr/>
        <w:t xml:space="preserve">Some PKI-capable VPN gateways do not support fragmentation of IKE packets, which becomes an issue when more than one certificate is sent in the certificate payloads, forcing IKE packet fragmentation. This means that direct cross-certification or manually importing the peer CA certificate to the local SEG and trusting it is preferable to bridge CA systems. When IKE is run over pure IPv6 the typical MTU sizes do not increase and long packets still have to be fragmented (allowed for end UDP hosts even for IPv6, see Path MTU Discovery for IPv6 – </w:t>
      </w:r>
      <w:r>
        <w:rPr>
          <w:lang w:val="en-US" w:eastAsia="en-US"/>
        </w:rPr>
        <w:t>RFC 8201</w:t>
      </w:r>
      <w:r>
        <w:rPr/>
        <w:t xml:space="preserve"> [48), so this is a potential interoperability issue.</w:t>
      </w:r>
    </w:p>
    <w:p>
      <w:pPr>
        <w:pStyle w:val="Normal"/>
        <w:rPr/>
      </w:pPr>
      <w:r>
        <w:rPr/>
        <w:t>Certificate encoding with PKCS#7 is supported by some PKI-capable VPN gateways, but it shall not be used.</w:t>
      </w:r>
    </w:p>
    <w:p>
      <w:pPr>
        <w:pStyle w:val="Heading2"/>
        <w:tabs>
          <w:tab w:val="clear" w:pos="284"/>
          <w:tab w:val="left" w:pos="1140" w:leader="none"/>
        </w:tabs>
        <w:ind w:left="1140" w:hanging="1140"/>
        <w:rPr/>
      </w:pPr>
      <w:bookmarkStart w:id="106" w:name="__RefHeading___Toc145337396"/>
      <w:bookmarkEnd w:id="106"/>
      <w:r>
        <w:rPr/>
        <w:t>6.2a</w:t>
        <w:tab/>
        <w:t>TLS profiling</w:t>
      </w:r>
    </w:p>
    <w:p>
      <w:pPr>
        <w:pStyle w:val="Normal"/>
        <w:rPr/>
      </w:pPr>
      <w:r>
        <w:rPr/>
        <w:t>For 3GPP uses of TLS for inter-operator security, the TLS profile in this clause shall be used.</w:t>
      </w:r>
    </w:p>
    <w:p>
      <w:pPr>
        <w:pStyle w:val="Heading3"/>
        <w:tabs>
          <w:tab w:val="clear" w:pos="284"/>
          <w:tab w:val="left" w:pos="1140" w:leader="none"/>
        </w:tabs>
        <w:ind w:left="1140" w:hanging="1140"/>
        <w:rPr/>
      </w:pPr>
      <w:bookmarkStart w:id="107" w:name="__RefHeading___Toc145337397"/>
      <w:bookmarkEnd w:id="107"/>
      <w:r>
        <w:rPr/>
        <w:t>6.2a.1</w:t>
        <w:tab/>
        <w:t>TLS profile</w:t>
      </w:r>
    </w:p>
    <w:p>
      <w:pPr>
        <w:pStyle w:val="Normal"/>
        <w:rPr/>
      </w:pPr>
      <w:r>
        <w:rPr/>
        <w:t>The following requirements are mandatory:</w:t>
      </w:r>
    </w:p>
    <w:p>
      <w:pPr>
        <w:pStyle w:val="B1"/>
        <w:rPr/>
      </w:pPr>
      <w:r>
        <w:rPr/>
        <w:t>-</w:t>
        <w:tab/>
        <w:t>The TLS server shall always send its own end entity certificate in the ServerCertificate message;</w:t>
      </w:r>
    </w:p>
    <w:p>
      <w:pPr>
        <w:pStyle w:val="B1"/>
        <w:rPr/>
      </w:pPr>
      <w:r>
        <w:rPr/>
        <w:t>-</w:t>
        <w:tab/>
        <w:t>The TLS client shall send its own end entity certificate in the Certificate message if requested by the TLS server;</w:t>
      </w:r>
    </w:p>
    <w:p>
      <w:pPr>
        <w:pStyle w:val="B1"/>
        <w:rPr/>
      </w:pPr>
      <w:r>
        <w:rPr/>
        <w:t>-</w:t>
        <w:tab/>
        <w:t>Cross-certificates shall not be sent by the TLS entities in the TLS handshake as they are available locally to the TLS entities.</w:t>
      </w:r>
    </w:p>
    <w:p>
      <w:pPr>
        <w:pStyle w:val="Heading3"/>
        <w:tabs>
          <w:tab w:val="clear" w:pos="284"/>
          <w:tab w:val="left" w:pos="1140" w:leader="none"/>
        </w:tabs>
        <w:ind w:left="1140" w:hanging="1140"/>
        <w:rPr/>
      </w:pPr>
      <w:bookmarkStart w:id="108" w:name="__RefHeading___Toc145337398"/>
      <w:bookmarkEnd w:id="108"/>
      <w:r>
        <w:rPr/>
        <w:t>6.2a.2</w:t>
        <w:tab/>
        <w:t>Potential interoperability issues</w:t>
      </w:r>
    </w:p>
    <w:p>
      <w:pPr>
        <w:pStyle w:val="Normal"/>
        <w:rPr/>
      </w:pPr>
      <w:r>
        <w:rPr/>
        <w:t xml:space="preserve">No general interoperability issues are identified. </w:t>
      </w:r>
    </w:p>
    <w:p>
      <w:pPr>
        <w:pStyle w:val="Heading2"/>
        <w:rPr/>
      </w:pPr>
      <w:bookmarkStart w:id="109" w:name="__RefHeading___Toc145337399"/>
      <w:bookmarkEnd w:id="109"/>
      <w:r>
        <w:rPr/>
        <w:t>6.3</w:t>
        <w:tab/>
        <w:t>Path validation</w:t>
      </w:r>
    </w:p>
    <w:p>
      <w:pPr>
        <w:pStyle w:val="Heading3"/>
        <w:rPr/>
      </w:pPr>
      <w:bookmarkStart w:id="110" w:name="__RefHeading___Toc145337400"/>
      <w:bookmarkEnd w:id="110"/>
      <w:r>
        <w:rPr/>
        <w:t>6.3.1</w:t>
        <w:tab/>
        <w:t>Path validation profiling</w:t>
      </w:r>
    </w:p>
    <w:p>
      <w:pPr>
        <w:pStyle w:val="B1"/>
        <w:rPr/>
      </w:pPr>
      <w:r>
        <w:rPr/>
        <w:t>-</w:t>
        <w:tab/>
        <w:t xml:space="preserve">Validity of certificates received from the peer end entity shall be verified by CRLs retrieved via the mechanisms specified in section 6.1.1, based on the CRL Distribution Point in the certificates. </w:t>
      </w:r>
    </w:p>
    <w:p>
      <w:pPr>
        <w:pStyle w:val="B1"/>
        <w:rPr/>
      </w:pPr>
      <w:r>
        <w:rPr/>
        <w:t>-</w:t>
        <w:tab/>
        <w:t xml:space="preserve">Validity of certificates received from the TLS entity shall be verified by CRLs retrieved via the mechanisms specified in section 6.1.1, based on the CRL Distribution Point in the certificates. </w:t>
      </w:r>
    </w:p>
    <w:p>
      <w:pPr>
        <w:pStyle w:val="B1"/>
        <w:rPr/>
      </w:pPr>
      <w:r>
        <w:rPr/>
        <w:t>-</w:t>
        <w:tab/>
        <w:t>Any NE, SEG or TLS entity shall not validate received certificates from a peer entity whose validity time has expired, but end the path validation with a negative result.</w:t>
      </w:r>
    </w:p>
    <w:p>
      <w:pPr>
        <w:pStyle w:val="B1"/>
        <w:rPr/>
      </w:pPr>
      <w:r>
        <w:rPr/>
        <w:t>-</w:t>
        <w:tab/>
        <w:t>Any NE, SEG shall not validate received certificates from a peer entity whose CRL distribution point field is empty, but end the path validation with a negative result.</w:t>
      </w:r>
    </w:p>
    <w:p>
      <w:pPr>
        <w:pStyle w:val="B1"/>
        <w:rPr/>
      </w:pPr>
      <w:r>
        <w:rPr/>
        <w:t>-</w:t>
        <w:tab/>
        <w:t>Certificate validity calculation results shall not be cached in a SEGs or NEs for longer than the lifetime enforced by the end entity.</w:t>
      </w:r>
    </w:p>
    <w:p>
      <w:pPr>
        <w:pStyle w:val="B1"/>
        <w:rPr/>
      </w:pPr>
      <w:r>
        <w:rPr/>
        <w:t>-</w:t>
        <w:tab/>
        <w:t>Certificate validity calculation results shall not be cached in TLS entities for longer than the TLS connection lifetime.</w:t>
      </w:r>
    </w:p>
    <w:p>
      <w:pPr>
        <w:pStyle w:val="Heading1"/>
        <w:ind w:left="1134" w:hanging="1134"/>
        <w:rPr/>
      </w:pPr>
      <w:bookmarkStart w:id="111" w:name="__RefHeading___Toc145337401"/>
      <w:bookmarkEnd w:id="111"/>
      <w:r>
        <w:rPr/>
        <w:t>7</w:t>
        <w:tab/>
        <w:t>Detailed description of architecture and mechanisms</w:t>
      </w:r>
    </w:p>
    <w:p>
      <w:pPr>
        <w:pStyle w:val="Heading2"/>
        <w:rPr/>
      </w:pPr>
      <w:bookmarkStart w:id="112" w:name="__RefHeading___Toc145337402"/>
      <w:bookmarkEnd w:id="112"/>
      <w:r>
        <w:rPr/>
        <w:t>7.1</w:t>
        <w:tab/>
        <w:t>Repositories</w:t>
      </w:r>
    </w:p>
    <w:p>
      <w:pPr>
        <w:pStyle w:val="Normal"/>
        <w:rPr/>
      </w:pPr>
      <w:r>
        <w:rPr/>
        <w:t>During secure connection establishment, each NE, SEG or TLS entity  has to verify the validity of its peer's certificate according to clause  5.2.2. Any certificate could be invalid because it was revoked (and replaced by a new one) or a NE, SEG, TLS entity or operator has been deregistered.</w:t>
      </w:r>
    </w:p>
    <w:p>
      <w:pPr>
        <w:pStyle w:val="Normal"/>
        <w:rPr/>
      </w:pPr>
      <w:r>
        <w:rPr/>
        <w:t>Consider secure connection establishment between Peer</w:t>
      </w:r>
      <w:r>
        <w:rPr>
          <w:vertAlign w:val="subscript"/>
        </w:rPr>
        <w:t>A</w:t>
      </w:r>
      <w:r>
        <w:rPr/>
        <w:t xml:space="preserve"> in network A and Peer</w:t>
      </w:r>
      <w:r>
        <w:rPr>
          <w:vertAlign w:val="subscript"/>
        </w:rPr>
        <w:t>B</w:t>
      </w:r>
      <w:r>
        <w:rPr/>
        <w:t xml:space="preserve"> in network B.</w:t>
      </w:r>
    </w:p>
    <w:p>
      <w:pPr>
        <w:pStyle w:val="Normal"/>
        <w:rPr/>
      </w:pPr>
      <w:r>
        <w:rPr/>
        <w:t>Peer</w:t>
      </w:r>
      <w:r>
        <w:rPr>
          <w:vertAlign w:val="subscript"/>
        </w:rPr>
        <w:t>B</w:t>
      </w:r>
      <w:r>
        <w:rPr/>
        <w:t xml:space="preserve"> has to verify that:</w:t>
      </w:r>
    </w:p>
    <w:p>
      <w:pPr>
        <w:pStyle w:val="B1"/>
        <w:rPr/>
      </w:pPr>
      <w:r>
        <w:rPr/>
        <w:t>a)</w:t>
        <w:tab/>
        <w:t>the cross-certificate of the Peer</w:t>
      </w:r>
      <w:r>
        <w:rPr>
          <w:vertAlign w:val="subscript"/>
        </w:rPr>
        <w:t>A</w:t>
      </w:r>
      <w:r>
        <w:rPr/>
        <w:t>'s CA</w:t>
      </w:r>
      <w:r>
        <w:rPr>
          <w:vertAlign w:val="subscript"/>
        </w:rPr>
        <w:t>A</w:t>
      </w:r>
      <w:r>
        <w:rPr/>
        <w:t xml:space="preserve"> is still valid;</w:t>
      </w:r>
    </w:p>
    <w:p>
      <w:pPr>
        <w:pStyle w:val="B1"/>
        <w:rPr/>
      </w:pPr>
      <w:r>
        <w:rPr/>
        <w:t>b)</w:t>
        <w:tab/>
        <w:t>the certificate of Peer</w:t>
      </w:r>
      <w:r>
        <w:rPr>
          <w:vertAlign w:val="subscript"/>
        </w:rPr>
        <w:t>A</w:t>
      </w:r>
      <w:r>
        <w:rPr/>
        <w:t xml:space="preserve"> is still valid,</w:t>
      </w:r>
    </w:p>
    <w:p>
      <w:pPr>
        <w:pStyle w:val="B1"/>
        <w:rPr/>
      </w:pPr>
      <w:r>
        <w:rPr/>
        <w:t>and be able to:</w:t>
      </w:r>
    </w:p>
    <w:p>
      <w:pPr>
        <w:pStyle w:val="B1"/>
        <w:rPr/>
      </w:pPr>
      <w:r>
        <w:rPr/>
        <w:t>c)</w:t>
        <w:tab/>
        <w:t>fetch the cross-certificate of Peer</w:t>
      </w:r>
      <w:r>
        <w:rPr>
          <w:vertAlign w:val="subscript"/>
        </w:rPr>
        <w:t>A</w:t>
      </w:r>
      <w:r>
        <w:rPr/>
        <w:t xml:space="preserve"> CA</w:t>
      </w:r>
      <w:r>
        <w:rPr>
          <w:vertAlign w:val="subscript"/>
        </w:rPr>
        <w:t>A</w:t>
      </w:r>
      <w:r>
        <w:rPr/>
        <w:t xml:space="preserve"> (if not found in Peer</w:t>
      </w:r>
      <w:r>
        <w:rPr>
          <w:vertAlign w:val="subscript"/>
        </w:rPr>
        <w:t>A</w:t>
      </w:r>
      <w:r>
        <w:rPr/>
        <w:t xml:space="preserve"> 's cache or local store).</w:t>
      </w:r>
    </w:p>
    <w:p>
      <w:pPr>
        <w:pStyle w:val="Normal"/>
        <w:rPr/>
      </w:pPr>
      <w:r>
        <w:rPr/>
        <w:t>Peer</w:t>
      </w:r>
      <w:r>
        <w:rPr>
          <w:vertAlign w:val="subscript"/>
        </w:rPr>
        <w:t>A</w:t>
      </w:r>
      <w:r>
        <w:rPr/>
        <w:t xml:space="preserve"> performs the same checks from its own perspective.</w:t>
      </w:r>
    </w:p>
    <w:p>
      <w:pPr>
        <w:pStyle w:val="Normal"/>
        <w:rPr/>
      </w:pPr>
      <w:r>
        <w:rPr/>
        <w:t>Check a) can be performed by querying the local CRL. For check b), a CRL of the Peer</w:t>
      </w:r>
      <w:r>
        <w:rPr>
          <w:vertAlign w:val="subscript"/>
        </w:rPr>
        <w:t>A</w:t>
      </w:r>
      <w:r>
        <w:rPr/>
        <w:t>'s CA shall be queried. At this point of time, the secure connection is not yet available, therefore the public CRL of the Peer</w:t>
      </w:r>
      <w:r>
        <w:rPr>
          <w:vertAlign w:val="subscript"/>
        </w:rPr>
        <w:t>A</w:t>
      </w:r>
      <w:r>
        <w:rPr/>
        <w:t>'s CA shall be accessible without relying on a secure connection.</w:t>
      </w:r>
    </w:p>
    <w:p>
      <w:pPr>
        <w:pStyle w:val="Normal"/>
        <w:rPr/>
      </w:pPr>
      <w:r>
        <w:rPr/>
        <w:t>Figure 4 and Figure 4a illustrate the repositories and the above-mentioned steps a) – c). The local Certificate Repository (CR) contains cross-certificates for SEG CAs and possibly cross-certificates for TLS CAs if these are not locally stored in the TLS entities. Local CRLs contains SEG CA and TLS CA cross-certificate revocations, and the public CRL contains revocations of SEG, TLS entity, SEG CA, and TLS CA certificates, and can be accessed by other operators.</w:t>
      </w:r>
    </w:p>
    <w:p>
      <w:pPr>
        <w:pStyle w:val="Normal"/>
        <w:rPr/>
      </w:pPr>
      <w:r>
        <w:rPr/>
        <w:t>An operator's internal repository may contain the revocations of NE and NE CA if not contained in the Public CRL repository.</w:t>
      </w:r>
    </w:p>
    <w:p>
      <w:pPr>
        <w:pStyle w:val="TH"/>
        <w:rPr/>
      </w:pPr>
      <w:bookmarkStart w:id="113" w:name="_1147879188"/>
      <w:bookmarkStart w:id="114" w:name="_1147164164"/>
      <w:bookmarkStart w:id="115" w:name="_1147163112"/>
      <w:bookmarkEnd w:id="113"/>
      <w:bookmarkEnd w:id="114"/>
      <w:bookmarkEnd w:id="115"/>
      <w:r>
        <w:rPr/>
        <w:object w:dxaOrig="9645" w:dyaOrig="8228">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48pt;height:382.15pt" filled="f" o:ole="">
            <v:imagedata r:id="rId19" o:title=""/>
          </v:shape>
          <o:OLEObject Type="Embed" ProgID="" ShapeID="ole_rId18" DrawAspect="Content" ObjectID="_295614533" r:id="rId18"/>
        </w:object>
      </w:r>
    </w:p>
    <w:p>
      <w:pPr>
        <w:pStyle w:val="TF"/>
        <w:rPr/>
      </w:pPr>
      <w:r>
        <w:rPr/>
        <w:t>Figure 4: Repositories for NDS/IP to support Za interface</w:t>
      </w:r>
    </w:p>
    <w:p>
      <w:pPr>
        <w:pStyle w:val="TH"/>
        <w:rPr/>
      </w:pPr>
      <w:bookmarkStart w:id="116" w:name="_1214339975"/>
      <w:bookmarkStart w:id="117" w:name="_1214339858"/>
      <w:bookmarkStart w:id="118" w:name="_1204531490"/>
      <w:bookmarkEnd w:id="116"/>
      <w:bookmarkEnd w:id="117"/>
      <w:bookmarkEnd w:id="118"/>
      <w:r>
        <w:rPr/>
        <w:drawing>
          <wp:inline distT="0" distB="0" distL="0" distR="0">
            <wp:extent cx="5689600" cy="485330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20"/>
                    <a:srcRect l="-6" t="-7" r="-6" b="-7"/>
                    <a:stretch>
                      <a:fillRect/>
                    </a:stretch>
                  </pic:blipFill>
                  <pic:spPr bwMode="auto">
                    <a:xfrm>
                      <a:off x="0" y="0"/>
                      <a:ext cx="5689600" cy="4853305"/>
                    </a:xfrm>
                    <a:prstGeom prst="rect">
                      <a:avLst/>
                    </a:prstGeom>
                  </pic:spPr>
                </pic:pic>
              </a:graphicData>
            </a:graphic>
          </wp:inline>
        </w:drawing>
      </w:r>
    </w:p>
    <w:p>
      <w:pPr>
        <w:pStyle w:val="TF"/>
        <w:rPr>
          <w:lang w:val="en-US" w:eastAsia="en-US"/>
        </w:rPr>
      </w:pPr>
      <w:r>
        <w:rPr/>
        <w:t>Figure 5: Repositories for TLS case</w:t>
      </w:r>
    </w:p>
    <w:p>
      <w:pPr>
        <w:pStyle w:val="TH"/>
        <w:rPr/>
      </w:pPr>
      <w:bookmarkStart w:id="119" w:name="_1263640699"/>
      <w:bookmarkStart w:id="120" w:name="_1263636977"/>
      <w:bookmarkEnd w:id="119"/>
      <w:bookmarkEnd w:id="120"/>
      <w:r>
        <w:rPr/>
        <w:object w:dxaOrig="9645" w:dyaOrig="8228">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448pt;height:382.15pt" filled="f" o:ole="">
            <v:imagedata r:id="rId22" o:title=""/>
          </v:shape>
          <o:OLEObject Type="Embed" ProgID="" ShapeID="ole_rId21" DrawAspect="Content" ObjectID="_458360596" r:id="rId21"/>
        </w:object>
      </w:r>
    </w:p>
    <w:p>
      <w:pPr>
        <w:pStyle w:val="TF"/>
        <w:rPr/>
      </w:pPr>
      <w:r>
        <w:rPr/>
        <w:t>Figure 6: Repositories for NDS/IP to support Zb interface</w:t>
      </w:r>
    </w:p>
    <w:p>
      <w:pPr>
        <w:pStyle w:val="Normal"/>
        <w:rPr/>
      </w:pPr>
      <w:r>
        <w:rPr>
          <w:lang w:val="en-US" w:eastAsia="en-US"/>
        </w:rPr>
        <w:t>If the SEG CA, TLS CA or Interconnection CA are combined then the public and local repositories of the CA may be implemented as separate databases or as a single database which is accessible via two different interfaces. Access to the "public" CRL is public with respect to the interconnecting transport network (e.g. GRX). The public CRL should be adequately protected (e.g by a firewall) and the owner of the public CRL may limit access to it according to his interconnect agreements. Access to a public CRL database does not need to be secured.</w:t>
      </w:r>
    </w:p>
    <w:p>
      <w:pPr>
        <w:pStyle w:val="NO"/>
        <w:rPr/>
      </w:pPr>
      <w:r>
        <w:rPr/>
        <w:t>NOTE 1:</w:t>
        <w:tab/>
        <w:t>First it is not necessary to secure access to the CRL database as the retrieved CRL is integrity protected and contains no confidential information. Secondly access via an unprotected interface is anyhow necessary in case no currently valid security association is available to access the public CRL database.</w:t>
      </w:r>
    </w:p>
    <w:p>
      <w:pPr>
        <w:pStyle w:val="Normal"/>
        <w:rPr/>
      </w:pPr>
      <w:r>
        <w:rPr>
          <w:lang w:val="en-US" w:eastAsia="en-US"/>
        </w:rPr>
        <w:t>SEGs shall use LDAP to access the CRL and cross-certificate repositories. TLS entities shall use LDAP or HTTP to access the CRL repositories. TLS entities may use LDAP to access the cross-certificate repositories, if the cross certificates are not stored locally in the TLS entity. NE's may use LDAP or HTTP to access the CRL repositories.</w:t>
      </w:r>
    </w:p>
    <w:p>
      <w:pPr>
        <w:pStyle w:val="NO"/>
        <w:rPr>
          <w:lang w:val="en-US" w:eastAsia="en-US"/>
        </w:rPr>
      </w:pPr>
      <w:r>
        <w:rPr/>
        <w:t>NOTE 2:</w:t>
        <w:tab/>
        <w:t>Interfaces a) and c) for locating the data used to establish secure communications between operators belong to the scope of NDS/AF (in addition to public b) interface) as the purpose is to guarantee the interoperability between different SEGs, TLS entities and repository implementations. The possible migration to the cross-certification with a Bridge CA would also require these interfaces to be specified.</w:t>
      </w:r>
    </w:p>
    <w:p>
      <w:pPr>
        <w:pStyle w:val="Heading2"/>
        <w:tabs>
          <w:tab w:val="clear" w:pos="284"/>
          <w:tab w:val="left" w:pos="1140" w:leader="none"/>
        </w:tabs>
        <w:ind w:left="1140" w:hanging="1140"/>
        <w:rPr/>
      </w:pPr>
      <w:bookmarkStart w:id="121" w:name="__RefHeading___Toc145337403"/>
      <w:bookmarkEnd w:id="121"/>
      <w:r>
        <w:rPr/>
        <w:t>7.2</w:t>
        <w:tab/>
        <w:t>Life cycle management</w:t>
      </w:r>
    </w:p>
    <w:p>
      <w:pPr>
        <w:pStyle w:val="Normal"/>
        <w:rPr/>
      </w:pPr>
      <w:r>
        <w:rPr/>
        <w:t>Certificate Management Protocol v2 (CMPv2) [4] shall be the supported protocol to provide certificate lifecycle management capabilities for SEGs. All SEGs and SEG CAs shall support initial enrolment by the SEG to the SEG CA via CMPv2, i.e. receiving a certificate from the SEG CA, and updating the key of the certificate via CMPv2 before the certificate expires.</w:t>
      </w:r>
    </w:p>
    <w:p>
      <w:pPr>
        <w:pStyle w:val="Normal"/>
        <w:rPr/>
      </w:pPr>
      <w:r>
        <w:rPr/>
        <w:t>Certificate Management Protocol v2 (CMPv2) [4] should be the supported protocol to provide certificate lifecycle management capabilities for TLS entities. All TLS entities and TLS CAs should support initial enrolment by the TLS entity to the TLS CA via CMPv2, i.e. receiving a certificate from the TLS CA, and updating the key of the certificate via CMPv2 before the certificate expires.</w:t>
      </w:r>
    </w:p>
    <w:p>
      <w:pPr>
        <w:pStyle w:val="Normal"/>
        <w:rPr/>
      </w:pPr>
      <w:r>
        <w:rPr/>
        <w:t>Certificate Management Protocol v2 (CMPv2) [4] shall be the supported protocol to provide certificate lifecycle management capabilities for NEs. All NEs and NE CAs shall support initial enrolment by the NE to the NE CA via CMPv2, i.e. receiving a certificate from the NE CA, and updating the key of the certificate via CMPv2 before the certificate expires.</w:t>
      </w:r>
    </w:p>
    <w:p>
      <w:pPr>
        <w:pStyle w:val="Normal"/>
        <w:rPr/>
      </w:pPr>
      <w:r>
        <w:rPr/>
        <w:t xml:space="preserve">Enrolling a certificate to a SEG, NE or TLS entity is an operation that may be done more often than inter-operator cross-certifications, thus more automation could be required by the operator than is possible with a PKCS#10 approach. However, also manual SEG and NE certificate installation using PKCS#10 formats shall be supported. It should be also noted that the lifetime of a SEG CA cross-certificate is considerably longer than the lifetime of a SEG certificate. </w:t>
      </w:r>
    </w:p>
    <w:p>
      <w:pPr>
        <w:pStyle w:val="NO"/>
        <w:rPr/>
      </w:pPr>
      <w:r>
        <w:rPr/>
        <w:t>NOTE:</w:t>
        <w:tab/>
        <w:t>CMPv2 is preferred to CMPv1 (specified in obsoleted RFC 2510), because of the interoperability issues with CMPv1.</w:t>
      </w:r>
    </w:p>
    <w:p>
      <w:pPr>
        <w:pStyle w:val="Heading2"/>
        <w:tabs>
          <w:tab w:val="clear" w:pos="284"/>
          <w:tab w:val="left" w:pos="1140" w:leader="none"/>
        </w:tabs>
        <w:ind w:left="1140" w:hanging="1140"/>
        <w:rPr/>
      </w:pPr>
      <w:bookmarkStart w:id="122" w:name="__RefHeading___Toc145337404"/>
      <w:bookmarkEnd w:id="122"/>
      <w:r>
        <w:rPr/>
        <w:t>7.3</w:t>
        <w:tab/>
        <w:t>Cross-certification</w:t>
      </w:r>
    </w:p>
    <w:p>
      <w:pPr>
        <w:pStyle w:val="Normal"/>
        <w:rPr/>
      </w:pPr>
      <w:r>
        <w:rPr/>
        <w:t>Both operators use the following procedure to create a SEG CA or TLS CA cross-certificate:</w:t>
      </w:r>
    </w:p>
    <w:p>
      <w:pPr>
        <w:pStyle w:val="Normal"/>
        <w:rPr/>
      </w:pPr>
      <w:r>
        <w:rPr/>
        <w:t>1.</w:t>
        <w:tab/>
        <w:t>The SEG CA or TLS CA creates a PKCS#10 certificate request, and sends it to the other operator;</w:t>
      </w:r>
    </w:p>
    <w:p>
      <w:pPr>
        <w:pStyle w:val="Normal"/>
        <w:rPr/>
      </w:pPr>
      <w:r>
        <w:rPr/>
        <w:t>2.</w:t>
        <w:tab/>
        <w:t>The Interconnection CA receives a similar request from the other operator;</w:t>
      </w:r>
    </w:p>
    <w:p>
      <w:pPr>
        <w:pStyle w:val="Normal"/>
        <w:rPr/>
      </w:pPr>
      <w:r>
        <w:rPr/>
        <w:t>3.</w:t>
        <w:tab/>
        <w:t>The Interconnection CA accepts the request and creates a new cross-certificate;</w:t>
      </w:r>
    </w:p>
    <w:p>
      <w:pPr>
        <w:pStyle w:val="Normal"/>
        <w:rPr/>
      </w:pPr>
      <w:r>
        <w:rPr/>
        <w:t>4.</w:t>
        <w:tab/>
        <w:t>The SEG CA cross-certificate is stored once into the local CR of the Interconnection CA and LDAP is used to fetch cross-certificates. The TLS CA cross-certificate may be stored once into the local CR of the Interconnection CA and LDAP is used to fetch cross-certificates. Alternatively the TLS CA cross certificate may be locally stored in the TLS entities.</w:t>
      </w:r>
    </w:p>
    <w:p>
      <w:pPr>
        <w:pStyle w:val="Heading2"/>
        <w:rPr/>
      </w:pPr>
      <w:bookmarkStart w:id="123" w:name="__RefHeading___Toc145337405"/>
      <w:bookmarkEnd w:id="123"/>
      <w:r>
        <w:rPr/>
        <w:t>7.4</w:t>
        <w:tab/>
        <w:t>Revoking a SEG/TLS CA cross-certificate</w:t>
      </w:r>
    </w:p>
    <w:p>
      <w:pPr>
        <w:pStyle w:val="Normal"/>
        <w:rPr/>
      </w:pPr>
      <w:r>
        <w:rPr/>
        <w:t>The following procedure is used to revoke a SEG CA cross-certificate:</w:t>
      </w:r>
    </w:p>
    <w:p>
      <w:pPr>
        <w:pStyle w:val="Normal"/>
        <w:rPr/>
      </w:pPr>
      <w:r>
        <w:rPr/>
        <w:t>1.</w:t>
        <w:tab/>
        <w:t>The cross-certificate is added into the Interconnection CA's CRL;</w:t>
      </w:r>
    </w:p>
    <w:p>
      <w:pPr>
        <w:pStyle w:val="Normal"/>
        <w:rPr/>
      </w:pPr>
      <w:r>
        <w:rPr/>
        <w:t>2.</w:t>
        <w:tab/>
        <w:t xml:space="preserve">The cross-certificate is removed from the Interconnection CA's CR. </w:t>
      </w:r>
    </w:p>
    <w:p>
      <w:pPr>
        <w:pStyle w:val="Normal"/>
        <w:rPr/>
      </w:pPr>
      <w:r>
        <w:rPr/>
        <w:t>The following procedure is used to revoke a TLS CA cross-certificate:</w:t>
      </w:r>
    </w:p>
    <w:p>
      <w:pPr>
        <w:pStyle w:val="Normal"/>
        <w:rPr/>
      </w:pPr>
      <w:r>
        <w:rPr/>
        <w:t>1.</w:t>
        <w:tab/>
        <w:t>The cross-certificate is added into the Interconnection CA's CRL;</w:t>
      </w:r>
    </w:p>
    <w:p>
      <w:pPr>
        <w:pStyle w:val="Normal"/>
        <w:rPr/>
      </w:pPr>
      <w:r>
        <w:rPr/>
        <w:t>2.</w:t>
        <w:tab/>
        <w:t>If the TLS CA cross certificates are stored in the Interconnection CA's CR, then the cross-certificate is removed.</w:t>
      </w:r>
    </w:p>
    <w:p>
      <w:pPr>
        <w:pStyle w:val="Normal"/>
        <w:rPr/>
      </w:pPr>
      <w:r>
        <w:rPr/>
        <w:t xml:space="preserve">3. </w:t>
        <w:tab/>
        <w:t>If the TLS CA cross-certificates are stored locally in the TLS entities, then the locally stored cross-certificates are deleted in the TLS entities.</w:t>
      </w:r>
    </w:p>
    <w:p>
      <w:pPr>
        <w:pStyle w:val="Heading2"/>
        <w:tabs>
          <w:tab w:val="clear" w:pos="284"/>
          <w:tab w:val="left" w:pos="1140" w:leader="none"/>
        </w:tabs>
        <w:ind w:left="1140" w:hanging="1140"/>
        <w:rPr/>
      </w:pPr>
      <w:bookmarkStart w:id="124" w:name="__RefHeading___Toc145337406"/>
      <w:bookmarkEnd w:id="124"/>
      <w:r>
        <w:rPr/>
        <w:t>7.5</w:t>
        <w:tab/>
        <w:t>Establishing secure connections between NDS/IP end entities using IKE on the Za interface</w:t>
      </w:r>
    </w:p>
    <w:p>
      <w:pPr>
        <w:pStyle w:val="Normal"/>
        <w:rPr/>
      </w:pPr>
      <w:r>
        <w:rPr/>
        <w:t>Certificate based authentication during the IKEv2 IKE_INIT_SA/IKE_AUTH exchanges is shown in figure 4 above. The SEGa uses the following procedure to authenticate SEGb:</w:t>
      </w:r>
    </w:p>
    <w:p>
      <w:pPr>
        <w:pStyle w:val="Normal"/>
        <w:rPr/>
      </w:pPr>
      <w:r>
        <w:rPr/>
        <w:t>1.</w:t>
        <w:tab/>
        <w:t>SEGa requests SEGb's certificate using the CERTREQ payload;</w:t>
      </w:r>
    </w:p>
    <w:p>
      <w:pPr>
        <w:pStyle w:val="Normal"/>
        <w:rPr/>
      </w:pPr>
      <w:r>
        <w:rPr/>
        <w:t>2.</w:t>
        <w:tab/>
        <w:t>SEGa receives SEGb's certificate inside the CERT payload;</w:t>
      </w:r>
    </w:p>
    <w:p>
      <w:pPr>
        <w:pStyle w:val="Normal"/>
        <w:rPr/>
      </w:pPr>
      <w:r>
        <w:rPr/>
        <w:t>3.</w:t>
        <w:tab/>
        <w:t>SEGa authenticates SEGb (verifies signatures);</w:t>
      </w:r>
    </w:p>
    <w:p>
      <w:pPr>
        <w:pStyle w:val="Normal"/>
        <w:rPr/>
      </w:pPr>
      <w:r>
        <w:rPr/>
        <w:t>4.</w:t>
        <w:tab/>
        <w:t>SEGa fetches a CRL from the (public) CRL database of SEG CAb if the locally cached CRL has expired;</w:t>
      </w:r>
    </w:p>
    <w:p>
      <w:pPr>
        <w:pStyle w:val="Normal"/>
        <w:rPr/>
      </w:pPr>
      <w:r>
        <w:rPr/>
        <w:t>5.</w:t>
        <w:tab/>
        <w:t>SEGa uses this CRL to verify the status of SEGb's certificate;</w:t>
      </w:r>
    </w:p>
    <w:p>
      <w:pPr>
        <w:pStyle w:val="Normal"/>
        <w:rPr/>
      </w:pPr>
      <w:r>
        <w:rPr/>
        <w:t>6.</w:t>
        <w:tab/>
        <w:t>SEGa uses either the locally cached cross-certificate or fetches the cross-certificate from the (local) Interconnection CAa CR</w:t>
      </w:r>
      <w:r>
        <w:rPr>
          <w:lang w:eastAsia="zh-CN"/>
        </w:rPr>
        <w:t xml:space="preserve"> to verify SEGb</w:t>
      </w:r>
      <w:r>
        <w:rPr/>
        <w:t>'s</w:t>
      </w:r>
      <w:r>
        <w:rPr>
          <w:lang w:eastAsia="zh-CN"/>
        </w:rPr>
        <w:t xml:space="preserve"> certificate;</w:t>
      </w:r>
    </w:p>
    <w:p>
      <w:pPr>
        <w:pStyle w:val="Normal"/>
        <w:rPr/>
      </w:pPr>
      <w:r>
        <w:rPr/>
        <w:t>7.</w:t>
        <w:tab/>
        <w:t>SEGa fetches a CRL from the (local) Interconnection CAa CRL if the locally cached CRL has expired;</w:t>
      </w:r>
    </w:p>
    <w:p>
      <w:pPr>
        <w:pStyle w:val="Normal"/>
        <w:rPr/>
      </w:pPr>
      <w:r>
        <w:rPr/>
        <w:t>8.</w:t>
        <w:tab/>
        <w:t>SEGa uses this CRL to verify the status of the SEG CA cross-certificate;</w:t>
      </w:r>
    </w:p>
    <w:p>
      <w:pPr>
        <w:pStyle w:val="Normal"/>
        <w:rPr/>
      </w:pPr>
      <w:r>
        <w:rPr/>
        <w:t>9.</w:t>
        <w:tab/>
        <w:t>SEG A verifies the cross-certificate for Operator B's SEG CA using Operator A's Interconnection CA's certificate</w:t>
      </w:r>
      <w:r>
        <w:rPr>
          <w:lang w:eastAsia="zh-CN"/>
        </w:rPr>
        <w:t xml:space="preserve">. </w:t>
      </w:r>
      <w:r>
        <w:rPr/>
        <w:t>SEGa verifies the status of the Interconnection CAa certificate if the Interconnection CAa is not a top-level CA, otherwise Interconnection CAa is implicitly trusted;</w:t>
      </w:r>
    </w:p>
    <w:p>
      <w:pPr>
        <w:pStyle w:val="NO"/>
        <w:rPr/>
      </w:pPr>
      <w:r>
        <w:rPr/>
        <w:t>NOTE:</w:t>
        <w:tab/>
        <w:t>If the local SEG CA public key is securely installed on every SEG within an operator's domain, then a cross-certificate does not need to be checked when SEGa and SEGb belong to the same operator's domain.</w:t>
      </w:r>
    </w:p>
    <w:p>
      <w:pPr>
        <w:pStyle w:val="Heading2"/>
        <w:rPr/>
      </w:pPr>
      <w:bookmarkStart w:id="125" w:name="__RefHeading___Toc145337407"/>
      <w:bookmarkEnd w:id="125"/>
      <w:r>
        <w:rPr/>
        <w:t>7.5a</w:t>
        <w:tab/>
        <w:t>Establishing secure connections using TLS</w:t>
      </w:r>
    </w:p>
    <w:p>
      <w:pPr>
        <w:pStyle w:val="Normal"/>
        <w:rPr/>
      </w:pPr>
      <w:r>
        <w:rPr/>
        <w:t>The procedure for establishing secure connections using TLS is specified in detail in clause 5.2.2.</w:t>
      </w:r>
    </w:p>
    <w:p>
      <w:pPr>
        <w:pStyle w:val="Heading2"/>
        <w:rPr/>
      </w:pPr>
      <w:bookmarkStart w:id="126" w:name="__RefHeading___Toc145337408"/>
      <w:bookmarkEnd w:id="126"/>
      <w:r>
        <w:rPr/>
        <w:t>7.5b</w:t>
        <w:tab/>
        <w:t>Establishing secure connections between NDS/IP entities on the Zb interface</w:t>
      </w:r>
    </w:p>
    <w:p>
      <w:pPr>
        <w:pStyle w:val="Normal"/>
        <w:rPr/>
      </w:pPr>
      <w:r>
        <w:rPr/>
        <w:t>The procedure for establishing secure connections using NDS/IP on the Zb interface is specified in detail in clause 5.2.2.</w:t>
      </w:r>
    </w:p>
    <w:p>
      <w:pPr>
        <w:pStyle w:val="Heading2"/>
        <w:rPr/>
      </w:pPr>
      <w:bookmarkStart w:id="127" w:name="__RefHeading___Toc145337409"/>
      <w:bookmarkEnd w:id="127"/>
      <w:r>
        <w:rPr/>
        <w:t>7.6</w:t>
        <w:tab/>
        <w:t>CRL management</w:t>
      </w:r>
    </w:p>
    <w:p>
      <w:pPr>
        <w:pStyle w:val="Normal"/>
        <w:rPr/>
      </w:pPr>
      <w:r>
        <w:rPr/>
        <w:t xml:space="preserve">NDS/AF compliant SEGs and NEs shall not send </w:t>
      </w:r>
      <w:r>
        <w:rPr>
          <w:rFonts w:eastAsia="MS Mincho;MS Mincho"/>
        </w:rPr>
        <w:t xml:space="preserve">an ISAKMP CERTREQ where the Certificate Type is "Certificate Revocation List (CRL)". </w:t>
      </w:r>
      <w:r>
        <w:rPr/>
        <w:t>Receiving NEs and SEGs may ignore this request as section 6.1.3 specifies that CRLs shall be retrieved via a CRL distribution point.</w:t>
      </w:r>
    </w:p>
    <w:p>
      <w:pPr>
        <w:pStyle w:val="Normal"/>
        <w:rPr/>
      </w:pPr>
      <w:r>
        <w:rPr/>
        <w:t>The CRL issuer (which is in most cases the CA) shall only issue full CRLs. The use of delta CRLs is not allowed because of possible interoperability problems and because in the NDS/AF environment the full CRL is not expected to grow too large. The full CRL shall only contain revoked certificates applicable for use within NDS/AF. The CRL issuer shall issue a CRL also in cases that there are no revoked certificates. A SEG, NE or TLS entity is not obliged to query for a CRL via the CRL Distribution Point if a cached one is still available and valid. If no valid cached CRL is available, the NE, SEG or TLS entity shall fetch a new CRL. If no valid CRL can be fetched, the NE, SEG or TLS entity shall treat this as an error and cancel tunnel establishment.</w:t>
      </w:r>
      <w:r>
        <w:br w:type="page"/>
      </w:r>
    </w:p>
    <w:p>
      <w:pPr>
        <w:pStyle w:val="Heading1"/>
        <w:ind w:left="1134" w:hanging="1134"/>
        <w:rPr/>
      </w:pPr>
      <w:bookmarkStart w:id="128" w:name="__RefHeading___Toc145337410"/>
      <w:bookmarkEnd w:id="128"/>
      <w:r>
        <w:rPr/>
        <w:t>8</w:t>
        <w:tab/>
        <w:t>Backward compatibility for NDS/IP NE's and SEGs</w:t>
      </w:r>
    </w:p>
    <w:p>
      <w:pPr>
        <w:pStyle w:val="Normal"/>
        <w:rPr/>
      </w:pPr>
      <w:r>
        <w:rPr/>
        <w:t>NDS/IP describes an authentication framework whereby the initial IKEv2 authentication is based on the Pre-shared Secret Key (PSK) authentication method. NDS/AF describes an optional authentication framework which enables NDS/IP end entities (NEs and SEGs) to perform the initial IKEv2 authentication based on signatures. An NDS/AF compliant end entity shall also contain NDS/IP functionality. However, an NDS/IP compliant end entity need not contain NDS/AF functionality unless specifically mandated by TS 33.210[1] or any other 3GPP specification.</w:t>
      </w:r>
    </w:p>
    <w:p>
      <w:pPr>
        <w:pStyle w:val="Normal"/>
        <w:rPr/>
      </w:pPr>
      <w:r>
        <w:rPr/>
        <w:t xml:space="preserve">Device-specific management has to be used to reconfigure an end entity such that NDS/AF functionality will be used at the IKE initiator side for the initial IKE authentication (IKEv2 IKE_INIT_SA/IKE_AUTH exchange). The transition towards NDS/AF-based authentication may be done on an end entity by end entity basis. Before the first NDS/AF end entity is taken into use it shall be assured that all needed NDS/AF functionality like CRs, CRL databases are available and working. The setting up of a NDS/AF-based IPsec tunnel can be tested in parallel to the protection of existing traffic using the PSK authentication method. </w:t>
      </w:r>
    </w:p>
    <w:p>
      <w:pPr>
        <w:pStyle w:val="Normal"/>
        <w:rPr/>
      </w:pPr>
      <w:r>
        <w:rPr/>
        <w:t xml:space="preserve">A smooth migration may be done in the following way: </w:t>
      </w:r>
    </w:p>
    <w:p>
      <w:pPr>
        <w:pStyle w:val="B1"/>
        <w:rPr/>
      </w:pPr>
      <w:r>
        <w:rPr/>
        <w:t>-</w:t>
        <w:tab/>
        <w:t>a NDS/AF end entity shall provide several algorithm proposal's during IKE initial authentication, some based on  signature authentication, others based on the PSK authentication;</w:t>
      </w:r>
    </w:p>
    <w:p>
      <w:pPr>
        <w:pStyle w:val="B1"/>
        <w:rPr/>
      </w:pPr>
      <w:r>
        <w:rPr/>
        <w:t>-</w:t>
        <w:tab/>
        <w:t>the responding IKE peer will select PSK authentication method if it does not support signature authentication methods, but it may select a signature authentication method if it complies with NDS/AF.</w:t>
      </w:r>
    </w:p>
    <w:p>
      <w:pPr>
        <w:pStyle w:val="B1"/>
        <w:rPr/>
      </w:pPr>
      <w:r>
        <w:rPr/>
        <w:t>-</w:t>
        <w:tab/>
        <w:t>the IKE responder policy shall be configured such that the signature authentication methods shall take precedence over the PSK authentication method to ensure that it is used as soon as the IKE initiator proposes a signature authentication method.</w:t>
      </w:r>
    </w:p>
    <w:p>
      <w:pPr>
        <w:pStyle w:val="Normal"/>
        <w:rPr/>
      </w:pPr>
      <w:r>
        <w:rPr/>
        <w:t xml:space="preserve">In case of migration on the Za-interface between two operators: </w:t>
      </w:r>
    </w:p>
    <w:p>
      <w:pPr>
        <w:pStyle w:val="Normal"/>
        <w:rPr/>
      </w:pPr>
      <w:r>
        <w:rPr/>
        <w:t>If the SEGs of both operators support NDS/AF-based authentication then both SEG settings may be changed. The pre-shared secrets may then be removed from the SEGs and the IKE initiator shall only use the RSA signature authentication method. However, this removal of PSK is not essential as it may be used as a fallback mechanism. Some care has to be taken that the policy between SEGs of different operators be coordinated otherwise this may result in failed tunnel set up. This would be the case if the initiating IKE peer only uses the RSA signature authentication method and the responding IKE peer only accepts the PSK authentication method. Furthermore, if the PSK is kept as a fallback mechanism after the RSA signature authentication method is introduced, then fallback to PSK should only be allowed if the operator makes a policy change in the SEGs to allow PSK to be used. The operator may temporarily allow fallback to PSK if, for example, the SEGs are unable to verify the necessary certificates because of problems with the PKI. If PSK is kept as a fallback then it may be necessary to renew the PSK periodically for security reasons, or if PSK compromise is suspected.</w:t>
      </w:r>
      <w:r>
        <w:br w:type="page"/>
      </w:r>
    </w:p>
    <w:p>
      <w:pPr>
        <w:pStyle w:val="Heading1"/>
        <w:ind w:left="1134" w:hanging="1134"/>
        <w:rPr>
          <w:lang w:eastAsia="zh-CN"/>
        </w:rPr>
      </w:pPr>
      <w:bookmarkStart w:id="129" w:name="__RefHeading___Toc145337411"/>
      <w:bookmarkEnd w:id="129"/>
      <w:r>
        <w:rPr>
          <w:lang w:eastAsia="zh-CN"/>
        </w:rPr>
        <w:t>9</w:t>
        <w:tab/>
        <w:t>Certificate enrolment</w:t>
      </w:r>
      <w:r>
        <w:rPr>
          <w:lang w:eastAsia="zh-CN"/>
        </w:rPr>
        <w:t xml:space="preserve"> </w:t>
      </w:r>
      <w:r>
        <w:rPr>
          <w:lang w:eastAsia="zh-CN"/>
        </w:rPr>
        <w:t>for base stations</w:t>
      </w:r>
    </w:p>
    <w:p>
      <w:pPr>
        <w:pStyle w:val="Heading2"/>
        <w:rPr/>
      </w:pPr>
      <w:bookmarkStart w:id="130" w:name="__RefHeading___Toc145337412"/>
      <w:bookmarkEnd w:id="130"/>
      <w:r>
        <w:rPr>
          <w:lang w:eastAsia="zh-CN"/>
        </w:rPr>
        <w:t>9</w:t>
      </w:r>
      <w:r>
        <w:rPr>
          <w:lang w:eastAsia="zh-CN"/>
        </w:rPr>
        <w:t>.1</w:t>
      </w:r>
      <w:r>
        <w:rPr>
          <w:lang w:eastAsia="zh-CN"/>
        </w:rPr>
        <w:tab/>
        <w:t>General</w:t>
      </w:r>
    </w:p>
    <w:p>
      <w:pPr>
        <w:pStyle w:val="Normal"/>
        <w:rPr>
          <w:lang w:eastAsia="zh-CN"/>
        </w:rPr>
      </w:pPr>
      <w:r>
        <w:rPr/>
        <w:t>The clause specifies certificate enrolment mechanisms for backhaul security. The decision on whether or not to apply the mechanisms is left to other 3GPP specifications.</w:t>
      </w:r>
    </w:p>
    <w:p>
      <w:pPr>
        <w:pStyle w:val="Heading2"/>
        <w:rPr/>
      </w:pPr>
      <w:bookmarkStart w:id="131" w:name="__RefHeading___Toc145337413"/>
      <w:bookmarkEnd w:id="131"/>
      <w:r>
        <w:rPr/>
        <w:t>9.2</w:t>
        <w:tab/>
        <w:t>Architecture</w:t>
      </w:r>
    </w:p>
    <w:p>
      <w:pPr>
        <w:pStyle w:val="Normal"/>
        <w:rPr>
          <w:lang w:eastAsia="zh-CN"/>
        </w:rPr>
      </w:pPr>
      <w:r>
        <w:rPr>
          <w:lang w:eastAsia="zh-CN"/>
        </w:rPr>
        <w:t>Figure 7 shows the general deployment architecture for certificate enrolment of a base station at an operator PKI</w:t>
      </w:r>
      <w:r>
        <w:rPr>
          <w:lang w:eastAsia="zh-CN"/>
        </w:rPr>
        <w:t>.</w:t>
      </w:r>
    </w:p>
    <w:p>
      <w:pPr>
        <w:pStyle w:val="TH"/>
        <w:rPr>
          <w:lang w:val="en-US" w:eastAsia="en-US"/>
        </w:rPr>
      </w:pPr>
      <w:r>
        <w:rPr>
          <w:lang w:val="en-US" w:eastAsia="en-US"/>
        </w:rPr>
        <mc:AlternateContent>
          <mc:Choice Requires="wpg">
            <w:drawing>
              <wp:inline distT="0" distB="0" distL="0" distR="0">
                <wp:extent cx="6120130" cy="2493645"/>
                <wp:effectExtent l="0" t="0" r="0" b="0"/>
                <wp:docPr id="15" name=""/>
                <a:graphic xmlns:a="http://schemas.openxmlformats.org/drawingml/2006/main">
                  <a:graphicData uri="http://schemas.microsoft.com/office/word/2010/wordprocessingGroup">
                    <wpg:wgp>
                      <wpg:cNvGrpSpPr/>
                      <wpg:grpSpPr>
                        <a:xfrm>
                          <a:off x="0" y="0"/>
                          <a:ext cx="6120000" cy="2493720"/>
                          <a:chOff x="0" y="0"/>
                          <a:chExt cx="6120000" cy="2493720"/>
                        </a:xfrm>
                      </wpg:grpSpPr>
                      <wps:wsp>
                        <wps:cNvSpPr/>
                        <wps:nvSpPr>
                          <wps:cNvPr id="0" name=""/>
                          <wps:cNvSpPr/>
                        </wps:nvSpPr>
                        <wps:spPr>
                          <a:xfrm>
                            <a:off x="0" y="0"/>
                            <a:ext cx="6120000" cy="2493720"/>
                          </a:xfrm>
                          <a:prstGeom prst="rect">
                            <a:avLst/>
                          </a:prstGeom>
                          <a:noFill/>
                          <a:ln w="9360">
                            <a:solidFill>
                              <a:srgbClr val="000000"/>
                            </a:solidFill>
                            <a:miter/>
                          </a:ln>
                        </wps:spPr>
                        <wps:bodyPr/>
                      </wps:wsp>
                      <wps:wsp>
                        <wps:cNvSpPr txBox="1"/>
                        <wps:spPr>
                          <a:xfrm>
                            <a:off x="1371600" y="114480"/>
                            <a:ext cx="800280" cy="298440"/>
                          </a:xfrm>
                          <a:prstGeom prst="rect">
                            <a:avLst/>
                          </a:prstGeom>
                          <a:noFill/>
                          <a:ln w="9360">
                            <a:solidFill>
                              <a:srgbClr val="000000"/>
                            </a:solidFill>
                            <a:miter/>
                          </a:ln>
                        </wps:spPr>
                        <wps:txbx>
                          <w:txbxContent>
                            <w:p>
                              <w:pPr>
                                <w:overflowPunct w:val="false"/>
                                <w:autoSpaceDE w:val="false"/>
                                <w:bidi w:val="0"/>
                                <w:spacing w:before="0" w:after="180"/>
                                <w:jc w:val="center"/>
                                <w:rPr/>
                              </w:pPr>
                              <w:r>
                                <w:rPr>
                                  <w:kern w:val="2"/>
                                  <w:sz w:val="20"/>
                                  <w:szCs w:val="20"/>
                                  <w:rFonts w:ascii="Times New Roman" w:hAnsi="Times New Roman" w:eastAsia="Times New Roman" w:cs="Arial"/>
                                  <w:color w:val="000000"/>
                                  <w:lang w:val="de-DE" w:bidi="ar-SA"/>
                                </w:rPr>
                                <w:t>RA/CA</w:t>
                              </w:r>
                            </w:p>
                          </w:txbxContent>
                        </wps:txbx>
                        <wps:bodyPr wrap="square" lIns="82440" rIns="82440" tIns="41400" bIns="41400" anchor="ctr">
                          <a:noAutofit/>
                        </wps:bodyPr>
                      </wps:wsp>
                      <wps:wsp>
                        <wps:cNvSpPr txBox="1"/>
                        <wps:spPr>
                          <a:xfrm>
                            <a:off x="2976840" y="1718280"/>
                            <a:ext cx="909360" cy="338400"/>
                          </a:xfrm>
                          <a:prstGeom prst="rect">
                            <a:avLst/>
                          </a:prstGeom>
                          <a:noFill/>
                          <a:ln w="9360">
                            <a:solidFill>
                              <a:srgbClr val="000000"/>
                            </a:solidFill>
                            <a:miter/>
                          </a:ln>
                        </wps:spPr>
                        <wps:txbx>
                          <w:txbxContent>
                            <w:p>
                              <w:pPr>
                                <w:overflowPunct w:val="false"/>
                                <w:autoSpaceDE w:val="false"/>
                                <w:bidi w:val="0"/>
                                <w:spacing w:before="0" w:after="180"/>
                                <w:jc w:val="center"/>
                                <w:rPr/>
                              </w:pPr>
                              <w:r>
                                <w:rPr>
                                  <w:kern w:val="2"/>
                                  <w:sz w:val="20"/>
                                  <w:szCs w:val="20"/>
                                  <w:rFonts w:ascii="Times New Roman" w:hAnsi="Times New Roman" w:eastAsia="Times New Roman" w:cs="Times New Roman"/>
                                  <w:color w:val="auto"/>
                                  <w:lang w:val="en-GB" w:eastAsia="zh-CN" w:bidi="ar-SA"/>
                                </w:rPr>
                                <w:t>base station</w:t>
                              </w:r>
                            </w:p>
                          </w:txbxContent>
                        </wps:txbx>
                        <wps:bodyPr wrap="square" lIns="82440" rIns="82440" tIns="41400" bIns="41400" anchor="ctr">
                          <a:noAutofit/>
                        </wps:bodyPr>
                      </wps:wsp>
                      <wps:wsp>
                        <wps:cNvSpPr/>
                        <wps:spPr>
                          <a:xfrm>
                            <a:off x="45720" y="1900080"/>
                            <a:ext cx="2333160" cy="513720"/>
                          </a:xfrm>
                          <a:prstGeom prst="wedgeRectCallout">
                            <a:avLst>
                              <a:gd name="adj1" fmla="val 75097"/>
                              <a:gd name="adj2" fmla="val -106490"/>
                            </a:avLst>
                          </a:prstGeom>
                          <a:noFill/>
                          <a:ln w="9360">
                            <a:solidFill>
                              <a:srgbClr val="000000"/>
                            </a:solidFill>
                            <a:miter/>
                          </a:ln>
                        </wps:spPr>
                        <wps:style>
                          <a:lnRef idx="0"/>
                          <a:fillRef idx="0"/>
                          <a:effectRef idx="0"/>
                          <a:fontRef idx="minor"/>
                        </wps:style>
                        <wps:txbx>
                          <w:txbxContent>
                            <w:p>
                              <w:pPr>
                                <w:overflowPunct w:val="false"/>
                                <w:autoSpaceDE w:val="false"/>
                                <w:bidi w:val="0"/>
                                <w:spacing w:before="0" w:after="180"/>
                                <w:rPr/>
                              </w:pPr>
                              <w:r>
                                <w:rPr>
                                  <w:kern w:val="2"/>
                                  <w:sz w:val="20"/>
                                  <w:szCs w:val="20"/>
                                  <w:rFonts w:ascii="Times New Roman" w:hAnsi="Times New Roman" w:eastAsia="Times New Roman" w:cs="Arial"/>
                                  <w:color w:val="000000"/>
                                  <w:lang w:val="en-GB" w:bidi="ar-SA"/>
                                </w:rPr>
                                <w:t xml:space="preserve">The </w:t>
                              </w:r>
                              <w:r>
                                <w:rPr>
                                  <w:kern w:val="2"/>
                                  <w:sz w:val="20"/>
                                  <w:szCs w:val="20"/>
                                  <w:rFonts w:ascii="Times New Roman" w:hAnsi="Times New Roman" w:eastAsia="Times New Roman" w:cs="Times New Roman"/>
                                  <w:color w:val="auto"/>
                                  <w:lang w:val="en-GB" w:bidi="ar-SA" w:eastAsia="zh-CN"/>
                                </w:rPr>
                                <w:t>base station</w:t>
                              </w:r>
                              <w:r>
                                <w:rPr>
                                  <w:kern w:val="2"/>
                                  <w:sz w:val="20"/>
                                  <w:szCs w:val="20"/>
                                  <w:rFonts w:ascii="Times New Roman" w:hAnsi="Times New Roman" w:eastAsia="Times New Roman" w:cs="Arial"/>
                                  <w:color w:val="000000"/>
                                  <w:lang w:val="en-GB" w:bidi="ar-SA"/>
                                </w:rPr>
                                <w:t xml:space="preserve"> obtains the operator-signed certificate on its own public key from RA/CA using CMPv2.</w:t>
                              </w:r>
                            </w:p>
                          </w:txbxContent>
                        </wps:txbx>
                        <wps:bodyPr lIns="82440" rIns="82440" tIns="41400" bIns="41400" anchor="t">
                          <a:noAutofit/>
                        </wps:bodyPr>
                      </wps:wsp>
                      <wps:wsp>
                        <wps:cNvSpPr/>
                        <wps:spPr>
                          <a:xfrm>
                            <a:off x="1943280" y="414000"/>
                            <a:ext cx="1137960" cy="1300320"/>
                          </a:xfrm>
                          <a:prstGeom prst="line">
                            <a:avLst/>
                          </a:prstGeom>
                          <a:ln w="9360">
                            <a:solidFill>
                              <a:srgbClr val="000000"/>
                            </a:solidFill>
                            <a:miter/>
                            <a:headEnd len="med" type="triangle" w="med"/>
                            <a:tailEnd len="med" type="triangle" w="med"/>
                          </a:ln>
                        </wps:spPr>
                        <wps:style>
                          <a:lnRef idx="0"/>
                          <a:fillRef idx="0"/>
                          <a:effectRef idx="0"/>
                          <a:fontRef idx="minor"/>
                        </wps:style>
                        <wps:bodyPr/>
                      </wps:wsp>
                      <wps:wsp>
                        <wps:cNvSpPr txBox="1"/>
                        <wps:spPr>
                          <a:xfrm>
                            <a:off x="2390040" y="757440"/>
                            <a:ext cx="914400" cy="343080"/>
                          </a:xfrm>
                          <a:prstGeom prst="rect">
                            <a:avLst/>
                          </a:prstGeom>
                          <a:noFill/>
                          <a:ln w="0">
                            <a:noFill/>
                          </a:ln>
                        </wps:spPr>
                        <wps:txbx>
                          <w:txbxContent>
                            <w:p>
                              <w:pPr>
                                <w:overflowPunct w:val="false"/>
                                <w:bidi w:val="0"/>
                                <w:spacing w:before="0" w:after="180"/>
                                <w:rPr/>
                              </w:pPr>
                              <w:r>
                                <w:rPr>
                                  <w:kern w:val="2"/>
                                  <w:sz w:val="20"/>
                                  <w:szCs w:val="20"/>
                                  <w:rFonts w:ascii="Times New Roman" w:hAnsi="Times New Roman" w:eastAsia="Times New Roman" w:cs="Times New Roman"/>
                                  <w:color w:val="auto"/>
                                  <w:lang w:val="en-GB" w:bidi="ar-SA"/>
                                </w:rPr>
                                <w:t>CMPv2</w:t>
                              </w:r>
                            </w:p>
                          </w:txbxContent>
                        </wps:txbx>
                        <wps:bodyPr wrap="square" anchor="t">
                          <a:noAutofit/>
                        </wps:bodyPr>
                      </wps:wsp>
                      <wps:wsp>
                        <wps:cNvSpPr/>
                        <wps:spPr>
                          <a:xfrm>
                            <a:off x="4083120" y="1522080"/>
                            <a:ext cx="1900080" cy="547200"/>
                          </a:xfrm>
                          <a:prstGeom prst="wedgeRectCallout">
                            <a:avLst>
                              <a:gd name="adj1" fmla="val -68782"/>
                              <a:gd name="adj2" fmla="val -16125"/>
                            </a:avLst>
                          </a:prstGeom>
                          <a:noFill/>
                          <a:ln w="9360">
                            <a:solidFill>
                              <a:srgbClr val="000000"/>
                            </a:solidFill>
                            <a:miter/>
                          </a:ln>
                        </wps:spPr>
                        <wps:style>
                          <a:lnRef idx="0"/>
                          <a:fillRef idx="0"/>
                          <a:effectRef idx="0"/>
                          <a:fontRef idx="minor"/>
                        </wps:style>
                        <wps:txbx>
                          <w:txbxContent>
                            <w:p>
                              <w:pPr>
                                <w:overflowPunct w:val="false"/>
                                <w:autoSpaceDE w:val="false"/>
                                <w:bidi w:val="0"/>
                                <w:spacing w:before="0" w:after="180"/>
                                <w:rPr/>
                              </w:pPr>
                              <w:r>
                                <w:rPr>
                                  <w:kern w:val="2"/>
                                  <w:sz w:val="20"/>
                                  <w:szCs w:val="20"/>
                                  <w:rFonts w:ascii="Times New Roman" w:hAnsi="Times New Roman" w:eastAsia="Times New Roman" w:cs="Arial"/>
                                  <w:color w:val="000000"/>
                                  <w:lang w:val="en-GB" w:bidi="ar-SA"/>
                                </w:rPr>
                                <w:t xml:space="preserve">Vendor-signed certificate of </w:t>
                              </w:r>
                              <w:r>
                                <w:rPr>
                                  <w:kern w:val="2"/>
                                  <w:sz w:val="20"/>
                                  <w:szCs w:val="20"/>
                                  <w:rFonts w:ascii="Times New Roman" w:hAnsi="Times New Roman" w:eastAsia="Times New Roman" w:cs="Times New Roman"/>
                                  <w:color w:val="auto"/>
                                  <w:lang w:val="en-GB" w:bidi="ar-SA" w:eastAsia="zh-CN"/>
                                </w:rPr>
                                <w:t>base station</w:t>
                              </w:r>
                              <w:r>
                                <w:rPr>
                                  <w:kern w:val="2"/>
                                  <w:sz w:val="20"/>
                                  <w:szCs w:val="20"/>
                                  <w:rFonts w:ascii="Times New Roman" w:hAnsi="Times New Roman" w:eastAsia="Times New Roman" w:cs="Arial"/>
                                  <w:color w:val="000000"/>
                                  <w:lang w:val="en-GB" w:bidi="ar-SA"/>
                                </w:rPr>
                                <w:t xml:space="preserve"> public key is pre-installed.</w:t>
                              </w:r>
                            </w:p>
                          </w:txbxContent>
                        </wps:txbx>
                        <wps:bodyPr lIns="82440" rIns="82440" tIns="41400" bIns="41400" anchor="t">
                          <a:noAutofit/>
                        </wps:bodyPr>
                      </wps:wsp>
                      <wps:wsp>
                        <wps:cNvSpPr/>
                        <wps:spPr>
                          <a:xfrm>
                            <a:off x="114480" y="571680"/>
                            <a:ext cx="1856880" cy="457200"/>
                          </a:xfrm>
                          <a:prstGeom prst="wedgeRectCallout">
                            <a:avLst>
                              <a:gd name="adj1" fmla="val 39773"/>
                              <a:gd name="adj2" fmla="val -83888"/>
                            </a:avLst>
                          </a:prstGeom>
                          <a:noFill/>
                          <a:ln w="9360">
                            <a:solidFill>
                              <a:srgbClr val="000000"/>
                            </a:solidFill>
                            <a:miter/>
                          </a:ln>
                        </wps:spPr>
                        <wps:style>
                          <a:lnRef idx="0"/>
                          <a:fillRef idx="0"/>
                          <a:effectRef idx="0"/>
                          <a:fontRef idx="minor"/>
                        </wps:style>
                        <wps:txbx>
                          <w:txbxContent>
                            <w:p>
                              <w:pPr>
                                <w:overflowPunct w:val="false"/>
                                <w:autoSpaceDE w:val="false"/>
                                <w:bidi w:val="0"/>
                                <w:spacing w:before="0" w:after="180"/>
                                <w:rPr/>
                              </w:pPr>
                              <w:r>
                                <w:rPr>
                                  <w:kern w:val="2"/>
                                  <w:sz w:val="20"/>
                                  <w:szCs w:val="20"/>
                                  <w:rFonts w:ascii="Times New Roman" w:hAnsi="Times New Roman" w:eastAsia="Times New Roman" w:cs="Arial"/>
                                  <w:color w:val="000000"/>
                                  <w:lang w:val="en-GB" w:bidi="ar-SA"/>
                                </w:rPr>
                                <w:t>Vendor root certificate is pre-installed.</w:t>
                              </w:r>
                            </w:p>
                          </w:txbxContent>
                        </wps:txbx>
                        <wps:bodyPr lIns="82440" rIns="82440" tIns="41400" bIns="41400" anchor="t">
                          <a:noAutofit/>
                        </wps:bodyPr>
                      </wps:wsp>
                      <wps:wsp>
                        <wps:cNvSpPr txBox="1"/>
                        <wps:spPr>
                          <a:xfrm>
                            <a:off x="3133080" y="118800"/>
                            <a:ext cx="800280" cy="298440"/>
                          </a:xfrm>
                          <a:prstGeom prst="rect">
                            <a:avLst/>
                          </a:prstGeom>
                          <a:noFill/>
                          <a:ln w="9360">
                            <a:solidFill>
                              <a:srgbClr val="000000"/>
                            </a:solidFill>
                            <a:miter/>
                          </a:ln>
                        </wps:spPr>
                        <wps:txbx>
                          <w:txbxContent>
                            <w:p>
                              <w:pPr>
                                <w:overflowPunct w:val="false"/>
                                <w:autoSpaceDE w:val="false"/>
                                <w:bidi w:val="0"/>
                                <w:spacing w:before="0" w:after="180"/>
                                <w:jc w:val="center"/>
                                <w:rPr/>
                              </w:pPr>
                              <w:r>
                                <w:rPr>
                                  <w:kern w:val="2"/>
                                  <w:sz w:val="20"/>
                                  <w:szCs w:val="20"/>
                                  <w:rFonts w:ascii="Times New Roman" w:hAnsi="Times New Roman" w:eastAsia="Times New Roman" w:cs="Arial"/>
                                  <w:color w:val="000000"/>
                                  <w:lang w:val="de-DE" w:bidi="ar-SA"/>
                                </w:rPr>
                                <w:t>SEG</w:t>
                              </w:r>
                            </w:p>
                          </w:txbxContent>
                        </wps:txbx>
                        <wps:bodyPr wrap="square" lIns="82440" rIns="82440" tIns="41400" bIns="41400" anchor="ctr">
                          <a:noAutofit/>
                        </wps:bodyPr>
                      </wps:wsp>
                      <wps:wsp>
                        <wps:cNvSpPr/>
                        <wps:spPr>
                          <a:xfrm>
                            <a:off x="4083120" y="0"/>
                            <a:ext cx="1856880" cy="457200"/>
                          </a:xfrm>
                          <a:prstGeom prst="wedgeRectCallout">
                            <a:avLst>
                              <a:gd name="adj1" fmla="val -57148"/>
                              <a:gd name="adj2" fmla="val 9305"/>
                            </a:avLst>
                          </a:prstGeom>
                          <a:noFill/>
                          <a:ln w="9360">
                            <a:solidFill>
                              <a:srgbClr val="000000"/>
                            </a:solidFill>
                            <a:miter/>
                          </a:ln>
                        </wps:spPr>
                        <wps:style>
                          <a:lnRef idx="0"/>
                          <a:fillRef idx="0"/>
                          <a:effectRef idx="0"/>
                          <a:fontRef idx="minor"/>
                        </wps:style>
                        <wps:txbx>
                          <w:txbxContent>
                            <w:p>
                              <w:pPr>
                                <w:overflowPunct w:val="false"/>
                                <w:autoSpaceDE w:val="false"/>
                                <w:bidi w:val="0"/>
                                <w:spacing w:before="0" w:after="180"/>
                                <w:rPr/>
                              </w:pPr>
                              <w:r>
                                <w:rPr>
                                  <w:kern w:val="2"/>
                                  <w:sz w:val="20"/>
                                  <w:szCs w:val="20"/>
                                  <w:rFonts w:ascii="Times New Roman" w:hAnsi="Times New Roman" w:eastAsia="Times New Roman" w:cs="Arial"/>
                                  <w:color w:val="000000"/>
                                  <w:lang w:val="en-GB" w:bidi="ar-SA"/>
                                </w:rPr>
                                <w:t>Operator root certificate is pre-installed.</w:t>
                              </w:r>
                            </w:p>
                          </w:txbxContent>
                        </wps:txbx>
                        <wps:bodyPr lIns="82440" rIns="82440" tIns="41400" bIns="41400" anchor="t">
                          <a:noAutofit/>
                        </wps:bodyPr>
                      </wps:wsp>
                      <wps:wsp>
                        <wps:cNvSpPr/>
                        <wps:spPr>
                          <a:xfrm>
                            <a:off x="3489840" y="423000"/>
                            <a:ext cx="720" cy="1306080"/>
                          </a:xfrm>
                          <a:prstGeom prst="line">
                            <a:avLst/>
                          </a:prstGeom>
                          <a:ln w="9360">
                            <a:solidFill>
                              <a:srgbClr val="000000"/>
                            </a:solidFill>
                            <a:miter/>
                            <a:headEnd len="med" type="triangle" w="med"/>
                            <a:tailEnd len="med" type="triangle" w="med"/>
                          </a:ln>
                        </wps:spPr>
                        <wps:style>
                          <a:lnRef idx="0"/>
                          <a:fillRef idx="0"/>
                          <a:effectRef idx="0"/>
                          <a:fontRef idx="minor"/>
                        </wps:style>
                        <wps:bodyPr/>
                      </wps:wsp>
                      <wps:wsp>
                        <wps:cNvSpPr/>
                        <wps:spPr>
                          <a:xfrm>
                            <a:off x="4201920" y="712440"/>
                            <a:ext cx="1856880" cy="457200"/>
                          </a:xfrm>
                          <a:prstGeom prst="wedgeRectCallout">
                            <a:avLst>
                              <a:gd name="adj1" fmla="val -87652"/>
                              <a:gd name="adj2" fmla="val 28055"/>
                            </a:avLst>
                          </a:prstGeom>
                          <a:noFill/>
                          <a:ln w="9360">
                            <a:solidFill>
                              <a:srgbClr val="000000"/>
                            </a:solidFill>
                            <a:miter/>
                          </a:ln>
                        </wps:spPr>
                        <wps:style>
                          <a:lnRef idx="0"/>
                          <a:fillRef idx="0"/>
                          <a:effectRef idx="0"/>
                          <a:fontRef idx="minor"/>
                        </wps:style>
                        <wps:txbx>
                          <w:txbxContent>
                            <w:p>
                              <w:pPr>
                                <w:overflowPunct w:val="false"/>
                                <w:autoSpaceDE w:val="false"/>
                                <w:bidi w:val="0"/>
                                <w:spacing w:before="0" w:after="180"/>
                                <w:rPr/>
                              </w:pPr>
                              <w:r>
                                <w:rPr>
                                  <w:kern w:val="2"/>
                                  <w:sz w:val="20"/>
                                  <w:szCs w:val="20"/>
                                  <w:rFonts w:ascii="Times New Roman" w:hAnsi="Times New Roman" w:eastAsia="Times New Roman" w:cs="Arial"/>
                                  <w:color w:val="000000"/>
                                  <w:lang w:val="en-GB" w:bidi="ar-SA"/>
                                </w:rPr>
                                <w:t xml:space="preserve">Enrolled </w:t>
                              </w:r>
                              <w:r>
                                <w:rPr>
                                  <w:kern w:val="2"/>
                                  <w:sz w:val="20"/>
                                  <w:szCs w:val="20"/>
                                  <w:rFonts w:ascii="Times New Roman" w:hAnsi="Times New Roman" w:eastAsia="Times New Roman" w:cs="Times New Roman"/>
                                  <w:color w:val="auto"/>
                                  <w:lang w:val="en-GB" w:bidi="ar-SA" w:eastAsia="zh-CN"/>
                                </w:rPr>
                                <w:t>base station</w:t>
                              </w:r>
                              <w:r>
                                <w:rPr>
                                  <w:kern w:val="2"/>
                                  <w:sz w:val="20"/>
                                  <w:szCs w:val="20"/>
                                  <w:rFonts w:ascii="Times New Roman" w:hAnsi="Times New Roman" w:eastAsia="Times New Roman" w:cs="Arial"/>
                                  <w:color w:val="000000"/>
                                  <w:lang w:val="en-GB" w:bidi="ar-SA"/>
                                </w:rPr>
                                <w:t xml:space="preserve"> certificate is used in IKE/IPsec.</w:t>
                              </w:r>
                            </w:p>
                          </w:txbxContent>
                        </wps:txbx>
                        <wps:bodyPr lIns="82440" rIns="82440" tIns="41400" bIns="41400" anchor="t">
                          <a:noAutofit/>
                        </wps:bodyPr>
                      </wps:wsp>
                      <wps:wsp>
                        <wps:cNvSpPr txBox="1"/>
                        <wps:spPr>
                          <a:xfrm>
                            <a:off x="3489480" y="712440"/>
                            <a:ext cx="474840" cy="237600"/>
                          </a:xfrm>
                          <a:prstGeom prst="rect">
                            <a:avLst/>
                          </a:prstGeom>
                          <a:noFill/>
                          <a:ln w="0">
                            <a:noFill/>
                          </a:ln>
                        </wps:spPr>
                        <wps:txbx>
                          <w:txbxContent>
                            <w:p>
                              <w:pPr>
                                <w:overflowPunct w:val="false"/>
                                <w:bidi w:val="0"/>
                                <w:spacing w:before="0" w:after="180"/>
                                <w:rPr/>
                              </w:pPr>
                              <w:r>
                                <w:rPr>
                                  <w:kern w:val="2"/>
                                  <w:sz w:val="20"/>
                                  <w:szCs w:val="20"/>
                                  <w:rFonts w:ascii="Times New Roman" w:hAnsi="Times New Roman" w:eastAsia="Times New Roman" w:cs="Times New Roman"/>
                                  <w:color w:val="auto"/>
                                  <w:lang w:val="de-DE" w:bidi="ar-SA"/>
                                </w:rPr>
                                <w:t>IPsec</w:t>
                              </w:r>
                            </w:p>
                          </w:txbxContent>
                        </wps:txbx>
                        <wps:bodyPr wrap="square" anchor="t">
                          <a:noAutofit/>
                        </wps:bodyPr>
                      </wps:wsp>
                    </wpg:wgp>
                  </a:graphicData>
                </a:graphic>
              </wp:inline>
            </w:drawing>
          </mc:Choice>
          <mc:Fallback>
            <w:pict>
              <v:group id="shape_0" style="position:absolute;margin-left:0pt;margin-top:0pt;width:481.9pt;height:196.35pt" coordorigin="0,0" coordsize="9638,3927">
                <v:rect id="shape_0" stroked="t" o:allowincell="f" style="position:absolute;left:0;top:0;width:9637;height:3926;mso-wrap-style:none;v-text-anchor:middle;mso-position-horizontal-relative:char">
                  <v:fill o:detectmouseclick="t" on="false"/>
                  <v:stroke color="black" weight="9360" joinstyle="miter" endcap="flat"/>
                  <w10:wrap type="none"/>
                </v:rect>
                <v:shapetype id="_x0000_t202" coordsize="21600,21600" o:spt="202" path="m,l,21600l21600,21600l21600,xe">
                  <v:stroke joinstyle="miter"/>
                  <v:path gradientshapeok="t" o:connecttype="rect"/>
                </v:shapetype>
                <v:shape id="shape_0" stroked="t" o:allowincell="f" style="position:absolute;left:2160;top:180;width:1259;height:469;mso-wrap-style:square;v-text-anchor:middle;mso-position-horizontal-relative:char" type="_x0000_t202">
                  <v:textbox>
                    <w:txbxContent>
                      <w:p>
                        <w:pPr>
                          <w:overflowPunct w:val="false"/>
                          <w:autoSpaceDE w:val="false"/>
                          <w:bidi w:val="0"/>
                          <w:spacing w:before="0" w:after="180"/>
                          <w:jc w:val="center"/>
                          <w:rPr/>
                        </w:pPr>
                        <w:r>
                          <w:rPr>
                            <w:kern w:val="2"/>
                            <w:sz w:val="20"/>
                            <w:szCs w:val="20"/>
                            <w:rFonts w:ascii="Times New Roman" w:hAnsi="Times New Roman" w:eastAsia="Times New Roman" w:cs="Arial"/>
                            <w:color w:val="000000"/>
                            <w:lang w:val="de-DE" w:bidi="ar-SA"/>
                          </w:rPr>
                          <w:t>RA/CA</w:t>
                        </w:r>
                      </w:p>
                    </w:txbxContent>
                  </v:textbox>
                  <v:fill o:detectmouseclick="t" on="false"/>
                  <v:stroke color="black" weight="9360" joinstyle="miter" endcap="flat"/>
                  <w10:wrap type="none"/>
                </v:shape>
                <v:shape id="shape_0" stroked="t" o:allowincell="f" style="position:absolute;left:4688;top:2706;width:1431;height:532;mso-wrap-style:square;v-text-anchor:middle;mso-position-horizontal-relative:char" type="_x0000_t202">
                  <v:textbox>
                    <w:txbxContent>
                      <w:p>
                        <w:pPr>
                          <w:overflowPunct w:val="false"/>
                          <w:autoSpaceDE w:val="false"/>
                          <w:bidi w:val="0"/>
                          <w:spacing w:before="0" w:after="180"/>
                          <w:jc w:val="center"/>
                          <w:rPr/>
                        </w:pPr>
                        <w:r>
                          <w:rPr>
                            <w:kern w:val="2"/>
                            <w:sz w:val="20"/>
                            <w:szCs w:val="20"/>
                            <w:rFonts w:ascii="Times New Roman" w:hAnsi="Times New Roman" w:eastAsia="Times New Roman" w:cs="Times New Roman"/>
                            <w:color w:val="auto"/>
                            <w:lang w:val="en-GB" w:eastAsia="zh-CN" w:bidi="ar-SA"/>
                          </w:rPr>
                          <w:t>base station</w:t>
                        </w:r>
                      </w:p>
                    </w:txbxContent>
                  </v:textbox>
                  <v:fill o:detectmouseclick="t" on="false"/>
                  <v:stroke color="black" weight="9360" joinstyle="miter" endcap="flat"/>
                  <w10:wrap type="none"/>
                </v:shape>
                <v:shapetype id="_x0000_t61" coordsize="21600,21600" o:spt="61" adj="13500,-4500" path="m,l@11,l@20@28l@12,l21600,l21600@15l@22@30l21600@16l21600,21600l@12,21600l@24@32l@11,21600l,21600l0@16l@18@26l0@15xe">
                  <v:stroke joinstyle="miter"/>
                  <v:formulas>
                    <v:f eqn="val #1"/>
                    <v:f eqn="val #0"/>
                    <v:f eqn="sum 10800 @0 0"/>
                    <v:f eqn="sum 10800 @1 0"/>
                    <v:f eqn="sum @2 0 10800"/>
                    <v:f eqn="sum @3 0 10800"/>
                    <v:f eqn="abs @1"/>
                    <v:f eqn="abs @0"/>
                    <v:f eqn="sum @6 0 @7"/>
                    <v:f eqn="if @0 7 2"/>
                    <v:f eqn="if @0 10 5"/>
                    <v:f eqn="prod 5400 @9 3"/>
                    <v:f eqn="prod 5400 @10 3"/>
                    <v:f eqn="if @1 7 2"/>
                    <v:f eqn="if @1 10 5"/>
                    <v:f eqn="prod 5400 @13 3"/>
                    <v:f eqn="prod 5400 @14 3"/>
                    <v:f eqn="if @0 0 @2"/>
                    <v:f eqn="if @8 0 @17"/>
                    <v:f eqn="if @1 @11 @2"/>
                    <v:f eqn="if @8 @19 @11"/>
                    <v:f eqn="if @0 @2 width"/>
                    <v:f eqn="if @8 width @21"/>
                    <v:f eqn="if @1 @2 @11"/>
                    <v:f eqn="if @8 @23 @11"/>
                    <v:f eqn="if @0 @15 @3"/>
                    <v:f eqn="if @8 @15 @25"/>
                    <v:f eqn="if @1 0 @3"/>
                    <v:f eqn="if @8 @27 0"/>
                    <v:f eqn="if @0 @3 @15"/>
                    <v:f eqn="if @8 @15 @29"/>
                    <v:f eqn="if @1 @3 height"/>
                    <v:f eqn="if @8 @31 height"/>
                  </v:formulas>
                  <v:path gradientshapeok="t" o:connecttype="rect" textboxrect="0,0,21600,21600"/>
                  <v:handles>
                    <v:h position="@2,@3"/>
                  </v:handles>
                </v:shapetype>
                <v:shape id="shape_0" stroked="t" o:allowincell="f" style="position:absolute;left:72;top:2992;width:3673;height:808;mso-wrap-style:square;v-text-anchor:top;mso-position-horizontal-relative:char" type="_x0000_t61">
                  <v:textbox>
                    <w:txbxContent>
                      <w:p>
                        <w:pPr>
                          <w:overflowPunct w:val="false"/>
                          <w:autoSpaceDE w:val="false"/>
                          <w:bidi w:val="0"/>
                          <w:spacing w:before="0" w:after="180"/>
                          <w:rPr/>
                        </w:pPr>
                        <w:r>
                          <w:rPr>
                            <w:kern w:val="2"/>
                            <w:sz w:val="20"/>
                            <w:szCs w:val="20"/>
                            <w:rFonts w:ascii="Times New Roman" w:hAnsi="Times New Roman" w:eastAsia="Times New Roman" w:cs="Arial"/>
                            <w:color w:val="000000"/>
                            <w:lang w:val="en-GB" w:bidi="ar-SA"/>
                          </w:rPr>
                          <w:t xml:space="preserve">The </w:t>
                        </w:r>
                        <w:r>
                          <w:rPr>
                            <w:kern w:val="2"/>
                            <w:sz w:val="20"/>
                            <w:szCs w:val="20"/>
                            <w:rFonts w:ascii="Times New Roman" w:hAnsi="Times New Roman" w:eastAsia="Times New Roman" w:cs="Times New Roman"/>
                            <w:color w:val="auto"/>
                            <w:lang w:val="en-GB" w:bidi="ar-SA" w:eastAsia="zh-CN"/>
                          </w:rPr>
                          <w:t>base station</w:t>
                        </w:r>
                        <w:r>
                          <w:rPr>
                            <w:kern w:val="2"/>
                            <w:sz w:val="20"/>
                            <w:szCs w:val="20"/>
                            <w:rFonts w:ascii="Times New Roman" w:hAnsi="Times New Roman" w:eastAsia="Times New Roman" w:cs="Arial"/>
                            <w:color w:val="000000"/>
                            <w:lang w:val="en-GB" w:bidi="ar-SA"/>
                          </w:rPr>
                          <w:t xml:space="preserve"> obtains the operator-signed certificate on its own public key from RA/CA using CMPv2.</w:t>
                        </w:r>
                      </w:p>
                    </w:txbxContent>
                  </v:textbox>
                  <v:fill o:detectmouseclick="t" on="false"/>
                  <v:stroke color="black" weight="9360" joinstyle="miter" endcap="flat"/>
                  <w10:wrap type="none"/>
                </v:shape>
                <v:line id="shape_0" from="3060,652" to="4851,2699" stroked="t" o:allowincell="f" style="position:absolute;mso-position-horizontal-relative:char">
                  <v:stroke color="black" weight="9360" startarrow="block" endarrow="block" startarrowwidth="medium" startarrowlength="medium" endarrowwidth="medium" endarrowlength="medium" joinstyle="miter" endcap="flat"/>
                  <v:fill o:detectmouseclick="t" on="false"/>
                  <w10:wrap type="none"/>
                </v:line>
                <v:shape id="shape_0" stroked="f" o:allowincell="f" style="position:absolute;left:3764;top:1193;width:1439;height:539;mso-wrap-style:square;v-text-anchor:top;mso-position-horizontal-relative:char" type="_x0000_t202">
                  <v:textbox>
                    <w:txbxContent>
                      <w:p>
                        <w:pPr>
                          <w:overflowPunct w:val="false"/>
                          <w:bidi w:val="0"/>
                          <w:spacing w:before="0" w:after="180"/>
                          <w:rPr/>
                        </w:pPr>
                        <w:r>
                          <w:rPr>
                            <w:kern w:val="2"/>
                            <w:sz w:val="20"/>
                            <w:szCs w:val="20"/>
                            <w:rFonts w:ascii="Times New Roman" w:hAnsi="Times New Roman" w:eastAsia="Times New Roman" w:cs="Times New Roman"/>
                            <w:color w:val="auto"/>
                            <w:lang w:val="en-GB" w:bidi="ar-SA"/>
                          </w:rPr>
                          <w:t>CMPv2</w:t>
                        </w:r>
                      </w:p>
                    </w:txbxContent>
                  </v:textbox>
                  <v:fill o:detectmouseclick="t" on="false"/>
                  <v:stroke color="#3465a4" joinstyle="round" endcap="flat"/>
                  <w10:wrap type="none"/>
                </v:shape>
                <v:shape id="shape_0" stroked="t" o:allowincell="f" style="position:absolute;left:6430;top:2397;width:2991;height:861;mso-wrap-style:square;v-text-anchor:top;mso-position-horizontal-relative:char" type="_x0000_t61">
                  <v:textbox>
                    <w:txbxContent>
                      <w:p>
                        <w:pPr>
                          <w:overflowPunct w:val="false"/>
                          <w:autoSpaceDE w:val="false"/>
                          <w:bidi w:val="0"/>
                          <w:spacing w:before="0" w:after="180"/>
                          <w:rPr/>
                        </w:pPr>
                        <w:r>
                          <w:rPr>
                            <w:kern w:val="2"/>
                            <w:sz w:val="20"/>
                            <w:szCs w:val="20"/>
                            <w:rFonts w:ascii="Times New Roman" w:hAnsi="Times New Roman" w:eastAsia="Times New Roman" w:cs="Arial"/>
                            <w:color w:val="000000"/>
                            <w:lang w:val="en-GB" w:bidi="ar-SA"/>
                          </w:rPr>
                          <w:t xml:space="preserve">Vendor-signed certificate of </w:t>
                        </w:r>
                        <w:r>
                          <w:rPr>
                            <w:kern w:val="2"/>
                            <w:sz w:val="20"/>
                            <w:szCs w:val="20"/>
                            <w:rFonts w:ascii="Times New Roman" w:hAnsi="Times New Roman" w:eastAsia="Times New Roman" w:cs="Times New Roman"/>
                            <w:color w:val="auto"/>
                            <w:lang w:val="en-GB" w:bidi="ar-SA" w:eastAsia="zh-CN"/>
                          </w:rPr>
                          <w:t>base station</w:t>
                        </w:r>
                        <w:r>
                          <w:rPr>
                            <w:kern w:val="2"/>
                            <w:sz w:val="20"/>
                            <w:szCs w:val="20"/>
                            <w:rFonts w:ascii="Times New Roman" w:hAnsi="Times New Roman" w:eastAsia="Times New Roman" w:cs="Arial"/>
                            <w:color w:val="000000"/>
                            <w:lang w:val="en-GB" w:bidi="ar-SA"/>
                          </w:rPr>
                          <w:t xml:space="preserve"> public key is pre-installed.</w:t>
                        </w:r>
                      </w:p>
                    </w:txbxContent>
                  </v:textbox>
                  <v:fill o:detectmouseclick="t" on="false"/>
                  <v:stroke color="black" weight="9360" joinstyle="miter" endcap="flat"/>
                  <w10:wrap type="none"/>
                </v:shape>
                <v:shape id="shape_0" stroked="t" o:allowincell="f" style="position:absolute;left:180;top:900;width:2923;height:719;mso-wrap-style:square;v-text-anchor:top;mso-position-horizontal-relative:char" type="_x0000_t61">
                  <v:textbox>
                    <w:txbxContent>
                      <w:p>
                        <w:pPr>
                          <w:overflowPunct w:val="false"/>
                          <w:autoSpaceDE w:val="false"/>
                          <w:bidi w:val="0"/>
                          <w:spacing w:before="0" w:after="180"/>
                          <w:rPr/>
                        </w:pPr>
                        <w:r>
                          <w:rPr>
                            <w:kern w:val="2"/>
                            <w:sz w:val="20"/>
                            <w:szCs w:val="20"/>
                            <w:rFonts w:ascii="Times New Roman" w:hAnsi="Times New Roman" w:eastAsia="Times New Roman" w:cs="Arial"/>
                            <w:color w:val="000000"/>
                            <w:lang w:val="en-GB" w:bidi="ar-SA"/>
                          </w:rPr>
                          <w:t>Vendor root certificate is pre-installed.</w:t>
                        </w:r>
                      </w:p>
                    </w:txbxContent>
                  </v:textbox>
                  <v:fill o:detectmouseclick="t" on="false"/>
                  <v:stroke color="black" weight="9360" joinstyle="miter" endcap="flat"/>
                  <w10:wrap type="none"/>
                </v:shape>
                <v:shape id="shape_0" stroked="t" o:allowincell="f" style="position:absolute;left:4934;top:187;width:1259;height:469;mso-wrap-style:square;v-text-anchor:middle;mso-position-horizontal-relative:char" type="_x0000_t202">
                  <v:textbox>
                    <w:txbxContent>
                      <w:p>
                        <w:pPr>
                          <w:overflowPunct w:val="false"/>
                          <w:autoSpaceDE w:val="false"/>
                          <w:bidi w:val="0"/>
                          <w:spacing w:before="0" w:after="180"/>
                          <w:jc w:val="center"/>
                          <w:rPr/>
                        </w:pPr>
                        <w:r>
                          <w:rPr>
                            <w:kern w:val="2"/>
                            <w:sz w:val="20"/>
                            <w:szCs w:val="20"/>
                            <w:rFonts w:ascii="Times New Roman" w:hAnsi="Times New Roman" w:eastAsia="Times New Roman" w:cs="Arial"/>
                            <w:color w:val="000000"/>
                            <w:lang w:val="de-DE" w:bidi="ar-SA"/>
                          </w:rPr>
                          <w:t>SEG</w:t>
                        </w:r>
                      </w:p>
                    </w:txbxContent>
                  </v:textbox>
                  <v:fill o:detectmouseclick="t" on="false"/>
                  <v:stroke color="black" weight="9360" joinstyle="miter" endcap="flat"/>
                  <w10:wrap type="none"/>
                </v:shape>
                <v:shape id="shape_0" stroked="t" o:allowincell="f" style="position:absolute;left:6430;top:0;width:2923;height:719;mso-wrap-style:square;v-text-anchor:top;mso-position-horizontal-relative:char" type="_x0000_t61">
                  <v:textbox>
                    <w:txbxContent>
                      <w:p>
                        <w:pPr>
                          <w:overflowPunct w:val="false"/>
                          <w:autoSpaceDE w:val="false"/>
                          <w:bidi w:val="0"/>
                          <w:spacing w:before="0" w:after="180"/>
                          <w:rPr/>
                        </w:pPr>
                        <w:r>
                          <w:rPr>
                            <w:kern w:val="2"/>
                            <w:sz w:val="20"/>
                            <w:szCs w:val="20"/>
                            <w:rFonts w:ascii="Times New Roman" w:hAnsi="Times New Roman" w:eastAsia="Times New Roman" w:cs="Arial"/>
                            <w:color w:val="000000"/>
                            <w:lang w:val="en-GB" w:bidi="ar-SA"/>
                          </w:rPr>
                          <w:t>Operator root certificate is pre-installed.</w:t>
                        </w:r>
                      </w:p>
                    </w:txbxContent>
                  </v:textbox>
                  <v:fill o:detectmouseclick="t" on="false"/>
                  <v:stroke color="black" weight="9360" joinstyle="miter" endcap="flat"/>
                  <w10:wrap type="none"/>
                </v:shape>
                <v:line id="shape_0" from="5496,666" to="5496,2722" stroked="t" o:allowincell="f" style="position:absolute;mso-position-horizontal-relative:char">
                  <v:stroke color="black" weight="9360" startarrow="block" endarrow="block" startarrowwidth="medium" startarrowlength="medium" endarrowwidth="medium" endarrowlength="medium" joinstyle="miter" endcap="flat"/>
                  <v:fill o:detectmouseclick="t" on="false"/>
                  <w10:wrap type="none"/>
                </v:line>
                <v:shape id="shape_0" stroked="t" o:allowincell="f" style="position:absolute;left:6617;top:1122;width:2923;height:719;mso-wrap-style:square;v-text-anchor:top;mso-position-horizontal-relative:char" type="_x0000_t61">
                  <v:textbox>
                    <w:txbxContent>
                      <w:p>
                        <w:pPr>
                          <w:overflowPunct w:val="false"/>
                          <w:autoSpaceDE w:val="false"/>
                          <w:bidi w:val="0"/>
                          <w:spacing w:before="0" w:after="180"/>
                          <w:rPr/>
                        </w:pPr>
                        <w:r>
                          <w:rPr>
                            <w:kern w:val="2"/>
                            <w:sz w:val="20"/>
                            <w:szCs w:val="20"/>
                            <w:rFonts w:ascii="Times New Roman" w:hAnsi="Times New Roman" w:eastAsia="Times New Roman" w:cs="Arial"/>
                            <w:color w:val="000000"/>
                            <w:lang w:val="en-GB" w:bidi="ar-SA"/>
                          </w:rPr>
                          <w:t xml:space="preserve">Enrolled </w:t>
                        </w:r>
                        <w:r>
                          <w:rPr>
                            <w:kern w:val="2"/>
                            <w:sz w:val="20"/>
                            <w:szCs w:val="20"/>
                            <w:rFonts w:ascii="Times New Roman" w:hAnsi="Times New Roman" w:eastAsia="Times New Roman" w:cs="Times New Roman"/>
                            <w:color w:val="auto"/>
                            <w:lang w:val="en-GB" w:bidi="ar-SA" w:eastAsia="zh-CN"/>
                          </w:rPr>
                          <w:t>base station</w:t>
                        </w:r>
                        <w:r>
                          <w:rPr>
                            <w:kern w:val="2"/>
                            <w:sz w:val="20"/>
                            <w:szCs w:val="20"/>
                            <w:rFonts w:ascii="Times New Roman" w:hAnsi="Times New Roman" w:eastAsia="Times New Roman" w:cs="Arial"/>
                            <w:color w:val="000000"/>
                            <w:lang w:val="en-GB" w:bidi="ar-SA"/>
                          </w:rPr>
                          <w:t xml:space="preserve"> certificate is used in IKE/IPsec.</w:t>
                        </w:r>
                      </w:p>
                    </w:txbxContent>
                  </v:textbox>
                  <v:fill o:detectmouseclick="t" on="false"/>
                  <v:stroke color="black" weight="9360" joinstyle="miter" endcap="flat"/>
                  <w10:wrap type="none"/>
                </v:shape>
                <v:shape id="shape_0" stroked="f" o:allowincell="f" style="position:absolute;left:5495;top:1122;width:747;height:373;mso-wrap-style:square;v-text-anchor:top;mso-position-horizontal-relative:char" type="_x0000_t202">
                  <v:textbox>
                    <w:txbxContent>
                      <w:p>
                        <w:pPr>
                          <w:overflowPunct w:val="false"/>
                          <w:bidi w:val="0"/>
                          <w:spacing w:before="0" w:after="180"/>
                          <w:rPr/>
                        </w:pPr>
                        <w:r>
                          <w:rPr>
                            <w:kern w:val="2"/>
                            <w:sz w:val="20"/>
                            <w:szCs w:val="20"/>
                            <w:rFonts w:ascii="Times New Roman" w:hAnsi="Times New Roman" w:eastAsia="Times New Roman" w:cs="Times New Roman"/>
                            <w:color w:val="auto"/>
                            <w:lang w:val="de-DE" w:bidi="ar-SA"/>
                          </w:rPr>
                          <w:t>IPsec</w:t>
                        </w:r>
                      </w:p>
                    </w:txbxContent>
                  </v:textbox>
                  <v:fill o:detectmouseclick="t" on="false"/>
                  <v:stroke color="#3465a4" joinstyle="round" endcap="flat"/>
                  <w10:wrap type="none"/>
                </v:shape>
              </v:group>
            </w:pict>
          </mc:Fallback>
        </mc:AlternateContent>
      </w:r>
    </w:p>
    <w:p>
      <w:pPr>
        <w:pStyle w:val="TF"/>
        <w:rPr/>
      </w:pPr>
      <w:r>
        <w:rPr/>
        <w:t>Figure 7: Overview of the security architecture</w:t>
      </w:r>
    </w:p>
    <w:p>
      <w:pPr>
        <w:pStyle w:val="Normal"/>
        <w:rPr>
          <w:lang w:eastAsia="zh-CN"/>
        </w:rPr>
      </w:pPr>
      <w:r>
        <w:rPr>
          <w:lang w:eastAsia="zh-CN"/>
        </w:rPr>
        <w:t xml:space="preserve">The base station is pre-provisioned with a public-private key pair by the vendor, and has the vendor-signed certificate of its public key pre-installed. </w:t>
      </w:r>
    </w:p>
    <w:p>
      <w:pPr>
        <w:pStyle w:val="Normal"/>
        <w:rPr/>
      </w:pPr>
      <w:r>
        <w:rPr>
          <w:lang w:eastAsia="zh-CN"/>
        </w:rPr>
        <w:t>As RA/CA, an operator may deploy:</w:t>
      </w:r>
    </w:p>
    <w:p>
      <w:pPr>
        <w:pStyle w:val="B1"/>
        <w:rPr/>
      </w:pPr>
      <w:r>
        <w:rPr/>
        <w:t>-</w:t>
        <w:tab/>
        <w:t xml:space="preserve">either a stand-alone CA implementing a CMPv2 server, </w:t>
      </w:r>
    </w:p>
    <w:p>
      <w:pPr>
        <w:pStyle w:val="B1"/>
        <w:rPr>
          <w:lang w:eastAsia="zh-CN"/>
        </w:rPr>
      </w:pPr>
      <w:r>
        <w:rPr/>
        <w:t>-</w:t>
        <w:tab/>
        <w:t>or, a CA having delegated certain tasks to an RA, which is in this case operating the CMPv2 server.</w:t>
      </w:r>
    </w:p>
    <w:p>
      <w:pPr>
        <w:pStyle w:val="Normal"/>
        <w:rPr/>
      </w:pPr>
      <w:r>
        <w:rPr>
          <w:lang w:eastAsia="zh-CN"/>
        </w:rPr>
        <w:t>On initial contact to the operator network the base station establishes a communication channel to the RA/CA of th</w:t>
      </w:r>
      <w:r>
        <w:rPr/>
        <w:t>e</w:t>
      </w:r>
      <w:r>
        <w:rPr>
          <w:lang w:eastAsia="zh-CN"/>
        </w:rPr>
        <w:t xml:space="preserve"> operator. Using CMPv2 [4] a request for a certificate is sent to the RA/CA. The network authenticates the messages from the base station based on the vendor-signed certificate of the base station and the vendor root certificate pre-installed in the network. The base station shall check the integrity protection on the messages from the RA/CA based on the operator root certificate provisioned in the base station. In a response message the base station receives the operator-signed certificate. During the execution of the CMPv2 protocol the base station has to successfully provide a Proof of Possession of the private key associated to the public key to be certified. </w:t>
      </w:r>
    </w:p>
    <w:p>
      <w:pPr>
        <w:pStyle w:val="Normal"/>
        <w:rPr/>
      </w:pPr>
      <w:r>
        <w:rPr/>
        <w:t xml:space="preserve">The operator root certificate may be provisioned in the base station prior to or during the CMPv2 protocol run. The protection of the operator root certificate during provisioning may be decided by operator security policy. If an operator root certificate provisioned prior to the CMPv2 protocol run is available the base station shall use it. Otherwise, the base station shall use the operator root certificate provisioned during the CMPv2 run. If no operator root certificate is provisioned at all then the base station shall abort the procedure. </w:t>
      </w:r>
    </w:p>
    <w:p>
      <w:pPr>
        <w:pStyle w:val="Normal"/>
        <w:rPr/>
      </w:pPr>
      <w:r>
        <w:rPr>
          <w:lang w:eastAsia="zh-CN"/>
        </w:rPr>
        <w:t>After enrolment has been performed, the base station can use the operator-signed certificate to authenticate itself to the SEG of the operator, which is pre-installed with the operator root certificate. The base station then authenticates the SEG using the operator root certificate.</w:t>
      </w:r>
    </w:p>
    <w:p>
      <w:pPr>
        <w:pStyle w:val="NO"/>
        <w:rPr/>
      </w:pPr>
      <w:r>
        <w:rPr>
          <w:lang w:eastAsia="zh-CN"/>
        </w:rPr>
        <w:t>NOTE:</w:t>
        <w:tab/>
        <w:t>The authentication towards the SEG is part of the normal usage of IPsec-based backhaul security according to TS 33.210 [1].</w:t>
      </w:r>
    </w:p>
    <w:p>
      <w:pPr>
        <w:pStyle w:val="Normal"/>
        <w:rPr/>
      </w:pPr>
      <w:r>
        <w:rPr>
          <w:lang w:eastAsia="zh-CN"/>
        </w:rPr>
        <w:t>If at later stage of base station deployment the operator wants to renew the base station certificate, the same procedure will be executed with the old operator-signed certificate of the base station taking the place of the vendor-signed certificate in the initial enrolment.</w:t>
      </w:r>
    </w:p>
    <w:p>
      <w:pPr>
        <w:pStyle w:val="Heading2"/>
        <w:rPr>
          <w:lang w:eastAsia="zh-CN"/>
        </w:rPr>
      </w:pPr>
      <w:bookmarkStart w:id="132" w:name="__RefHeading___Toc145337414"/>
      <w:bookmarkEnd w:id="132"/>
      <w:r>
        <w:rPr>
          <w:lang w:eastAsia="zh-CN"/>
        </w:rPr>
        <w:t>9.3</w:t>
        <w:tab/>
        <w:t>Security M</w:t>
      </w:r>
      <w:r>
        <w:rPr>
          <w:lang w:eastAsia="zh-CN"/>
        </w:rPr>
        <w:t>echanisms</w:t>
      </w:r>
    </w:p>
    <w:p>
      <w:pPr>
        <w:pStyle w:val="Normal"/>
        <w:rPr/>
      </w:pPr>
      <w:r>
        <w:rPr>
          <w:lang w:eastAsia="zh-CN"/>
        </w:rPr>
        <w:t xml:space="preserve">The enrolment of base stations shall use the CMPv2 protocol as specified in RFC 4210 [4] and RFC 4211 [19]. The proof-of-possession methods as given by [4] and [19] shall be used. </w:t>
      </w:r>
    </w:p>
    <w:p>
      <w:pPr>
        <w:pStyle w:val="Normal"/>
        <w:rPr/>
      </w:pPr>
      <w:r>
        <w:rPr>
          <w:lang w:eastAsia="zh-CN"/>
        </w:rPr>
        <w:t>The profiling of CMPv2 for the purpose of base station enrolment is given in subclause 9.5 of the present document.</w:t>
      </w:r>
    </w:p>
    <w:p>
      <w:pPr>
        <w:pStyle w:val="Heading2"/>
        <w:rPr/>
      </w:pPr>
      <w:bookmarkStart w:id="133" w:name="__RefHeading___Toc145337415"/>
      <w:bookmarkEnd w:id="133"/>
      <w:r>
        <w:rPr>
          <w:lang w:eastAsia="zh-CN"/>
        </w:rPr>
        <w:t>9.4</w:t>
        <w:tab/>
        <w:t>Certificate Profiles</w:t>
      </w:r>
    </w:p>
    <w:p>
      <w:pPr>
        <w:pStyle w:val="Heading3"/>
        <w:rPr>
          <w:rFonts w:ascii="Times New Roman" w:hAnsi="Times New Roman" w:cs="Times New Roman"/>
          <w:sz w:val="20"/>
          <w:lang w:eastAsia="zh-CN"/>
        </w:rPr>
      </w:pPr>
      <w:bookmarkStart w:id="134" w:name="__RefHeading___Toc145337416"/>
      <w:bookmarkEnd w:id="134"/>
      <w:r>
        <w:rPr>
          <w:lang w:eastAsia="zh-CN"/>
        </w:rPr>
        <w:t>9.4.1</w:t>
        <w:tab/>
        <w:t>General</w:t>
      </w:r>
    </w:p>
    <w:p>
      <w:pPr>
        <w:pStyle w:val="Normal"/>
        <w:rPr/>
      </w:pPr>
      <w:r>
        <w:rPr>
          <w:lang w:eastAsia="zh-CN"/>
        </w:rPr>
        <w:t>All certificates used during the enrolment process of base stations shall follow the requirements given in clause 6 of the present document. Profiling and exceptions are specified in the following subclauses.</w:t>
      </w:r>
    </w:p>
    <w:p>
      <w:pPr>
        <w:pStyle w:val="Heading3"/>
        <w:rPr/>
      </w:pPr>
      <w:bookmarkStart w:id="135" w:name="__RefHeading___Toc145337417"/>
      <w:bookmarkEnd w:id="135"/>
      <w:r>
        <w:rPr>
          <w:lang w:eastAsia="zh-CN"/>
        </w:rPr>
        <w:t>9.4.2</w:t>
        <w:tab/>
        <w:t>Vendor Root CA Certificate</w:t>
      </w:r>
    </w:p>
    <w:p>
      <w:pPr>
        <w:pStyle w:val="Normal"/>
        <w:rPr/>
      </w:pPr>
      <w:r>
        <w:rPr>
          <w:lang w:eastAsia="zh-CN"/>
        </w:rPr>
        <w:t>The root certificate of the vendor root CA shall follow the requirements given in subclause 6.1.2 for interconnection CA certificate profiles, with the following exceptions:</w:t>
      </w:r>
    </w:p>
    <w:p>
      <w:pPr>
        <w:pStyle w:val="B1"/>
        <w:rPr/>
      </w:pPr>
      <w:r>
        <w:rPr>
          <w:lang w:eastAsia="zh-CN"/>
        </w:rPr>
        <w:t>-</w:t>
        <w:tab/>
        <w:t>the vendor shall support distribution of certificate revocation information. The interface to provide revocation data is out of scope of the present document.</w:t>
      </w:r>
    </w:p>
    <w:p>
      <w:pPr>
        <w:pStyle w:val="Heading3"/>
        <w:rPr/>
      </w:pPr>
      <w:bookmarkStart w:id="136" w:name="__RefHeading___Toc145337418"/>
      <w:bookmarkEnd w:id="136"/>
      <w:r>
        <w:rPr>
          <w:lang w:eastAsia="zh-CN"/>
        </w:rPr>
        <w:t>9.4.3</w:t>
        <w:tab/>
        <w:t>Vendor CA Certificate</w:t>
      </w:r>
    </w:p>
    <w:p>
      <w:pPr>
        <w:pStyle w:val="Normal"/>
        <w:rPr/>
      </w:pPr>
      <w:r>
        <w:rPr>
          <w:lang w:eastAsia="zh-CN"/>
        </w:rPr>
        <w:t>If the vendor does not sign the base station certificate by its vendor root CA, the certificate of the CA signing the base station certificates and of any intermediate vendor CA shall follow the requirements given in subclause 6.1.4 for SEG CA certificate profiles, with the following exceptions:</w:t>
      </w:r>
    </w:p>
    <w:p>
      <w:pPr>
        <w:pStyle w:val="B1"/>
        <w:rPr/>
      </w:pPr>
      <w:r>
        <w:rPr/>
        <w:t>-</w:t>
        <w:tab/>
        <w:t>the issuer name shall be the name of any vendor CA, given that the resulting chain of certificates starting with the base station certificates leads to the vendor root CA;</w:t>
      </w:r>
    </w:p>
    <w:p>
      <w:pPr>
        <w:pStyle w:val="B1"/>
        <w:rPr/>
      </w:pPr>
      <w:r>
        <w:rPr/>
        <w:t>-</w:t>
        <w:tab/>
        <w:t>the path length shall be greater than 0 for the certificate of an intermediate CA not directly signing the vendor base station certificates;</w:t>
      </w:r>
    </w:p>
    <w:p>
      <w:pPr>
        <w:pStyle w:val="B1"/>
        <w:rPr/>
      </w:pPr>
      <w:r>
        <w:rPr/>
        <w:t>-</w:t>
        <w:tab/>
      </w:r>
      <w:r>
        <w:rPr>
          <w:lang w:eastAsia="zh-CN"/>
        </w:rPr>
        <w:t>the CRL distribution point extension in the certificate shall be optional;</w:t>
      </w:r>
    </w:p>
    <w:p>
      <w:pPr>
        <w:pStyle w:val="B1"/>
        <w:rPr/>
      </w:pPr>
      <w:r>
        <w:rPr/>
        <w:t>-</w:t>
        <w:tab/>
        <w:t>the provisions on distribution of certificate revocation information given in subclause 9.4.2 shall apply.</w:t>
      </w:r>
    </w:p>
    <w:p>
      <w:pPr>
        <w:pStyle w:val="Heading3"/>
        <w:rPr/>
      </w:pPr>
      <w:bookmarkStart w:id="137" w:name="__RefHeading___Toc145337419"/>
      <w:bookmarkEnd w:id="137"/>
      <w:r>
        <w:rPr>
          <w:lang w:eastAsia="zh-CN"/>
        </w:rPr>
        <w:t>9.4.4</w:t>
        <w:tab/>
        <w:t>Vendor Base Station Certificate</w:t>
      </w:r>
    </w:p>
    <w:p>
      <w:pPr>
        <w:pStyle w:val="Normal"/>
        <w:rPr/>
      </w:pPr>
      <w:r>
        <w:rPr>
          <w:lang w:eastAsia="zh-CN"/>
        </w:rPr>
        <w:t>The base station certificate signed by a vendor CA shall follow the requirements given in subclause 6.1.3b for NE certificate profiles, with the following exceptions:</w:t>
      </w:r>
    </w:p>
    <w:p>
      <w:pPr>
        <w:pStyle w:val="B1"/>
        <w:rPr/>
      </w:pPr>
      <w:r>
        <w:rPr/>
        <w:t>-</w:t>
        <w:tab/>
        <w:t>the issuer name is the name of the vendor CA signing the base station certificate;</w:t>
      </w:r>
    </w:p>
    <w:p>
      <w:pPr>
        <w:pStyle w:val="B1"/>
        <w:rPr/>
      </w:pPr>
      <w:r>
        <w:rPr/>
        <w:t>-</w:t>
        <w:tab/>
        <w:t>the subject name shall be a globally unique fully qualified domain name (FQDN) given by the vendor. The exact definition of this FQDN is left to the vendor, given that the vendor ensures global uniqueness. The format of the subject name shall follow subclause 6.1.1 using the variant with an o attribute and a cn attribute, where the o attribute shall contain the vendor name, and the cn attribute shall contain the FQDN.</w:t>
      </w:r>
    </w:p>
    <w:p>
      <w:pPr>
        <w:pStyle w:val="B1"/>
        <w:rPr/>
      </w:pPr>
      <w:r>
        <w:rPr/>
        <w:t>-</w:t>
        <w:tab/>
        <w:t>the subjectAltName with type dNSName shall contain the same FQDN as the subject field;</w:t>
      </w:r>
    </w:p>
    <w:p>
      <w:pPr>
        <w:pStyle w:val="NO"/>
        <w:rPr/>
      </w:pPr>
      <w:r>
        <w:rPr>
          <w:lang w:eastAsia="zh-CN"/>
        </w:rPr>
        <w:t>NOTE 1:</w:t>
        <w:tab/>
        <w:t>Availability of DNS is not required for the FQDN in the certificate.</w:t>
      </w:r>
    </w:p>
    <w:p>
      <w:pPr>
        <w:pStyle w:val="NO"/>
        <w:rPr/>
      </w:pPr>
      <w:r>
        <w:rPr>
          <w:lang w:eastAsia="zh-CN"/>
        </w:rPr>
        <w:t>NOTE 2:</w:t>
        <w:tab/>
        <w:t xml:space="preserve">An example for the vendor base station FQDN is &lt;serialnumber&gt;.&lt;vendor&gt;.com. Note that all labels comply with the requirements for labels in FQDNs (cf. </w:t>
      </w:r>
      <w:r>
        <w:rPr/>
        <w:t>RFC 1035 [25])</w:t>
      </w:r>
      <w:r>
        <w:rPr>
          <w:lang w:eastAsia="zh-CN"/>
        </w:rPr>
        <w:t>. The representation in the subject field would be "o=&lt;vendor name&gt;, cn=&lt;serialnumber&gt;.&lt;vendor&gt;.com".</w:t>
      </w:r>
    </w:p>
    <w:p>
      <w:pPr>
        <w:pStyle w:val="B1"/>
        <w:rPr/>
      </w:pPr>
      <w:r>
        <w:rPr/>
        <w:t>-</w:t>
        <w:tab/>
        <w:t>the provisions on the CRL distribution point extension in the certificate and on distribution of certificate revocation information given in subclause 9.4.3 shall apply.</w:t>
      </w:r>
    </w:p>
    <w:p>
      <w:pPr>
        <w:pStyle w:val="Heading3"/>
        <w:rPr>
          <w:lang w:eastAsia="zh-CN"/>
        </w:rPr>
      </w:pPr>
      <w:bookmarkStart w:id="138" w:name="__RefHeading___Toc145337420"/>
      <w:bookmarkEnd w:id="138"/>
      <w:r>
        <w:rPr>
          <w:lang w:eastAsia="zh-CN"/>
        </w:rPr>
        <w:t>9.4.5</w:t>
        <w:tab/>
        <w:t>Operator Root CA Certificate</w:t>
      </w:r>
    </w:p>
    <w:p>
      <w:pPr>
        <w:pStyle w:val="Normal"/>
        <w:rPr/>
      </w:pPr>
      <w:r>
        <w:rPr>
          <w:lang w:eastAsia="zh-CN"/>
        </w:rPr>
        <w:t>The root certificate of the operator root CA shall follow the requirements given in subclause 6.1.2 for interconnection CA certificate profiles.</w:t>
      </w:r>
    </w:p>
    <w:p>
      <w:pPr>
        <w:pStyle w:val="Heading3"/>
        <w:rPr/>
      </w:pPr>
      <w:bookmarkStart w:id="139" w:name="__RefHeading___Toc145337421"/>
      <w:bookmarkEnd w:id="139"/>
      <w:r>
        <w:rPr>
          <w:lang w:eastAsia="zh-CN"/>
        </w:rPr>
        <w:t>9.4.6</w:t>
        <w:tab/>
        <w:t>Operator RA/CA Certificate</w:t>
      </w:r>
    </w:p>
    <w:p>
      <w:pPr>
        <w:pStyle w:val="Normal"/>
        <w:rPr/>
      </w:pPr>
      <w:r>
        <w:rPr>
          <w:lang w:eastAsia="zh-CN"/>
        </w:rPr>
        <w:t>If operating a standalone CA, the operator may deploy separate private keys for signing certificates and for signing the CMP messages or he may use one single private key for both purposes. In consequence the CA may have two or one certificate(s)</w:t>
      </w:r>
      <w:r>
        <w:rPr/>
        <w:t xml:space="preserve"> </w:t>
      </w:r>
      <w:r>
        <w:rPr>
          <w:lang w:eastAsia="zh-CN"/>
        </w:rPr>
        <w:t>being actively utilized in this transaction.</w:t>
      </w:r>
    </w:p>
    <w:p>
      <w:pPr>
        <w:pStyle w:val="Normal"/>
        <w:rPr/>
      </w:pPr>
      <w:r>
        <w:rPr>
          <w:lang w:eastAsia="zh-CN"/>
        </w:rPr>
        <w:t>The operator may utilize a CA for signing certificates and delegate operation of the CMPv2 server to an RA. If RA and CA are different entities, the private keys as well as the subject names of the certificates used by the CA for signing base station certificates and by the RA for signing CMP messages are different.</w:t>
      </w:r>
    </w:p>
    <w:p>
      <w:pPr>
        <w:pStyle w:val="Normal"/>
        <w:rPr/>
      </w:pPr>
      <w:r>
        <w:rPr>
          <w:lang w:eastAsia="zh-CN"/>
        </w:rPr>
        <w:t>The CA certificate used for signing certificates shall follow the requirements given in subclause 6.1.4 for SEG CA certificate profiles, with the following exception:</w:t>
      </w:r>
    </w:p>
    <w:p>
      <w:pPr>
        <w:pStyle w:val="B1"/>
        <w:rPr/>
      </w:pPr>
      <w:r>
        <w:rPr/>
        <w:t>-</w:t>
        <w:tab/>
        <w:t>the issuer name shall be the name of any operator CA, given that the resulting chain of certificates starting with the CA certificate leads to the operator root CA.</w:t>
      </w:r>
    </w:p>
    <w:p>
      <w:pPr>
        <w:pStyle w:val="Normal"/>
        <w:rPr/>
      </w:pPr>
      <w:r>
        <w:rPr>
          <w:lang w:eastAsia="zh-CN"/>
        </w:rPr>
        <w:t>The RA/CA certificate used for signing CMP messages shall follow the requirements given in subclause 6.1.3 for SEG certificate profiles, with the following exceptions:</w:t>
      </w:r>
    </w:p>
    <w:p>
      <w:pPr>
        <w:pStyle w:val="B1"/>
        <w:rPr/>
      </w:pPr>
      <w:r>
        <w:rPr/>
        <w:t>-</w:t>
        <w:tab/>
        <w:t>the subject name shall be the same name as used in the "sender" field of the CMPv2 messages;</w:t>
      </w:r>
    </w:p>
    <w:p>
      <w:pPr>
        <w:pStyle w:val="B1"/>
        <w:rPr/>
      </w:pPr>
      <w:r>
        <w:rPr/>
        <w:t>-</w:t>
        <w:tab/>
        <w:t>the issuer name shall be the name of any operator CA, given that the resulting chain of certificates starting with the RA/CA certificate leads to the operator root CA.</w:t>
      </w:r>
    </w:p>
    <w:p>
      <w:pPr>
        <w:pStyle w:val="Normal"/>
        <w:rPr/>
      </w:pPr>
      <w:r>
        <w:rPr>
          <w:lang w:eastAsia="zh-CN"/>
        </w:rPr>
        <w:t>If the operator deploys one single private key for signing of the base station certificates and for signing of the CMP messages, for the single RA/CA certificate the same requirements as above for the CA certificate used for signing certificates apply with the following addition:</w:t>
      </w:r>
    </w:p>
    <w:p>
      <w:pPr>
        <w:pStyle w:val="B1"/>
        <w:rPr/>
      </w:pPr>
      <w:r>
        <w:rPr/>
        <w:t>-</w:t>
        <w:tab/>
        <w:t>in addition to the key usage extensions specified in subclause 6.1.4, mandatory critical key usage extension bit digitalSignature shall be set.</w:t>
      </w:r>
    </w:p>
    <w:p>
      <w:pPr>
        <w:pStyle w:val="NO"/>
        <w:rPr/>
      </w:pPr>
      <w:r>
        <w:rPr>
          <w:lang w:eastAsia="zh-CN"/>
        </w:rPr>
        <w:t>NOTE:</w:t>
        <w:tab/>
        <w:t>According to common security practices, the usage of separate private keys and certificates for signing of the base station certificates and for signing of the CMP messages is recommended.</w:t>
      </w:r>
    </w:p>
    <w:p>
      <w:pPr>
        <w:pStyle w:val="Heading3"/>
        <w:rPr/>
      </w:pPr>
      <w:bookmarkStart w:id="140" w:name="__RefHeading___Toc145337422"/>
      <w:bookmarkEnd w:id="140"/>
      <w:r>
        <w:rPr>
          <w:lang w:eastAsia="zh-CN"/>
        </w:rPr>
        <w:t>9.4.7</w:t>
        <w:tab/>
        <w:t>Intermediate Operator CA Certificate</w:t>
      </w:r>
    </w:p>
    <w:p>
      <w:pPr>
        <w:pStyle w:val="Normal"/>
        <w:rPr/>
      </w:pPr>
      <w:r>
        <w:rPr>
          <w:lang w:eastAsia="zh-CN"/>
        </w:rPr>
        <w:t>If the operator does not sign the RA/CA certificate by its operator root CA and if the RA/CA certificate(s) are not directly signed by the operator root CA, the certificate of any intermediate operator CA shall follow the requirements given in subclause 6.1.4 for SEG CA certificate profiles, with the following exceptions:</w:t>
      </w:r>
    </w:p>
    <w:p>
      <w:pPr>
        <w:pStyle w:val="B1"/>
        <w:rPr/>
      </w:pPr>
      <w:r>
        <w:rPr/>
        <w:t>-</w:t>
        <w:tab/>
        <w:t>the issuer name shall be the name of any operator CA, given that the resulting chain of certificates starting with the RA/CA certificates leads to the operator root CA;</w:t>
      </w:r>
    </w:p>
    <w:p>
      <w:pPr>
        <w:pStyle w:val="B1"/>
        <w:rPr/>
      </w:pPr>
      <w:r>
        <w:rPr/>
        <w:t>-</w:t>
        <w:tab/>
        <w:t>the path length shall be greater than 0.</w:t>
      </w:r>
    </w:p>
    <w:p>
      <w:pPr>
        <w:pStyle w:val="Heading3"/>
        <w:rPr>
          <w:lang w:eastAsia="zh-CN"/>
        </w:rPr>
      </w:pPr>
      <w:bookmarkStart w:id="141" w:name="__RefHeading___Toc145337423"/>
      <w:bookmarkEnd w:id="141"/>
      <w:r>
        <w:rPr>
          <w:lang w:eastAsia="zh-CN"/>
        </w:rPr>
        <w:t>9.4.8</w:t>
        <w:tab/>
        <w:t>Operator Base Station Certificate</w:t>
      </w:r>
    </w:p>
    <w:p>
      <w:pPr>
        <w:pStyle w:val="Normal"/>
        <w:rPr/>
      </w:pPr>
      <w:r>
        <w:rPr>
          <w:lang w:eastAsia="zh-CN"/>
        </w:rPr>
        <w:t>The base station certificate signed by the operator RA/CA shall follow the requirements given in subclause 6.1.3b for NE certificate profiles.</w:t>
      </w:r>
    </w:p>
    <w:p>
      <w:pPr>
        <w:pStyle w:val="Normal"/>
        <w:rPr/>
      </w:pPr>
      <w:r>
        <w:rPr>
          <w:lang w:eastAsia="zh-CN"/>
        </w:rPr>
        <w:t>Other documents may specify different base station certificate profiles according to their deployment scenario.</w:t>
      </w:r>
    </w:p>
    <w:p>
      <w:pPr>
        <w:pStyle w:val="NO"/>
        <w:rPr/>
      </w:pPr>
      <w:r>
        <w:rPr>
          <w:lang w:eastAsia="zh-CN"/>
        </w:rPr>
        <w:t>NOTE:</w:t>
        <w:tab/>
        <w:t>The intended usage of the base station certificate may have requirements different from the usage of NE certificates as specified in the present document on NDS/AF. Thus the exact profile may depend on other documents specifying the intended deployment scenario.</w:t>
      </w:r>
    </w:p>
    <w:p>
      <w:pPr>
        <w:pStyle w:val="Heading2"/>
        <w:rPr/>
      </w:pPr>
      <w:bookmarkStart w:id="142" w:name="__RefHeading___Toc145337424"/>
      <w:bookmarkEnd w:id="142"/>
      <w:r>
        <w:rPr>
          <w:lang w:eastAsia="zh-CN"/>
        </w:rPr>
        <w:t>9.5</w:t>
        <w:tab/>
        <w:t>CMPv2 Profiling</w:t>
      </w:r>
    </w:p>
    <w:p>
      <w:pPr>
        <w:pStyle w:val="Heading3"/>
        <w:rPr/>
      </w:pPr>
      <w:bookmarkStart w:id="143" w:name="__RefHeading___Toc145337425"/>
      <w:bookmarkEnd w:id="143"/>
      <w:r>
        <w:rPr>
          <w:lang w:eastAsia="zh-CN"/>
        </w:rPr>
        <w:t>9.5.1</w:t>
        <w:tab/>
        <w:t>General Requirements</w:t>
      </w:r>
    </w:p>
    <w:p>
      <w:pPr>
        <w:pStyle w:val="Normal"/>
        <w:rPr>
          <w:lang w:eastAsia="zh-CN"/>
        </w:rPr>
      </w:pPr>
      <w:r>
        <w:rPr>
          <w:lang w:eastAsia="zh-CN"/>
        </w:rPr>
        <w:t>The following requirements shall apply to CMPv2 usage end-to-end between base station and RA/CA:</w:t>
      </w:r>
    </w:p>
    <w:p>
      <w:pPr>
        <w:pStyle w:val="B1"/>
        <w:rPr/>
      </w:pPr>
      <w:r>
        <w:rPr/>
        <w:t>-</w:t>
        <w:tab/>
        <w:t>This CMPv2 profile shall only include certificate request and key update functions. Revocation processing, PKCS#10 requests and CRL fetches shall not be part of this CMPv2 profile.</w:t>
      </w:r>
    </w:p>
    <w:p>
      <w:pPr>
        <w:pStyle w:val="B1"/>
        <w:rPr/>
      </w:pPr>
      <w:r>
        <w:rPr/>
        <w:t>-</w:t>
        <w:tab/>
        <w:t>For PKI Message Protection, this CMP profile shall only use an asymmetric algorithm. PasswordBasedMac is not used in the scope of the present document.</w:t>
      </w:r>
    </w:p>
    <w:p>
      <w:pPr>
        <w:pStyle w:val="B1"/>
        <w:rPr/>
      </w:pPr>
      <w:r>
        <w:rPr/>
        <w:t>-</w:t>
        <w:tab/>
        <w:t>The base station shall be pre-provisioned with a private/public key pair (vendor key pair) and with the related vendor base station certificate signed by a vendor CA.</w:t>
      </w:r>
    </w:p>
    <w:p>
      <w:pPr>
        <w:pStyle w:val="B1"/>
        <w:rPr/>
      </w:pPr>
      <w:r>
        <w:rPr/>
        <w:t>-</w:t>
        <w:tab/>
        <w:t>If there is a certificate chain from the base station certificate up to the vendor root CA, also the intermediate certificates shall be pre-provisioned to the base station.</w:t>
      </w:r>
    </w:p>
    <w:p>
      <w:pPr>
        <w:pStyle w:val="B1"/>
        <w:rPr/>
      </w:pPr>
      <w:r>
        <w:rPr/>
        <w:t>-</w:t>
        <w:tab/>
        <w:t>The base station may be pre-provisioned with the operator root CA certificate.</w:t>
      </w:r>
    </w:p>
    <w:p>
      <w:pPr>
        <w:pStyle w:val="B1"/>
        <w:rPr/>
      </w:pPr>
      <w:r>
        <w:rPr/>
        <w:t>-</w:t>
        <w:tab/>
        <w:t>If the base station is not pre-provisioned with the operator root CA certificate, then the base station shall take the operator root certificate from the certificates received in the initialization response. The selection shall be based on checking which root certificate can be used to validate the received base station certificate.</w:t>
      </w:r>
    </w:p>
    <w:p>
      <w:pPr>
        <w:pStyle w:val="NO"/>
        <w:rPr/>
      </w:pPr>
      <w:r>
        <w:rPr/>
        <w:t>NOTE 1:</w:t>
        <w:tab/>
        <w:t>Certificate renewal for operator root certificates is not in scope of this clause on base station enrolment. Thus it is assumed that the base station always has a valid operator root certificate available for validation of key update responses.</w:t>
      </w:r>
    </w:p>
    <w:p>
      <w:pPr>
        <w:pStyle w:val="B1"/>
        <w:rPr/>
      </w:pPr>
      <w:r>
        <w:rPr/>
        <w:t>-</w:t>
        <w:tab/>
        <w:t>The RA/CA shall authenticate initialization requests based on signatures which are validated against the vendor root CA.</w:t>
      </w:r>
    </w:p>
    <w:p>
      <w:pPr>
        <w:pStyle w:val="B1"/>
        <w:rPr/>
      </w:pPr>
      <w:r>
        <w:rPr/>
        <w:t>-</w:t>
        <w:tab/>
        <w:t>The RA/CA shall authenticate key update requests based on signatures which are validated against the operator root CA.</w:t>
      </w:r>
    </w:p>
    <w:p>
      <w:pPr>
        <w:pStyle w:val="B1"/>
        <w:rPr/>
      </w:pPr>
      <w:r>
        <w:rPr/>
        <w:t>-</w:t>
        <w:tab/>
        <w:t>The RA/CA shall be configured with the root certificate of the vendor and with the root certificate of the operator.</w:t>
      </w:r>
    </w:p>
    <w:p>
      <w:pPr>
        <w:pStyle w:val="B1"/>
        <w:rPr/>
      </w:pPr>
      <w:r>
        <w:rPr/>
        <w:t>-</w:t>
        <w:tab/>
        <w:t>The RA/CA shall be configured with a RA/CA certificate which is signed either by the operator root CA or by an intermediate CA under the operator root CA.</w:t>
      </w:r>
    </w:p>
    <w:p>
      <w:pPr>
        <w:pStyle w:val="B1"/>
        <w:rPr/>
      </w:pPr>
      <w:r>
        <w:rPr/>
        <w:t>-</w:t>
        <w:tab/>
        <w:t>If the RA/CA uses different private keys to sign the generated certificates and the CMPv2 messages, the RA/CA shall be configured with the two related certificates, i.e. the RA/CA certificate for signing signatures and the RA/CA certificate for signing CMP messages.</w:t>
      </w:r>
    </w:p>
    <w:p>
      <w:pPr>
        <w:pStyle w:val="B1"/>
        <w:rPr/>
      </w:pPr>
      <w:r>
        <w:rPr/>
        <w:t>-</w:t>
        <w:tab/>
        <w:t>If the RA/CA certificate or certificates (two in case separate private keys are used for signing of certificates and CMP messages) are not signed directly by the operator root CA, also the certificates of the intermediate CAs shall be configured into the RA/CA.</w:t>
      </w:r>
    </w:p>
    <w:p>
      <w:pPr>
        <w:pStyle w:val="B1"/>
        <w:rPr/>
      </w:pPr>
      <w:r>
        <w:rPr/>
        <w:t>-</w:t>
        <w:tab/>
        <w:t>The hash algorithms used before generating signatures in the protection field of PKIMessage and for proof-of-possession shall be the same as the hash algorithms specified in subclause 6.1.1 for certificate signatures. The signature algorithms shall be the same as that used in the related certificate profile.</w:t>
      </w:r>
    </w:p>
    <w:p>
      <w:pPr>
        <w:pStyle w:val="Normal"/>
        <w:rPr/>
      </w:pPr>
      <w:r>
        <w:rPr/>
        <w:t>The certificate profiles are specified in subclause 9.4.</w:t>
      </w:r>
    </w:p>
    <w:p>
      <w:pPr>
        <w:pStyle w:val="NO"/>
        <w:rPr/>
      </w:pPr>
      <w:r>
        <w:rPr/>
        <w:t>NOTE 2:</w:t>
        <w:tab/>
        <w:t>These certificate profiles implicitly specify which algorithms are to be used for the different signatures for proof-of-possession and PKIMessage signing specified in the following subclauses.</w:t>
      </w:r>
    </w:p>
    <w:p>
      <w:pPr>
        <w:pStyle w:val="NO"/>
        <w:rPr/>
      </w:pPr>
      <w:r>
        <w:rPr/>
        <w:t>NOTE 3:</w:t>
        <w:tab/>
        <w:t>Policies within RA/CA governing the generation and issuing of certificates are not in scope of the present document and left to operator decision.</w:t>
      </w:r>
    </w:p>
    <w:p>
      <w:pPr>
        <w:pStyle w:val="Heading3"/>
        <w:rPr>
          <w:lang w:eastAsia="zh-CN"/>
        </w:rPr>
      </w:pPr>
      <w:bookmarkStart w:id="144" w:name="__RefHeading___Toc145337426"/>
      <w:bookmarkEnd w:id="144"/>
      <w:r>
        <w:rPr>
          <w:lang w:eastAsia="zh-CN"/>
        </w:rPr>
        <w:t>9.5.2</w:t>
        <w:tab/>
        <w:t>Profile for the PKIMessage</w:t>
      </w:r>
    </w:p>
    <w:p>
      <w:pPr>
        <w:pStyle w:val="Normal"/>
        <w:rPr/>
      </w:pPr>
      <w:r>
        <w:rPr/>
        <w:t>The following profile shall be applied to the PKIMessage as specified in [4]:</w:t>
      </w:r>
    </w:p>
    <w:p>
      <w:pPr>
        <w:pStyle w:val="B1"/>
        <w:rPr/>
      </w:pPr>
      <w:r>
        <w:rPr/>
        <w:t>-</w:t>
        <w:tab/>
        <w:t>The support and usage of the optional protection field of type PKIProtection is required by this profile. The message-specific private key to be used in the base station is specified in the subclause 9.5.4 in the profiling of the single PKI message bodies for requests sent by the base station. For the RA/CA the RA/CA private key shall be used, or the separate RA/CA private key for signing CMP messages, if base station certificates and CMPv2 messages are signed by different private keys.</w:t>
      </w:r>
    </w:p>
    <w:p>
      <w:pPr>
        <w:pStyle w:val="B1"/>
        <w:rPr/>
      </w:pPr>
      <w:r>
        <w:rPr/>
        <w:t>-</w:t>
        <w:tab/>
        <w:t>The support of the optional extraCerts field is required by this profile. The certificates within this field may be ordered in any order. The message-specific content of this field is specified in the subclause 9.5.4 in the profiling of the single PKI message bodies.</w:t>
      </w:r>
    </w:p>
    <w:p>
      <w:pPr>
        <w:pStyle w:val="B1"/>
        <w:rPr/>
      </w:pPr>
      <w:r>
        <w:rPr/>
        <w:t>-</w:t>
        <w:tab/>
        <w:t>All CMPv2 messages used within this profile shall consist of exactly one PKIMessage, i.e. the size of the sequence for PKIMessages shall be 1 in all cases.</w:t>
      </w:r>
    </w:p>
    <w:p>
      <w:pPr>
        <w:pStyle w:val="Heading3"/>
        <w:rPr/>
      </w:pPr>
      <w:bookmarkStart w:id="145" w:name="__RefHeading___Toc145337427"/>
      <w:bookmarkEnd w:id="145"/>
      <w:r>
        <w:rPr/>
        <w:t>9.5.3</w:t>
        <w:tab/>
        <w:t>Profile for the PKIHeader Field</w:t>
      </w:r>
    </w:p>
    <w:p>
      <w:pPr>
        <w:pStyle w:val="Normal"/>
        <w:rPr/>
      </w:pPr>
      <w:r>
        <w:rPr/>
        <w:t>The following profile shall be applied to the PKIHeader field as specified in [4]:</w:t>
      </w:r>
    </w:p>
    <w:p>
      <w:pPr>
        <w:pStyle w:val="B1"/>
        <w:rPr/>
      </w:pPr>
      <w:r>
        <w:rPr/>
        <w:t>-</w:t>
        <w:tab/>
        <w:t xml:space="preserve">The sender and recipient fields shall contain the identities of the base station and the RA/CA. These identities shall be identical to the subject name present in the certificate for the public key whose related private key is used to sign the PKIMessage. </w:t>
      </w:r>
    </w:p>
    <w:p>
      <w:pPr>
        <w:pStyle w:val="NO"/>
        <w:rPr/>
      </w:pPr>
      <w:r>
        <w:rPr/>
        <w:t>NOTE:</w:t>
        <w:tab/>
        <w:t xml:space="preserve">The subject name of RA/CA </w:t>
      </w:r>
      <w:r>
        <w:rPr>
          <w:lang w:eastAsia="zh-CN"/>
        </w:rPr>
        <w:t>needs</w:t>
      </w:r>
      <w:r>
        <w:rPr>
          <w:lang w:val="en-US" w:eastAsia="zh-CN"/>
        </w:rPr>
        <w:t xml:space="preserve"> to</w:t>
      </w:r>
      <w:r>
        <w:rPr/>
        <w:t xml:space="preserve"> be available before the CMPv2 run. The base station can obtain this subject name of RA/CA before the CMPv2 run via e.g., Initial IP Autoconfiguration procedure specified in TS 32.508</w:t>
      </w:r>
      <w:r>
        <w:rPr>
          <w:lang w:eastAsia="zh-CN"/>
        </w:rPr>
        <w:t>[</w:t>
      </w:r>
      <w:r>
        <w:rPr>
          <w:lang w:eastAsia="zh-CN"/>
        </w:rPr>
        <w:t>32</w:t>
      </w:r>
      <w:r>
        <w:rPr>
          <w:lang w:eastAsia="zh-CN"/>
        </w:rPr>
        <w:t>]</w:t>
      </w:r>
      <w:r>
        <w:rPr>
          <w:lang w:eastAsia="zh-CN"/>
        </w:rPr>
        <w:t xml:space="preserve"> and TS 32.509[33]</w:t>
      </w:r>
      <w:r>
        <w:rPr/>
        <w:t>.</w:t>
      </w:r>
    </w:p>
    <w:p>
      <w:pPr>
        <w:pStyle w:val="B1"/>
        <w:rPr/>
      </w:pPr>
      <w:r>
        <w:rPr/>
        <w:t>-</w:t>
        <w:tab/>
        <w:t>As the field “protection” of PKIMessage is mandatory, also the field “protectionAlg” of PKIHeader is mandatory. The protectionAlg shall be of type MSG_SIG_ALG. The signature algorithm shall be based upon the algorithm contained in the algorithm field of the SubjectPublicKeyInfo field of the signer’s certificate (belonging to the base station or the RA/CA). The hash algorithm used before signing the PKIMessage shall follow the same specification as given for usage before certificate signing in clause 6.1.1 of the present document.</w:t>
      </w:r>
    </w:p>
    <w:p>
      <w:pPr>
        <w:pStyle w:val="B1"/>
        <w:rPr/>
      </w:pPr>
      <w:r>
        <w:rPr/>
        <w:t>-</w:t>
        <w:tab/>
        <w:t>The usage of the transactionID field is mandatory. The recommended procedures for handling of the transactionID given in [4] shall be followed. The base station shall set this field to a random number that is at least 8 bytes long for the first message and use the same random number in any subsequent message in the transaction.</w:t>
      </w:r>
    </w:p>
    <w:p>
      <w:pPr>
        <w:pStyle w:val="B1"/>
        <w:rPr/>
      </w:pPr>
      <w:r>
        <w:rPr/>
        <w:t>-</w:t>
        <w:tab/>
        <w:t>The usage of the senderNonce and the recipNonce fields is mandatory. The length of the fields as recommended in [4] shall be used. The recipNonce in the very first message in the transaction should be set to 0 by the sender and shall be disregarded by the recipient of the message.</w:t>
      </w:r>
    </w:p>
    <w:p>
      <w:pPr>
        <w:pStyle w:val="Heading3"/>
        <w:rPr/>
      </w:pPr>
      <w:bookmarkStart w:id="146" w:name="__RefHeading___Toc145337428"/>
      <w:bookmarkEnd w:id="146"/>
      <w:r>
        <w:rPr/>
        <w:t>9.5.4</w:t>
        <w:tab/>
        <w:t>Profile for the PKIBody Field</w:t>
      </w:r>
    </w:p>
    <w:p>
      <w:pPr>
        <w:pStyle w:val="Heading4"/>
        <w:ind w:left="1418" w:hanging="1418"/>
        <w:rPr/>
      </w:pPr>
      <w:bookmarkStart w:id="147" w:name="__RefHeading___Toc145337429"/>
      <w:bookmarkEnd w:id="147"/>
      <w:r>
        <w:rPr/>
        <w:t>9.5.4.1</w:t>
        <w:tab/>
        <w:t>General</w:t>
      </w:r>
    </w:p>
    <w:p>
      <w:pPr>
        <w:pStyle w:val="Normal"/>
        <w:rPr/>
      </w:pPr>
      <w:r>
        <w:rPr/>
        <w:t>The base station certificate enrolment shall support the following CMPv2 PKI message bodies:</w:t>
      </w:r>
    </w:p>
    <w:p>
      <w:pPr>
        <w:pStyle w:val="B1"/>
        <w:rPr/>
      </w:pPr>
      <w:r>
        <w:rPr/>
        <w:t>-</w:t>
        <w:tab/>
        <w:t>Initialization Request (ir)</w:t>
      </w:r>
    </w:p>
    <w:p>
      <w:pPr>
        <w:pStyle w:val="B1"/>
        <w:rPr/>
      </w:pPr>
      <w:r>
        <w:rPr/>
        <w:t>-</w:t>
        <w:tab/>
        <w:t>Initialization Response (ip)</w:t>
      </w:r>
    </w:p>
    <w:p>
      <w:pPr>
        <w:pStyle w:val="B1"/>
        <w:rPr/>
      </w:pPr>
      <w:r>
        <w:rPr/>
        <w:t>-</w:t>
        <w:tab/>
        <w:t>Key Update Request (kur)</w:t>
      </w:r>
    </w:p>
    <w:p>
      <w:pPr>
        <w:pStyle w:val="B1"/>
        <w:rPr/>
      </w:pPr>
      <w:r>
        <w:rPr/>
        <w:t>-</w:t>
        <w:tab/>
        <w:t>Key Update Response (kup)</w:t>
      </w:r>
    </w:p>
    <w:p>
      <w:pPr>
        <w:pStyle w:val="B1"/>
        <w:rPr/>
      </w:pPr>
      <w:r>
        <w:rPr/>
        <w:t>-</w:t>
        <w:tab/>
        <w:t>Confirmation (pkiconf)</w:t>
      </w:r>
    </w:p>
    <w:p>
      <w:pPr>
        <w:pStyle w:val="B1"/>
        <w:rPr/>
      </w:pPr>
      <w:r>
        <w:rPr/>
        <w:t>-</w:t>
        <w:tab/>
        <w:t>Certificate confirm (certconf)</w:t>
      </w:r>
    </w:p>
    <w:p>
      <w:pPr>
        <w:pStyle w:val="Normal"/>
        <w:rPr/>
      </w:pPr>
      <w:r>
        <w:rPr/>
        <w:t>Profiles for the single message bodies above are given in the subclauses below. If no specific profile is given, the provisions of [4] and [19] apply.</w:t>
      </w:r>
    </w:p>
    <w:p>
      <w:pPr>
        <w:pStyle w:val="Heading4"/>
        <w:ind w:left="1418" w:hanging="1418"/>
        <w:rPr/>
      </w:pPr>
      <w:bookmarkStart w:id="148" w:name="__RefHeading___Toc145337430"/>
      <w:bookmarkEnd w:id="148"/>
      <w:r>
        <w:rPr/>
        <w:t>9.5.4.2</w:t>
        <w:tab/>
        <w:t>Initialization Request</w:t>
      </w:r>
    </w:p>
    <w:p>
      <w:pPr>
        <w:pStyle w:val="Normal"/>
        <w:rPr/>
      </w:pPr>
      <w:r>
        <w:rPr/>
        <w:t>The Initialization Request as specified in IETF RFC 4210 [4] shall contain exactly one CertReqMessages as specified in IETF RFC 4210 [4] and IETF RFC 4211 [19], i.e. the size of the sequence for CertReqMessages shall be 1 in all cases.</w:t>
      </w:r>
    </w:p>
    <w:p>
      <w:pPr>
        <w:pStyle w:val="Normal"/>
        <w:rPr/>
      </w:pPr>
      <w:r>
        <w:rPr/>
        <w:t>The following profile shall be applied to the CertReqMessage field and its sub-fields:</w:t>
      </w:r>
    </w:p>
    <w:p>
      <w:pPr>
        <w:pStyle w:val="B1"/>
        <w:rPr/>
      </w:pPr>
      <w:r>
        <w:rPr/>
        <w:t>-</w:t>
        <w:tab/>
        <w:t>The subject field of the CertTemplate shall contain the suggested name of the base station if the base station has knowledge of it. Otherwise it shall be omitted.</w:t>
      </w:r>
    </w:p>
    <w:p>
      <w:pPr>
        <w:pStyle w:val="B1"/>
        <w:rPr/>
      </w:pPr>
      <w:r>
        <w:rPr/>
        <w:t>-</w:t>
        <w:tab/>
        <w:t>The publicKey field of the CertTemplate shall be mandatory and shall contain the public key of the base station to be certified by the RA/CA. The private/public key pair may be pre-provisioned to the base station, or generated inside the base station for the CMPv2 protocol run. The format of this field shall follow IETF RFC 5280 [14].</w:t>
      </w:r>
    </w:p>
    <w:p>
      <w:pPr>
        <w:pStyle w:val="NO"/>
        <w:rPr/>
      </w:pPr>
      <w:r>
        <w:rPr/>
        <w:t>NOTE 1:</w:t>
        <w:tab/>
        <w:t>IETF RFC 3280 as referenced by IETF RFC 4211 [19] for the format of the publicKey field is obsolete. The present document generally references the follow-up IETF RFC 5280 [14].</w:t>
      </w:r>
    </w:p>
    <w:p>
      <w:pPr>
        <w:pStyle w:val="B1"/>
        <w:rPr/>
      </w:pPr>
      <w:r>
        <w:rPr/>
        <w:t>-</w:t>
        <w:tab/>
        <w:t>The CertReqMessage shall contain a POP field of type ProofOfPossession. The POP field shall contain a signature field of type POPOSigningKey. The algorithmIdentifier field of the POPOSigningKey field shall contain the signing algorithm which is used by the base station to produce the Proof-of-Possession value, i.e. the signature within POPOSigningKey field.</w:t>
      </w:r>
    </w:p>
    <w:p>
      <w:pPr>
        <w:pStyle w:val="B1"/>
        <w:rPr/>
      </w:pPr>
      <w:r>
        <w:rPr/>
        <w:t>-</w:t>
        <w:tab/>
        <w:t>If the poposkInput field of type POPOSigningKeyInput within POPOSigningKey field is used, the sender field within POPOSigningKeyInput shall be mandatory and shall contain the identity of the base station as given by the vendor of the base station and contained in the vendor-provided base station certificate.</w:t>
      </w:r>
    </w:p>
    <w:p>
      <w:pPr>
        <w:pStyle w:val="NO"/>
        <w:rPr/>
      </w:pPr>
      <w:r>
        <w:rPr/>
        <w:t>NOTE 2:</w:t>
        <w:tab/>
        <w:t>According to IETF RFC 4211 [19], the poposkInput field is mandatory if either the subject field or the publicKey field of the CertTemplate field is omitted.</w:t>
      </w:r>
    </w:p>
    <w:p>
      <w:pPr>
        <w:pStyle w:val="NO"/>
        <w:rPr/>
      </w:pPr>
      <w:r>
        <w:rPr/>
        <w:t>NOTE 3:</w:t>
        <w:tab/>
        <w:t>According to IETF RFC 4211 [19], the sender field of POPOSigningKeyInput is used only if an authenticated identity has been established by the sender. The present document assumes that the sender (i.e. base station) has a valid pre-provisioned vendor-signed certificate and therefore the sender’s identity is considered authenticated and established.</w:t>
      </w:r>
    </w:p>
    <w:p>
      <w:pPr>
        <w:pStyle w:val="Normal"/>
        <w:rPr/>
      </w:pPr>
      <w:r>
        <w:rPr/>
        <w:t>The PKIMessage sent by the base station shall be signed by the vendor provided private key.</w:t>
      </w:r>
    </w:p>
    <w:p>
      <w:pPr>
        <w:pStyle w:val="Normal"/>
        <w:rPr/>
      </w:pPr>
      <w:r>
        <w:rPr/>
        <w:t>The extraCerts field of the PKIMessage carrying the initialization request shall be mandatory and shall contain the base station certificate provided by the vendor. If the base station certificate is not signed by the vendor root CA, also the intermediate certificates for the chain up to the vendor root certificate shall be included in the extraCerts field.</w:t>
      </w:r>
    </w:p>
    <w:p>
      <w:pPr>
        <w:pStyle w:val="Heading4"/>
        <w:ind w:left="1418" w:hanging="1418"/>
        <w:rPr/>
      </w:pPr>
      <w:bookmarkStart w:id="149" w:name="__RefHeading___Toc145337431"/>
      <w:bookmarkEnd w:id="149"/>
      <w:r>
        <w:rPr/>
        <w:t>9.5.4.3</w:t>
        <w:tab/>
        <w:t>Initialization Response</w:t>
      </w:r>
    </w:p>
    <w:p>
      <w:pPr>
        <w:pStyle w:val="Normal"/>
        <w:rPr/>
      </w:pPr>
      <w:r>
        <w:rPr/>
        <w:t>The Initialization Response as specified in [4] shall contain exactly one generated base station certificate, i.e. the size of the sequence for CertResponse shall be 1 in all cases.</w:t>
      </w:r>
    </w:p>
    <w:p>
      <w:pPr>
        <w:pStyle w:val="Normal"/>
        <w:rPr/>
      </w:pPr>
      <w:r>
        <w:rPr/>
        <w:t>The following profile shall be applied to the CertRepMessage field and its sub-fields:</w:t>
      </w:r>
    </w:p>
    <w:p>
      <w:pPr>
        <w:pStyle w:val="B1"/>
        <w:rPr/>
      </w:pPr>
      <w:r>
        <w:rPr/>
        <w:t>-</w:t>
        <w:tab/>
        <w:t>The generated certificate shall be transferred to the base station in the certifiedKeyPair field of the CertResponse field. The transfer shall not be encrypted (i.e. the certificate field in CertorEncCert shall be mandatory).</w:t>
      </w:r>
    </w:p>
    <w:p>
      <w:pPr>
        <w:pStyle w:val="Normal"/>
        <w:rPr/>
      </w:pPr>
      <w:r>
        <w:rPr/>
        <w:t>The extraCerts field of the PKIMessage carrying the initialization response shall be mandatory and shall contain the operator root certificate and the RA/CA certificate (or certificates if separate private keys are used for signing of certificates and CMP messages). If the RA/CA certificate(s) are not signed by the operator root CA, also the intermediate certificates for the chain(s) up to the operator root certificate shall be included in the extraCerts field.</w:t>
      </w:r>
    </w:p>
    <w:p>
      <w:pPr>
        <w:pStyle w:val="Heading4"/>
        <w:ind w:left="1418" w:hanging="1418"/>
        <w:rPr/>
      </w:pPr>
      <w:bookmarkStart w:id="150" w:name="__RefHeading___Toc145337432"/>
      <w:bookmarkEnd w:id="150"/>
      <w:r>
        <w:rPr/>
        <w:t>9.5.4.4</w:t>
        <w:tab/>
        <w:t>Key Update Request and Key Update Response</w:t>
      </w:r>
    </w:p>
    <w:p>
      <w:pPr>
        <w:pStyle w:val="Normal"/>
        <w:rPr/>
      </w:pPr>
      <w:r>
        <w:rPr/>
        <w:t>The structure and content of these messages is identical to initialization requests and responses, thus the profiling given in the previous subclauses for Initialization Request and Initialization Response apply equally, with the following exceptions:</w:t>
      </w:r>
    </w:p>
    <w:p>
      <w:pPr>
        <w:pStyle w:val="B1"/>
        <w:rPr/>
      </w:pPr>
      <w:r>
        <w:rPr/>
        <w:t>-</w:t>
        <w:tab/>
        <w:t>The PKIMessage sent by the base station shall be signed with the private key which is related to the last received operator provided base station certificate. The extraCertsField shall be mandatory and shall contain the base station certificate related to the private key used for signing the PKIMessage. Any intermediate CA certificates shall also be included, if the base station certificate is not signed directly by a root CA.</w:t>
      </w:r>
    </w:p>
    <w:p>
      <w:pPr>
        <w:pStyle w:val="B1"/>
        <w:rPr/>
      </w:pPr>
      <w:r>
        <w:rPr/>
        <w:t>-</w:t>
        <w:tab/>
        <w:t>The PKIMessage carrying the key update response should not contain the operator root certificate in the extraCerts field.</w:t>
      </w:r>
    </w:p>
    <w:p>
      <w:pPr>
        <w:pStyle w:val="Heading4"/>
        <w:ind w:left="1418" w:hanging="1418"/>
        <w:rPr/>
      </w:pPr>
      <w:bookmarkStart w:id="151" w:name="__RefHeading___Toc145337433"/>
      <w:bookmarkEnd w:id="151"/>
      <w:r>
        <w:rPr/>
        <w:t>9.5.4.5</w:t>
        <w:tab/>
        <w:t>Certificate Confirm Request and Confirmation Response</w:t>
      </w:r>
    </w:p>
    <w:p>
      <w:pPr>
        <w:pStyle w:val="Normal"/>
        <w:rPr/>
      </w:pPr>
      <w:r>
        <w:rPr/>
        <w:t>Initialization responses and key update responses shall always be followed by a Certificate Confirm request and Confirmation response message exchange.</w:t>
      </w:r>
    </w:p>
    <w:p>
      <w:pPr>
        <w:pStyle w:val="Normal"/>
        <w:rPr/>
      </w:pPr>
      <w:r>
        <w:rPr/>
        <w:t>The PKIMessage sent by the base station shall be signed by the same private key which was used in the preceding initialization request or key update request.</w:t>
      </w:r>
    </w:p>
    <w:p>
      <w:pPr>
        <w:pStyle w:val="Normal"/>
        <w:rPr>
          <w:lang w:eastAsia="zh-CN"/>
        </w:rPr>
      </w:pPr>
      <w:r>
        <w:rPr/>
        <w:t>The extraCerts field of the PKIMessage carrying the Certificate Confirm request and Confirmation response shall be omitted.</w:t>
      </w:r>
    </w:p>
    <w:p>
      <w:pPr>
        <w:pStyle w:val="Heading2"/>
        <w:rPr/>
      </w:pPr>
      <w:bookmarkStart w:id="152" w:name="__RefHeading___Toc145337434"/>
      <w:bookmarkEnd w:id="152"/>
      <w:r>
        <w:rPr>
          <w:lang w:eastAsia="zh-CN"/>
        </w:rPr>
        <w:t>9.6</w:t>
        <w:tab/>
        <w:t>CMPv2 Transport</w:t>
      </w:r>
    </w:p>
    <w:p>
      <w:pPr>
        <w:pStyle w:val="Normal"/>
        <w:rPr/>
      </w:pPr>
      <w:r>
        <w:rPr/>
        <w:t>Transport of CMPv2 messages between end entities (network elements) and RA/CA shall be done using HTTP-based protocol as specified in  IETF RFC 6712 [18] , with the exception that support for TLS is not mandated.</w:t>
      </w:r>
    </w:p>
    <w:p>
      <w:pPr>
        <w:pStyle w:val="Normal"/>
        <w:rPr/>
      </w:pPr>
      <w:r>
        <w:rPr/>
        <w:t>Support is mandatory for communication initiated by the end entities where every CMP request triggers a CMP response message from the CA or RA. Support for RA/CA initiated HTTP requests (i.e. announcements) is not mandatory.</w:t>
      </w:r>
    </w:p>
    <w:p>
      <w:pPr>
        <w:pStyle w:val="Normal"/>
        <w:keepLines/>
        <w:ind w:left="1135" w:hanging="851"/>
        <w:rPr/>
      </w:pPr>
      <w:r>
        <w:rPr>
          <w:lang w:eastAsia="zh-CN"/>
        </w:rPr>
        <w:t>NOTE:</w:t>
        <w:tab/>
        <w:t xml:space="preserve">CMP </w:t>
      </w:r>
      <w:r>
        <w:rPr>
          <w:lang w:eastAsia="zh-CN"/>
        </w:rPr>
        <w:t>provides built</w:t>
      </w:r>
      <w:r>
        <w:rPr>
          <w:lang w:eastAsia="zh-CN"/>
        </w:rPr>
        <w:t>-in</w:t>
      </w:r>
      <w:r>
        <w:rPr>
          <w:lang w:eastAsia="zh-CN"/>
        </w:rPr>
        <w:t xml:space="preserve"> </w:t>
      </w:r>
      <w:r>
        <w:rPr>
          <w:lang w:eastAsia="zh-CN"/>
        </w:rPr>
        <w:t>integrity protection and authentication.</w:t>
      </w:r>
      <w:r>
        <w:rPr>
          <w:lang w:eastAsia="zh-CN"/>
        </w:rPr>
        <w:t xml:space="preserve"> </w:t>
      </w:r>
      <w:r>
        <w:rPr>
          <w:lang w:eastAsia="zh-CN"/>
        </w:rPr>
        <w:t xml:space="preserve">For optional usage of </w:t>
      </w:r>
      <w:r>
        <w:rPr/>
        <w:t>HTTP over TLS (</w:t>
      </w:r>
      <w:r>
        <w:rPr>
          <w:lang w:eastAsia="zh-CN"/>
        </w:rPr>
        <w:t>HTTPS</w:t>
      </w:r>
      <w:r>
        <w:rPr/>
        <w:t>) according to RFC 2818 [20]</w:t>
      </w:r>
      <w:r>
        <w:rPr>
          <w:lang w:eastAsia="zh-CN"/>
        </w:rPr>
        <w:t xml:space="preserve"> </w:t>
      </w:r>
      <w:r>
        <w:rPr>
          <w:lang w:eastAsia="zh-CN"/>
        </w:rPr>
        <w:t xml:space="preserve">or virtual private networks </w:t>
      </w:r>
      <w:r>
        <w:rPr>
          <w:lang w:eastAsia="zh-CN"/>
        </w:rPr>
        <w:t xml:space="preserve">see </w:t>
      </w:r>
      <w:r>
        <w:rPr/>
        <w:t xml:space="preserve"> IETF RFC 6712 [18]</w:t>
      </w:r>
      <w:r>
        <w:rPr>
          <w:lang w:eastAsia="zh-CN"/>
        </w:rPr>
        <w:t>.</w:t>
      </w:r>
    </w:p>
    <w:p>
      <w:pPr>
        <w:pStyle w:val="Normal"/>
        <w:rPr>
          <w:lang w:eastAsia="zh-CN"/>
        </w:rPr>
      </w:pPr>
      <w:r>
        <w:rPr>
          <w:lang w:eastAsia="zh-CN"/>
        </w:rPr>
      </w:r>
      <w:r>
        <w:br w:type="page"/>
      </w:r>
    </w:p>
    <w:p>
      <w:pPr>
        <w:pStyle w:val="Heading8"/>
        <w:ind w:left="0" w:hanging="0"/>
        <w:rPr/>
      </w:pPr>
      <w:bookmarkStart w:id="153" w:name="__RefHeading___Toc145337435"/>
      <w:r>
        <w:rPr/>
        <w:t>Annex A (informative):</w:t>
        <w:br/>
        <w:t>Void</w:t>
      </w:r>
      <w:bookmarkEnd w:id="153"/>
      <w:r>
        <w:rPr/>
        <w:br/>
      </w:r>
      <w:r>
        <w:br w:type="page"/>
      </w:r>
    </w:p>
    <w:p>
      <w:pPr>
        <w:pStyle w:val="Heading8"/>
        <w:ind w:left="0" w:hanging="0"/>
        <w:rPr/>
      </w:pPr>
      <w:bookmarkStart w:id="154" w:name="__RefHeading___Toc145337436"/>
      <w:bookmarkEnd w:id="154"/>
      <w:r>
        <w:rPr/>
        <w:t>Annex B (informative):</w:t>
        <w:br/>
        <w:t>Decision for the simple trust model</w:t>
      </w:r>
    </w:p>
    <w:p>
      <w:pPr>
        <w:pStyle w:val="Heading1"/>
        <w:ind w:left="1134" w:hanging="1134"/>
        <w:rPr/>
      </w:pPr>
      <w:bookmarkStart w:id="155" w:name="__RefHeading___Toc145337437"/>
      <w:bookmarkEnd w:id="155"/>
      <w:r>
        <w:rPr/>
        <w:t>B.1</w:t>
        <w:tab/>
        <w:t>Introduction</w:t>
      </w:r>
    </w:p>
    <w:p>
      <w:pPr>
        <w:pStyle w:val="Normal"/>
        <w:rPr/>
      </w:pPr>
      <w:r>
        <w:rPr/>
        <w:t xml:space="preserve">In order to document the decision for the "simple trust model", which requires manual cross-certification, this section discusses technical advantages and disadvantages of two basic approaches to providing inter-operator trust for purposes of roaming traffic protection, namely </w:t>
      </w:r>
      <w:r>
        <w:rPr>
          <w:b/>
        </w:rPr>
        <w:t>cross-certification</w:t>
      </w:r>
      <w:r>
        <w:rPr/>
        <w:t xml:space="preserve"> and a </w:t>
      </w:r>
      <w:r>
        <w:rPr>
          <w:b/>
        </w:rPr>
        <w:t>Bridge CA</w:t>
      </w:r>
      <w:r>
        <w:rPr/>
        <w:t>. The Bridge CA is an extension of the cross-certification approach, and identified as one of the recommendable solutions for providing inter-operator trust in NDS/AF feasibility study (TR 33.810). Taking into account the current state of PKI software and the general need for simple solutions when there is a choice, the cross-certification without a Bridge CA was chosen for the NDS/AF TS. This Annex discusses the background motivation for such direction.</w:t>
      </w:r>
    </w:p>
    <w:p>
      <w:pPr>
        <w:pStyle w:val="Normal"/>
        <w:rPr/>
      </w:pPr>
      <w:r>
        <w:rPr/>
        <w:t>The direct cross-certification without Bridge CA model is associated strongly with the current practice in the Internet IPsec world, where each IPsec connection is configured with a list of trusted CAs, and anyone with a certificate that has a trust path that can be followed up to such trusted CA (trust anchor) is allowed access. In this model, cross-certification is done at the time the roaming agreement is made. This is called the "</w:t>
      </w:r>
      <w:r>
        <w:rPr>
          <w:b/>
        </w:rPr>
        <w:t>simple trust model</w:t>
      </w:r>
      <w:r>
        <w:rPr/>
        <w:t>."</w:t>
      </w:r>
    </w:p>
    <w:p>
      <w:pPr>
        <w:pStyle w:val="Normal"/>
        <w:rPr/>
      </w:pPr>
      <w:r>
        <w:rPr/>
        <w:t>The Bridge CA model assumes that all operators wishing to establish a roaming agreement with other operators will first get certified by the Bridge CA for purposes of identification by other operators. This is a necessary preliminary step. Next, when the roaming agreement is done, the operators will configure their IPsec tunnels, with information about which one of the identifiable operators (who have a certificate issued by the Bridge CA) can use that tunnel. This is called the "</w:t>
      </w:r>
      <w:r>
        <w:rPr>
          <w:b/>
        </w:rPr>
        <w:t>extended trust model</w:t>
      </w:r>
      <w:r>
        <w:rPr/>
        <w:t>", or "separated trust and access control."</w:t>
      </w:r>
    </w:p>
    <w:p>
      <w:pPr>
        <w:pStyle w:val="Normal"/>
        <w:rPr/>
      </w:pPr>
      <w:r>
        <w:rPr/>
        <w:t>This Annex does not discuss the benefits of certificates vs. Pre-Shared Keys. The benefit of cross-certification vs. the explicit listing of roaming peer CAs includes the easier evolution path to a possible eventual Bridge CA model.</w:t>
      </w:r>
    </w:p>
    <w:p>
      <w:pPr>
        <w:pStyle w:val="Heading1"/>
        <w:ind w:left="1134" w:hanging="1134"/>
        <w:rPr/>
      </w:pPr>
      <w:bookmarkStart w:id="156" w:name="__RefHeading___Toc145337438"/>
      <w:bookmarkEnd w:id="156"/>
      <w:r>
        <w:rPr/>
        <w:t>B.2</w:t>
        <w:tab/>
        <w:t>Requirements for trust model in NDS/AF</w:t>
      </w:r>
    </w:p>
    <w:p>
      <w:pPr>
        <w:pStyle w:val="Normal"/>
        <w:rPr/>
      </w:pPr>
      <w:r>
        <w:rPr/>
        <w:t>The following is a list of requirements for the trust model for NDS/AF:</w:t>
      </w:r>
    </w:p>
    <w:p>
      <w:pPr>
        <w:pStyle w:val="Normal"/>
        <w:rPr/>
      </w:pPr>
      <w:r>
        <w:rPr>
          <w:i/>
        </w:rPr>
        <w:t>A.</w:t>
        <w:tab/>
        <w:t xml:space="preserve"> Simplicity and ease of deployment</w:t>
      </w:r>
      <w:r>
        <w:rPr/>
        <w:t>. PKI brings many benefits when a large number of operators need to tunnel traffic in a mesh configuration, but its adoption should not be hindered by an unnecessarily complex technical solution. The required technical and legal operations necessary for exchanging traffic with another operator should be as easy and straightforward as possible;</w:t>
      </w:r>
    </w:p>
    <w:p>
      <w:pPr>
        <w:pStyle w:val="Normal"/>
        <w:rPr/>
      </w:pPr>
      <w:r>
        <w:rPr>
          <w:i/>
        </w:rPr>
        <w:t>B.</w:t>
        <w:tab/>
        <w:t xml:space="preserve">Compatibility with existing standards. </w:t>
      </w:r>
      <w:r>
        <w:rPr/>
        <w:t>Unless there are explicit requirements why existing PKI standards should be extended to accommodate 3GPP environment, the 3GPP specifications should be accommodated to the existing standards. This allows best choice of equipment for operators and allows interoperability with non-3GPP environments;</w:t>
      </w:r>
    </w:p>
    <w:p>
      <w:pPr>
        <w:pStyle w:val="Normal"/>
        <w:rPr/>
      </w:pPr>
      <w:r>
        <w:rPr>
          <w:i/>
        </w:rPr>
        <w:t>C.</w:t>
        <w:tab/>
        <w:t>Usable by both GRX and non</w:t>
      </w:r>
      <w:r>
        <w:rPr/>
        <w:t>-</w:t>
      </w:r>
      <w:r>
        <w:rPr>
          <w:i/>
        </w:rPr>
        <w:t>GRX operators.</w:t>
      </w:r>
      <w:r>
        <w:rPr/>
        <w:t xml:space="preserve"> Both operators making use of GRX providers and those without (using leased lines or even the public Internet), should be able to make use of NDS/AF measures to exchange traffic securely.</w:t>
      </w:r>
    </w:p>
    <w:p>
      <w:pPr>
        <w:pStyle w:val="Heading1"/>
        <w:ind w:left="1134" w:hanging="1134"/>
        <w:rPr/>
      </w:pPr>
      <w:bookmarkStart w:id="157" w:name="__RefHeading___Toc145337439"/>
      <w:bookmarkEnd w:id="157"/>
      <w:r>
        <w:rPr/>
        <w:t>B.3</w:t>
        <w:tab/>
        <w:t>Cross-certification approaches</w:t>
      </w:r>
    </w:p>
    <w:p>
      <w:pPr>
        <w:pStyle w:val="Heading2"/>
        <w:rPr/>
      </w:pPr>
      <w:bookmarkStart w:id="158" w:name="__RefHeading___Toc145337440"/>
      <w:r>
        <w:rPr/>
        <w:t>B.3.1</w:t>
        <w:tab/>
        <w:t>Manual Cross-certification</w:t>
      </w:r>
      <w:bookmarkEnd w:id="158"/>
      <w:r>
        <w:rPr/>
        <w:t xml:space="preserve"> </w:t>
      </w:r>
    </w:p>
    <w:p>
      <w:pPr>
        <w:pStyle w:val="Normal"/>
        <w:rPr/>
      </w:pPr>
      <w:r>
        <w:rPr/>
        <w:t>The trust model of manual cross-certification is characterized by the clause: "Trust nobody unless explicitly allowed". Issuing a certificate for the authority to be trusted creates the allowances. The manual cross-certification is easy to understand. Also the security of this depends only on the decisions done locally.</w:t>
      </w:r>
    </w:p>
    <w:p>
      <w:pPr>
        <w:pStyle w:val="Heading2"/>
        <w:rPr/>
      </w:pPr>
      <w:bookmarkStart w:id="159" w:name="__RefHeading___Toc145337441"/>
      <w:bookmarkEnd w:id="159"/>
      <w:r>
        <w:rPr/>
        <w:t>B.3.2</w:t>
        <w:tab/>
        <w:t>Cross-certification with a Bridge CA</w:t>
      </w:r>
    </w:p>
    <w:p>
      <w:pPr>
        <w:pStyle w:val="Normal"/>
        <w:keepNext w:val="true"/>
        <w:keepLines/>
        <w:rPr/>
      </w:pPr>
      <w:r>
        <w:rPr/>
        <w:t>The trust model of bridge-CA can be characterized by the clauses:</w:t>
      </w:r>
    </w:p>
    <w:p>
      <w:pPr>
        <w:pStyle w:val="Normal"/>
        <w:keepNext w:val="true"/>
        <w:keepLines/>
        <w:rPr/>
      </w:pPr>
      <w:r>
        <w:rPr/>
        <w:t>-</w:t>
        <w:tab/>
        <w:t>"Trust everybody that the Bridge-CA trusts unless explicitly denied". Explicit denials are handled by writing the restrictions (in the form of name constraints) to the certificate issued to the bridge.</w:t>
      </w:r>
    </w:p>
    <w:p>
      <w:pPr>
        <w:pStyle w:val="Normal"/>
        <w:rPr/>
      </w:pPr>
      <w:r>
        <w:rPr/>
        <w:t>-</w:t>
        <w:tab/>
        <w:t>"Trust everybody listed in the certificate which I issued to the bridge". Explicit allowances are listed in the certificate issued to the bridge (in the form of name constraints).</w:t>
      </w:r>
    </w:p>
    <w:p>
      <w:pPr>
        <w:pStyle w:val="Normal"/>
        <w:rPr/>
      </w:pPr>
      <w:r>
        <w:rPr/>
        <w:t>Name constraint is a rarely used extension for X.509 certificates. In essence it is a clause that says who to trust or who not to trust based on names on certificates. The fact that they are relative rarely used and the fact that there is so little official documentation about them is a risk. Name constraints also require that there is some organization doing registration of names in order to avoid name collisions.</w:t>
      </w:r>
    </w:p>
    <w:p>
      <w:pPr>
        <w:pStyle w:val="Heading1"/>
        <w:ind w:left="1134" w:hanging="1134"/>
        <w:rPr/>
      </w:pPr>
      <w:bookmarkStart w:id="160" w:name="__RefHeading___Toc145337442"/>
      <w:bookmarkEnd w:id="160"/>
      <w:r>
        <w:rPr/>
        <w:t>B.4</w:t>
        <w:tab/>
        <w:t>Issues with the Bridge CA approach</w:t>
      </w:r>
    </w:p>
    <w:p>
      <w:pPr>
        <w:pStyle w:val="Heading2"/>
        <w:rPr/>
      </w:pPr>
      <w:bookmarkStart w:id="161" w:name="__RefHeading___Toc145337443"/>
      <w:bookmarkEnd w:id="161"/>
      <w:r>
        <w:rPr/>
        <w:t>B.4.1</w:t>
        <w:tab/>
        <w:t>Need for nameConstraint support in certificates or strong legal bindings and auditing</w:t>
      </w:r>
    </w:p>
    <w:p>
      <w:pPr>
        <w:pStyle w:val="Normal"/>
        <w:rPr/>
      </w:pPr>
      <w:r>
        <w:rPr/>
        <w:t>If no precautions are taken, it is possible that an operator (M) whose SEG CA has been signed by the Bridge CA (= certified by the Bridge), creates certificates that resemble another operator's (A) certificates, letting M access to operator (B)'s network, even without authorization.</w:t>
      </w:r>
    </w:p>
    <w:p>
      <w:pPr>
        <w:pStyle w:val="Normal"/>
        <w:rPr/>
      </w:pPr>
      <w:r>
        <w:rPr/>
        <w:t>Let's say operator B has the following configuration for access to her subnetwork reserved for handling roaming traffic:</w:t>
      </w:r>
    </w:p>
    <w:p>
      <w:pPr>
        <w:pStyle w:val="B1"/>
        <w:rPr/>
      </w:pPr>
      <w:r>
        <w:rPr/>
        <w:t>-</w:t>
        <w:tab/>
        <w:t>Local-Subnetwork = some ipv6 subnetwork address;</w:t>
      </w:r>
    </w:p>
    <w:p>
      <w:pPr>
        <w:pStyle w:val="B1"/>
        <w:rPr/>
      </w:pPr>
      <w:r>
        <w:rPr/>
        <w:t>-</w:t>
        <w:tab/>
        <w:t>TrustedCA's = BridgeCA;</w:t>
      </w:r>
    </w:p>
    <w:p>
      <w:pPr>
        <w:pStyle w:val="B1"/>
        <w:rPr/>
      </w:pPr>
      <w:r>
        <w:rPr/>
        <w:t>-</w:t>
        <w:tab/>
        <w:t>AllowedCertificateSubject = O=Operator A or O=Operator C or O=Operator D.</w:t>
      </w:r>
    </w:p>
    <w:p>
      <w:pPr>
        <w:pStyle w:val="NO"/>
        <w:rPr/>
      </w:pPr>
      <w:r>
        <w:rPr/>
        <w:t>NOTE:</w:t>
        <w:tab/>
        <w:t>The IP addresses of the remote SEGs are not limited, as authentication is done based on certificates, and all trusted operators are allowed similar access. If different foreign operators would require to access different subnetworks, there would be several configuration blocks like the above, with the IP addresses appropriately specified.</w:t>
      </w:r>
    </w:p>
    <w:p>
      <w:pPr>
        <w:pStyle w:val="Normal"/>
        <w:rPr/>
      </w:pPr>
      <w:r>
        <w:rPr/>
        <w:t>Such "AllowedCertificateSubject" feature (the term name is imaginary) is widely supported by PKI-capable IPsec devices.</w:t>
      </w:r>
    </w:p>
    <w:p>
      <w:pPr>
        <w:pStyle w:val="Normal"/>
        <w:rPr/>
      </w:pPr>
      <w:r>
        <w:rPr/>
        <w:t>If Operator M used certificates of the following form for her certificates, she would not be allowed in:</w:t>
      </w:r>
    </w:p>
    <w:p>
      <w:pPr>
        <w:pStyle w:val="B1"/>
        <w:rPr/>
      </w:pPr>
      <w:r>
        <w:rPr/>
        <w:t>-</w:t>
        <w:tab/>
        <w:t>Subject: CN=SEG 1, O=Operator M;</w:t>
      </w:r>
    </w:p>
    <w:p>
      <w:pPr>
        <w:pStyle w:val="B1"/>
        <w:rPr/>
      </w:pPr>
      <w:r>
        <w:rPr/>
        <w:t>-</w:t>
        <w:tab/>
        <w:t>Signer: CN=SEG CA, O=Operator M.</w:t>
      </w:r>
    </w:p>
    <w:p>
      <w:pPr>
        <w:pStyle w:val="Normal"/>
        <w:rPr/>
      </w:pPr>
      <w:r>
        <w:rPr/>
        <w:t>However, she can fabricate certificates of the following form:</w:t>
      </w:r>
    </w:p>
    <w:p>
      <w:pPr>
        <w:pStyle w:val="B1"/>
        <w:rPr/>
      </w:pPr>
      <w:r>
        <w:rPr/>
        <w:t>-</w:t>
        <w:tab/>
        <w:t>Subject: CN=SEG 1, O=Operator A;</w:t>
      </w:r>
    </w:p>
    <w:p>
      <w:pPr>
        <w:pStyle w:val="B1"/>
        <w:rPr/>
      </w:pPr>
      <w:r>
        <w:rPr/>
        <w:t>-</w:t>
        <w:tab/>
        <w:t>Signer: CN=SEG CA, O=Operator M.</w:t>
      </w:r>
    </w:p>
    <w:p>
      <w:pPr>
        <w:pStyle w:val="Normal"/>
        <w:rPr/>
      </w:pPr>
      <w:r>
        <w:rPr/>
        <w:t>Using such certificates would allow full but illegitimate access to Operator B's network revealed for use by Operator A.</w:t>
      </w:r>
    </w:p>
    <w:p>
      <w:pPr>
        <w:pStyle w:val="Normal"/>
        <w:rPr/>
      </w:pPr>
      <w:r>
        <w:rPr/>
        <w:t>Now, there are the following possibilities to circumvent the problem:</w:t>
      </w:r>
    </w:p>
    <w:p>
      <w:pPr>
        <w:pStyle w:val="B1"/>
        <w:rPr/>
      </w:pPr>
      <w:r>
        <w:rPr/>
        <w:t>1.</w:t>
        <w:tab/>
        <w:t>checking also the Signer name when authenticating foreign operators, either by a) a proprietary "AllowedCertificateSigner" property or b) support for nameConstraints in the Bridge CA certificate issued to operator M;</w:t>
      </w:r>
    </w:p>
    <w:p>
      <w:pPr>
        <w:pStyle w:val="B1"/>
        <w:rPr/>
      </w:pPr>
      <w:r>
        <w:rPr/>
        <w:t>2.</w:t>
        <w:tab/>
        <w:t>establishing strong legal bindings and auditing that would discourage Operator M from such illegitimate fabrication of Operator A certificates.</w:t>
      </w:r>
    </w:p>
    <w:p>
      <w:pPr>
        <w:pStyle w:val="Normal"/>
        <w:rPr/>
      </w:pPr>
      <w:r>
        <w:rPr/>
        <w:t>The problem with solution 1.a is that such "AllowedCertificateSigner" is not commonly supported by current PKI end-entity products, being in conflict with requirement B.</w:t>
      </w:r>
    </w:p>
    <w:p>
      <w:pPr>
        <w:pStyle w:val="Normal"/>
        <w:rPr/>
      </w:pPr>
      <w:r>
        <w:rPr/>
        <w:t>The problem with solution 1.b is that such "nameConstraints" attribute in certificates is not commonly supported by current PKI CA or end-entity products, being in conflict with requirement B.</w:t>
      </w:r>
    </w:p>
    <w:p>
      <w:pPr>
        <w:pStyle w:val="Normal"/>
        <w:rPr/>
      </w:pPr>
      <w:r>
        <w:rPr/>
        <w:t>The problem with solution 2 is that first of all, an organization willing to run a Bridge CA has to be found before any pair of operators can exchange roaming traffic with NDS/AF mechanisms. Next, there shall be established paperwork and auditing procedures to make sure that the exploit described here can be detected. This is in conflict with requirement A. Also, the illegitimate act described could not be technically prevented beforehand.</w:t>
      </w:r>
    </w:p>
    <w:p>
      <w:pPr>
        <w:pStyle w:val="Normal"/>
        <w:rPr/>
      </w:pPr>
      <w:r>
        <w:rPr/>
        <w:t>If name constraints are used, every time a new roaming agreement is made, each operator shall update the certificate they issue for the Bridge, adding the new roaming partner's name into the certificate. From the point of view of one operator, the number of new certificate signing operations is the same whether a Bridge CA or a direct cross-certification model is in use.</w:t>
      </w:r>
    </w:p>
    <w:p>
      <w:pPr>
        <w:pStyle w:val="Heading2"/>
        <w:rPr/>
      </w:pPr>
      <w:bookmarkStart w:id="162" w:name="__RefHeading___Toc145337444"/>
      <w:bookmarkEnd w:id="162"/>
      <w:r>
        <w:rPr/>
        <w:t>B.4.2</w:t>
        <w:tab/>
        <w:t>Preventing name collisions</w:t>
      </w:r>
    </w:p>
    <w:p>
      <w:pPr>
        <w:pStyle w:val="Normal"/>
        <w:rPr/>
      </w:pPr>
      <w:r>
        <w:rPr/>
        <w:t>If name constraints are used to prevent the additional "bureaucracy" involved with the Bridge CA, the names written into the certificate need to be registered with a third party to prevent two operators accidentally or on purpose using the same name in their certificates. This is in conflict with requirement B.</w:t>
      </w:r>
    </w:p>
    <w:p>
      <w:pPr>
        <w:pStyle w:val="Heading2"/>
        <w:rPr/>
      </w:pPr>
      <w:bookmarkStart w:id="163" w:name="__RefHeading___Toc145337445"/>
      <w:bookmarkEnd w:id="163"/>
      <w:r>
        <w:rPr/>
        <w:t>B.4.3</w:t>
        <w:tab/>
        <w:t>Two redundant steps required for establishing trust</w:t>
      </w:r>
    </w:p>
    <w:p>
      <w:pPr>
        <w:pStyle w:val="Normal"/>
        <w:rPr/>
      </w:pPr>
      <w:r>
        <w:rPr/>
        <w:t>As described in the introduction, with the "extended trust model", each operator shall first be certified by the bridge (authentication), and then as the second step, enumerate the trusted operators when configuring the IPsec tunnel (access control).</w:t>
      </w:r>
    </w:p>
    <w:p>
      <w:pPr>
        <w:pStyle w:val="Normal"/>
        <w:rPr/>
      </w:pPr>
      <w:r>
        <w:rPr/>
        <w:t>For the Bridge CA model to work, there is a need for organization that all the other parties involved can trust - and the trust shall be transitive! If you trust the bridge, you shall also trust the other organizations joining to the bridge via the cross-certification. If Operator A and the Bridge CA cross-certify with each other, Operator A will automatically trust every other certified operator to obey the rules. And this trust is not related to the roaming traffic tunnel; the tunnel has to be configured independently of the PKI.</w:t>
      </w:r>
    </w:p>
    <w:p>
      <w:pPr>
        <w:pStyle w:val="Normal"/>
        <w:rPr/>
      </w:pPr>
      <w:r>
        <w:rPr/>
        <w:t>So even if configuring new certificates in the SEGs is avoided when cross-certification is used, the roaming information shall be configured and maintained in the SEG some other way. And the hard part: How the trust provided by the PKI and the roaming agreements is combined, because clearly in this case PKI provided trust is not the same as roaming agreements.</w:t>
      </w:r>
    </w:p>
    <w:p>
      <w:pPr>
        <w:pStyle w:val="Normal"/>
        <w:rPr/>
      </w:pPr>
      <w:r>
        <w:rPr/>
        <w:t>Two steps would be needed:</w:t>
      </w:r>
    </w:p>
    <w:p>
      <w:pPr>
        <w:pStyle w:val="B1"/>
        <w:rPr/>
      </w:pPr>
      <w:r>
        <w:rPr/>
        <w:t>1.</w:t>
        <w:tab/>
        <w:t>building "trust" through Bridge CA =&gt; authenticating the peer SEG;</w:t>
      </w:r>
    </w:p>
    <w:p>
      <w:pPr>
        <w:pStyle w:val="B1"/>
        <w:rPr/>
      </w:pPr>
      <w:r>
        <w:rPr/>
        <w:t>2.</w:t>
        <w:tab/>
        <w:t>specify in the tunnel configuration which peering SEGs can be trusted.</w:t>
      </w:r>
    </w:p>
    <w:p>
      <w:pPr>
        <w:pStyle w:val="Normal"/>
        <w:rPr/>
      </w:pPr>
      <w:r>
        <w:rPr/>
        <w:t xml:space="preserve">If the cross-certification is done without a Bridge CA, the steps can be combined into one. What is the additional value of the PKI provided trust (step 1), if the peering SEGs have to be restricted in any case? </w:t>
      </w:r>
    </w:p>
    <w:p>
      <w:pPr>
        <w:pStyle w:val="Heading2"/>
        <w:rPr/>
      </w:pPr>
      <w:bookmarkStart w:id="164" w:name="__RefHeading___Toc145337446"/>
      <w:bookmarkEnd w:id="164"/>
      <w:r>
        <w:rPr/>
        <w:t>B.4.4</w:t>
        <w:tab/>
        <w:t>Long certificate chains connected with IKE implementation issues</w:t>
      </w:r>
    </w:p>
    <w:p>
      <w:pPr>
        <w:pStyle w:val="Normal"/>
        <w:rPr/>
      </w:pPr>
      <w:r>
        <w:rPr/>
        <w:t>If Bridge CA is used, a SEG CA certificate has to be sent in the certificate payload in addition to the local end entity (SEG) certificate. This leads in Ethernet environments to the fragmentation of the IKE packet, which some current IKE implementations do not support. It is a problem in the implementation, not the protocol. Even in IPv6, the IKE UDP packets need to be fragmented, posing a potential interoperability problem. Clearly it is not a solution to use a different protocol, but instead the current implementations should be fixed. Still, taking into account requirement B, it is safer to avoid the problem altogether by not forcing the fragmentation of IKE packets by not using a Bridge CA.</w:t>
      </w:r>
    </w:p>
    <w:p>
      <w:pPr>
        <w:pStyle w:val="Heading2"/>
        <w:rPr/>
      </w:pPr>
      <w:bookmarkStart w:id="165" w:name="__RefHeading___Toc145337447"/>
      <w:bookmarkEnd w:id="165"/>
      <w:r>
        <w:rPr/>
        <w:t>B.4.5</w:t>
        <w:tab/>
        <w:t>Lack of existing relevant Bridge CA experiences</w:t>
      </w:r>
    </w:p>
    <w:p>
      <w:pPr>
        <w:pStyle w:val="Normal"/>
        <w:rPr/>
      </w:pPr>
      <w:r>
        <w:rPr/>
        <w:t>The Federal PKI in the USA is an example deployment where a Bridge CA is used to connect together CAs of the various federal agencies. It seems to be however the only documented one of its kind, and is connected with very heavy policy documentation and obviously heavy auditing practices, even within one organization, the federal government. The bridge approach is warranted in the case, because they want to automatically check whether some entity has legal rights to sign some document. The number of entities doing cross-domain PKI validation can be several millions, and it is impossible for one validating entity to keep count of individual signers.</w:t>
      </w:r>
    </w:p>
    <w:p>
      <w:pPr>
        <w:pStyle w:val="Normal"/>
        <w:rPr/>
      </w:pPr>
      <w:r>
        <w:rPr/>
        <w:t>In 3G roaming, the situation is in many ways different. When a new operator is born, the other ones do not automatically want to exchange roaming traffic with the new one, but a legal agreement with that operator and a technical tunnel establishment shall be done. In Federal PKI, the situation is the opposite: nothing should need to be done and still be able to trust the other.</w:t>
      </w:r>
    </w:p>
    <w:p>
      <w:pPr>
        <w:pStyle w:val="Normal"/>
        <w:rPr/>
      </w:pPr>
      <w:r>
        <w:rPr/>
        <w:t>In the Federal PKI, the paperwork and processes make name constraints in certificates unnecessary, and IKE is supposedly not used together with the Bridge CA.</w:t>
      </w:r>
    </w:p>
    <w:p>
      <w:pPr>
        <w:pStyle w:val="Heading1"/>
        <w:ind w:left="1134" w:hanging="1134"/>
        <w:rPr/>
      </w:pPr>
      <w:bookmarkStart w:id="166" w:name="__RefHeading___Toc145337448"/>
      <w:bookmarkEnd w:id="166"/>
      <w:r>
        <w:rPr/>
        <w:t>B.5</w:t>
        <w:tab/>
        <w:t>Feasibility of the direct cross-certification approach</w:t>
      </w:r>
    </w:p>
    <w:p>
      <w:pPr>
        <w:pStyle w:val="Normal"/>
        <w:rPr/>
      </w:pPr>
      <w:r>
        <w:rPr/>
        <w:t>This chapter discusses the direct cross-certification, i.e. manual cross-certification approach, where operators are doing the cross-certification operation only when agreeing to set up a tunnel with another operator. This tunnel setup is a legal and technical operation in any case, so it is feasible to do also the cross-certification at this time, removing the need for the initial step to cross-certify with the Bridge CA.</w:t>
      </w:r>
    </w:p>
    <w:p>
      <w:pPr>
        <w:pStyle w:val="Normal"/>
        <w:rPr/>
      </w:pPr>
      <w:r>
        <w:rPr/>
        <w:t>There is no technical difference regarding the feasibility of direct cross-certification or Bridge CA in the context of GRX or non-GRX environment. GRX might be one possible choice for providing the Bridge CA services.</w:t>
      </w:r>
    </w:p>
    <w:p>
      <w:pPr>
        <w:pStyle w:val="Heading2"/>
        <w:rPr/>
      </w:pPr>
      <w:bookmarkStart w:id="167" w:name="__RefHeading___Toc145337449"/>
      <w:bookmarkEnd w:id="167"/>
      <w:r>
        <w:rPr/>
        <w:t>B.5.1</w:t>
        <w:tab/>
        <w:t>Benefits of direct cross-certification</w:t>
      </w:r>
    </w:p>
    <w:p>
      <w:pPr>
        <w:pStyle w:val="Normal"/>
        <w:rPr/>
      </w:pPr>
      <w:r>
        <w:rPr/>
        <w:t>The benefits of the direct cross-certification is that as a mechanism it is well known, supported widely by current PKI products and there even exists an evolution path to a Bridge CA solution if the products come to support it adequately, a Bridge CA is established, and the number of operators becomes so large to warrant the use of the Bridge CA technology. Bridge CA uses the cross-certification mechanisms in any case.</w:t>
      </w:r>
    </w:p>
    <w:p>
      <w:pPr>
        <w:pStyle w:val="Normal"/>
        <w:rPr/>
      </w:pPr>
      <w:r>
        <w:rPr/>
        <w:t>The tunnel configuration would look like the following:</w:t>
      </w:r>
    </w:p>
    <w:p>
      <w:pPr>
        <w:pStyle w:val="Normal"/>
        <w:rPr/>
      </w:pPr>
      <w:r>
        <w:rPr/>
        <w:t>-</w:t>
        <w:tab/>
        <w:t>Local-Subnetwork = some ipv6 subnetwork address;</w:t>
      </w:r>
    </w:p>
    <w:p>
      <w:pPr>
        <w:pStyle w:val="Normal"/>
        <w:rPr/>
      </w:pPr>
      <w:r>
        <w:rPr/>
        <w:t>-</w:t>
        <w:tab/>
        <w:t>TrustedCA's = LocalCA.</w:t>
      </w:r>
    </w:p>
    <w:p>
      <w:pPr>
        <w:pStyle w:val="Normal"/>
        <w:rPr/>
      </w:pPr>
      <w:r>
        <w:rPr/>
        <w:t>The information of which operator is allowed access is implicit in the direct cross-certifications that have been done by the LocalCA, thus authentication and access control are tightly connected. If different foreign operators need to access different subnetworks, there would be separate tunnel configurations with SEG IP address for each, including an "AllowedCertificateSubject" limitation. The "AllowedCertificateSigner" limitation is not needed as necessary in this model (compared to the bridge CA model), since the set of operators which can be authenticated are only the ones, that have previously been agreed to trust when doing the direct cross-certification. In the bridge CA case, the set of operators which can be authenticated includes all operators who have joined to the bridge.</w:t>
      </w:r>
    </w:p>
    <w:p>
      <w:pPr>
        <w:pStyle w:val="Heading2"/>
        <w:rPr/>
      </w:pPr>
      <w:bookmarkStart w:id="168" w:name="__RefHeading___Toc145337450"/>
      <w:bookmarkEnd w:id="168"/>
      <w:r>
        <w:rPr/>
        <w:t>B.5.2</w:t>
        <w:tab/>
        <w:t>Memory and processing power requirements</w:t>
      </w:r>
    </w:p>
    <w:p>
      <w:pPr>
        <w:pStyle w:val="Normal"/>
        <w:keepNext w:val="true"/>
        <w:keepLines/>
        <w:rPr/>
      </w:pPr>
      <w:r>
        <w:rPr/>
        <w:t>In case of direct cross-certification, each operator shall store the certificates issued for the other operators locally. They could be stored in the SEG devices, or then in a common repository.</w:t>
      </w:r>
    </w:p>
    <w:p>
      <w:pPr>
        <w:pStyle w:val="Normal"/>
        <w:keepNext w:val="true"/>
        <w:keepLines/>
        <w:rPr/>
      </w:pPr>
      <w:r>
        <w:rPr/>
        <w:t>Memory and processing power requirement are not an issue.</w:t>
      </w:r>
    </w:p>
    <w:p>
      <w:pPr>
        <w:pStyle w:val="Heading2"/>
        <w:rPr/>
      </w:pPr>
      <w:bookmarkStart w:id="169" w:name="__RefHeading___Toc145337451"/>
      <w:bookmarkEnd w:id="169"/>
      <w:r>
        <w:rPr/>
        <w:t>B.5.3</w:t>
        <w:tab/>
        <w:t>Shortcomings</w:t>
      </w:r>
    </w:p>
    <w:p>
      <w:pPr>
        <w:pStyle w:val="Normal"/>
        <w:rPr/>
      </w:pPr>
      <w:r>
        <w:rPr/>
        <w:t>As discussed in the previous section, the Bridge CA approach saves memory or storage space in SEGs, because all the other operators SEG CA certificates do not need to be stored with other operators. Just the Bridge CA certificate would be stored, and other certificates retrieved during IKE negotiation.</w:t>
      </w:r>
    </w:p>
    <w:p>
      <w:pPr>
        <w:pStyle w:val="Heading2"/>
        <w:rPr/>
      </w:pPr>
      <w:bookmarkStart w:id="170" w:name="__RefHeading___Toc145337452"/>
      <w:bookmarkEnd w:id="170"/>
      <w:r>
        <w:rPr/>
        <w:t>B.5.4</w:t>
        <w:tab/>
        <w:t>Possible evolution path to a Bridge CA</w:t>
      </w:r>
    </w:p>
    <w:p>
      <w:pPr>
        <w:pStyle w:val="Normal"/>
        <w:rPr/>
      </w:pPr>
      <w:r>
        <w:rPr/>
        <w:t>If needed, it is possible to take the Bridge CA into use gradually, given that the support by PKI products becomes reality. From one operator's point of view, the bridge CA would be like any other operator so far, and a cross-certification would be made, but additionally the name constraints in the certificate issued for the Bridge CA should be updated every time a new roaming agreement is made.</w:t>
      </w:r>
      <w:r>
        <w:br w:type="page"/>
      </w:r>
    </w:p>
    <w:p>
      <w:pPr>
        <w:pStyle w:val="Heading8"/>
        <w:ind w:left="0" w:hanging="0"/>
        <w:rPr/>
      </w:pPr>
      <w:bookmarkStart w:id="171" w:name="__RefHeading___Toc145337453"/>
      <w:bookmarkEnd w:id="171"/>
      <w:r>
        <w:rPr/>
        <w:t>Annex C (informative):</w:t>
        <w:br/>
        <w:t>Decision for the CRL repository access protocol for SEGs</w:t>
      </w:r>
    </w:p>
    <w:p>
      <w:pPr>
        <w:pStyle w:val="Normal"/>
        <w:rPr/>
      </w:pPr>
      <w:r>
        <w:rPr/>
        <w:t>In order to document the decision for the protocol for SEGs to access CRL repositories, this section summarises technical advantages and disadvantages of the two candidates.</w:t>
      </w:r>
    </w:p>
    <w:p>
      <w:pPr>
        <w:pStyle w:val="Normal"/>
        <w:rPr>
          <w:b/>
          <w:b/>
          <w:bCs/>
          <w:u w:val="single"/>
          <w:lang w:val="en-US" w:eastAsia="en-US"/>
        </w:rPr>
      </w:pPr>
      <w:r>
        <w:rPr>
          <w:b/>
          <w:bCs/>
          <w:u w:val="single"/>
          <w:lang w:val="en-US" w:eastAsia="en-US"/>
        </w:rPr>
        <w:t>LDAP</w:t>
      </w:r>
    </w:p>
    <w:p>
      <w:pPr>
        <w:pStyle w:val="Normal"/>
        <w:rPr/>
      </w:pPr>
      <w:r>
        <w:rPr>
          <w:lang w:val="en-US" w:eastAsia="en-US"/>
        </w:rPr>
        <w:tab/>
        <w:t>+ implemented by all PKI products (unless purely manual)</w:t>
      </w:r>
    </w:p>
    <w:p>
      <w:pPr>
        <w:pStyle w:val="Normal"/>
        <w:rPr/>
      </w:pPr>
      <w:r>
        <w:rPr>
          <w:lang w:val="en-US" w:eastAsia="en-US"/>
        </w:rPr>
        <w:tab/>
        <w:t>+ scalability</w:t>
      </w:r>
    </w:p>
    <w:p>
      <w:pPr>
        <w:pStyle w:val="Normal"/>
        <w:rPr/>
      </w:pPr>
      <w:r>
        <w:rPr>
          <w:lang w:val="en-US" w:eastAsia="en-US"/>
        </w:rPr>
        <w:tab/>
        <w:t>+ flexibility (integration possibility to other systems, automatic public key retrieval possibility)</w:t>
      </w:r>
    </w:p>
    <w:p>
      <w:pPr>
        <w:pStyle w:val="Normal"/>
        <w:rPr/>
      </w:pPr>
      <w:r>
        <w:rPr>
          <w:lang w:val="en-US" w:eastAsia="en-US"/>
        </w:rPr>
        <w:tab/>
        <w:t>- complexity</w:t>
      </w:r>
    </w:p>
    <w:p>
      <w:pPr>
        <w:pStyle w:val="Normal"/>
        <w:rPr>
          <w:b/>
          <w:b/>
          <w:bCs/>
          <w:u w:val="single"/>
          <w:lang w:val="en-US" w:eastAsia="en-US"/>
        </w:rPr>
      </w:pPr>
      <w:r>
        <w:rPr>
          <w:b/>
          <w:bCs/>
          <w:u w:val="single"/>
          <w:lang w:val="en-US" w:eastAsia="en-US"/>
        </w:rPr>
        <w:t>HTTP</w:t>
      </w:r>
    </w:p>
    <w:p>
      <w:pPr>
        <w:pStyle w:val="Normal"/>
        <w:rPr/>
      </w:pPr>
      <w:r>
        <w:rPr>
          <w:lang w:val="en-US" w:eastAsia="en-US"/>
        </w:rPr>
        <w:tab/>
        <w:t>+ simple</w:t>
      </w:r>
    </w:p>
    <w:p>
      <w:pPr>
        <w:pStyle w:val="Normal"/>
        <w:rPr/>
      </w:pPr>
      <w:r>
        <w:rPr>
          <w:lang w:val="en-US" w:eastAsia="en-US"/>
        </w:rPr>
        <w:tab/>
        <w:t xml:space="preserve">- not supported by all PKI products (although widely supported) </w:t>
      </w:r>
    </w:p>
    <w:p>
      <w:pPr>
        <w:pStyle w:val="Normal"/>
        <w:rPr/>
      </w:pPr>
      <w:r>
        <w:rPr>
          <w:lang w:val="en-US" w:eastAsia="en-US"/>
        </w:rPr>
        <w:t>LDAP was chosen as the more future-proof protocol. Although more complex than HTTP, LDAP is well established amongst PKI vendors and operators.</w:t>
      </w:r>
      <w:r>
        <w:br w:type="page"/>
      </w:r>
    </w:p>
    <w:p>
      <w:pPr>
        <w:pStyle w:val="Heading8"/>
        <w:ind w:left="0" w:hanging="0"/>
        <w:rPr/>
      </w:pPr>
      <w:bookmarkStart w:id="172" w:name="__RefHeading___Toc145337454"/>
      <w:bookmarkEnd w:id="172"/>
      <w:r>
        <w:rPr/>
        <w:t xml:space="preserve">Annex D (informative): </w:t>
        <w:br/>
        <w:t>Decision for storing the cross-certificates in CR</w:t>
      </w:r>
    </w:p>
    <w:p>
      <w:pPr>
        <w:pStyle w:val="Normal"/>
        <w:rPr/>
      </w:pPr>
      <w:r>
        <w:rPr/>
        <w:t>In order to document the decision for storing the cross-certificates in Certificate Repository, fetching those with LDAP and caching them in SEGs, this section summarises technical advantages and disadvantages of the three alternatives.</w:t>
      </w:r>
    </w:p>
    <w:p>
      <w:pPr>
        <w:pStyle w:val="Normal"/>
        <w:rPr/>
      </w:pPr>
      <w:r>
        <w:rPr/>
        <w:t>The following table summarizes differences between alternatives:</w:t>
      </w:r>
    </w:p>
    <w:p>
      <w:pPr>
        <w:pStyle w:val="TH"/>
        <w:rPr/>
      </w:pPr>
      <w:r>
        <w:rPr/>
        <w:t>Table D.1</w:t>
      </w:r>
    </w:p>
    <w:tbl>
      <w:tblPr>
        <w:tblW w:w="8894" w:type="dxa"/>
        <w:jc w:val="left"/>
        <w:tblInd w:w="-113" w:type="dxa"/>
        <w:tblLayout w:type="fixed"/>
        <w:tblCellMar>
          <w:top w:w="0" w:type="dxa"/>
          <w:left w:w="108" w:type="dxa"/>
          <w:bottom w:w="0" w:type="dxa"/>
          <w:right w:w="108" w:type="dxa"/>
        </w:tblCellMar>
      </w:tblPr>
      <w:tblGrid>
        <w:gridCol w:w="1810"/>
        <w:gridCol w:w="2361"/>
        <w:gridCol w:w="2361"/>
        <w:gridCol w:w="2362"/>
      </w:tblGrid>
      <w:tr>
        <w:trPr/>
        <w:tc>
          <w:tcPr>
            <w:tcW w:w="1810" w:type="dxa"/>
            <w:tcBorders>
              <w:top w:val="single" w:sz="4" w:space="0" w:color="000000"/>
              <w:left w:val="single" w:sz="4" w:space="0" w:color="000000"/>
              <w:bottom w:val="single" w:sz="4" w:space="0" w:color="000000"/>
              <w:right w:val="single" w:sz="4" w:space="0" w:color="000000"/>
            </w:tcBorders>
          </w:tcPr>
          <w:p>
            <w:pPr>
              <w:pStyle w:val="TAH"/>
              <w:rPr/>
            </w:pPr>
            <w:r>
              <w:rPr/>
              <w:t>Issue</w:t>
            </w:r>
          </w:p>
        </w:tc>
        <w:tc>
          <w:tcPr>
            <w:tcW w:w="2361" w:type="dxa"/>
            <w:tcBorders>
              <w:top w:val="single" w:sz="4" w:space="0" w:color="000000"/>
              <w:left w:val="single" w:sz="4" w:space="0" w:color="000000"/>
              <w:bottom w:val="single" w:sz="4" w:space="0" w:color="000000"/>
              <w:right w:val="single" w:sz="4" w:space="0" w:color="000000"/>
            </w:tcBorders>
          </w:tcPr>
          <w:p>
            <w:pPr>
              <w:pStyle w:val="TAH"/>
              <w:rPr/>
            </w:pPr>
            <w:r>
              <w:rPr/>
              <w:t>A) Cross-certificates are stored into SEGs:</w:t>
            </w:r>
          </w:p>
        </w:tc>
        <w:tc>
          <w:tcPr>
            <w:tcW w:w="2361" w:type="dxa"/>
            <w:tcBorders>
              <w:top w:val="single" w:sz="4" w:space="0" w:color="000000"/>
              <w:left w:val="single" w:sz="4" w:space="0" w:color="000000"/>
              <w:bottom w:val="single" w:sz="4" w:space="0" w:color="000000"/>
              <w:right w:val="single" w:sz="4" w:space="0" w:color="000000"/>
            </w:tcBorders>
          </w:tcPr>
          <w:p>
            <w:pPr>
              <w:pStyle w:val="TAH"/>
              <w:rPr/>
            </w:pPr>
            <w:r>
              <w:rPr/>
              <w:t>B) Cross-certificates are stored into CRs:</w:t>
            </w:r>
          </w:p>
        </w:tc>
        <w:tc>
          <w:tcPr>
            <w:tcW w:w="2362" w:type="dxa"/>
            <w:tcBorders>
              <w:top w:val="single" w:sz="4" w:space="0" w:color="000000"/>
              <w:left w:val="single" w:sz="4" w:space="0" w:color="000000"/>
              <w:bottom w:val="single" w:sz="4" w:space="0" w:color="000000"/>
              <w:right w:val="single" w:sz="4" w:space="0" w:color="000000"/>
            </w:tcBorders>
          </w:tcPr>
          <w:p>
            <w:pPr>
              <w:pStyle w:val="TAH"/>
              <w:rPr/>
            </w:pPr>
            <w:r>
              <w:rPr/>
              <w:t>C) Cross-certificates are stored into CRs and cached in SEGs upon usage:</w:t>
            </w:r>
          </w:p>
        </w:tc>
      </w:tr>
      <w:tr>
        <w:trPr/>
        <w:tc>
          <w:tcPr>
            <w:tcW w:w="1810"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t>1)</w:t>
              <w:tab/>
              <w:t>Initialization issues: storing the cross-certificate during the cross-certification</w:t>
            </w:r>
          </w:p>
        </w:tc>
        <w:tc>
          <w:tcPr>
            <w:tcW w:w="2361" w:type="dxa"/>
            <w:tcBorders>
              <w:top w:val="single" w:sz="4" w:space="0" w:color="000000"/>
              <w:left w:val="single" w:sz="4" w:space="0" w:color="000000"/>
              <w:bottom w:val="single" w:sz="4" w:space="0" w:color="000000"/>
              <w:right w:val="single" w:sz="4" w:space="0" w:color="000000"/>
            </w:tcBorders>
          </w:tcPr>
          <w:p>
            <w:pPr>
              <w:pStyle w:val="TAL"/>
              <w:rPr/>
            </w:pPr>
            <w:r>
              <w:rPr/>
              <w:t xml:space="preserve">The cross-certificate is </w:t>
            </w:r>
            <w:r>
              <w:rPr>
                <w:i/>
              </w:rPr>
              <w:t>initially</w:t>
            </w:r>
            <w:r>
              <w:rPr/>
              <w:t xml:space="preserve"> stored in several places, that is, into </w:t>
            </w:r>
            <w:r>
              <w:rPr>
                <w:i/>
              </w:rPr>
              <w:t>all</w:t>
            </w:r>
            <w:r>
              <w:rPr/>
              <w:t xml:space="preserve"> SEGs (estimated number is between 2 and 10).</w:t>
            </w:r>
          </w:p>
          <w:p>
            <w:pPr>
              <w:pStyle w:val="Normal"/>
              <w:ind w:left="142" w:hanging="142"/>
              <w:rPr/>
            </w:pPr>
            <w:r>
              <w:rPr/>
              <w:t>Pros: -</w:t>
            </w:r>
          </w:p>
          <w:p>
            <w:pPr>
              <w:pStyle w:val="TAL"/>
              <w:rPr/>
            </w:pPr>
            <w:r>
              <w:rPr/>
              <w:t>Cons: Certificate is initially copied in several places. SEGs from different manufacturers may have other O&amp;M interfaces to handle the certificates.</w:t>
            </w:r>
          </w:p>
        </w:tc>
        <w:tc>
          <w:tcPr>
            <w:tcW w:w="2361" w:type="dxa"/>
            <w:tcBorders>
              <w:top w:val="single" w:sz="4" w:space="0" w:color="000000"/>
              <w:left w:val="single" w:sz="4" w:space="0" w:color="000000"/>
              <w:bottom w:val="single" w:sz="4" w:space="0" w:color="000000"/>
              <w:right w:val="single" w:sz="4" w:space="0" w:color="000000"/>
            </w:tcBorders>
          </w:tcPr>
          <w:p>
            <w:pPr>
              <w:pStyle w:val="TAL"/>
              <w:rPr/>
            </w:pPr>
            <w:r>
              <w:rPr/>
              <w:t xml:space="preserve">The cross-certificate is </w:t>
            </w:r>
            <w:r>
              <w:rPr>
                <w:i/>
              </w:rPr>
              <w:t>initially</w:t>
            </w:r>
            <w:r>
              <w:rPr/>
              <w:t xml:space="preserve"> stored in CR. </w:t>
            </w:r>
          </w:p>
          <w:p>
            <w:pPr>
              <w:pStyle w:val="TAL"/>
              <w:rPr/>
            </w:pPr>
            <w:r>
              <w:rPr/>
              <w:t>Pros: The handling is fully standardized. Certificate is initially copied in one place only. The operator should have the repository anyway (due to CRL handling).</w:t>
            </w:r>
          </w:p>
          <w:p>
            <w:pPr>
              <w:pStyle w:val="TAL"/>
              <w:rPr/>
            </w:pPr>
            <w:r>
              <w:rPr/>
              <w:t>Cons: -</w:t>
            </w:r>
          </w:p>
          <w:p>
            <w:pPr>
              <w:pStyle w:val="TAL"/>
              <w:rPr/>
            </w:pPr>
            <w:r>
              <w:rPr/>
            </w:r>
          </w:p>
        </w:tc>
        <w:tc>
          <w:tcPr>
            <w:tcW w:w="2362" w:type="dxa"/>
            <w:tcBorders>
              <w:top w:val="single" w:sz="4" w:space="0" w:color="000000"/>
              <w:left w:val="single" w:sz="4" w:space="0" w:color="000000"/>
              <w:bottom w:val="single" w:sz="4" w:space="0" w:color="000000"/>
              <w:right w:val="single" w:sz="4" w:space="0" w:color="000000"/>
            </w:tcBorders>
          </w:tcPr>
          <w:p>
            <w:pPr>
              <w:pStyle w:val="TAL"/>
              <w:rPr/>
            </w:pPr>
            <w:r>
              <w:rPr/>
              <w:t xml:space="preserve">The cross-certificate is </w:t>
            </w:r>
            <w:r>
              <w:rPr>
                <w:i/>
              </w:rPr>
              <w:t>initially</w:t>
            </w:r>
            <w:r>
              <w:rPr/>
              <w:t xml:space="preserve"> stored in CR.</w:t>
            </w:r>
          </w:p>
          <w:p>
            <w:pPr>
              <w:pStyle w:val="TAL"/>
              <w:rPr/>
            </w:pPr>
            <w:r>
              <w:rPr/>
              <w:t>Pros and cons as in B).</w:t>
            </w:r>
          </w:p>
          <w:p>
            <w:pPr>
              <w:pStyle w:val="TAL"/>
              <w:rPr/>
            </w:pPr>
            <w:r>
              <w:rPr/>
            </w:r>
          </w:p>
        </w:tc>
      </w:tr>
      <w:tr>
        <w:trPr/>
        <w:tc>
          <w:tcPr>
            <w:tcW w:w="1810"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t>2)</w:t>
              <w:tab/>
              <w:t>Usage issues: latency during the IKE Phase 1</w:t>
            </w:r>
          </w:p>
        </w:tc>
        <w:tc>
          <w:tcPr>
            <w:tcW w:w="2361" w:type="dxa"/>
            <w:tcBorders>
              <w:top w:val="single" w:sz="4" w:space="0" w:color="000000"/>
              <w:left w:val="single" w:sz="4" w:space="0" w:color="000000"/>
              <w:bottom w:val="single" w:sz="4" w:space="0" w:color="000000"/>
              <w:right w:val="single" w:sz="4" w:space="0" w:color="000000"/>
            </w:tcBorders>
          </w:tcPr>
          <w:p>
            <w:pPr>
              <w:pStyle w:val="TAL"/>
              <w:rPr/>
            </w:pPr>
            <w:r>
              <w:rPr/>
              <w:t>Pros: No extra latency</w:t>
            </w:r>
          </w:p>
          <w:p>
            <w:pPr>
              <w:pStyle w:val="TAL"/>
              <w:rPr/>
            </w:pPr>
            <w:r>
              <w:rPr/>
              <w:t>Cons: -</w:t>
            </w:r>
          </w:p>
        </w:tc>
        <w:tc>
          <w:tcPr>
            <w:tcW w:w="2361" w:type="dxa"/>
            <w:tcBorders>
              <w:top w:val="single" w:sz="4" w:space="0" w:color="000000"/>
              <w:left w:val="single" w:sz="4" w:space="0" w:color="000000"/>
              <w:bottom w:val="single" w:sz="4" w:space="0" w:color="000000"/>
              <w:right w:val="single" w:sz="4" w:space="0" w:color="000000"/>
            </w:tcBorders>
          </w:tcPr>
          <w:p>
            <w:pPr>
              <w:pStyle w:val="TAL"/>
              <w:rPr/>
            </w:pPr>
            <w:r>
              <w:rPr/>
              <w:t>Pros: -</w:t>
            </w:r>
          </w:p>
          <w:p>
            <w:pPr>
              <w:pStyle w:val="TAL"/>
              <w:rPr/>
            </w:pPr>
            <w:r>
              <w:rPr/>
              <w:t xml:space="preserve">Cons: More latency caused by extra LDAP query (the cross-certificate is queried) </w:t>
            </w:r>
          </w:p>
        </w:tc>
        <w:tc>
          <w:tcPr>
            <w:tcW w:w="2362" w:type="dxa"/>
            <w:tcBorders>
              <w:top w:val="single" w:sz="4" w:space="0" w:color="000000"/>
              <w:left w:val="single" w:sz="4" w:space="0" w:color="000000"/>
              <w:bottom w:val="single" w:sz="4" w:space="0" w:color="000000"/>
              <w:right w:val="single" w:sz="4" w:space="0" w:color="000000"/>
            </w:tcBorders>
          </w:tcPr>
          <w:p>
            <w:pPr>
              <w:pStyle w:val="TAL"/>
              <w:rPr/>
            </w:pPr>
            <w:r>
              <w:rPr/>
              <w:t>Pros &amp; cons: as in B) at the first time, and as in A) at subsequent times</w:t>
            </w:r>
          </w:p>
          <w:p>
            <w:pPr>
              <w:pStyle w:val="TAL"/>
              <w:rPr/>
            </w:pPr>
            <w:r>
              <w:rPr/>
            </w:r>
          </w:p>
        </w:tc>
      </w:tr>
      <w:tr>
        <w:trPr/>
        <w:tc>
          <w:tcPr>
            <w:tcW w:w="1810" w:type="dxa"/>
            <w:tcBorders>
              <w:top w:val="single" w:sz="4" w:space="0" w:color="000000"/>
              <w:left w:val="single" w:sz="4" w:space="0" w:color="000000"/>
              <w:right w:val="single" w:sz="4" w:space="0" w:color="000000"/>
            </w:tcBorders>
          </w:tcPr>
          <w:p>
            <w:pPr>
              <w:pStyle w:val="TAL"/>
              <w:ind w:left="284" w:hanging="284"/>
              <w:rPr/>
            </w:pPr>
            <w:r>
              <w:rPr/>
              <w:t>3)</w:t>
              <w:tab/>
              <w:t xml:space="preserve">Cleanup issues: removing the cross-certificate </w:t>
            </w:r>
          </w:p>
          <w:p>
            <w:pPr>
              <w:pStyle w:val="TAL"/>
              <w:ind w:left="284" w:hanging="284"/>
              <w:rPr/>
            </w:pPr>
            <w:r>
              <w:rPr/>
            </w:r>
          </w:p>
        </w:tc>
        <w:tc>
          <w:tcPr>
            <w:tcW w:w="2361" w:type="dxa"/>
            <w:tcBorders>
              <w:top w:val="single" w:sz="4" w:space="0" w:color="000000"/>
              <w:left w:val="single" w:sz="4" w:space="0" w:color="000000"/>
              <w:right w:val="single" w:sz="4" w:space="0" w:color="000000"/>
            </w:tcBorders>
          </w:tcPr>
          <w:p>
            <w:pPr>
              <w:pStyle w:val="TAL"/>
              <w:rPr/>
            </w:pPr>
            <w:r>
              <w:rPr/>
              <w:t>Pros: -</w:t>
            </w:r>
          </w:p>
          <w:p>
            <w:pPr>
              <w:pStyle w:val="TAL"/>
              <w:rPr/>
            </w:pPr>
            <w:r>
              <w:rPr/>
              <w:t xml:space="preserve">Cons: The cross-certificate is removed from several places, that is, from </w:t>
            </w:r>
            <w:r>
              <w:rPr>
                <w:i/>
              </w:rPr>
              <w:t>all</w:t>
            </w:r>
            <w:r>
              <w:rPr/>
              <w:t xml:space="preserve"> SEGs</w:t>
            </w:r>
          </w:p>
        </w:tc>
        <w:tc>
          <w:tcPr>
            <w:tcW w:w="2361" w:type="dxa"/>
            <w:tcBorders>
              <w:top w:val="single" w:sz="4" w:space="0" w:color="000000"/>
              <w:left w:val="single" w:sz="4" w:space="0" w:color="000000"/>
              <w:right w:val="single" w:sz="4" w:space="0" w:color="000000"/>
            </w:tcBorders>
          </w:tcPr>
          <w:p>
            <w:pPr>
              <w:pStyle w:val="TAL"/>
              <w:rPr/>
            </w:pPr>
            <w:r>
              <w:rPr/>
              <w:t>Pros: The cross-certificate is removed from one single place only</w:t>
            </w:r>
          </w:p>
          <w:p>
            <w:pPr>
              <w:pStyle w:val="TAL"/>
              <w:rPr/>
            </w:pPr>
            <w:r>
              <w:rPr/>
              <w:t>Cons: -</w:t>
            </w:r>
          </w:p>
        </w:tc>
        <w:tc>
          <w:tcPr>
            <w:tcW w:w="2362" w:type="dxa"/>
            <w:tcBorders>
              <w:top w:val="single" w:sz="4" w:space="0" w:color="000000"/>
              <w:left w:val="single" w:sz="4" w:space="0" w:color="000000"/>
              <w:right w:val="single" w:sz="4" w:space="0" w:color="000000"/>
            </w:tcBorders>
          </w:tcPr>
          <w:p>
            <w:pPr>
              <w:pStyle w:val="TAL"/>
              <w:rPr/>
            </w:pPr>
            <w:r>
              <w:rPr/>
              <w:t>Pros: -</w:t>
            </w:r>
          </w:p>
          <w:p>
            <w:pPr>
              <w:pStyle w:val="TAL"/>
              <w:rPr/>
            </w:pPr>
            <w:r>
              <w:rPr/>
              <w:t xml:space="preserve">Cons: The cross-certificate is removed from </w:t>
            </w:r>
            <w:r>
              <w:rPr>
                <w:i/>
              </w:rPr>
              <w:t xml:space="preserve">both </w:t>
            </w:r>
            <w:r>
              <w:rPr/>
              <w:t xml:space="preserve">CR </w:t>
            </w:r>
            <w:r>
              <w:rPr>
                <w:i/>
              </w:rPr>
              <w:t>and</w:t>
            </w:r>
            <w:r>
              <w:rPr/>
              <w:t xml:space="preserve"> each SEG.</w:t>
            </w:r>
          </w:p>
        </w:tc>
      </w:tr>
      <w:tr>
        <w:trPr>
          <w:cantSplit w:val="true"/>
        </w:trPr>
        <w:tc>
          <w:tcPr>
            <w:tcW w:w="8894" w:type="dxa"/>
            <w:gridSpan w:val="4"/>
            <w:tcBorders>
              <w:left w:val="single" w:sz="4" w:space="0" w:color="000000"/>
              <w:bottom w:val="single" w:sz="4" w:space="0" w:color="000000"/>
              <w:right w:val="single" w:sz="4" w:space="0" w:color="000000"/>
            </w:tcBorders>
          </w:tcPr>
          <w:p>
            <w:pPr>
              <w:pStyle w:val="TAN"/>
              <w:rPr/>
            </w:pPr>
            <w:r>
              <w:rPr/>
              <w:t>NOTE:</w:t>
              <w:tab/>
              <w:t>this functionality is needed only to be able to revoke cross-certificates before the next CRL gets published.</w:t>
            </w:r>
          </w:p>
        </w:tc>
      </w:tr>
      <w:tr>
        <w:trPr/>
        <w:tc>
          <w:tcPr>
            <w:tcW w:w="1810"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t>4)</w:t>
              <w:tab/>
              <w:t>Security issues</w:t>
            </w:r>
          </w:p>
        </w:tc>
        <w:tc>
          <w:tcPr>
            <w:tcW w:w="2361" w:type="dxa"/>
            <w:tcBorders>
              <w:top w:val="single" w:sz="4" w:space="0" w:color="000000"/>
              <w:left w:val="single" w:sz="4" w:space="0" w:color="000000"/>
              <w:bottom w:val="single" w:sz="4" w:space="0" w:color="000000"/>
              <w:right w:val="single" w:sz="4" w:space="0" w:color="000000"/>
            </w:tcBorders>
          </w:tcPr>
          <w:p>
            <w:pPr>
              <w:pStyle w:val="TAL"/>
              <w:rPr/>
            </w:pPr>
            <w:r>
              <w:rPr/>
              <w:t>Pros: No single point of failure exists.</w:t>
            </w:r>
          </w:p>
          <w:p>
            <w:pPr>
              <w:pStyle w:val="TAL"/>
              <w:rPr/>
            </w:pPr>
            <w:r>
              <w:rPr/>
              <w:t>Cons: -</w:t>
            </w:r>
          </w:p>
        </w:tc>
        <w:tc>
          <w:tcPr>
            <w:tcW w:w="2361" w:type="dxa"/>
            <w:tcBorders>
              <w:top w:val="single" w:sz="4" w:space="0" w:color="000000"/>
              <w:left w:val="single" w:sz="4" w:space="0" w:color="000000"/>
              <w:bottom w:val="single" w:sz="4" w:space="0" w:color="000000"/>
              <w:right w:val="single" w:sz="4" w:space="0" w:color="000000"/>
            </w:tcBorders>
          </w:tcPr>
          <w:p>
            <w:pPr>
              <w:pStyle w:val="TAL"/>
              <w:rPr/>
            </w:pPr>
            <w:r>
              <w:rPr/>
              <w:t>Pros: -</w:t>
            </w:r>
          </w:p>
          <w:p>
            <w:pPr>
              <w:pStyle w:val="TAL"/>
              <w:rPr/>
            </w:pPr>
            <w:r>
              <w:rPr/>
              <w:t>Cons: CR represents a single point of failure suitable for an attacker, e.g. to submit a denial of service attack by breaking the communication at the CR.</w:t>
            </w:r>
          </w:p>
        </w:tc>
        <w:tc>
          <w:tcPr>
            <w:tcW w:w="2362" w:type="dxa"/>
            <w:tcBorders>
              <w:top w:val="single" w:sz="4" w:space="0" w:color="000000"/>
              <w:left w:val="single" w:sz="4" w:space="0" w:color="000000"/>
              <w:bottom w:val="single" w:sz="4" w:space="0" w:color="000000"/>
              <w:right w:val="single" w:sz="4" w:space="0" w:color="000000"/>
            </w:tcBorders>
          </w:tcPr>
          <w:p>
            <w:pPr>
              <w:pStyle w:val="TAL"/>
              <w:rPr/>
            </w:pPr>
            <w:r>
              <w:rPr/>
              <w:t>Pros: Single point of failure partly mitigated</w:t>
            </w:r>
          </w:p>
          <w:p>
            <w:pPr>
              <w:pStyle w:val="TAL"/>
              <w:rPr/>
            </w:pPr>
            <w:r>
              <w:rPr/>
              <w:t>Cons: -</w:t>
            </w:r>
          </w:p>
        </w:tc>
      </w:tr>
    </w:tbl>
    <w:p>
      <w:pPr>
        <w:pStyle w:val="FP"/>
        <w:rPr/>
      </w:pPr>
      <w:r>
        <w:rPr/>
      </w:r>
    </w:p>
    <w:p>
      <w:pPr>
        <w:pStyle w:val="Normal"/>
        <w:rPr/>
      </w:pPr>
      <w:r>
        <w:rPr>
          <w:b/>
          <w:bCs/>
          <w:u w:val="single"/>
        </w:rPr>
        <w:t xml:space="preserve">Analysis: </w:t>
      </w:r>
    </w:p>
    <w:p>
      <w:pPr>
        <w:pStyle w:val="Normal"/>
        <w:rPr/>
      </w:pPr>
      <w:r>
        <w:rPr/>
        <w:t>-</w:t>
        <w:tab/>
        <w:t>Alternative B) requires one additional LDAP query in every IKE Phase 1 negotiation and will introduce new error cases</w:t>
      </w:r>
    </w:p>
    <w:p>
      <w:pPr>
        <w:pStyle w:val="Normal"/>
        <w:rPr/>
      </w:pPr>
      <w:r>
        <w:rPr/>
        <w:t>-</w:t>
        <w:tab/>
        <w:t>Latency of LDAP: information from LDAP to local disk is cached and populating it takes some time, but in practice this time is not significant.</w:t>
      </w:r>
    </w:p>
    <w:p>
      <w:pPr>
        <w:pStyle w:val="Normal"/>
        <w:rPr/>
      </w:pPr>
      <w:r>
        <w:rPr/>
        <w:t>-</w:t>
        <w:tab/>
        <w:t xml:space="preserve">The benefit of alternative B) and C) compared to alternative A) is easier management, that is, storing and removing the certificate in/from one single place only. </w:t>
      </w:r>
    </w:p>
    <w:p>
      <w:pPr>
        <w:pStyle w:val="FP"/>
        <w:rPr/>
      </w:pPr>
      <w:r>
        <w:rPr>
          <w:b/>
          <w:bCs/>
        </w:rPr>
        <w:t>Conclusion:</w:t>
      </w:r>
      <w:r>
        <w:rPr/>
        <w:t xml:space="preserve"> alternative C) is the most feasible choice, because it combines good points of alternatives A) and B).</w:t>
      </w:r>
      <w:r>
        <w:br w:type="page"/>
      </w:r>
    </w:p>
    <w:p>
      <w:pPr>
        <w:pStyle w:val="Heading8"/>
        <w:ind w:left="0" w:hanging="0"/>
        <w:rPr/>
      </w:pPr>
      <w:bookmarkStart w:id="173" w:name="__RefHeading___Toc145337455"/>
      <w:bookmarkEnd w:id="173"/>
      <w:r>
        <w:rPr/>
        <w:t>Annex E (informative):</w:t>
        <w:br/>
        <w:t>TLS protocol profile</w:t>
      </w:r>
    </w:p>
    <w:p>
      <w:pPr>
        <w:pStyle w:val="Normal"/>
        <w:rPr/>
      </w:pPr>
      <w:r>
        <w:rPr>
          <w:rFonts w:eastAsia="MS Mincho;MS Mincho"/>
        </w:rPr>
        <w:t>The TLS protocol profiles are located in TS 33.210 [1].</w:t>
      </w:r>
      <w:r>
        <w:br w:type="page"/>
      </w:r>
    </w:p>
    <w:p>
      <w:pPr>
        <w:pStyle w:val="Heading8"/>
        <w:ind w:left="0" w:hanging="0"/>
        <w:rPr/>
      </w:pPr>
      <w:bookmarkStart w:id="174" w:name="__RefHeading___Toc145337456"/>
      <w:bookmarkEnd w:id="174"/>
      <w:r>
        <w:rPr/>
        <w:t>Annex F (informative):</w:t>
        <w:br/>
        <w:t>Manual handling of TLS certificates</w:t>
      </w:r>
    </w:p>
    <w:p>
      <w:pPr>
        <w:pStyle w:val="Heading1"/>
        <w:ind w:left="1134" w:hanging="1134"/>
        <w:rPr/>
      </w:pPr>
      <w:bookmarkStart w:id="175" w:name="__RefHeading___Toc145337457"/>
      <w:bookmarkEnd w:id="175"/>
      <w:r>
        <w:rPr/>
        <w:t>F.0</w:t>
        <w:tab/>
        <w:t>General</w:t>
      </w:r>
    </w:p>
    <w:p>
      <w:pPr>
        <w:pStyle w:val="Normal"/>
        <w:rPr/>
      </w:pPr>
      <w:r>
        <w:rPr/>
        <w:t>The purpose of this annex is to provide alternative guidelines for TLS certificate handling in case of the absence of the authentication framework for TLS certificates.</w:t>
      </w:r>
    </w:p>
    <w:p>
      <w:pPr>
        <w:pStyle w:val="Normal"/>
        <w:rPr/>
      </w:pPr>
      <w:r>
        <w:rPr/>
        <w:t>Within this Annex following abbreviations are used: CA</w:t>
      </w:r>
      <w:r>
        <w:rPr>
          <w:vertAlign w:val="subscript"/>
        </w:rPr>
        <w:t>A</w:t>
      </w:r>
      <w:r>
        <w:rPr/>
        <w:t xml:space="preserve"> is the certification authority in A's network and CA</w:t>
      </w:r>
      <w:r>
        <w:rPr>
          <w:vertAlign w:val="subscript"/>
        </w:rPr>
        <w:t>B</w:t>
      </w:r>
      <w:r>
        <w:rPr/>
        <w:t xml:space="preserve"> is the certification authority in B's network. Cert</w:t>
      </w:r>
      <w:r>
        <w:rPr>
          <w:vertAlign w:val="subscript"/>
        </w:rPr>
        <w:t>A</w:t>
      </w:r>
      <w:r>
        <w:rPr/>
        <w:t xml:space="preserve"> is the certificate of A and Cert</w:t>
      </w:r>
      <w:r>
        <w:rPr>
          <w:vertAlign w:val="subscript"/>
        </w:rPr>
        <w:t>B</w:t>
      </w:r>
      <w:r>
        <w:rPr/>
        <w:t xml:space="preserve"> is the certificate of B. I</w:t>
      </w:r>
      <w:r>
        <w:rPr>
          <w:vertAlign w:val="subscript"/>
        </w:rPr>
        <w:t>A</w:t>
      </w:r>
      <w:r>
        <w:rPr/>
        <w:t xml:space="preserve"> is the set of identifiers that A may use for identification towards B. T</w:t>
      </w:r>
      <w:r>
        <w:rPr>
          <w:vertAlign w:val="subscript"/>
        </w:rPr>
        <w:t>B</w:t>
      </w:r>
      <w:r>
        <w:rPr/>
        <w:t xml:space="preserve"> is the set of peers trusted by B.</w:t>
      </w:r>
    </w:p>
    <w:p>
      <w:pPr>
        <w:pStyle w:val="Heading1"/>
        <w:ind w:left="1134" w:hanging="1134"/>
        <w:rPr/>
      </w:pPr>
      <w:bookmarkStart w:id="176" w:name="__RefHeading___Toc145337458"/>
      <w:bookmarkEnd w:id="176"/>
      <w:r>
        <w:rPr/>
        <w:t>F.1</w:t>
        <w:tab/>
        <w:t>TLS certificate enrolment</w:t>
      </w:r>
    </w:p>
    <w:p>
      <w:pPr>
        <w:pStyle w:val="Normal"/>
        <w:rPr/>
      </w:pPr>
      <w:r>
        <w:rPr/>
        <w:t>Mutual authentication in TLS is achieved based on public key technology and certificates. Both TLS peers A and B need to contain a certificate store and there shall be at least one certification authority CA that can issue certificates within the security domains in with A and B are part of. Cert</w:t>
      </w:r>
      <w:r>
        <w:rPr>
          <w:vertAlign w:val="subscript"/>
        </w:rPr>
        <w:t>A</w:t>
      </w:r>
      <w:r>
        <w:rPr/>
        <w:t xml:space="preserve"> contains the set I</w:t>
      </w:r>
      <w:r>
        <w:rPr>
          <w:vertAlign w:val="subscript"/>
        </w:rPr>
        <w:t>A</w:t>
      </w:r>
      <w:r>
        <w:rPr/>
        <w:t xml:space="preserve"> of A's identifiers. Each identifier is in the form of fully qualified domain name (FQDN). Similarly, B's certificate is Cert</w:t>
      </w:r>
      <w:r>
        <w:rPr>
          <w:vertAlign w:val="subscript"/>
        </w:rPr>
        <w:t>B</w:t>
      </w:r>
      <w:r>
        <w:rPr/>
        <w:t>.</w:t>
      </w:r>
    </w:p>
    <w:p>
      <w:pPr>
        <w:pStyle w:val="Normal"/>
        <w:rPr/>
      </w:pPr>
      <w:r>
        <w:rPr/>
        <w:t>The certificates in the store of B define the group T</w:t>
      </w:r>
      <w:r>
        <w:rPr>
          <w:vertAlign w:val="subscript"/>
        </w:rPr>
        <w:t>B</w:t>
      </w:r>
      <w:r>
        <w:rPr/>
        <w:t xml:space="preserve"> of peers trusted by B. There are several options for creation and enrolment of certificates, three of which are described below.</w:t>
      </w:r>
    </w:p>
    <w:p>
      <w:pPr>
        <w:pStyle w:val="B1"/>
        <w:rPr>
          <w:iCs/>
        </w:rPr>
      </w:pPr>
      <w:r>
        <w:rPr/>
        <w:t>1.</w:t>
        <w:tab/>
        <w:t>In one option there is a certification authority, CA</w:t>
      </w:r>
      <w:r>
        <w:rPr>
          <w:vertAlign w:val="subscript"/>
        </w:rPr>
        <w:t>B</w:t>
      </w:r>
      <w:r>
        <w:rPr/>
        <w:t>, only in the network of B. CA</w:t>
      </w:r>
      <w:r>
        <w:rPr>
          <w:vertAlign w:val="subscript"/>
        </w:rPr>
        <w:t>B</w:t>
      </w:r>
      <w:r>
        <w:rPr/>
        <w:t xml:space="preserve"> issues a certificate Cert</w:t>
      </w:r>
      <w:r>
        <w:rPr>
          <w:vertAlign w:val="subscript"/>
        </w:rPr>
        <w:t>B</w:t>
      </w:r>
      <w:r>
        <w:rPr/>
        <w:t xml:space="preserve"> to B and a certificate Cert</w:t>
      </w:r>
      <w:r>
        <w:rPr>
          <w:vertAlign w:val="subscript"/>
        </w:rPr>
        <w:t>A</w:t>
      </w:r>
      <w:r>
        <w:rPr/>
        <w:t xml:space="preserve"> to A. The certificates are delivered from CA</w:t>
      </w:r>
      <w:r>
        <w:rPr>
          <w:vertAlign w:val="subscript"/>
        </w:rPr>
        <w:t>B</w:t>
      </w:r>
      <w:r>
        <w:rPr/>
        <w:t xml:space="preserve"> to A and B in a secure way "out of band". Both A and B then add their peer into the group of their trusted peers by inserting that peer's certificate into the certificate store: A inserts Cert</w:t>
      </w:r>
      <w:r>
        <w:rPr>
          <w:vertAlign w:val="subscript"/>
        </w:rPr>
        <w:t>B</w:t>
      </w:r>
      <w:r>
        <w:rPr/>
        <w:t xml:space="preserve"> into A's certificate store and B inserts Cert</w:t>
      </w:r>
      <w:r>
        <w:rPr>
          <w:vertAlign w:val="subscript"/>
        </w:rPr>
        <w:t>A</w:t>
      </w:r>
      <w:r>
        <w:rPr/>
        <w:t xml:space="preserve"> into B's certificate store. This insertion is typically manual and the details depend on the implementation of the management interface to the certificate store.</w:t>
      </w:r>
    </w:p>
    <w:p>
      <w:pPr>
        <w:pStyle w:val="B1"/>
        <w:rPr/>
      </w:pPr>
      <w:r>
        <w:rPr/>
        <w:t>2.</w:t>
        <w:tab/>
        <w:t>In another option both A's and B's networks contain certification authorities, CA</w:t>
      </w:r>
      <w:r>
        <w:rPr>
          <w:vertAlign w:val="subscript"/>
        </w:rPr>
        <w:t>B</w:t>
      </w:r>
      <w:r>
        <w:rPr/>
        <w:t xml:space="preserve"> and CA</w:t>
      </w:r>
      <w:r>
        <w:rPr>
          <w:vertAlign w:val="subscript"/>
        </w:rPr>
        <w:t>A</w:t>
      </w:r>
      <w:r>
        <w:rPr/>
        <w:t>, respectively. CA</w:t>
      </w:r>
      <w:r>
        <w:rPr>
          <w:vertAlign w:val="subscript"/>
        </w:rPr>
        <w:t>B</w:t>
      </w:r>
      <w:r>
        <w:rPr/>
        <w:t xml:space="preserve"> issues a certificate Cert</w:t>
      </w:r>
      <w:r>
        <w:rPr>
          <w:vertAlign w:val="subscript"/>
        </w:rPr>
        <w:t>B</w:t>
      </w:r>
      <w:r>
        <w:rPr/>
        <w:t xml:space="preserve"> to B and CA</w:t>
      </w:r>
      <w:r>
        <w:rPr>
          <w:vertAlign w:val="subscript"/>
        </w:rPr>
        <w:t>A</w:t>
      </w:r>
      <w:r>
        <w:rPr/>
        <w:t xml:space="preserve"> issues a certificate Cert</w:t>
      </w:r>
      <w:r>
        <w:rPr>
          <w:vertAlign w:val="subscript"/>
        </w:rPr>
        <w:t>A</w:t>
      </w:r>
      <w:r>
        <w:rPr/>
        <w:t xml:space="preserve"> to A. The certificates are delivered from CA</w:t>
      </w:r>
      <w:r>
        <w:rPr>
          <w:vertAlign w:val="subscript"/>
        </w:rPr>
        <w:t>B</w:t>
      </w:r>
      <w:r>
        <w:rPr/>
        <w:t xml:space="preserve"> to A and from CA</w:t>
      </w:r>
      <w:r>
        <w:rPr>
          <w:vertAlign w:val="subscript"/>
        </w:rPr>
        <w:t>A</w:t>
      </w:r>
      <w:r>
        <w:rPr/>
        <w:t xml:space="preserve"> to B in a secure way "out of band". Both A and B then add their peer into the group of their trusted peers by inserting that peer’s certificate into the certificate store: A inserts Cert</w:t>
      </w:r>
      <w:r>
        <w:rPr>
          <w:vertAlign w:val="subscript"/>
        </w:rPr>
        <w:t>B</w:t>
      </w:r>
      <w:r>
        <w:rPr/>
        <w:t xml:space="preserve"> into A's certificate store and B inserts Cert</w:t>
      </w:r>
      <w:r>
        <w:rPr>
          <w:vertAlign w:val="subscript"/>
        </w:rPr>
        <w:t>A</w:t>
      </w:r>
      <w:r>
        <w:rPr/>
        <w:t xml:space="preserve"> into B's certificate store.</w:t>
      </w:r>
    </w:p>
    <w:p>
      <w:pPr>
        <w:pStyle w:val="B1"/>
        <w:rPr/>
      </w:pPr>
      <w:r>
        <w:rPr/>
        <w:t>3.</w:t>
        <w:tab/>
        <w:t>In a third option the CA certificates of both sides are exchanged: the certificate of CA</w:t>
      </w:r>
      <w:r>
        <w:rPr>
          <w:vertAlign w:val="subscript"/>
        </w:rPr>
        <w:t>B</w:t>
      </w:r>
      <w:r>
        <w:rPr/>
        <w:t xml:space="preserve"> is delivered to A and the certificate of CA</w:t>
      </w:r>
      <w:r>
        <w:rPr>
          <w:vertAlign w:val="subscript"/>
        </w:rPr>
        <w:t>A</w:t>
      </w:r>
      <w:r>
        <w:rPr/>
        <w:t xml:space="preserve"> is delivered to B in a secure way "out of band"', inserted to the certificate store, and marked trusted. The validation of Cert</w:t>
      </w:r>
      <w:r>
        <w:rPr>
          <w:vertAlign w:val="subscript"/>
        </w:rPr>
        <w:t>A</w:t>
      </w:r>
      <w:r>
        <w:rPr/>
        <w:t xml:space="preserve"> and Cert</w:t>
      </w:r>
      <w:r>
        <w:rPr>
          <w:vertAlign w:val="subscript"/>
        </w:rPr>
        <w:t>B,</w:t>
      </w:r>
      <w:r>
        <w:rPr/>
        <w:t xml:space="preserve"> that are exchanged during TLS handshake, is based on the presence of the corresponding CA certificates in the certificate store.</w:t>
      </w:r>
    </w:p>
    <w:p>
      <w:pPr>
        <w:pStyle w:val="NO"/>
        <w:rPr/>
      </w:pPr>
      <w:r>
        <w:rPr/>
        <w:t>NOTE:</w:t>
        <w:tab/>
        <w:t>In options 1 and 2 the need for certification authority can be avoided if the peers generate self signed certificates and exchange them in a secure way, "out of band". Also, instead of certificates themselves, certificate fingerprints can be exchanged "out of band" in those options.</w:t>
      </w:r>
    </w:p>
    <w:p>
      <w:pPr>
        <w:pStyle w:val="Heading1"/>
        <w:ind w:left="1134" w:hanging="1134"/>
        <w:rPr/>
      </w:pPr>
      <w:bookmarkStart w:id="177" w:name="__RefHeading___Toc145337459"/>
      <w:bookmarkEnd w:id="177"/>
      <w:r>
        <w:rPr>
          <w:lang w:val="en-US"/>
        </w:rPr>
        <w:t>F.2</w:t>
        <w:tab/>
        <w:t>TLS Certificate revocation</w:t>
      </w:r>
    </w:p>
    <w:p>
      <w:pPr>
        <w:pStyle w:val="Normal"/>
        <w:rPr/>
      </w:pPr>
      <w:r>
        <w:rPr/>
        <w:t>In the absence of PKI-revocation interfaces, certificate revocation needs to be performed manually. The revocation operation involves the removal of A from the group T</w:t>
      </w:r>
      <w:r>
        <w:rPr>
          <w:vertAlign w:val="subscript"/>
        </w:rPr>
        <w:t>B</w:t>
      </w:r>
      <w:r>
        <w:rPr/>
        <w:t xml:space="preserve"> of peers trusted by B. In the first two enrolment options described above the revocation happens by B removing the certificate of A, Cert</w:t>
      </w:r>
      <w:r>
        <w:rPr>
          <w:vertAlign w:val="subscript"/>
        </w:rPr>
        <w:t>A</w:t>
      </w:r>
      <w:r>
        <w:rPr/>
        <w:t>, from its certificate store. This removal can be done manually. In the third option the certificate of A, Cert</w:t>
      </w:r>
      <w:r>
        <w:rPr>
          <w:vertAlign w:val="subscript"/>
        </w:rPr>
        <w:t>A</w:t>
      </w:r>
      <w:r>
        <w:rPr/>
        <w:t>, is not in B's certificate store. For that reason B has to have a way to check the validity of Cert</w:t>
      </w:r>
      <w:r>
        <w:rPr>
          <w:vertAlign w:val="subscript"/>
        </w:rPr>
        <w:t xml:space="preserve">A </w:t>
      </w:r>
      <w:r>
        <w:rPr/>
        <w:t>with the issuer of the certificate (also in the first two enrolment options the amount of manual maintenance operations will decrease if B can check the validity of Cert</w:t>
      </w:r>
      <w:r>
        <w:rPr>
          <w:vertAlign w:val="subscript"/>
        </w:rPr>
        <w:t xml:space="preserve">A </w:t>
      </w:r>
      <w:r>
        <w:rPr/>
        <w:t>with the issuer of the certificate). This check may be done by using Online Certificate Status Protocol (OCSP) RFC 6960 [47 or by using Certificate Revocation Lists (CRLs) RFC 5280 [14] published by the issuer of Cert</w:t>
      </w:r>
      <w:r>
        <w:rPr>
          <w:vertAlign w:val="subscript"/>
        </w:rPr>
        <w:t>A</w:t>
      </w:r>
      <w:r>
        <w:rPr/>
        <w:t>.</w:t>
      </w:r>
      <w:r>
        <w:br w:type="page"/>
      </w:r>
    </w:p>
    <w:p>
      <w:pPr>
        <w:pStyle w:val="Heading8"/>
        <w:ind w:left="0" w:hanging="0"/>
        <w:rPr/>
      </w:pPr>
      <w:bookmarkStart w:id="178" w:name="__RefHeading___Toc145337460"/>
      <w:bookmarkEnd w:id="178"/>
      <w:r>
        <w:rPr/>
        <w:t>Annex G (informative):</w:t>
        <w:br/>
        <w:t xml:space="preserve">Example </w:t>
      </w:r>
      <w:r>
        <w:rPr>
          <w:lang w:eastAsia="zh-CN"/>
        </w:rPr>
        <w:t>CMPv2 message flow for initial enrolment</w:t>
      </w:r>
    </w:p>
    <w:p>
      <w:pPr>
        <w:pStyle w:val="Normal"/>
        <w:rPr/>
      </w:pPr>
      <w:r>
        <w:rPr/>
        <w:t>The purpose of this annex is to provide an overview how the initial enrolment of a base station may be executed.</w:t>
      </w:r>
    </w:p>
    <w:p>
      <w:pPr>
        <w:pStyle w:val="Normal"/>
        <w:rPr/>
      </w:pPr>
      <w:r>
        <w:rPr/>
        <w:t>The message flow for an initial enrolment of a base station to the RA/CA is shown in Figure 8 below. The text below the figure gives a description of this message flow. Precondition for this message flow is that the base station contains the vendor provided private/public key pair and is pre-provisioned with the related base station certificate signed by a vendor CA. If there is a certificate chain up to the vendor root CA, also the intermediate certificates are pre-provisioned to the base station. The RA/CA is configured with the root certificate of the vendor and its own certificate(s). The exchanged messages are protected by setting the PKIHeader fields "protection" and "protectionAlg". Example of protectionAlg is set to the value {1 2 840 11359 1 1 11} (sha256With RSAEncrypt) when RSA and SHA-256 is used.</w:t>
      </w:r>
    </w:p>
    <w:p>
      <w:pPr>
        <w:pStyle w:val="TH"/>
        <w:rPr/>
      </w:pPr>
      <w:r>
        <w:rPr/>
        <w:object w:dxaOrig="8842" w:dyaOrig="10108">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442.15pt;height:505.45pt" filled="f" o:ole="">
            <v:imagedata r:id="rId24" o:title=""/>
          </v:shape>
          <o:OLEObject Type="Embed" ProgID="" ShapeID="ole_rId23" DrawAspect="Content" ObjectID="_1908452340" r:id="rId23"/>
        </w:object>
      </w:r>
    </w:p>
    <w:p>
      <w:pPr>
        <w:pStyle w:val="TF"/>
        <w:rPr/>
      </w:pPr>
      <w:r>
        <w:rPr/>
        <w:t>Figure 8: Example message flow for initial base station enrolment</w:t>
      </w:r>
    </w:p>
    <w:p>
      <w:pPr>
        <w:pStyle w:val="B1"/>
        <w:rPr/>
      </w:pPr>
      <w:r>
        <w:rPr/>
        <w:t>1.</w:t>
        <w:tab/>
        <w:t>The base station discovers the RA/CA address.</w:t>
      </w:r>
    </w:p>
    <w:p>
      <w:pPr>
        <w:pStyle w:val="B1"/>
        <w:rPr/>
      </w:pPr>
      <w:r>
        <w:rPr/>
        <w:t>2.</w:t>
        <w:tab/>
        <w:t>The base station generates the private/public key pair</w:t>
      </w:r>
      <w:r>
        <w:rPr>
          <w:lang w:eastAsia="zh-CN"/>
        </w:rPr>
        <w:t xml:space="preserve"> to be enrolled in th</w:t>
      </w:r>
      <w:r>
        <w:rPr>
          <w:lang w:eastAsia="zh-CN"/>
        </w:rPr>
        <w:t>e</w:t>
      </w:r>
      <w:r>
        <w:rPr>
          <w:lang w:eastAsia="zh-CN"/>
        </w:rPr>
        <w:t xml:space="preserve"> operator CA</w:t>
      </w:r>
      <w:r>
        <w:rPr/>
        <w:t>, if this is not pre-provisioned.</w:t>
      </w:r>
    </w:p>
    <w:p>
      <w:pPr>
        <w:pStyle w:val="B1"/>
        <w:rPr/>
      </w:pPr>
      <w:r>
        <w:rPr/>
        <w:t>3.</w:t>
        <w:tab/>
        <w:t>The base station generates the Initialization Request (ir). The CertReqMsg inside ir specifies the requested certificate. If the suggested identity is known to the base station, it includes this in the subject field. To provide proof of possession the base station generates the signature for the POPOSigningKey field of the CertReqMsg using the private key related to the public key to be certified by the RA/CA. The base station signs the ir using the vendor provided private key, and includes the digital signature in the PKIMessage. Its own vendor signed certificate and any intermediate certificates are included in the extraCerts field of the PKIMessage carrying the ir.</w:t>
      </w:r>
    </w:p>
    <w:p>
      <w:pPr>
        <w:pStyle w:val="B1"/>
        <w:rPr/>
      </w:pPr>
      <w:r>
        <w:rPr/>
        <w:t>4.</w:t>
        <w:tab/>
        <w:t>The base station sends the signed ir message to the RA/CA.</w:t>
      </w:r>
    </w:p>
    <w:p>
      <w:pPr>
        <w:pStyle w:val="B1"/>
        <w:rPr/>
      </w:pPr>
      <w:r>
        <w:rPr/>
        <w:t>5.</w:t>
        <w:tab/>
        <w:t>The RA/CA verifies the digital signature on the ir message against the vendor root certificate using the certificate(s) sent by the base station. The RA/CA also verifies the proof of the possession of the private key for the requested certificate.</w:t>
      </w:r>
    </w:p>
    <w:p>
      <w:pPr>
        <w:pStyle w:val="B1"/>
        <w:rPr/>
      </w:pPr>
      <w:r>
        <w:rPr/>
        <w:t>6.</w:t>
        <w:tab/>
        <w:t>The RA/CA generates the certificate for base station. If the suggested identity of the base station is not included in the ir message, the RA/CA determines the suggested identity of the base station, e.g. based on the vendor provided identity of the base station contained in the base station certificate.</w:t>
      </w:r>
    </w:p>
    <w:p>
      <w:pPr>
        <w:pStyle w:val="NO"/>
        <w:rPr/>
      </w:pPr>
      <w:r>
        <w:rPr/>
        <w:t>NOTE: The procedures for determination of the base station identity used by the operator are not in scope of the present document. According to [4], the RA/CA can replace a suggested identity sent by the base station with another identity based on local information.</w:t>
      </w:r>
    </w:p>
    <w:p>
      <w:pPr>
        <w:pStyle w:val="B1"/>
        <w:rPr/>
      </w:pPr>
      <w:r>
        <w:rPr/>
        <w:t>7.</w:t>
        <w:tab/>
        <w:t>The RA/CA generates an Initialization Response (ip) which includes the issued certificate and uses the same certReqId value as in the Initialization Request. The RA/CA signs the ip with the RA/CA private key (or the private key for signing CMP messages, if separate), and includes the signature, the RA/CA certificate(s) and the operator root certificate in the PKIMessage. The appropriate certificate chains for authenticating the RA/CA certificate(s) are included in the PKIMessage.</w:t>
      </w:r>
    </w:p>
    <w:p>
      <w:pPr>
        <w:pStyle w:val="B1"/>
        <w:rPr/>
      </w:pPr>
      <w:r>
        <w:rPr/>
        <w:t>8.</w:t>
        <w:tab/>
        <w:t>The RA/CA sends the signed ip to the base station.</w:t>
      </w:r>
    </w:p>
    <w:p>
      <w:pPr>
        <w:pStyle w:val="B1"/>
        <w:rPr/>
      </w:pPr>
      <w:r>
        <w:rPr/>
        <w:t>9.</w:t>
        <w:tab/>
        <w:t>If the operator root certificate is not pre-provisioned to the base station, the base station extracts the operator root certificate from the PKIMessage. The base station authenticates the PKIMessage using the RA/CA certificate and installs the base station certificate on success.</w:t>
      </w:r>
    </w:p>
    <w:p>
      <w:pPr>
        <w:pStyle w:val="B1"/>
        <w:rPr/>
      </w:pPr>
      <w:r>
        <w:rPr/>
        <w:t>10.</w:t>
        <w:tab/>
        <w:t>The base station creates and signs the CertificateConfirm (certconf) message. The CertficateConfirm message uses the same certReqId value as in the Initialization Request.</w:t>
      </w:r>
    </w:p>
    <w:p>
      <w:pPr>
        <w:pStyle w:val="B1"/>
        <w:rPr/>
      </w:pPr>
      <w:r>
        <w:rPr/>
        <w:t>11. The base station sends the PKIMessage that includes the signed</w:t>
      </w:r>
      <w:r>
        <w:rPr>
          <w:b/>
        </w:rPr>
        <w:t xml:space="preserve"> </w:t>
      </w:r>
      <w:r>
        <w:rPr/>
        <w:t>CertificateConfirm to the RA/CA.</w:t>
      </w:r>
    </w:p>
    <w:p>
      <w:pPr>
        <w:pStyle w:val="B1"/>
        <w:rPr/>
      </w:pPr>
      <w:r>
        <w:rPr/>
        <w:t>12.</w:t>
        <w:tab/>
        <w:t xml:space="preserve"> The RA/CA authenticates the PKI Message that includes the CertificateConfirm.</w:t>
      </w:r>
    </w:p>
    <w:p>
      <w:pPr>
        <w:pStyle w:val="B1"/>
        <w:rPr/>
      </w:pPr>
      <w:r>
        <w:rPr/>
        <w:t>13.</w:t>
        <w:tab/>
        <w:t>The RA/CA creates and signs a Confirmation message (pkiconf).</w:t>
      </w:r>
    </w:p>
    <w:p>
      <w:pPr>
        <w:pStyle w:val="B1"/>
        <w:rPr/>
      </w:pPr>
      <w:r>
        <w:rPr/>
        <w:t>14.</w:t>
        <w:tab/>
        <w:t>The RA/CA sends the signed PKIMessage including the pkiconf message to the base station.</w:t>
      </w:r>
    </w:p>
    <w:p>
      <w:pPr>
        <w:pStyle w:val="B1"/>
        <w:rPr/>
      </w:pPr>
      <w:r>
        <w:rPr/>
        <w:t>15.</w:t>
        <w:tab/>
        <w:t>The base station authenticates the pkiconf message.</w:t>
      </w:r>
      <w:r>
        <w:br w:type="page"/>
      </w:r>
    </w:p>
    <w:p>
      <w:pPr>
        <w:pStyle w:val="Heading8"/>
        <w:ind w:left="0" w:hanging="0"/>
        <w:rPr/>
      </w:pPr>
      <w:bookmarkStart w:id="179" w:name="__RefHeading___Toc145337461"/>
      <w:bookmarkEnd w:id="179"/>
      <w:r>
        <w:rPr/>
        <w:t xml:space="preserve">Annex </w:t>
      </w:r>
      <w:r>
        <w:rPr>
          <w:lang w:eastAsia="zh-CN"/>
        </w:rPr>
        <w:t>H</w:t>
      </w:r>
      <w:r>
        <w:rPr/>
        <w:t xml:space="preserve"> (informative):</w:t>
        <w:br/>
      </w:r>
      <w:r>
        <w:rPr>
          <w:lang w:eastAsia="zh-CN"/>
        </w:rPr>
        <w:t xml:space="preserve">Guidance </w:t>
      </w:r>
      <w:r>
        <w:rPr>
          <w:lang w:eastAsia="zh-CN"/>
        </w:rPr>
        <w:t>on</w:t>
      </w:r>
      <w:r>
        <w:rPr>
          <w:lang w:eastAsia="zh-CN"/>
        </w:rPr>
        <w:t xml:space="preserve"> eNB </w:t>
      </w:r>
      <w:r>
        <w:rPr>
          <w:lang w:eastAsia="zh-CN"/>
        </w:rPr>
        <w:t>c</w:t>
      </w:r>
      <w:r>
        <w:rPr>
          <w:lang w:eastAsia="zh-CN"/>
        </w:rPr>
        <w:t xml:space="preserve">ertificate </w:t>
      </w:r>
      <w:r>
        <w:rPr>
          <w:lang w:eastAsia="zh-CN"/>
        </w:rPr>
        <w:t>e</w:t>
      </w:r>
      <w:r>
        <w:rPr>
          <w:lang w:eastAsia="zh-CN"/>
        </w:rPr>
        <w:t xml:space="preserve">nrolment in </w:t>
      </w:r>
      <w:r>
        <w:rPr>
          <w:lang w:eastAsia="zh-CN"/>
        </w:rPr>
        <w:t xml:space="preserve">MOCN LTE </w:t>
      </w:r>
      <w:r>
        <w:rPr>
          <w:lang w:eastAsia="zh-CN"/>
        </w:rPr>
        <w:t>RAN sharing</w:t>
      </w:r>
    </w:p>
    <w:p>
      <w:pPr>
        <w:pStyle w:val="Normal"/>
        <w:rPr/>
      </w:pPr>
      <w:r>
        <w:rPr>
          <w:lang w:eastAsia="zh-CN"/>
        </w:rPr>
        <w:t xml:space="preserve">3GPP TS 23.251 [31] defines two basic models for network sharing, namely the Gateway Core Network (GWCN) configuration and the Multi-Operator Core Network (MOCN) configuration. 3GPP TS 23.251 [31] does not guide on SEG placement in the architecture. In </w:t>
      </w:r>
      <w:r>
        <w:rPr>
          <w:lang w:eastAsia="zh-CN"/>
        </w:rPr>
        <w:t xml:space="preserve">some LTE </w:t>
      </w:r>
      <w:r>
        <w:rPr>
          <w:lang w:eastAsia="zh-CN"/>
        </w:rPr>
        <w:t xml:space="preserve">RAN sharing deployments according to the MOCN configuration, the eNB may need to connect not only to SEGs deployed by the hosting operator but also to SEGs deployed by participating operators. </w:t>
      </w:r>
      <w:r>
        <w:rPr>
          <w:lang w:eastAsia="zh-CN"/>
        </w:rPr>
        <w:t xml:space="preserve">These SEGs are equipped with </w:t>
      </w:r>
      <w:r>
        <w:rPr>
          <w:lang w:eastAsia="zh-CN"/>
        </w:rPr>
        <w:t>certificates</w:t>
      </w:r>
      <w:r>
        <w:rPr>
          <w:lang w:eastAsia="zh-CN"/>
        </w:rPr>
        <w:t xml:space="preserve"> issued by the RA</w:t>
      </w:r>
      <w:r>
        <w:rPr>
          <w:lang w:eastAsia="zh-CN"/>
        </w:rPr>
        <w:t>s</w:t>
      </w:r>
      <w:r>
        <w:rPr>
          <w:lang w:eastAsia="zh-CN"/>
        </w:rPr>
        <w:t>/CA</w:t>
      </w:r>
      <w:r>
        <w:rPr>
          <w:lang w:eastAsia="zh-CN"/>
        </w:rPr>
        <w:t>s of the operators to which they belong</w:t>
      </w:r>
      <w:r>
        <w:rPr>
          <w:lang w:eastAsia="zh-CN"/>
        </w:rPr>
        <w:t>.</w:t>
      </w:r>
    </w:p>
    <w:p>
      <w:pPr>
        <w:pStyle w:val="Normal"/>
        <w:rPr/>
      </w:pPr>
      <w:r>
        <w:rPr/>
        <w:t xml:space="preserve">The </w:t>
      </w:r>
      <w:r>
        <w:rPr>
          <w:lang w:eastAsia="zh-CN"/>
        </w:rPr>
        <w:t xml:space="preserve">shared </w:t>
      </w:r>
      <w:r>
        <w:rPr/>
        <w:t xml:space="preserve">eNB is provisioned with the root certificate of the hosting operator’s CA and an eNB certificate issued by the hosting operator’s CA after the successful certificate enrolment procedure specified in </w:t>
      </w:r>
      <w:r>
        <w:rPr>
          <w:lang w:eastAsia="zh-CN"/>
        </w:rPr>
        <w:t>clause</w:t>
      </w:r>
      <w:r>
        <w:rPr>
          <w:lang w:eastAsia="zh-CN"/>
        </w:rPr>
        <w:t xml:space="preserve"> 9</w:t>
      </w:r>
      <w:r>
        <w:rPr>
          <w:lang w:eastAsia="zh-CN"/>
        </w:rPr>
        <w:t xml:space="preserve"> of the present document has been performed</w:t>
      </w:r>
      <w:r>
        <w:rPr/>
        <w:t xml:space="preserve"> successfully. An </w:t>
      </w:r>
      <w:r>
        <w:rPr>
          <w:lang w:val="en-US" w:eastAsia="en-US"/>
        </w:rPr>
        <w:t>IPsec security association</w:t>
      </w:r>
      <w:r>
        <w:rPr/>
        <w:t xml:space="preserve"> between the eNB and the SEG of hosting operator can be set up and </w:t>
      </w:r>
      <w:r>
        <w:rPr>
          <w:lang w:eastAsia="zh-CN"/>
        </w:rPr>
        <w:t>a</w:t>
      </w:r>
      <w:r>
        <w:rPr/>
        <w:t xml:space="preserve"> link with an O</w:t>
      </w:r>
      <w:r>
        <w:rPr>
          <w:lang w:eastAsia="zh-CN"/>
        </w:rPr>
        <w:t>A</w:t>
      </w:r>
      <w:r>
        <w:rPr/>
        <w:t>M entity can then be established. It is assumed that the shared eNB is managed by a single O&amp;M entity controlled by the hosting operator.</w:t>
      </w:r>
    </w:p>
    <w:p>
      <w:pPr>
        <w:pStyle w:val="Normal"/>
        <w:rPr/>
      </w:pPr>
      <w:r>
        <w:rPr/>
        <w:t xml:space="preserve">The issue addressed in this Annex is when an </w:t>
      </w:r>
      <w:r>
        <w:rPr>
          <w:lang w:val="en-US" w:eastAsia="en-US"/>
        </w:rPr>
        <w:t>IPsec security association</w:t>
      </w:r>
      <w:r>
        <w:rPr/>
        <w:t xml:space="preserve"> between the eNB and the SEG of a participating operator is wanted. This cannot succeed because neither the shared eNB nor the SEG of the participating operator can verify the certificate held by the other entity unless additional steps are taken. </w:t>
      </w:r>
      <w:r>
        <w:rPr>
          <w:lang w:eastAsia="zh-CN"/>
        </w:rPr>
        <w:t>Two s</w:t>
      </w:r>
      <w:r>
        <w:rPr/>
        <w:t>olution</w:t>
      </w:r>
      <w:r>
        <w:rPr>
          <w:lang w:eastAsia="zh-CN"/>
        </w:rPr>
        <w:t>s</w:t>
      </w:r>
      <w:r>
        <w:rPr/>
        <w:t xml:space="preserve"> </w:t>
      </w:r>
      <w:r>
        <w:rPr>
          <w:lang w:eastAsia="zh-CN"/>
        </w:rPr>
        <w:t xml:space="preserve">can be used to </w:t>
      </w:r>
      <w:r>
        <w:rPr/>
        <w:t>solve this issue.</w:t>
      </w:r>
    </w:p>
    <w:p>
      <w:pPr>
        <w:pStyle w:val="B1"/>
        <w:rPr>
          <w:b/>
          <w:b/>
          <w:bCs/>
        </w:rPr>
      </w:pPr>
      <w:r>
        <w:rPr>
          <w:b/>
          <w:bCs/>
        </w:rPr>
        <w:t>Solution 1</w:t>
      </w:r>
    </w:p>
    <w:p>
      <w:pPr>
        <w:pStyle w:val="B2"/>
        <w:rPr>
          <w:lang w:eastAsia="zh-CN"/>
        </w:rPr>
      </w:pPr>
      <w:r>
        <w:rPr>
          <w:lang w:eastAsia="zh-CN"/>
        </w:rPr>
        <w:t>T</w:t>
      </w:r>
      <w:r>
        <w:rPr/>
        <w:t xml:space="preserve">he </w:t>
      </w:r>
      <w:r>
        <w:rPr>
          <w:lang w:eastAsia="zh-CN"/>
        </w:rPr>
        <w:t xml:space="preserve">shared </w:t>
      </w:r>
      <w:r>
        <w:rPr/>
        <w:t xml:space="preserve">eNB </w:t>
      </w:r>
      <w:r>
        <w:rPr>
          <w:lang w:eastAsia="zh-CN"/>
        </w:rPr>
        <w:t>can be</w:t>
      </w:r>
      <w:r>
        <w:rPr/>
        <w:t xml:space="preserve"> provisioned with the root certificate</w:t>
      </w:r>
      <w:r>
        <w:rPr>
          <w:lang w:eastAsia="zh-CN"/>
        </w:rPr>
        <w:t>s</w:t>
      </w:r>
      <w:r>
        <w:rPr/>
        <w:t xml:space="preserve"> of the participating operators’ CA</w:t>
      </w:r>
      <w:r>
        <w:rPr>
          <w:lang w:eastAsia="zh-CN"/>
        </w:rPr>
        <w:t>s</w:t>
      </w:r>
      <w:r>
        <w:rPr/>
        <w:t xml:space="preserve"> by the O</w:t>
      </w:r>
      <w:r>
        <w:rPr>
          <w:lang w:eastAsia="zh-CN"/>
        </w:rPr>
        <w:t>A</w:t>
      </w:r>
      <w:r>
        <w:rPr/>
        <w:t xml:space="preserve">M entity managing the eNB. </w:t>
      </w:r>
      <w:r>
        <w:rPr>
          <w:lang w:eastAsia="zh-CN"/>
        </w:rPr>
        <w:t>Consequently</w:t>
      </w:r>
      <w:r>
        <w:rPr/>
        <w:t xml:space="preserve"> the eNB can verify the certificate</w:t>
      </w:r>
      <w:r>
        <w:rPr>
          <w:lang w:eastAsia="zh-CN"/>
        </w:rPr>
        <w:t>s</w:t>
      </w:r>
      <w:r>
        <w:rPr/>
        <w:t xml:space="preserve"> of the SEG</w:t>
      </w:r>
      <w:r>
        <w:rPr>
          <w:lang w:eastAsia="zh-CN"/>
        </w:rPr>
        <w:t>s</w:t>
      </w:r>
      <w:r>
        <w:rPr/>
        <w:t xml:space="preserve"> of the participating operator</w:t>
      </w:r>
      <w:r>
        <w:rPr>
          <w:lang w:eastAsia="zh-CN"/>
        </w:rPr>
        <w:t>s</w:t>
      </w:r>
      <w:r>
        <w:rPr/>
        <w:t xml:space="preserve">. </w:t>
      </w:r>
    </w:p>
    <w:p>
      <w:pPr>
        <w:pStyle w:val="B2"/>
        <w:rPr>
          <w:lang w:eastAsia="zh-CN"/>
        </w:rPr>
      </w:pPr>
      <w:r>
        <w:rPr/>
        <w:t>The SEG</w:t>
      </w:r>
      <w:r>
        <w:rPr>
          <w:lang w:eastAsia="zh-CN"/>
        </w:rPr>
        <w:t>s</w:t>
      </w:r>
      <w:r>
        <w:rPr/>
        <w:t xml:space="preserve"> of participating operator</w:t>
      </w:r>
      <w:r>
        <w:rPr>
          <w:lang w:eastAsia="zh-CN"/>
        </w:rPr>
        <w:t>s</w:t>
      </w:r>
      <w:r>
        <w:rPr/>
        <w:t xml:space="preserve"> can </w:t>
      </w:r>
      <w:r>
        <w:rPr>
          <w:lang w:eastAsia="zh-CN"/>
        </w:rPr>
        <w:t>be</w:t>
      </w:r>
      <w:r>
        <w:rPr/>
        <w:t xml:space="preserve"> provisioned with the root certificate of the hosting operator’s CA so that the SEG</w:t>
      </w:r>
      <w:r>
        <w:rPr>
          <w:lang w:eastAsia="zh-CN"/>
        </w:rPr>
        <w:t>s</w:t>
      </w:r>
      <w:r>
        <w:rPr/>
        <w:t xml:space="preserve"> of participating operator</w:t>
      </w:r>
      <w:r>
        <w:rPr>
          <w:lang w:eastAsia="zh-CN"/>
        </w:rPr>
        <w:t>s</w:t>
      </w:r>
      <w:r>
        <w:rPr/>
        <w:t xml:space="preserve"> can verify the </w:t>
      </w:r>
      <w:r>
        <w:rPr>
          <w:lang w:eastAsia="zh-CN"/>
        </w:rPr>
        <w:t xml:space="preserve">shared </w:t>
      </w:r>
      <w:r>
        <w:rPr/>
        <w:t xml:space="preserve">eNB certificate issued by the hosting operator. Consequently the </w:t>
      </w:r>
      <w:r>
        <w:rPr>
          <w:lang w:eastAsia="zh-CN"/>
        </w:rPr>
        <w:t xml:space="preserve">shared </w:t>
      </w:r>
      <w:r>
        <w:rPr/>
        <w:t>eNB and the SEG</w:t>
      </w:r>
      <w:r>
        <w:rPr>
          <w:lang w:eastAsia="zh-CN"/>
        </w:rPr>
        <w:t>s</w:t>
      </w:r>
      <w:r>
        <w:rPr/>
        <w:t xml:space="preserve"> of the participating operator</w:t>
      </w:r>
      <w:r>
        <w:rPr>
          <w:lang w:eastAsia="zh-CN"/>
        </w:rPr>
        <w:t>s</w:t>
      </w:r>
      <w:r>
        <w:rPr/>
        <w:t xml:space="preserve"> can set up </w:t>
      </w:r>
      <w:r>
        <w:rPr>
          <w:lang w:val="en-US" w:eastAsia="en-US"/>
        </w:rPr>
        <w:t>IPsec security associations between them</w:t>
      </w:r>
      <w:r>
        <w:rPr/>
        <w:t>.</w:t>
      </w:r>
    </w:p>
    <w:p>
      <w:pPr>
        <w:pStyle w:val="B1"/>
        <w:rPr>
          <w:b/>
          <w:b/>
          <w:bCs/>
        </w:rPr>
      </w:pPr>
      <w:r>
        <w:rPr>
          <w:b/>
          <w:bCs/>
        </w:rPr>
        <w:t>Solution 2</w:t>
      </w:r>
    </w:p>
    <w:p>
      <w:pPr>
        <w:pStyle w:val="B2"/>
        <w:rPr/>
      </w:pPr>
      <w:r>
        <w:rPr/>
        <w:t xml:space="preserve">The shared eNB </w:t>
      </w:r>
      <w:r>
        <w:rPr/>
        <w:t xml:space="preserve">can </w:t>
      </w:r>
      <w:r>
        <w:rPr/>
        <w:t xml:space="preserve">be provisioned </w:t>
      </w:r>
      <w:r>
        <w:rPr/>
        <w:t xml:space="preserve">with </w:t>
      </w:r>
      <w:r>
        <w:rPr/>
        <w:t>the necessary participating operator</w:t>
      </w:r>
      <w:r>
        <w:rPr/>
        <w:t>s’</w:t>
      </w:r>
      <w:r>
        <w:rPr/>
        <w:t xml:space="preserve"> RA/CA information (e.g., address of </w:t>
      </w:r>
      <w:r>
        <w:rPr/>
        <w:t xml:space="preserve">the </w:t>
      </w:r>
      <w:r>
        <w:rPr/>
        <w:t>participating operator</w:t>
      </w:r>
      <w:r>
        <w:rPr/>
        <w:t>s’</w:t>
      </w:r>
      <w:r>
        <w:rPr/>
        <w:t xml:space="preserve"> RA</w:t>
      </w:r>
      <w:r>
        <w:rPr/>
        <w:t>s</w:t>
      </w:r>
      <w:r>
        <w:rPr/>
        <w:t>/CA</w:t>
      </w:r>
      <w:r>
        <w:rPr/>
        <w:t>s</w:t>
      </w:r>
      <w:r>
        <w:rPr/>
        <w:t>, root certificate</w:t>
      </w:r>
      <w:r>
        <w:rPr/>
        <w:t>s</w:t>
      </w:r>
      <w:r>
        <w:rPr/>
        <w:t xml:space="preserve"> of </w:t>
      </w:r>
      <w:r>
        <w:rPr/>
        <w:t xml:space="preserve">the </w:t>
      </w:r>
      <w:r>
        <w:rPr/>
        <w:t>participating operator</w:t>
      </w:r>
      <w:r>
        <w:rPr/>
        <w:t>s’</w:t>
      </w:r>
      <w:r>
        <w:rPr/>
        <w:t xml:space="preserve"> RA</w:t>
      </w:r>
      <w:r>
        <w:rPr/>
        <w:t>s</w:t>
      </w:r>
      <w:r>
        <w:rPr/>
        <w:t>/CA</w:t>
      </w:r>
      <w:r>
        <w:rPr/>
        <w:t>s</w:t>
      </w:r>
      <w:r>
        <w:rPr/>
        <w:t xml:space="preserve">, etc) </w:t>
      </w:r>
      <w:r>
        <w:rPr/>
        <w:t>by</w:t>
      </w:r>
      <w:r>
        <w:rPr/>
        <w:t xml:space="preserve"> the OAM </w:t>
      </w:r>
      <w:r>
        <w:rPr/>
        <w:t>entity managing the eNB</w:t>
      </w:r>
      <w:r>
        <w:rPr/>
        <w:t xml:space="preserve"> . </w:t>
      </w:r>
      <w:r>
        <w:rPr/>
        <w:t xml:space="preserve">The </w:t>
      </w:r>
      <w:r>
        <w:rPr/>
        <w:t xml:space="preserve">shared </w:t>
      </w:r>
      <w:r>
        <w:rPr/>
        <w:t xml:space="preserve">eNB </w:t>
      </w:r>
      <w:r>
        <w:rPr/>
        <w:t xml:space="preserve">can </w:t>
      </w:r>
      <w:r>
        <w:rPr/>
        <w:t xml:space="preserve">then perform the certificate enrolment </w:t>
      </w:r>
      <w:r>
        <w:rPr/>
        <w:t xml:space="preserve">procedure specified in </w:t>
      </w:r>
      <w:r>
        <w:rPr/>
        <w:t>clause</w:t>
      </w:r>
      <w:r>
        <w:rPr/>
        <w:t xml:space="preserve"> 9</w:t>
      </w:r>
      <w:r>
        <w:rPr/>
        <w:t xml:space="preserve"> with </w:t>
      </w:r>
      <w:r>
        <w:rPr/>
        <w:t>every</w:t>
      </w:r>
      <w:r>
        <w:rPr/>
        <w:t xml:space="preserve"> participating operator RA/CA</w:t>
      </w:r>
      <w:r>
        <w:rPr/>
        <w:t xml:space="preserve">. The shared eNB can </w:t>
      </w:r>
      <w:r>
        <w:rPr/>
        <w:t xml:space="preserve">get the root certificates of the participating operators’ CA and the eNB certificate issued by the participating operators’ RA/CA. Consequently the </w:t>
      </w:r>
      <w:r>
        <w:rPr/>
        <w:t xml:space="preserve">shared </w:t>
      </w:r>
      <w:r>
        <w:rPr/>
        <w:t>eNB and the SEG</w:t>
      </w:r>
      <w:r>
        <w:rPr/>
        <w:t>s</w:t>
      </w:r>
      <w:r>
        <w:rPr/>
        <w:t xml:space="preserve"> of the participating operator</w:t>
      </w:r>
      <w:r>
        <w:rPr/>
        <w:t>s</w:t>
      </w:r>
      <w:r>
        <w:rPr/>
        <w:t xml:space="preserve"> can set up </w:t>
      </w:r>
      <w:r>
        <w:rPr>
          <w:lang w:val="en-US" w:eastAsia="en-US"/>
        </w:rPr>
        <w:t>IPsec security associations between them</w:t>
      </w:r>
      <w:r>
        <w:rPr/>
        <w:t>.</w:t>
      </w:r>
      <w:r>
        <w:br w:type="page"/>
      </w:r>
    </w:p>
    <w:p>
      <w:pPr>
        <w:pStyle w:val="Heading8"/>
        <w:ind w:left="0" w:hanging="0"/>
        <w:rPr/>
      </w:pPr>
      <w:bookmarkStart w:id="180" w:name="__RefHeading___Toc145337462"/>
      <w:bookmarkEnd w:id="180"/>
      <w:r>
        <w:rPr/>
        <w:t>Annex I (informative):</w:t>
        <w:br/>
        <w:t>Change history</w:t>
      </w:r>
    </w:p>
    <w:tbl>
      <w:tblPr>
        <w:tblW w:w="9356" w:type="dxa"/>
        <w:jc w:val="left"/>
        <w:tblInd w:w="-7" w:type="dxa"/>
        <w:tblLayout w:type="fixed"/>
        <w:tblCellMar>
          <w:top w:w="0" w:type="dxa"/>
          <w:left w:w="40" w:type="dxa"/>
          <w:bottom w:w="0" w:type="dxa"/>
          <w:right w:w="40" w:type="dxa"/>
        </w:tblCellMar>
      </w:tblPr>
      <w:tblGrid>
        <w:gridCol w:w="800"/>
        <w:gridCol w:w="800"/>
        <w:gridCol w:w="901"/>
        <w:gridCol w:w="476"/>
        <w:gridCol w:w="378"/>
        <w:gridCol w:w="4867"/>
        <w:gridCol w:w="567"/>
        <w:gridCol w:w="567"/>
      </w:tblGrid>
      <w:tr>
        <w:trPr>
          <w:cantSplit w:val="true"/>
        </w:trPr>
        <w:tc>
          <w:tcPr>
            <w:tcW w:w="9356"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901"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TSG Doc.</w:t>
            </w:r>
          </w:p>
        </w:tc>
        <w:tc>
          <w:tcPr>
            <w:tcW w:w="47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37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867"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SP-23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SP-040168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Presented for approval at TSG SA #23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2.0.0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sz w:val="16"/>
              </w:rPr>
              <w:t>2004-03</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sz w:val="16"/>
              </w:rPr>
              <w:t>SP-23</w:t>
            </w:r>
          </w:p>
        </w:tc>
        <w:tc>
          <w:tcPr>
            <w:tcW w:w="901"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rPr>
            </w:pPr>
            <w:r>
              <w:rPr>
                <w:sz w:val="16"/>
              </w:rPr>
              <w:t>-</w:t>
            </w:r>
          </w:p>
        </w:tc>
        <w:tc>
          <w:tcPr>
            <w:tcW w:w="476"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rPr>
            </w:pPr>
            <w:r>
              <w:rPr>
                <w:sz w:val="16"/>
              </w:rPr>
              <w:t>-</w:t>
            </w:r>
          </w:p>
        </w:tc>
        <w:tc>
          <w:tcPr>
            <w:tcW w:w="37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rPr>
            </w:pPr>
            <w:r>
              <w:rPr>
                <w:sz w:val="16"/>
              </w:rPr>
              <w:t>-</w:t>
            </w:r>
          </w:p>
        </w:tc>
        <w:tc>
          <w:tcPr>
            <w:tcW w:w="48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rPr>
            </w:pPr>
            <w:r>
              <w:rPr>
                <w:sz w:val="16"/>
              </w:rPr>
              <w:t>Approved and placed under Change Control (Rel-6)</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rPr>
            </w:pPr>
            <w:r>
              <w:rPr>
                <w:sz w:val="16"/>
              </w:rPr>
              <w:t>2.0.0</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rPr>
            </w:pPr>
            <w:r>
              <w:rPr>
                <w:sz w:val="16"/>
              </w:rPr>
              <w:t>6.0.0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2004-06</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SP-24</w:t>
            </w:r>
          </w:p>
        </w:tc>
        <w:tc>
          <w:tcPr>
            <w:tcW w:w="901"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SP-040393</w:t>
            </w:r>
          </w:p>
        </w:tc>
        <w:tc>
          <w:tcPr>
            <w:tcW w:w="476"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001</w:t>
            </w:r>
          </w:p>
        </w:tc>
        <w:tc>
          <w:tcPr>
            <w:tcW w:w="378"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w:t>
            </w:r>
          </w:p>
        </w:tc>
        <w:tc>
          <w:tcPr>
            <w:tcW w:w="4867"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Removal of inconsistencies regarding SEG actions during IKE phase 1</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6.0.0</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6.1.0</w:t>
            </w:r>
          </w:p>
        </w:tc>
      </w:tr>
      <w:tr>
        <w:trPr/>
        <w:tc>
          <w:tcPr>
            <w:tcW w:w="800" w:type="dxa"/>
            <w:tcBorders>
              <w:top w:val="single" w:sz="6" w:space="0" w:color="000000"/>
              <w:left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2004-06</w:t>
            </w:r>
          </w:p>
        </w:tc>
        <w:tc>
          <w:tcPr>
            <w:tcW w:w="800" w:type="dxa"/>
            <w:tcBorders>
              <w:top w:val="single" w:sz="6" w:space="0" w:color="000000"/>
              <w:left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SP-24</w:t>
            </w:r>
          </w:p>
        </w:tc>
        <w:tc>
          <w:tcPr>
            <w:tcW w:w="901" w:type="dxa"/>
            <w:tcBorders>
              <w:top w:val="single" w:sz="6" w:space="0" w:color="000000"/>
              <w:left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SP-040394</w:t>
            </w:r>
          </w:p>
        </w:tc>
        <w:tc>
          <w:tcPr>
            <w:tcW w:w="476" w:type="dxa"/>
            <w:tcBorders>
              <w:top w:val="single" w:sz="6" w:space="0" w:color="000000"/>
              <w:left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002</w:t>
            </w:r>
          </w:p>
        </w:tc>
        <w:tc>
          <w:tcPr>
            <w:tcW w:w="378" w:type="dxa"/>
            <w:tcBorders>
              <w:top w:val="single" w:sz="6" w:space="0" w:color="000000"/>
              <w:left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w:t>
            </w:r>
          </w:p>
        </w:tc>
        <w:tc>
          <w:tcPr>
            <w:tcW w:w="4867" w:type="dxa"/>
            <w:tcBorders>
              <w:top w:val="single" w:sz="6" w:space="0" w:color="000000"/>
              <w:left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Removal of unnecessary restriction on CA path length</w:t>
            </w:r>
          </w:p>
        </w:tc>
        <w:tc>
          <w:tcPr>
            <w:tcW w:w="567" w:type="dxa"/>
            <w:tcBorders>
              <w:top w:val="single" w:sz="6" w:space="0" w:color="000000"/>
              <w:left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6.0.0</w:t>
            </w:r>
          </w:p>
        </w:tc>
        <w:tc>
          <w:tcPr>
            <w:tcW w:w="567" w:type="dxa"/>
            <w:tcBorders>
              <w:top w:val="single" w:sz="6" w:space="0" w:color="000000"/>
              <w:left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6.1.0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2004-06</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SP-24</w:t>
            </w:r>
          </w:p>
        </w:tc>
        <w:tc>
          <w:tcPr>
            <w:tcW w:w="901" w:type="dxa"/>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SP-040395</w:t>
            </w:r>
          </w:p>
        </w:tc>
        <w:tc>
          <w:tcPr>
            <w:tcW w:w="476" w:type="dxa"/>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003</w:t>
            </w:r>
          </w:p>
        </w:tc>
        <w:tc>
          <w:tcPr>
            <w:tcW w:w="378" w:type="dxa"/>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w:t>
            </w:r>
          </w:p>
        </w:tc>
        <w:tc>
          <w:tcPr>
            <w:tcW w:w="4867" w:type="dxa"/>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Correction of  ‘Extended key usage’ extension in SEG Certificate profile</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6.0.0</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6.1.0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2004-09</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SP-25</w:t>
            </w:r>
          </w:p>
        </w:tc>
        <w:tc>
          <w:tcPr>
            <w:tcW w:w="901"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SP-040623</w:t>
            </w:r>
          </w:p>
        </w:tc>
        <w:tc>
          <w:tcPr>
            <w:tcW w:w="476"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004</w:t>
            </w:r>
          </w:p>
        </w:tc>
        <w:tc>
          <w:tcPr>
            <w:tcW w:w="378"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w:t>
            </w:r>
          </w:p>
        </w:tc>
        <w:tc>
          <w:tcPr>
            <w:tcW w:w="4867"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Splitting the Roaming CA into a SEG CA and an Interconnection CA</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6.1.0</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sz w:val="16"/>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SP-30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en-GB"/>
              </w:rPr>
            </w:pPr>
            <w:r>
              <w:rPr>
                <w:rFonts w:cs="Arial" w:ascii="Arial" w:hAnsi="Arial"/>
                <w:color w:val="000000"/>
                <w:sz w:val="16"/>
                <w:szCs w:val="16"/>
                <w:lang w:eastAsia="en-GB"/>
              </w:rPr>
              <w:t>SP</w:t>
              <w:noBreakHyphen/>
              <w:t>050654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en-GB"/>
              </w:rPr>
            </w:pPr>
            <w:r>
              <w:rPr>
                <w:rFonts w:cs="Arial" w:ascii="Arial" w:hAnsi="Arial"/>
                <w:color w:val="000000"/>
                <w:sz w:val="16"/>
                <w:szCs w:val="16"/>
                <w:lang w:eastAsia="en-GB"/>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en-GB"/>
              </w:rPr>
            </w:pPr>
            <w:r>
              <w:rPr>
                <w:rFonts w:cs="Arial" w:ascii="Arial" w:hAnsi="Arial"/>
                <w:color w:val="000000"/>
                <w:sz w:val="16"/>
                <w:szCs w:val="16"/>
                <w:lang w:eastAsia="en-GB"/>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eastAsia="en-GB"/>
              </w:rPr>
              <w:t>Raised to Rel-7 to allow reference by TISPAN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7.0.0</w:t>
            </w:r>
          </w:p>
        </w:tc>
      </w:tr>
      <w:tr>
        <w:trPr/>
        <w:tc>
          <w:tcPr>
            <w:tcW w:w="800" w:type="dxa"/>
            <w:tcBorders>
              <w:top w:val="single" w:sz="6" w:space="0" w:color="000000"/>
              <w:left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2006-09</w:t>
            </w:r>
          </w:p>
        </w:tc>
        <w:tc>
          <w:tcPr>
            <w:tcW w:w="800" w:type="dxa"/>
            <w:tcBorders>
              <w:top w:val="single" w:sz="6" w:space="0" w:color="000000"/>
              <w:left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SP-33</w:t>
            </w:r>
          </w:p>
        </w:tc>
        <w:tc>
          <w:tcPr>
            <w:tcW w:w="901" w:type="dxa"/>
            <w:tcBorders>
              <w:top w:val="single" w:sz="6" w:space="0" w:color="000000"/>
              <w:left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SP-060507</w:t>
            </w:r>
          </w:p>
        </w:tc>
        <w:tc>
          <w:tcPr>
            <w:tcW w:w="476" w:type="dxa"/>
            <w:tcBorders>
              <w:top w:val="single" w:sz="6" w:space="0" w:color="000000"/>
              <w:left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0005</w:t>
            </w:r>
          </w:p>
        </w:tc>
        <w:tc>
          <w:tcPr>
            <w:tcW w:w="378"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867" w:type="dxa"/>
            <w:tcBorders>
              <w:top w:val="single" w:sz="6" w:space="0" w:color="000000"/>
              <w:left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Extending NDS/AF to support TLS</w:t>
            </w:r>
          </w:p>
        </w:tc>
        <w:tc>
          <w:tcPr>
            <w:tcW w:w="567"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7.0.0</w:t>
            </w:r>
          </w:p>
        </w:tc>
        <w:tc>
          <w:tcPr>
            <w:tcW w:w="567" w:type="dxa"/>
            <w:tcBorders>
              <w:top w:val="single" w:sz="6" w:space="0" w:color="000000"/>
              <w:left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7.1.0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2006-09</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SP-33</w:t>
            </w:r>
          </w:p>
        </w:tc>
        <w:tc>
          <w:tcPr>
            <w:tcW w:w="901" w:type="dxa"/>
            <w:tcBorders>
              <w:top w:val="single" w:sz="6" w:space="0" w:color="000000"/>
              <w:left w:val="single" w:sz="6" w:space="0" w:color="000000"/>
              <w:bottom w:val="single" w:sz="12"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SP-060504</w:t>
            </w:r>
          </w:p>
        </w:tc>
        <w:tc>
          <w:tcPr>
            <w:tcW w:w="476" w:type="dxa"/>
            <w:tcBorders>
              <w:top w:val="single" w:sz="6" w:space="0" w:color="000000"/>
              <w:left w:val="single" w:sz="6" w:space="0" w:color="000000"/>
              <w:bottom w:val="single" w:sz="12"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0006</w:t>
            </w:r>
          </w:p>
        </w:tc>
        <w:tc>
          <w:tcPr>
            <w:tcW w:w="378" w:type="dxa"/>
            <w:tcBorders>
              <w:top w:val="single" w:sz="6" w:space="0" w:color="000000"/>
              <w:left w:val="single" w:sz="6" w:space="0" w:color="000000"/>
              <w:bottom w:val="single" w:sz="12"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867" w:type="dxa"/>
            <w:tcBorders>
              <w:top w:val="single" w:sz="6" w:space="0" w:color="000000"/>
              <w:left w:val="single" w:sz="6" w:space="0" w:color="000000"/>
              <w:bottom w:val="single" w:sz="12"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Clarifications and corrections</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7.0.0</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7.1.0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2006-09</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SP-35</w:t>
            </w:r>
          </w:p>
        </w:tc>
        <w:tc>
          <w:tcPr>
            <w:tcW w:w="901" w:type="dxa"/>
            <w:tcBorders>
              <w:top w:val="single" w:sz="12"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SP-070162</w:t>
            </w:r>
          </w:p>
        </w:tc>
        <w:tc>
          <w:tcPr>
            <w:tcW w:w="476" w:type="dxa"/>
            <w:tcBorders>
              <w:top w:val="single" w:sz="12"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0008</w:t>
            </w:r>
          </w:p>
        </w:tc>
        <w:tc>
          <w:tcPr>
            <w:tcW w:w="378" w:type="dxa"/>
            <w:tcBorders>
              <w:top w:val="single" w:sz="12"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867" w:type="dxa"/>
            <w:tcBorders>
              <w:top w:val="single" w:sz="12"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cs="Arial" w:ascii="Arial" w:hAnsi="Arial"/>
                <w:sz w:val="16"/>
                <w:szCs w:val="16"/>
                <w:lang w:val="en-US" w:eastAsia="en-US"/>
              </w:rPr>
              <w:t>Specification of TLS protocol profile for future TLS endpoints</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7.1.0</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8.0.0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SP-36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SP-070335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0009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cs="Arial" w:ascii="Arial" w:hAnsi="Arial"/>
                <w:sz w:val="16"/>
                <w:szCs w:val="16"/>
                <w:lang w:val="en-US" w:eastAsia="en-US"/>
              </w:rPr>
              <w:t>Correction of MCC implementation error for CR0008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2008-03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SP-39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SP-080143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0016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cs="Arial" w:ascii="Arial" w:hAnsi="Arial"/>
                <w:sz w:val="16"/>
                <w:szCs w:val="16"/>
                <w:lang w:val="en-US" w:eastAsia="en-US"/>
              </w:rPr>
              <w:t>Introduce Manual TLS certificate handling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SP-39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SP-080145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0017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cs="Arial" w:ascii="Arial" w:hAnsi="Arial"/>
                <w:sz w:val="16"/>
                <w:szCs w:val="16"/>
                <w:lang w:val="en-US" w:eastAsia="en-US"/>
              </w:rPr>
              <w:t>Introducing a certificates-based Zb-interface and adding IKEv2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cs="Arial" w:ascii="Arial" w:hAnsi="Arial"/>
                <w:sz w:val="16"/>
                <w:szCs w:val="16"/>
                <w:lang w:val="en-US" w:eastAsia="en-US"/>
              </w:rPr>
              <w:t>Editorial correction ("NOTE" -&gt; "Note")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8.2.0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8.2.1</w:t>
            </w:r>
          </w:p>
        </w:tc>
      </w:tr>
      <w:tr>
        <w:trPr>
          <w:trHeight w:val="96" w:hRule="atLeast"/>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SP-090274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0020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8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widowControl/>
              <w:bidi w:val="0"/>
              <w:spacing w:before="0" w:after="180"/>
              <w:rPr/>
            </w:pPr>
            <w:r>
              <w:rPr>
                <w:rFonts w:cs="Arial" w:ascii="Arial" w:hAnsi="Arial"/>
                <w:sz w:val="16"/>
                <w:szCs w:val="16"/>
                <w:lang w:val="en-US" w:eastAsia="en-US"/>
              </w:rPr>
              <w:t>Corrections for TS 33.310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8.2.1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SP-44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SP-090274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0021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8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widowControl/>
              <w:bidi w:val="0"/>
              <w:spacing w:before="0" w:after="180"/>
              <w:rPr/>
            </w:pPr>
            <w:r>
              <w:rPr>
                <w:rFonts w:cs="Arial" w:ascii="Arial" w:hAnsi="Arial"/>
                <w:sz w:val="16"/>
                <w:szCs w:val="16"/>
                <w:lang w:val="en-US" w:eastAsia="en-US"/>
              </w:rPr>
              <w:t>Correction for TS 33.310: when a SEG may fetch a CRL for peer SEG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8.2.1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SP-090274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0022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8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widowControl/>
              <w:bidi w:val="0"/>
              <w:spacing w:before="0" w:after="180"/>
              <w:rPr/>
            </w:pPr>
            <w:r>
              <w:rPr>
                <w:rFonts w:cs="Arial" w:ascii="Arial" w:hAnsi="Arial"/>
                <w:sz w:val="16"/>
                <w:szCs w:val="16"/>
                <w:lang w:val="en-US" w:eastAsia="en-US"/>
              </w:rPr>
              <w:t>Miscellaneous corrections to specification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8.2.1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SP-090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0019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48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widowControl/>
              <w:bidi w:val="0"/>
              <w:spacing w:before="0" w:after="180"/>
              <w:rPr/>
            </w:pPr>
            <w:r>
              <w:rPr>
                <w:rFonts w:cs="Arial" w:ascii="Arial" w:hAnsi="Arial"/>
                <w:sz w:val="16"/>
                <w:szCs w:val="16"/>
                <w:lang w:val="en-US" w:eastAsia="en-US"/>
              </w:rPr>
              <w:t>Update of referenced RFCs and hash algorithm</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8.3.0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SP-46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SP-090859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0024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8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widowControl/>
              <w:bidi w:val="0"/>
              <w:spacing w:before="0" w:after="180"/>
              <w:rPr/>
            </w:pPr>
            <w:r>
              <w:rPr>
                <w:rFonts w:cs="Arial" w:ascii="Arial" w:hAnsi="Arial"/>
                <w:sz w:val="16"/>
                <w:szCs w:val="16"/>
                <w:lang w:val="en-US" w:eastAsia="en-US"/>
              </w:rPr>
              <w:t>Some corrections for TS 33.310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SP-47</w:t>
            </w:r>
          </w:p>
        </w:tc>
        <w:tc>
          <w:tcPr>
            <w:tcW w:w="9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eastAsia="MS Mincho;MS Mincho" w:cs="Arial" w:ascii="Arial" w:hAnsi="Arial"/>
                <w:color w:val="000000"/>
                <w:sz w:val="16"/>
                <w:szCs w:val="16"/>
                <w:lang w:eastAsia="ja-JP"/>
              </w:rPr>
              <w:t>SP-100106</w:t>
            </w:r>
          </w:p>
        </w:tc>
        <w:tc>
          <w:tcPr>
            <w:tcW w:w="476"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jc w:val="right"/>
              <w:rPr/>
            </w:pPr>
            <w:r>
              <w:rPr>
                <w:rFonts w:eastAsia="MS Mincho;MS Mincho" w:cs="Arial" w:ascii="Arial" w:hAnsi="Arial"/>
                <w:color w:val="000000"/>
                <w:sz w:val="16"/>
                <w:szCs w:val="16"/>
                <w:lang w:eastAsia="ja-JP"/>
              </w:rPr>
              <w:t>0025</w:t>
            </w:r>
          </w:p>
        </w:tc>
        <w:tc>
          <w:tcPr>
            <w:tcW w:w="3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jc w:val="right"/>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8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cs="Arial" w:ascii="Arial" w:hAnsi="Arial"/>
                <w:sz w:val="16"/>
                <w:szCs w:val="16"/>
                <w:lang w:val="en-US" w:eastAsia="en-US"/>
              </w:rPr>
              <w:t>NDS enhancement to support backhaul security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9.1.0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SP-47</w:t>
            </w:r>
          </w:p>
        </w:tc>
        <w:tc>
          <w:tcPr>
            <w:tcW w:w="9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SP-100103</w:t>
            </w:r>
          </w:p>
        </w:tc>
        <w:tc>
          <w:tcPr>
            <w:tcW w:w="476"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jc w:val="right"/>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0029</w:t>
            </w:r>
          </w:p>
        </w:tc>
        <w:tc>
          <w:tcPr>
            <w:tcW w:w="3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8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cs="Arial" w:ascii="Arial" w:hAnsi="Arial"/>
                <w:sz w:val="16"/>
                <w:szCs w:val="16"/>
                <w:lang w:val="en-US" w:eastAsia="en-US"/>
              </w:rPr>
              <w:t>Alignment of TLS profile in NDS with TR-069 profile in H(e)NB</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9.1.0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2010-04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9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76"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jc w:val="right"/>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3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8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cs="Arial" w:ascii="Arial" w:hAnsi="Arial"/>
                <w:sz w:val="16"/>
                <w:szCs w:val="16"/>
                <w:lang w:val="en-US" w:eastAsia="en-US"/>
              </w:rPr>
              <w:t>Corrections of clause references in clause 9 and editorial corrections in Annex 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9.2.0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9.2.1</w:t>
            </w:r>
          </w:p>
        </w:tc>
      </w:tr>
      <w:tr>
        <w:trPr/>
        <w:tc>
          <w:tcPr>
            <w:tcW w:w="800" w:type="dxa"/>
            <w:tcBorders>
              <w:top w:val="single" w:sz="6" w:space="0" w:color="000000"/>
              <w:left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2010-06</w:t>
            </w:r>
          </w:p>
        </w:tc>
        <w:tc>
          <w:tcPr>
            <w:tcW w:w="800"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SP-48</w:t>
            </w:r>
          </w:p>
        </w:tc>
        <w:tc>
          <w:tcPr>
            <w:tcW w:w="901" w:type="dxa"/>
            <w:tcBorders>
              <w:top w:val="single" w:sz="6" w:space="0" w:color="000000"/>
              <w:left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SP-100250</w:t>
            </w:r>
          </w:p>
        </w:tc>
        <w:tc>
          <w:tcPr>
            <w:tcW w:w="476" w:type="dxa"/>
            <w:tcBorders>
              <w:top w:val="single" w:sz="6" w:space="0" w:color="000000"/>
              <w:left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0031</w:t>
            </w:r>
          </w:p>
        </w:tc>
        <w:tc>
          <w:tcPr>
            <w:tcW w:w="378" w:type="dxa"/>
            <w:tcBorders>
              <w:top w:val="single" w:sz="6" w:space="0" w:color="000000"/>
              <w:left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w:t>
            </w:r>
          </w:p>
        </w:tc>
        <w:tc>
          <w:tcPr>
            <w:tcW w:w="4867" w:type="dxa"/>
            <w:tcBorders>
              <w:top w:val="single" w:sz="6" w:space="0" w:color="000000"/>
              <w:left w:val="single" w:sz="6" w:space="0" w:color="000000"/>
              <w:right w:val="single" w:sz="6" w:space="0" w:color="000000"/>
            </w:tcBorders>
            <w:shd w:fill="FFFFFF" w:val="clear"/>
            <w:vAlign w:val="bottom"/>
          </w:tcPr>
          <w:p>
            <w:pPr>
              <w:pStyle w:val="Normal"/>
              <w:autoSpaceDE w:val="false"/>
              <w:spacing w:before="0" w:after="0"/>
              <w:rPr/>
            </w:pPr>
            <w:r>
              <w:rPr>
                <w:rFonts w:cs="Arial" w:ascii="Arial" w:hAnsi="Arial"/>
                <w:sz w:val="16"/>
                <w:szCs w:val="16"/>
                <w:lang w:val="en-US" w:eastAsia="en-US"/>
              </w:rPr>
              <w:t>Correction of SEG CA and TLS client/server CA certificate profiles</w:t>
            </w:r>
          </w:p>
        </w:tc>
        <w:tc>
          <w:tcPr>
            <w:tcW w:w="567" w:type="dxa"/>
            <w:tcBorders>
              <w:top w:val="single" w:sz="6" w:space="0" w:color="000000"/>
              <w:left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9.2.1</w:t>
            </w:r>
          </w:p>
        </w:tc>
        <w:tc>
          <w:tcPr>
            <w:tcW w:w="567"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9.3.0</w:t>
            </w:r>
          </w:p>
        </w:tc>
      </w:tr>
      <w:tr>
        <w:trPr/>
        <w:tc>
          <w:tcPr>
            <w:tcW w:w="800" w:type="dxa"/>
            <w:tcBorders>
              <w:top w:val="single" w:sz="6" w:space="0" w:color="000000"/>
              <w:left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2010-06</w:t>
            </w:r>
          </w:p>
        </w:tc>
        <w:tc>
          <w:tcPr>
            <w:tcW w:w="800"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SP-48</w:t>
            </w:r>
          </w:p>
        </w:tc>
        <w:tc>
          <w:tcPr>
            <w:tcW w:w="901" w:type="dxa"/>
            <w:tcBorders>
              <w:top w:val="single" w:sz="6" w:space="0" w:color="000000"/>
              <w:left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SP-100361</w:t>
            </w:r>
          </w:p>
        </w:tc>
        <w:tc>
          <w:tcPr>
            <w:tcW w:w="476" w:type="dxa"/>
            <w:tcBorders>
              <w:top w:val="single" w:sz="6" w:space="0" w:color="000000"/>
              <w:left w:val="single" w:sz="6" w:space="0" w:color="000000"/>
              <w:right w:val="single" w:sz="6" w:space="0" w:color="000000"/>
            </w:tcBorders>
            <w:shd w:fill="FFFFFF" w:val="clear"/>
            <w:vAlign w:val="bottom"/>
          </w:tcPr>
          <w:p>
            <w:pPr>
              <w:pStyle w:val="Normal"/>
              <w:autoSpaceDE w:val="false"/>
              <w:spacing w:before="0" w:after="0"/>
              <w:rPr/>
            </w:pPr>
            <w:r>
              <w:rPr>
                <w:rFonts w:eastAsia="MS Mincho;MS Mincho" w:cs="Arial" w:ascii="Arial" w:hAnsi="Arial"/>
                <w:color w:val="000000"/>
                <w:sz w:val="16"/>
                <w:szCs w:val="16"/>
                <w:lang w:eastAsia="ja-JP"/>
              </w:rPr>
              <w:t>0034</w:t>
            </w:r>
          </w:p>
        </w:tc>
        <w:tc>
          <w:tcPr>
            <w:tcW w:w="378" w:type="dxa"/>
            <w:tcBorders>
              <w:top w:val="single" w:sz="6" w:space="0" w:color="000000"/>
              <w:left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867" w:type="dxa"/>
            <w:tcBorders>
              <w:top w:val="single" w:sz="6" w:space="0" w:color="000000"/>
              <w:left w:val="single" w:sz="6" w:space="0" w:color="000000"/>
              <w:right w:val="single" w:sz="6" w:space="0" w:color="000000"/>
            </w:tcBorders>
            <w:shd w:fill="FFFFFF" w:val="clear"/>
            <w:vAlign w:val="bottom"/>
          </w:tcPr>
          <w:p>
            <w:pPr>
              <w:pStyle w:val="Normal"/>
              <w:autoSpaceDE w:val="false"/>
              <w:spacing w:before="0" w:after="0"/>
              <w:rPr>
                <w:rFonts w:ascii="Arial" w:hAnsi="Arial" w:cs="Arial"/>
                <w:sz w:val="16"/>
                <w:szCs w:val="16"/>
                <w:lang w:val="en-US" w:eastAsia="en-US"/>
              </w:rPr>
            </w:pPr>
            <w:r>
              <w:rPr>
                <w:rFonts w:cs="Arial" w:ascii="Arial" w:hAnsi="Arial"/>
                <w:sz w:val="16"/>
                <w:szCs w:val="16"/>
                <w:lang w:val="en-US" w:eastAsia="en-US"/>
              </w:rPr>
              <w:t>Deprecation of SHA-1 and other changes to certificate and CRL profiles</w:t>
            </w:r>
          </w:p>
        </w:tc>
        <w:tc>
          <w:tcPr>
            <w:tcW w:w="567" w:type="dxa"/>
            <w:tcBorders>
              <w:top w:val="single" w:sz="6" w:space="0" w:color="000000"/>
              <w:left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9.2.1</w:t>
            </w:r>
          </w:p>
        </w:tc>
        <w:tc>
          <w:tcPr>
            <w:tcW w:w="567"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SP-48</w:t>
            </w:r>
          </w:p>
        </w:tc>
        <w:tc>
          <w:tcPr>
            <w:tcW w:w="9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SP-100368</w:t>
            </w:r>
          </w:p>
        </w:tc>
        <w:tc>
          <w:tcPr>
            <w:tcW w:w="476"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0032</w:t>
            </w:r>
          </w:p>
        </w:tc>
        <w:tc>
          <w:tcPr>
            <w:tcW w:w="3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8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cs="Arial" w:ascii="Arial" w:hAnsi="Arial"/>
                <w:sz w:val="16"/>
                <w:szCs w:val="16"/>
                <w:lang w:val="en-US" w:eastAsia="en-US"/>
              </w:rPr>
              <w:t>X.509 Certificate profile alignment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9.3.0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SP-49</w:t>
            </w:r>
          </w:p>
        </w:tc>
        <w:tc>
          <w:tcPr>
            <w:tcW w:w="9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eastAsia="MS Mincho;MS Mincho" w:cs="Arial" w:ascii="Arial" w:hAnsi="Arial"/>
                <w:color w:val="000000"/>
                <w:sz w:val="16"/>
                <w:szCs w:val="16"/>
                <w:lang w:eastAsia="ja-JP"/>
              </w:rPr>
              <w:t>SP-100479</w:t>
            </w:r>
          </w:p>
        </w:tc>
        <w:tc>
          <w:tcPr>
            <w:tcW w:w="476"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0038</w:t>
            </w:r>
          </w:p>
        </w:tc>
        <w:tc>
          <w:tcPr>
            <w:tcW w:w="3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w:t>
            </w:r>
          </w:p>
        </w:tc>
        <w:tc>
          <w:tcPr>
            <w:tcW w:w="48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cs="Arial" w:ascii="Arial" w:hAnsi="Arial"/>
                <w:sz w:val="16"/>
                <w:szCs w:val="16"/>
                <w:lang w:val="en-US" w:eastAsia="en-US"/>
              </w:rPr>
              <w:t>Correction of certificate profiles for vendor-provided base station certificates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2010-10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SP-49</w:t>
            </w:r>
          </w:p>
        </w:tc>
        <w:tc>
          <w:tcPr>
            <w:tcW w:w="9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SP-100479</w:t>
            </w:r>
          </w:p>
        </w:tc>
        <w:tc>
          <w:tcPr>
            <w:tcW w:w="476"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0040</w:t>
            </w:r>
          </w:p>
        </w:tc>
        <w:tc>
          <w:tcPr>
            <w:tcW w:w="3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8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cs="Arial" w:ascii="Arial" w:hAnsi="Arial"/>
                <w:sz w:val="16"/>
                <w:szCs w:val="16"/>
                <w:lang w:val="en-US" w:eastAsia="en-US"/>
              </w:rPr>
              <w:t>Correction to mandatory ciphersuites and compression method in TLS profile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2010-10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SP-49</w:t>
            </w:r>
          </w:p>
        </w:tc>
        <w:tc>
          <w:tcPr>
            <w:tcW w:w="9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eastAsia="MS Mincho;MS Mincho" w:cs="Arial" w:ascii="Arial" w:hAnsi="Arial"/>
                <w:color w:val="000000"/>
                <w:sz w:val="16"/>
                <w:szCs w:val="16"/>
                <w:lang w:eastAsia="ja-JP"/>
              </w:rPr>
              <w:t>SP-100480</w:t>
            </w:r>
          </w:p>
        </w:tc>
        <w:tc>
          <w:tcPr>
            <w:tcW w:w="476"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eastAsia="MS Mincho;MS Mincho" w:cs="Arial" w:ascii="Arial" w:hAnsi="Arial"/>
                <w:color w:val="000000"/>
                <w:sz w:val="16"/>
                <w:szCs w:val="16"/>
                <w:lang w:eastAsia="ja-JP"/>
              </w:rPr>
              <w:t>0041</w:t>
            </w:r>
          </w:p>
        </w:tc>
        <w:tc>
          <w:tcPr>
            <w:tcW w:w="3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8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cs="Arial" w:ascii="Arial" w:hAnsi="Arial"/>
                <w:sz w:val="16"/>
                <w:szCs w:val="16"/>
                <w:lang w:val="en-US" w:eastAsia="en-US"/>
              </w:rPr>
              <w:t>Adaptations of key lengths and hash algorithms used in certificates and CRLs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SP-49</w:t>
            </w:r>
          </w:p>
        </w:tc>
        <w:tc>
          <w:tcPr>
            <w:tcW w:w="9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eastAsia="MS Mincho;MS Mincho" w:cs="Arial" w:ascii="Arial" w:hAnsi="Arial"/>
                <w:color w:val="000000"/>
                <w:sz w:val="16"/>
                <w:szCs w:val="16"/>
                <w:lang w:eastAsia="ja-JP"/>
              </w:rPr>
              <w:t>SP-100480</w:t>
            </w:r>
          </w:p>
        </w:tc>
        <w:tc>
          <w:tcPr>
            <w:tcW w:w="476"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0042</w:t>
            </w:r>
          </w:p>
        </w:tc>
        <w:tc>
          <w:tcPr>
            <w:tcW w:w="3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w:t>
            </w:r>
          </w:p>
        </w:tc>
        <w:tc>
          <w:tcPr>
            <w:tcW w:w="48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cs="Arial" w:ascii="Arial" w:hAnsi="Arial"/>
                <w:sz w:val="16"/>
                <w:szCs w:val="16"/>
                <w:lang w:val="en-US" w:eastAsia="en-US"/>
              </w:rPr>
              <w:t>Additions to TLS profile in Annex 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SP-49</w:t>
            </w:r>
          </w:p>
        </w:tc>
        <w:tc>
          <w:tcPr>
            <w:tcW w:w="9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SP-100480</w:t>
            </w:r>
          </w:p>
        </w:tc>
        <w:tc>
          <w:tcPr>
            <w:tcW w:w="476"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0043</w:t>
            </w:r>
          </w:p>
        </w:tc>
        <w:tc>
          <w:tcPr>
            <w:tcW w:w="3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8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cs="Arial" w:ascii="Arial" w:hAnsi="Arial"/>
                <w:sz w:val="16"/>
                <w:szCs w:val="16"/>
                <w:lang w:val="en-US" w:eastAsia="en-US"/>
              </w:rPr>
              <w:t>Update of reference to PKI-Forum publication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SP-49</w:t>
            </w:r>
          </w:p>
        </w:tc>
        <w:tc>
          <w:tcPr>
            <w:tcW w:w="9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eastAsia="MS Mincho;MS Mincho" w:cs="Arial" w:ascii="Arial" w:hAnsi="Arial"/>
                <w:color w:val="000000"/>
                <w:sz w:val="16"/>
                <w:szCs w:val="16"/>
                <w:lang w:eastAsia="ja-JP"/>
              </w:rPr>
              <w:t>SP-100571</w:t>
            </w:r>
          </w:p>
        </w:tc>
        <w:tc>
          <w:tcPr>
            <w:tcW w:w="476"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eastAsia="MS Mincho;MS Mincho" w:cs="Arial" w:ascii="Arial" w:hAnsi="Arial"/>
                <w:color w:val="000000"/>
                <w:sz w:val="16"/>
                <w:szCs w:val="16"/>
                <w:lang w:eastAsia="ja-JP"/>
              </w:rPr>
              <w:t>0044</w:t>
            </w:r>
          </w:p>
        </w:tc>
        <w:tc>
          <w:tcPr>
            <w:tcW w:w="3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8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cs="Arial" w:ascii="Arial" w:hAnsi="Arial"/>
                <w:sz w:val="16"/>
                <w:szCs w:val="16"/>
                <w:lang w:val="en-US" w:eastAsia="en-US"/>
              </w:rPr>
              <w:t>Correction about clause 9.5.1 and Annex 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SP-50</w:t>
            </w:r>
          </w:p>
        </w:tc>
        <w:tc>
          <w:tcPr>
            <w:tcW w:w="9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SP-100731</w:t>
            </w:r>
          </w:p>
        </w:tc>
        <w:tc>
          <w:tcPr>
            <w:tcW w:w="476"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eastAsia="MS Mincho;MS Mincho" w:cs="Arial" w:ascii="Arial" w:hAnsi="Arial"/>
                <w:color w:val="000000"/>
                <w:sz w:val="16"/>
                <w:szCs w:val="16"/>
                <w:lang w:eastAsia="ja-JP"/>
              </w:rPr>
              <w:t>0045</w:t>
            </w:r>
          </w:p>
        </w:tc>
        <w:tc>
          <w:tcPr>
            <w:tcW w:w="3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8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cs="Arial" w:ascii="Arial" w:hAnsi="Arial"/>
                <w:sz w:val="16"/>
                <w:szCs w:val="16"/>
                <w:lang w:val="en-US" w:eastAsia="en-US"/>
              </w:rPr>
              <w:t>NDS corrections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2010-10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SP-50</w:t>
            </w:r>
          </w:p>
        </w:tc>
        <w:tc>
          <w:tcPr>
            <w:tcW w:w="9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SP-100732</w:t>
            </w:r>
          </w:p>
        </w:tc>
        <w:tc>
          <w:tcPr>
            <w:tcW w:w="476"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0047</w:t>
            </w:r>
          </w:p>
        </w:tc>
        <w:tc>
          <w:tcPr>
            <w:tcW w:w="3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8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NDS corrections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10.1.0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10.2.0</w:t>
            </w:r>
          </w:p>
        </w:tc>
      </w:tr>
      <w:tr>
        <w:trPr/>
        <w:tc>
          <w:tcPr>
            <w:tcW w:w="800" w:type="dxa"/>
            <w:tcBorders>
              <w:top w:val="single" w:sz="6" w:space="0" w:color="000000"/>
              <w:left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2011-06</w:t>
            </w:r>
          </w:p>
        </w:tc>
        <w:tc>
          <w:tcPr>
            <w:tcW w:w="800"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SP-52</w:t>
            </w:r>
          </w:p>
        </w:tc>
        <w:tc>
          <w:tcPr>
            <w:tcW w:w="901" w:type="dxa"/>
            <w:tcBorders>
              <w:top w:val="single" w:sz="6" w:space="0" w:color="000000"/>
              <w:left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SP-110257</w:t>
            </w:r>
          </w:p>
        </w:tc>
        <w:tc>
          <w:tcPr>
            <w:tcW w:w="476" w:type="dxa"/>
            <w:tcBorders>
              <w:top w:val="single" w:sz="6" w:space="0" w:color="000000"/>
              <w:left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0049</w:t>
            </w:r>
          </w:p>
        </w:tc>
        <w:tc>
          <w:tcPr>
            <w:tcW w:w="378" w:type="dxa"/>
            <w:tcBorders>
              <w:top w:val="single" w:sz="6" w:space="0" w:color="000000"/>
              <w:left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867" w:type="dxa"/>
            <w:tcBorders>
              <w:top w:val="single" w:sz="6" w:space="0" w:color="000000"/>
              <w:left w:val="single" w:sz="6" w:space="0" w:color="000000"/>
              <w:right w:val="single" w:sz="6" w:space="0" w:color="000000"/>
            </w:tcBorders>
            <w:shd w:fill="FFFFFF" w:val="clear"/>
            <w:vAlign w:val="bottom"/>
          </w:tcPr>
          <w:p>
            <w:pPr>
              <w:pStyle w:val="Normal"/>
              <w:autoSpaceDE w:val="false"/>
              <w:spacing w:before="0" w:after="0"/>
              <w:rPr/>
            </w:pPr>
            <w:r>
              <w:rPr>
                <w:rFonts w:eastAsia="MS Mincho;MS Mincho" w:cs="Arial" w:ascii="Arial" w:hAnsi="Arial"/>
                <w:color w:val="000000"/>
                <w:sz w:val="16"/>
                <w:szCs w:val="16"/>
                <w:lang w:eastAsia="ja-JP"/>
              </w:rPr>
              <w:t>Removal of mandatory support for HTTPS in CMP transport-R10</w:t>
            </w:r>
          </w:p>
        </w:tc>
        <w:tc>
          <w:tcPr>
            <w:tcW w:w="567"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10.2.0</w:t>
            </w:r>
          </w:p>
        </w:tc>
        <w:tc>
          <w:tcPr>
            <w:tcW w:w="567" w:type="dxa"/>
            <w:tcBorders>
              <w:top w:val="single" w:sz="6" w:space="0" w:color="000000"/>
              <w:left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10.3.0</w:t>
            </w:r>
          </w:p>
        </w:tc>
      </w:tr>
      <w:tr>
        <w:trPr/>
        <w:tc>
          <w:tcPr>
            <w:tcW w:w="800" w:type="dxa"/>
            <w:tcBorders>
              <w:top w:val="single" w:sz="6" w:space="0" w:color="000000"/>
              <w:left w:val="single" w:sz="6" w:space="0" w:color="000000"/>
              <w:right w:val="single" w:sz="6" w:space="0" w:color="000000"/>
            </w:tcBorders>
            <w:shd w:fill="FFFFFF" w:val="clear"/>
          </w:tcPr>
          <w:p>
            <w:pPr>
              <w:pStyle w:val="Normal"/>
              <w:spacing w:before="0" w:after="0"/>
              <w:rPr/>
            </w:pPr>
            <w:r>
              <w:rPr>
                <w:rFonts w:cs="Arial" w:ascii="Arial" w:hAnsi="Arial"/>
                <w:color w:val="000000"/>
                <w:sz w:val="16"/>
              </w:rPr>
              <w:t>2011-06</w:t>
            </w:r>
          </w:p>
        </w:tc>
        <w:tc>
          <w:tcPr>
            <w:tcW w:w="800"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SP-52</w:t>
            </w:r>
          </w:p>
        </w:tc>
        <w:tc>
          <w:tcPr>
            <w:tcW w:w="901" w:type="dxa"/>
            <w:tcBorders>
              <w:top w:val="single" w:sz="6" w:space="0" w:color="000000"/>
              <w:left w:val="single" w:sz="6" w:space="0" w:color="000000"/>
              <w:right w:val="single" w:sz="6" w:space="0" w:color="000000"/>
            </w:tcBorders>
            <w:shd w:fill="FFFFFF" w:val="clear"/>
            <w:vAlign w:val="bottom"/>
          </w:tcPr>
          <w:p>
            <w:pPr>
              <w:pStyle w:val="Normal"/>
              <w:autoSpaceDE w:val="false"/>
              <w:spacing w:before="0" w:after="0"/>
              <w:rPr/>
            </w:pPr>
            <w:r>
              <w:rPr>
                <w:rFonts w:eastAsia="MS Mincho;MS Mincho" w:cs="Arial" w:ascii="Arial" w:hAnsi="Arial"/>
                <w:color w:val="000000"/>
                <w:sz w:val="16"/>
                <w:szCs w:val="16"/>
                <w:lang w:eastAsia="ja-JP"/>
              </w:rPr>
              <w:t>SP-110265</w:t>
            </w:r>
          </w:p>
        </w:tc>
        <w:tc>
          <w:tcPr>
            <w:tcW w:w="476" w:type="dxa"/>
            <w:tcBorders>
              <w:top w:val="single" w:sz="6" w:space="0" w:color="000000"/>
              <w:left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0051</w:t>
            </w:r>
          </w:p>
        </w:tc>
        <w:tc>
          <w:tcPr>
            <w:tcW w:w="378" w:type="dxa"/>
            <w:tcBorders>
              <w:top w:val="single" w:sz="6" w:space="0" w:color="000000"/>
              <w:left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867" w:type="dxa"/>
            <w:tcBorders>
              <w:top w:val="single" w:sz="6" w:space="0" w:color="000000"/>
              <w:left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Correction of reference for key usage bit in TLS certificate and some editorials</w:t>
            </w:r>
          </w:p>
        </w:tc>
        <w:tc>
          <w:tcPr>
            <w:tcW w:w="567"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10.2.0</w:t>
            </w:r>
          </w:p>
        </w:tc>
        <w:tc>
          <w:tcPr>
            <w:tcW w:w="567" w:type="dxa"/>
            <w:tcBorders>
              <w:top w:val="single" w:sz="6" w:space="0" w:color="000000"/>
              <w:left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SP-52</w:t>
            </w:r>
          </w:p>
        </w:tc>
        <w:tc>
          <w:tcPr>
            <w:tcW w:w="9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SP-110265</w:t>
            </w:r>
          </w:p>
        </w:tc>
        <w:tc>
          <w:tcPr>
            <w:tcW w:w="476"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0052</w:t>
            </w:r>
          </w:p>
        </w:tc>
        <w:tc>
          <w:tcPr>
            <w:tcW w:w="3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8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eastAsia="MS Mincho;MS Mincho" w:cs="Arial" w:ascii="Arial" w:hAnsi="Arial"/>
                <w:color w:val="000000"/>
                <w:sz w:val="16"/>
                <w:szCs w:val="16"/>
                <w:lang w:eastAsia="ja-JP"/>
              </w:rPr>
              <w:t>Correction on CRL distribution point for vendor root CA certificates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SP-53</w:t>
            </w:r>
          </w:p>
        </w:tc>
        <w:tc>
          <w:tcPr>
            <w:tcW w:w="9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eastAsia="MS Mincho;MS Mincho" w:cs="Arial" w:ascii="Arial" w:hAnsi="Arial"/>
                <w:color w:val="000000"/>
                <w:sz w:val="16"/>
                <w:szCs w:val="16"/>
                <w:lang w:eastAsia="ja-JP"/>
              </w:rPr>
              <w:t>SP-110627</w:t>
            </w:r>
          </w:p>
        </w:tc>
        <w:tc>
          <w:tcPr>
            <w:tcW w:w="476"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0053</w:t>
            </w:r>
          </w:p>
        </w:tc>
        <w:tc>
          <w:tcPr>
            <w:tcW w:w="3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8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eastAsia="MS Mincho;MS Mincho" w:cs="Arial" w:ascii="Arial" w:hAnsi="Arial"/>
                <w:color w:val="000000"/>
                <w:sz w:val="16"/>
                <w:szCs w:val="16"/>
                <w:lang w:eastAsia="ja-JP"/>
              </w:rPr>
              <w:t>CMPv2 profile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10.3.0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SP-53</w:t>
            </w:r>
          </w:p>
        </w:tc>
        <w:tc>
          <w:tcPr>
            <w:tcW w:w="9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eastAsia="MS Mincho;MS Mincho" w:cs="Arial" w:ascii="Arial" w:hAnsi="Arial"/>
                <w:color w:val="000000"/>
                <w:sz w:val="16"/>
                <w:szCs w:val="16"/>
                <w:lang w:eastAsia="ja-JP"/>
              </w:rPr>
              <w:t>SP-110509</w:t>
            </w:r>
          </w:p>
        </w:tc>
        <w:tc>
          <w:tcPr>
            <w:tcW w:w="476"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eastAsia="MS Mincho;MS Mincho" w:cs="Arial" w:ascii="Arial" w:hAnsi="Arial"/>
                <w:color w:val="000000"/>
                <w:sz w:val="16"/>
                <w:szCs w:val="16"/>
                <w:lang w:eastAsia="ja-JP"/>
              </w:rPr>
              <w:t>0055</w:t>
            </w:r>
          </w:p>
        </w:tc>
        <w:tc>
          <w:tcPr>
            <w:tcW w:w="3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w:t>
            </w:r>
          </w:p>
        </w:tc>
        <w:tc>
          <w:tcPr>
            <w:tcW w:w="48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eastAsia="MS Mincho;MS Mincho" w:cs="Arial" w:ascii="Arial" w:hAnsi="Arial"/>
                <w:color w:val="000000"/>
                <w:sz w:val="16"/>
                <w:szCs w:val="16"/>
                <w:lang w:eastAsia="ja-JP"/>
              </w:rPr>
              <w:t>Correction of the signature algorithm used for CMP message protection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10.3.0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SP-54</w:t>
            </w:r>
          </w:p>
        </w:tc>
        <w:tc>
          <w:tcPr>
            <w:tcW w:w="9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eastAsia="MS Mincho;MS Mincho" w:cs="Arial" w:ascii="Arial" w:hAnsi="Arial"/>
                <w:color w:val="000000"/>
                <w:sz w:val="16"/>
                <w:szCs w:val="16"/>
                <w:lang w:eastAsia="ja-JP"/>
              </w:rPr>
              <w:t>SP-110692</w:t>
            </w:r>
          </w:p>
        </w:tc>
        <w:tc>
          <w:tcPr>
            <w:tcW w:w="476"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0056</w:t>
            </w:r>
          </w:p>
        </w:tc>
        <w:tc>
          <w:tcPr>
            <w:tcW w:w="3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8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CMPv2 profile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10.4.0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10.5.0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SP-56</w:t>
            </w:r>
          </w:p>
        </w:tc>
        <w:tc>
          <w:tcPr>
            <w:tcW w:w="9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SP-120341</w:t>
            </w:r>
          </w:p>
        </w:tc>
        <w:tc>
          <w:tcPr>
            <w:tcW w:w="476"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eastAsia="MS Mincho;MS Mincho" w:cs="Arial" w:ascii="Arial" w:hAnsi="Arial"/>
                <w:color w:val="000000"/>
                <w:sz w:val="16"/>
                <w:szCs w:val="16"/>
                <w:lang w:eastAsia="ja-JP"/>
              </w:rPr>
              <w:t>0057</w:t>
            </w:r>
          </w:p>
        </w:tc>
        <w:tc>
          <w:tcPr>
            <w:tcW w:w="3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8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autoSpaceDE w:val="false"/>
              <w:spacing w:before="0" w:after="0"/>
              <w:rPr/>
            </w:pPr>
            <w:r>
              <w:rPr>
                <w:rFonts w:eastAsia="MS Mincho;MS Mincho" w:cs="Arial" w:ascii="Arial" w:hAnsi="Arial"/>
                <w:color w:val="000000"/>
                <w:sz w:val="16"/>
                <w:szCs w:val="16"/>
                <w:lang w:eastAsia="ja-JP"/>
              </w:rPr>
              <w:t>Addition of TLS Extensions References to TS 33.310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10.6.0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SP-120341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0058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Addition of ciphersuite with hash function SHA256 and profile and reference to IETF RFC for psk-TLS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10.6.0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2012-07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Editorial change: removal of revision marks on page header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11.0.1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SP-57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SP-120606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0064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Clarification of CMP requirements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11.0.1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SP-57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SP-120605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0065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Miscellaneous corrections to TS 33.310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11.0.1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2012-10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Editorial corrections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11.1.0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11.1.1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SP-58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SP-120859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0066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Update CMP Reference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SP-60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SP-130250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0069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Clarification on scope and support for certificate extensions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12.0.0</w:t>
            </w:r>
          </w:p>
        </w:tc>
      </w:tr>
      <w:tr>
        <w:trPr/>
        <w:tc>
          <w:tcPr>
            <w:tcW w:w="800"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pacing w:before="0" w:after="0"/>
              <w:rPr/>
            </w:pPr>
            <w:r>
              <w:rPr>
                <w:rFonts w:eastAsia="MS Mincho;MS Mincho" w:cs="Arial" w:ascii="Arial" w:hAnsi="Arial"/>
                <w:color w:val="000000"/>
                <w:sz w:val="16"/>
                <w:szCs w:val="16"/>
                <w:lang w:eastAsia="ja-JP"/>
              </w:rPr>
              <w:t>2014-06</w:t>
            </w:r>
          </w:p>
        </w:tc>
        <w:tc>
          <w:tcPr>
            <w:tcW w:w="800"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SP-64</w:t>
            </w:r>
          </w:p>
        </w:tc>
        <w:tc>
          <w:tcPr>
            <w:tcW w:w="901"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SP-140381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0071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Certificate enrolment in MOCN LTE RAN sharing</w:t>
            </w:r>
          </w:p>
        </w:tc>
        <w:tc>
          <w:tcPr>
            <w:tcW w:w="567"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pacing w:before="0" w:after="0"/>
              <w:jc w:val="center"/>
              <w:rPr/>
            </w:pPr>
            <w:r>
              <w:rPr>
                <w:rFonts w:eastAsia="MS Mincho;MS Mincho" w:cs="Arial" w:ascii="Arial" w:hAnsi="Arial"/>
                <w:color w:val="000000"/>
                <w:sz w:val="16"/>
                <w:szCs w:val="16"/>
                <w:lang w:eastAsia="ja-JP"/>
              </w:rPr>
              <w:t>12.0.0</w:t>
            </w:r>
          </w:p>
        </w:tc>
        <w:tc>
          <w:tcPr>
            <w:tcW w:w="567"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pacing w:before="0" w:after="0"/>
              <w:jc w:val="center"/>
              <w:rPr/>
            </w:pPr>
            <w:r>
              <w:rPr>
                <w:rFonts w:eastAsia="MS Mincho;MS Mincho" w:cs="Arial" w:ascii="Arial" w:hAnsi="Arial"/>
                <w:color w:val="000000"/>
                <w:sz w:val="16"/>
                <w:szCs w:val="16"/>
                <w:lang w:eastAsia="ja-JP"/>
              </w:rPr>
              <w:t>12.1.0</w:t>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90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0072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Correction on certificate validation during IPsec/TLS procedure</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90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0073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Provisioning subject name of RA/CA before the CMPv2 run</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r>
      <w:tr>
        <w:trPr/>
        <w:tc>
          <w:tcPr>
            <w:tcW w:w="800"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pacing w:before="0" w:after="0"/>
              <w:rPr/>
            </w:pPr>
            <w:r>
              <w:rPr>
                <w:rFonts w:eastAsia="MS Mincho;MS Mincho" w:cs="Arial" w:ascii="Arial" w:hAnsi="Arial"/>
                <w:color w:val="000000"/>
                <w:sz w:val="16"/>
                <w:szCs w:val="16"/>
                <w:lang w:eastAsia="ja-JP"/>
              </w:rPr>
              <w:t>2014-09</w:t>
            </w:r>
          </w:p>
        </w:tc>
        <w:tc>
          <w:tcPr>
            <w:tcW w:w="800"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SP-65</w:t>
            </w:r>
          </w:p>
        </w:tc>
        <w:tc>
          <w:tcPr>
            <w:tcW w:w="901"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pacing w:before="0" w:after="0"/>
              <w:rPr/>
            </w:pPr>
            <w:r>
              <w:rPr>
                <w:rFonts w:eastAsia="MS Mincho;MS Mincho" w:cs="Arial" w:ascii="Arial" w:hAnsi="Arial"/>
                <w:color w:val="000000"/>
                <w:sz w:val="16"/>
                <w:szCs w:val="16"/>
                <w:lang w:eastAsia="ja-JP"/>
              </w:rPr>
              <w:t>SP-140593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0075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Defining generic DTLS profile based on TS 33.310 TLS profile</w:t>
            </w:r>
          </w:p>
        </w:tc>
        <w:tc>
          <w:tcPr>
            <w:tcW w:w="567"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pacing w:before="0" w:after="0"/>
              <w:rPr/>
            </w:pPr>
            <w:r>
              <w:rPr>
                <w:rFonts w:eastAsia="MS Mincho;MS Mincho" w:cs="Arial" w:ascii="Arial" w:hAnsi="Arial"/>
                <w:color w:val="000000"/>
                <w:sz w:val="16"/>
                <w:szCs w:val="16"/>
                <w:lang w:eastAsia="ja-JP"/>
              </w:rPr>
              <w:t>12.1.0</w:t>
            </w:r>
          </w:p>
        </w:tc>
        <w:tc>
          <w:tcPr>
            <w:tcW w:w="567"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12.2.0</w:t>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90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0076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Updating TLS profile for TLS session resumption</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90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0077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Correction of SEG Certificate Profile in TS 33.310</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90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0078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Correction of TLS profile regarding NULL encryption</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90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0079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Correction of TLS profile regarding renegotiation</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r>
      <w:tr>
        <w:trPr/>
        <w:tc>
          <w:tcPr>
            <w:tcW w:w="800" w:type="dxa"/>
            <w:vMerge w:val="restart"/>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2015-12</w:t>
            </w:r>
          </w:p>
        </w:tc>
        <w:tc>
          <w:tcPr>
            <w:tcW w:w="800" w:type="dxa"/>
            <w:vMerge w:val="restart"/>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SP-70</w:t>
            </w:r>
          </w:p>
        </w:tc>
        <w:tc>
          <w:tcPr>
            <w:tcW w:w="901" w:type="dxa"/>
            <w:vMerge w:val="restart"/>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SP-150731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0080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Updating certificate and CRL profiles in TS 33.310</w:t>
            </w:r>
          </w:p>
        </w:tc>
        <w:tc>
          <w:tcPr>
            <w:tcW w:w="567" w:type="dxa"/>
            <w:vMerge w:val="restart"/>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12.2.0</w:t>
            </w:r>
          </w:p>
        </w:tc>
        <w:tc>
          <w:tcPr>
            <w:tcW w:w="567" w:type="dxa"/>
            <w:vMerge w:val="restart"/>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13.0.0</w:t>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800"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901"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0081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Updating TLS profiles in TS 33.310</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800"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901"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0083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Removing IKEv1 from TS 33.310</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SP-71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SP-160053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0084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Clarifying terms related to RA and CA in TS 33.310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13.1.0</w:t>
            </w:r>
          </w:p>
        </w:tc>
      </w:tr>
    </w:tbl>
    <w:p>
      <w:pPr>
        <w:pStyle w:val="Normal"/>
        <w:rPr/>
      </w:pPr>
      <w: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SA#74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SP-160786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3GPP security profile update - IPsec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SA#74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SP-160788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0087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3GPP security profile update – Certificates and CRLs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SA#74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SP-160788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3GPP security profile update – TLS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SA#74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SP-160788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3GPP security profile update - IPsec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TLS 1.3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0094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TLS 1.3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Move TLS crypto profiles to TS 33.210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MS Mincho" w:cs="Arial" w:ascii="Arial" w:hAnsi="Arial"/>
                <w:color w:val="000000"/>
                <w:sz w:val="16"/>
                <w:szCs w:val="16"/>
                <w:lang w:eastAsia="ja-JP"/>
              </w:rPr>
              <w:t>Correction of references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SP-190354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References to several obsoleted RFCs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SP-200143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IKEv2 profile update 33.310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SP-200143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Certificate and CRL profile update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SP-200363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Update on RSA exponent requirement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SP-200363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Corrections on PKCS#1v1.5 padding and Elliptic Curves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SBA Network Function certificate profile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SP-200857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fldChar w:fldCharType="begin"/>
            </w:r>
            <w:r>
              <w:rPr>
                <w:sz w:val="16"/>
                <w:szCs w:val="16"/>
                <w:rFonts w:eastAsia="MS Mincho;MS Mincho" w:cs="Arial" w:ascii="Arial" w:hAnsi="Arial"/>
                <w:color w:val="000000"/>
                <w:lang w:eastAsia="ja-JP"/>
              </w:rPr>
              <w:instrText xml:space="preserve"> DOCPROPERTY "CrTitle"</w:instrText>
            </w:r>
            <w:r>
              <w:rPr>
                <w:sz w:val="16"/>
                <w:szCs w:val="16"/>
                <w:rFonts w:eastAsia="MS Mincho;MS Mincho" w:cs="Arial" w:ascii="Arial" w:hAnsi="Arial"/>
                <w:color w:val="000000"/>
                <w:lang w:eastAsia="ja-JP"/>
              </w:rPr>
              <w:fldChar w:fldCharType="separate"/>
            </w:r>
            <w:r>
              <w:rPr>
                <w:sz w:val="16"/>
                <w:szCs w:val="16"/>
                <w:rFonts w:eastAsia="MS Mincho;MS Mincho" w:cs="Arial" w:ascii="Arial" w:hAnsi="Arial"/>
                <w:color w:val="000000"/>
                <w:lang w:eastAsia="ja-JP"/>
              </w:rPr>
              <w:t>Making NF instance id in SBA certificate profile mandatory to support</w:t>
            </w:r>
            <w:r>
              <w:rPr>
                <w:sz w:val="16"/>
                <w:szCs w:val="16"/>
                <w:rFonts w:eastAsia="MS Mincho;MS Mincho" w:cs="Arial" w:ascii="Arial" w:hAnsi="Arial"/>
                <w:color w:val="000000"/>
                <w:lang w:eastAsia="ja-JP"/>
              </w:rPr>
              <w:fldChar w:fldCharType="end"/>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SP-201009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0113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fldChar w:fldCharType="begin"/>
            </w:r>
            <w:r>
              <w:rPr>
                <w:sz w:val="16"/>
                <w:szCs w:val="16"/>
                <w:rFonts w:eastAsia="MS Mincho;MS Mincho" w:cs="Arial" w:ascii="Arial" w:hAnsi="Arial"/>
                <w:color w:val="000000"/>
                <w:lang w:eastAsia="ja-JP"/>
              </w:rPr>
              <w:instrText xml:space="preserve"> DOCPROPERTY "CrTitle"</w:instrText>
            </w:r>
            <w:r>
              <w:rPr>
                <w:sz w:val="16"/>
                <w:szCs w:val="16"/>
                <w:rFonts w:eastAsia="MS Mincho;MS Mincho" w:cs="Arial" w:ascii="Arial" w:hAnsi="Arial"/>
                <w:color w:val="000000"/>
                <w:lang w:eastAsia="ja-JP"/>
              </w:rPr>
              <w:fldChar w:fldCharType="separate"/>
            </w:r>
            <w:r>
              <w:rPr>
                <w:sz w:val="16"/>
                <w:szCs w:val="16"/>
                <w:rFonts w:eastAsia="MS Mincho;MS Mincho" w:cs="Arial" w:ascii="Arial" w:hAnsi="Arial"/>
                <w:color w:val="000000"/>
                <w:lang w:eastAsia="ja-JP"/>
              </w:rPr>
              <w:t>Editorial corrections to NDS/AF</w:t>
            </w:r>
            <w:r>
              <w:rPr>
                <w:sz w:val="16"/>
                <w:szCs w:val="16"/>
                <w:rFonts w:eastAsia="MS Mincho;MS Mincho" w:cs="Arial" w:ascii="Arial" w:hAnsi="Arial"/>
                <w:color w:val="000000"/>
                <w:lang w:eastAsia="ja-JP"/>
              </w:rPr>
              <w:fldChar w:fldCharType="end"/>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SP-201011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0115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Clarification on format for SubjectAltName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SP-201010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0116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Aligning TLS in 33.310 with the current 3GPP TLS profile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2021-21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SA#91e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SP-210111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0117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Clarification on the format of NF type in the NF certification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SA#92e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SP-210433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0118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Correction to NF Certificate profile: Format of the apiRoot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2022-03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SA#95e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SP-220203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0125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Correction of the format of the URN string in the NF certificate profile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16.9.0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2022-06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SA#96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SP-220555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0127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Clarification on CN-ID when it is presented in the certificate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16.10.0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2022-09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SA#97e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SP-220882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0131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Clarification on the format of callback URI in the NF certificate profile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16.11.0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2022-09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SA#97e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SP-220882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0133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Clarification on the certificate profile for SCP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16.11.0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2022-12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SA#98e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SP-221154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0139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Correct SCP certificate profile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16.12.0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2022-12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SA#98e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SP-221154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0141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Clarify SEPP intra-domain certificate profile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16.12.0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2023-03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SA#99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SP-230140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0145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Referencing GSMA for interdomain N32 certificates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16.13.0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2023-03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SA#99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SP-230141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0147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Remove keyEncipherment KeyUsage from SBA certificates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16.13.0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2023-03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SA#99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SP-230141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0149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X.509 Certificate Extension for 5G Network Function Types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16.13.0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2023-09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SA#101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SP-230873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0165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Clarification of SEPP inter-domain certificate profiles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jc w:val="center"/>
              <w:rPr>
                <w:rFonts w:ascii="Arial" w:hAnsi="Arial" w:eastAsia="MS Mincho;MS Mincho" w:cs="Arial"/>
                <w:color w:val="000000"/>
                <w:sz w:val="16"/>
                <w:szCs w:val="16"/>
                <w:lang w:eastAsia="ja-JP"/>
              </w:rPr>
            </w:pPr>
            <w:r>
              <w:rPr>
                <w:rFonts w:eastAsia="MS Mincho;MS Mincho" w:cs="Arial" w:ascii="Arial" w:hAnsi="Arial"/>
                <w:color w:val="000000"/>
                <w:sz w:val="16"/>
                <w:szCs w:val="16"/>
                <w:lang w:eastAsia="ja-JP"/>
              </w:rPr>
              <w:t>16.14.0</w:t>
            </w:r>
          </w:p>
        </w:tc>
      </w:tr>
    </w:tbl>
    <w:p>
      <w:pPr>
        <w:pStyle w:val="Normal"/>
        <w:widowControl/>
        <w:bidi w:val="0"/>
        <w:spacing w:before="0" w:after="180"/>
        <w:rPr/>
      </w:pPr>
      <w:r>
        <w:rPr/>
      </w:r>
    </w:p>
    <w:sectPr>
      <w:headerReference w:type="default" r:id="rId25"/>
      <w:footerReference w:type="default" r:id="rId26"/>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ZapfDingbats">
    <w:charset w:val="02"/>
    <w:family w:val="decorative"/>
    <w:pitch w:val="variable"/>
  </w:font>
  <w:font w:name="Calibri Light">
    <w:charset w:val="00"/>
    <w:family w:val="swiss"/>
    <w:pitch w:val="variable"/>
  </w:font>
  <w:font w:name="Tahoma">
    <w:charset w:val="00"/>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
      <w:tabs>
        <w:tab w:val="clear" w:pos="284"/>
        <w:tab w:val="left" w:pos="709" w:leader="none"/>
        <w:tab w:val="right" w:pos="9639" w:leader="none"/>
      </w:tabs>
      <w:spacing w:before="0" w:after="0"/>
      <w:jc w:val="left"/>
      <w:rPr>
        <w:rFonts w:ascii="Arial" w:hAnsi="Arial" w:cs="Arial"/>
        <w:sz w:val="24"/>
      </w:rPr>
    </w:pPr>
    <w:r>
      <w:rPr>
        <w:rFonts w:cs="Arial" w:ascii="Arial" w:hAnsi="Arial"/>
        <w:sz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80">
              <wp:simplePos x="0" y="0"/>
              <wp:positionH relativeFrom="margin">
                <wp:align>right</wp:align>
              </wp:positionH>
              <wp:positionV relativeFrom="paragraph">
                <wp:posOffset>635</wp:posOffset>
              </wp:positionV>
              <wp:extent cx="2683510" cy="131445"/>
              <wp:effectExtent l="0" t="0" r="0" b="0"/>
              <wp:wrapSquare wrapText="largest"/>
              <wp:docPr id="16" name="Frame10"/>
              <a:graphic xmlns:a="http://schemas.openxmlformats.org/drawingml/2006/main">
                <a:graphicData uri="http://schemas.microsoft.com/office/word/2010/wordprocessingShape">
                  <wps:wsp>
                    <wps:cNvSpPr txBox="1"/>
                    <wps:spPr>
                      <a:xfrm>
                        <a:off x="0" y="0"/>
                        <a:ext cx="2683510" cy="131445"/>
                      </a:xfrm>
                      <a:prstGeom prst="rect"/>
                      <a:solidFill>
                        <a:srgbClr val="FFFFFF">
                          <a:alpha val="0"/>
                        </a:srgbClr>
                      </a:solidFill>
                    </wps:spPr>
                    <wps:txbx>
                      <w:txbxContent>
                        <w:p>
                          <w:pPr>
                            <w:pStyle w:val="Header"/>
                            <w:widowControl/>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33.310 V16.14.016.13.0 (2023-092023-03)</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211.3pt;height:10.35pt;mso-wrap-distance-left:0pt;mso-wrap-distance-right:0pt;mso-wrap-distance-top:0pt;mso-wrap-distance-bottom:0pt;margin-top:0.05pt;mso-position-vertical-relative:text;margin-left:270.7pt;mso-position-horizontal:right;mso-position-horizontal-relative:margin">
              <v:fill opacity="0f"/>
              <v:textbox inset="0in,0in,0in,0in">
                <w:txbxContent>
                  <w:p>
                    <w:pPr>
                      <w:pStyle w:val="Header"/>
                      <w:widowControl/>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33.310 V16.14.016.13.0 (2023-092023-03)</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39">
              <wp:simplePos x="0" y="0"/>
              <wp:positionH relativeFrom="margin">
                <wp:align>center</wp:align>
              </wp:positionH>
              <wp:positionV relativeFrom="paragraph">
                <wp:posOffset>635</wp:posOffset>
              </wp:positionV>
              <wp:extent cx="127635" cy="131445"/>
              <wp:effectExtent l="0" t="0" r="0" b="0"/>
              <wp:wrapSquare wrapText="largest"/>
              <wp:docPr id="17"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60</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60</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98">
              <wp:simplePos x="0" y="0"/>
              <wp:positionH relativeFrom="margin">
                <wp:align>left</wp:align>
              </wp:positionH>
              <wp:positionV relativeFrom="paragraph">
                <wp:posOffset>635</wp:posOffset>
              </wp:positionV>
              <wp:extent cx="591820" cy="131445"/>
              <wp:effectExtent l="0" t="0" r="0" b="0"/>
              <wp:wrapSquare wrapText="largest"/>
              <wp:docPr id="18"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1492"/>
        </w:tabs>
        <w:ind w:left="1492" w:hanging="360"/>
      </w:pPr>
    </w:lvl>
  </w:abstractNum>
  <w:abstractNum w:abstractNumId="3">
    <w:lvl w:ilvl="0">
      <w:start w:val="1"/>
      <w:numFmt w:val="decimal"/>
      <w:lvlText w:val="%1."/>
      <w:lvlJc w:val="left"/>
      <w:pPr>
        <w:tabs>
          <w:tab w:val="num" w:pos="1209"/>
        </w:tabs>
        <w:ind w:left="1209" w:hanging="360"/>
      </w:pPr>
    </w:lvl>
  </w:abstractNum>
  <w:abstractNum w:abstractNumId="4">
    <w:lvl w:ilvl="0">
      <w:start w:val="1"/>
      <w:numFmt w:val="decimal"/>
      <w:lvlText w:val="%1."/>
      <w:lvlJc w:val="left"/>
      <w:pPr>
        <w:tabs>
          <w:tab w:val="num" w:pos="926"/>
        </w:tabs>
        <w:ind w:left="926" w:hanging="360"/>
      </w:pPr>
    </w:lvl>
  </w:abstractNum>
  <w:abstractNum w:abstractNumId="5">
    <w:lvl w:ilvl="0">
      <w:start w:val="5"/>
      <w:numFmt w:val="bullet"/>
      <w:lvlText w:val="-"/>
      <w:lvlJc w:val="left"/>
      <w:pPr>
        <w:tabs>
          <w:tab w:val="num" w:pos="720"/>
        </w:tabs>
        <w:ind w:left="720" w:hanging="360"/>
      </w:pPr>
      <w:rPr>
        <w:rFonts w:ascii="Times New Roman" w:hAnsi="Times New Roman" w:cs="Times New Roman" w:hint="default"/>
      </w:rPr>
    </w:lvl>
  </w:abstractNum>
  <w:abstractNum w:abstractNumId="6">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60"/>
  <w:defaultTabStop w:val="709"/>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style>
  <w:style w:type="character" w:styleId="WW8Num6z0">
    <w:name w:val="WW8Num6z0"/>
    <w:qFormat/>
    <w:rPr>
      <w:rFonts w:ascii="Times New Roman" w:hAnsi="Times New Roman" w:eastAsia="Times New Roman" w:cs="Times New Roman"/>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style>
  <w:style w:type="character" w:styleId="WW8Num8z0">
    <w:name w:val="WW8Num8z0"/>
    <w:qFormat/>
    <w:rPr/>
  </w:style>
  <w:style w:type="character" w:styleId="WW8Num9z0">
    <w:name w:val="WW8Num9z0"/>
    <w:qFormat/>
    <w:rPr/>
  </w:style>
  <w:style w:type="character" w:styleId="WW8Num10z0">
    <w:name w:val="WW8Num10z0"/>
    <w:qFormat/>
    <w:rPr>
      <w:rFonts w:ascii="Times New Roman" w:hAnsi="Times New Roman" w:eastAsia="Times New Roman" w:cs="Times New Roman"/>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5z0">
    <w:name w:val="WW8Num15z0"/>
    <w:qFormat/>
    <w:rPr/>
  </w:style>
  <w:style w:type="character" w:styleId="WW8Num16z0">
    <w:name w:val="WW8Num16z0"/>
    <w:qFormat/>
    <w:rPr/>
  </w:style>
  <w:style w:type="character" w:styleId="WW8Num17z1">
    <w:name w:val="WW8Num17z1"/>
    <w:qFormat/>
    <w:rPr>
      <w:rFonts w:ascii="Times New Roman" w:hAnsi="Times New Roman" w:eastAsia="Times New Roman" w:cs="Times New Roman"/>
    </w:rPr>
  </w:style>
  <w:style w:type="character" w:styleId="WW8Num18z0">
    <w:name w:val="WW8Num18z0"/>
    <w:qFormat/>
    <w:rPr>
      <w:rFonts w:ascii="Times New Roman" w:hAnsi="Times New Roman" w:eastAsia="Times New Roman" w:cs="Times New Roman"/>
      <w:color w:val="000000"/>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style>
  <w:style w:type="character" w:styleId="WW8Num20z0">
    <w:name w:val="WW8Num20z0"/>
    <w:qFormat/>
    <w:rPr/>
  </w:style>
  <w:style w:type="character" w:styleId="WW8Num21z0">
    <w:name w:val="WW8Num21z0"/>
    <w:qFormat/>
    <w:rPr>
      <w:rFonts w:ascii="Times New Roman" w:hAnsi="Times New Roman" w:eastAsia="Times New Roman" w:cs="Times New Roman"/>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rFonts w:ascii="Times New Roman" w:hAnsi="Times New Roman" w:eastAsia="Times New Roman" w:cs="Times New Roman"/>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5z0">
    <w:name w:val="WW8Num25z0"/>
    <w:qFormat/>
    <w:rPr/>
  </w:style>
  <w:style w:type="character" w:styleId="WW8Num26z0">
    <w:name w:val="WW8Num26z0"/>
    <w:qFormat/>
    <w:rPr>
      <w:rFonts w:ascii="Times New Roman" w:hAnsi="Times New Roman" w:eastAsia="Times New Roman" w:cs="Times New Roman"/>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7z0">
    <w:name w:val="WW8Num27z0"/>
    <w:qFormat/>
    <w:rPr>
      <w:rFonts w:ascii="Times New Roman" w:hAnsi="Times New Roman" w:eastAsia="Times New Roman" w:cs="Times New Roman"/>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28z0">
    <w:name w:val="WW8Num28z0"/>
    <w:qFormat/>
    <w:rPr/>
  </w:style>
  <w:style w:type="character" w:styleId="WW8Num29z0">
    <w:name w:val="WW8Num29z0"/>
    <w:qFormat/>
    <w:rPr>
      <w:rFonts w:ascii="Times New Roman" w:hAnsi="Times New Roman" w:eastAsia="Times New Roman" w:cs="Times New Roman"/>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29z3">
    <w:name w:val="WW8Num29z3"/>
    <w:qFormat/>
    <w:rPr>
      <w:rFonts w:ascii="Symbol" w:hAnsi="Symbol" w:cs="Symbol"/>
    </w:rPr>
  </w:style>
  <w:style w:type="character" w:styleId="WW8Num30z0">
    <w:name w:val="WW8Num30z0"/>
    <w:qFormat/>
    <w:rPr>
      <w:rFonts w:ascii="Times New Roman" w:hAnsi="Times New Roman" w:eastAsia="Times New Roman" w:cs="Times New Roman"/>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0z3">
    <w:name w:val="WW8Num30z3"/>
    <w:qFormat/>
    <w:rPr>
      <w:rFonts w:ascii="Symbol" w:hAnsi="Symbol" w:cs="Symbol"/>
    </w:rPr>
  </w:style>
  <w:style w:type="character" w:styleId="WW8Num31z0">
    <w:name w:val="WW8Num31z0"/>
    <w:qFormat/>
    <w:rPr/>
  </w:style>
  <w:style w:type="character" w:styleId="WW8Num32z0">
    <w:name w:val="WW8Num32z0"/>
    <w:qFormat/>
    <w:rPr>
      <w:rFonts w:ascii="Times New Roman" w:hAnsi="Times New Roman" w:eastAsia="Times New Roman" w:cs="Times New Roman"/>
    </w:rPr>
  </w:style>
  <w:style w:type="character" w:styleId="WW8Num32z1">
    <w:name w:val="WW8Num32z1"/>
    <w:qFormat/>
    <w:rPr>
      <w:rFonts w:ascii="Courier New" w:hAnsi="Courier New" w:cs="Courier New"/>
    </w:rPr>
  </w:style>
  <w:style w:type="character" w:styleId="WW8Num32z2">
    <w:name w:val="WW8Num32z2"/>
    <w:qFormat/>
    <w:rPr>
      <w:rFonts w:ascii="Wingdings" w:hAnsi="Wingdings" w:cs="Wingdings"/>
    </w:rPr>
  </w:style>
  <w:style w:type="character" w:styleId="WW8Num32z3">
    <w:name w:val="WW8Num32z3"/>
    <w:qFormat/>
    <w:rPr>
      <w:rFonts w:ascii="Symbol" w:hAnsi="Symbol" w:cs="Symbol"/>
    </w:rPr>
  </w:style>
  <w:style w:type="character" w:styleId="WW8Num34z0">
    <w:name w:val="WW8Num34z0"/>
    <w:qFormat/>
    <w:rPr/>
  </w:style>
  <w:style w:type="character" w:styleId="WW8Num35z0">
    <w:name w:val="WW8Num35z0"/>
    <w:qFormat/>
    <w:rPr>
      <w:rFonts w:ascii="Times New Roman" w:hAnsi="Times New Roman" w:eastAsia="Times New Roman" w:cs="Times New Roman"/>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5z3">
    <w:name w:val="WW8Num35z3"/>
    <w:qFormat/>
    <w:rPr>
      <w:rFonts w:ascii="Symbol" w:hAnsi="Symbol" w:cs="Symbol"/>
    </w:rPr>
  </w:style>
  <w:style w:type="character" w:styleId="WW8Num36z0">
    <w:name w:val="WW8Num36z0"/>
    <w:qFormat/>
    <w:rPr>
      <w:i/>
    </w:rPr>
  </w:style>
  <w:style w:type="character" w:styleId="WW8Num36z2">
    <w:name w:val="WW8Num36z2"/>
    <w:qFormat/>
    <w:rPr/>
  </w:style>
  <w:style w:type="character" w:styleId="WW8Num37z0">
    <w:name w:val="WW8Num37z0"/>
    <w:qFormat/>
    <w:rPr/>
  </w:style>
  <w:style w:type="character" w:styleId="WW8Num38z0">
    <w:name w:val="WW8Num38z0"/>
    <w:qFormat/>
    <w:rPr>
      <w:rFonts w:ascii="Symbol" w:hAnsi="Symbol" w:cs="Symbol"/>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9z0">
    <w:name w:val="WW8Num39z0"/>
    <w:qFormat/>
    <w:rPr>
      <w:rFonts w:ascii="ZapfDingbats" w:hAnsi="ZapfDingbats" w:cs="ZapfDingbats"/>
      <w:b/>
      <w:i w:val="false"/>
      <w:color w:val="70CEF5"/>
      <w:sz w:val="20"/>
      <w:szCs w:val="20"/>
    </w:rPr>
  </w:style>
  <w:style w:type="character" w:styleId="WW8Num39z1">
    <w:name w:val="WW8Num39z1"/>
    <w:qFormat/>
    <w:rPr>
      <w:rFonts w:ascii="Courier New" w:hAnsi="Courier New" w:cs="Courier New"/>
    </w:rPr>
  </w:style>
  <w:style w:type="character" w:styleId="WW8Num39z2">
    <w:name w:val="WW8Num39z2"/>
    <w:qFormat/>
    <w:rPr>
      <w:rFonts w:ascii="Wingdings" w:hAnsi="Wingdings" w:cs="Wingdings"/>
    </w:rPr>
  </w:style>
  <w:style w:type="character" w:styleId="WW8Num39z3">
    <w:name w:val="WW8Num39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NormalItalicChar">
    <w:name w:val="Normal + Italic Char"/>
    <w:qFormat/>
    <w:rPr>
      <w:i/>
      <w:iCs/>
      <w:lang w:val="en-GB" w:bidi="ar-SA"/>
    </w:rPr>
  </w:style>
  <w:style w:type="character" w:styleId="NOChar">
    <w:name w:val="NO Char"/>
    <w:qFormat/>
    <w:rPr/>
  </w:style>
  <w:style w:type="character" w:styleId="B1Char">
    <w:name w:val="B1 Char"/>
    <w:qFormat/>
    <w:rPr>
      <w:lang w:eastAsia="ja-JP"/>
    </w:rPr>
  </w:style>
  <w:style w:type="character" w:styleId="Heading8Char">
    <w:name w:val="Heading 8 Char"/>
    <w:qFormat/>
    <w:rPr>
      <w:rFonts w:ascii="Arial" w:hAnsi="Arial" w:cs="Arial"/>
      <w:sz w:val="36"/>
    </w:rPr>
  </w:style>
  <w:style w:type="character" w:styleId="B1Char1">
    <w:name w:val="B1 Char1"/>
    <w:qFormat/>
    <w:rPr>
      <w:rFonts w:ascii="Times New Roman" w:hAnsi="Times New Roman" w:cs="Times New Roman"/>
      <w:lang w:val="en-GB"/>
    </w:rPr>
  </w:style>
  <w:style w:type="character" w:styleId="EXChar">
    <w:name w:val="EX Char"/>
    <w:qFormat/>
    <w:rPr/>
  </w:style>
  <w:style w:type="character" w:styleId="B2Char">
    <w:name w:val="B2 Char"/>
    <w:qFormat/>
    <w:rPr>
      <w:lang w:eastAsia="ja-JP"/>
    </w:rPr>
  </w:style>
  <w:style w:type="character" w:styleId="ENChar">
    <w:name w:val="EN Char"/>
    <w:qFormat/>
    <w:rPr>
      <w:color w:val="FF0000"/>
      <w:lang w:eastAsia="ja-JP"/>
    </w:rPr>
  </w:style>
  <w:style w:type="character" w:styleId="BodyText2Char">
    <w:name w:val="Body Text 2 Char"/>
    <w:qFormat/>
    <w:rPr/>
  </w:style>
  <w:style w:type="character" w:styleId="BodyText3Char">
    <w:name w:val="Body Text 3 Char"/>
    <w:qFormat/>
    <w:rPr>
      <w:sz w:val="16"/>
      <w:szCs w:val="16"/>
    </w:rPr>
  </w:style>
  <w:style w:type="character" w:styleId="BodyTextChar">
    <w:name w:val="Body Text Char"/>
    <w:qFormat/>
    <w:rPr/>
  </w:style>
  <w:style w:type="character" w:styleId="BodyTextFirstIndentChar">
    <w:name w:val="Body Text First Indent Char"/>
    <w:basedOn w:val="BodyTextChar"/>
    <w:qFormat/>
    <w:rPr/>
  </w:style>
  <w:style w:type="character" w:styleId="BodyTextIndentChar">
    <w:name w:val="Body Text Indent Char"/>
    <w:qFormat/>
    <w:rPr/>
  </w:style>
  <w:style w:type="character" w:styleId="BodyTextFirstIndent2Char">
    <w:name w:val="Body Text First Indent 2 Char"/>
    <w:basedOn w:val="BodyTextIndentChar"/>
    <w:qFormat/>
    <w:rPr/>
  </w:style>
  <w:style w:type="character" w:styleId="BodyTextIndent2Char">
    <w:name w:val="Body Text Indent 2 Char"/>
    <w:qFormat/>
    <w:rPr/>
  </w:style>
  <w:style w:type="character" w:styleId="BodyTextIndent3Char">
    <w:name w:val="Body Text Indent 3 Char"/>
    <w:qFormat/>
    <w:rPr>
      <w:sz w:val="16"/>
      <w:szCs w:val="16"/>
    </w:rPr>
  </w:style>
  <w:style w:type="character" w:styleId="ClosingChar">
    <w:name w:val="Closing Char"/>
    <w:qFormat/>
    <w:rPr/>
  </w:style>
  <w:style w:type="character" w:styleId="CommentTextChar">
    <w:name w:val="Comment Text Char"/>
    <w:qFormat/>
    <w:rPr/>
  </w:style>
  <w:style w:type="character" w:styleId="CommentSubjectChar">
    <w:name w:val="Comment Subject Char"/>
    <w:qFormat/>
    <w:rPr>
      <w:b/>
      <w:bCs/>
    </w:rPr>
  </w:style>
  <w:style w:type="character" w:styleId="DateChar">
    <w:name w:val="Date Char"/>
    <w:qFormat/>
    <w:rPr/>
  </w:style>
  <w:style w:type="character" w:styleId="EmailSignatureChar">
    <w:name w:val="E-mail Signature Char"/>
    <w:qFormat/>
    <w:rPr/>
  </w:style>
  <w:style w:type="character" w:styleId="EndnoteTextChar">
    <w:name w:val="Endnote Text Char"/>
    <w:qFormat/>
    <w:rPr/>
  </w:style>
  <w:style w:type="character" w:styleId="HTMLAddressChar">
    <w:name w:val="HTML Address Char"/>
    <w:qFormat/>
    <w:rPr>
      <w:i/>
      <w:iCs/>
    </w:rPr>
  </w:style>
  <w:style w:type="character" w:styleId="HTMLPreformattedChar">
    <w:name w:val="HTML Preformatted Char"/>
    <w:qFormat/>
    <w:rPr>
      <w:rFonts w:ascii="Courier New" w:hAnsi="Courier New" w:cs="Courier New"/>
    </w:rPr>
  </w:style>
  <w:style w:type="character" w:styleId="IntenseQuoteChar">
    <w:name w:val="Intense Quote Char"/>
    <w:qFormat/>
    <w:rPr>
      <w:i/>
      <w:iCs/>
      <w:color w:val="4472C4"/>
    </w:rPr>
  </w:style>
  <w:style w:type="character" w:styleId="MacroTextChar">
    <w:name w:val="Macro Text Char"/>
    <w:qFormat/>
    <w:rPr>
      <w:rFonts w:ascii="Courier New" w:hAnsi="Courier New" w:cs="Courier New"/>
    </w:rPr>
  </w:style>
  <w:style w:type="character" w:styleId="MessageHeaderChar">
    <w:name w:val="Message Header Char"/>
    <w:qFormat/>
    <w:rPr>
      <w:rFonts w:ascii="Calibri Light" w:hAnsi="Calibri Light" w:cs="Calibri Light"/>
      <w:sz w:val="24"/>
      <w:szCs w:val="24"/>
      <w:shd w:fill="CCCCCC" w:val="clear"/>
    </w:rPr>
  </w:style>
  <w:style w:type="character" w:styleId="NoteHeadingChar">
    <w:name w:val="Note Heading Char"/>
    <w:qFormat/>
    <w:rPr/>
  </w:style>
  <w:style w:type="character" w:styleId="QuoteChar">
    <w:name w:val="Quote Char"/>
    <w:qFormat/>
    <w:rPr>
      <w:i/>
      <w:iCs/>
      <w:color w:val="404040"/>
    </w:rPr>
  </w:style>
  <w:style w:type="character" w:styleId="SalutationChar">
    <w:name w:val="Salutation Char"/>
    <w:qFormat/>
    <w:rPr/>
  </w:style>
  <w:style w:type="character" w:styleId="SignatureChar">
    <w:name w:val="Signature Char"/>
    <w:qFormat/>
    <w:rPr/>
  </w:style>
  <w:style w:type="character" w:styleId="SubtitleChar">
    <w:name w:val="Subtitle Char"/>
    <w:qFormat/>
    <w:rPr>
      <w:rFonts w:ascii="Calibri Light" w:hAnsi="Calibri Light" w:cs="Calibri Light"/>
      <w:sz w:val="24"/>
      <w:szCs w:val="24"/>
    </w:rPr>
  </w:style>
  <w:style w:type="character" w:styleId="Heading4Char">
    <w:name w:val="Heading 4 Char"/>
    <w:qFormat/>
    <w:rPr>
      <w:rFonts w:ascii="Arial" w:hAnsi="Arial" w:cs="Arial"/>
      <w:sz w:val="24"/>
    </w:rPr>
  </w:style>
  <w:style w:type="character" w:styleId="UnresolvedMention">
    <w:name w:val="Unresolved Mention"/>
    <w:qFormat/>
    <w:rPr>
      <w:color w:val="605E5C"/>
      <w:shd w:fill="E1DFDD" w:val="clear"/>
    </w:rPr>
  </w:style>
  <w:style w:type="character" w:styleId="IndexLink">
    <w:name w:val="Index Link"/>
    <w:qFormat/>
    <w:rPr/>
  </w:style>
  <w:style w:type="paragraph" w:styleId="Heading">
    <w:name w:val="Heading"/>
    <w:basedOn w:val="Normal"/>
    <w:next w:val="TextBody"/>
    <w:qFormat/>
    <w:pPr>
      <w:spacing w:before="120" w:after="120"/>
      <w:jc w:val="center"/>
    </w:pPr>
    <w:rPr>
      <w:b/>
      <w:bCs/>
      <w:sz w:val="28"/>
      <w:szCs w:val="24"/>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bidi="ar-SA" w:eastAsia="zh-CN"/>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bidi="ar-SA" w:eastAsia="zh-CN"/>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bidi="ar-SA" w:eastAsia="zh-CN"/>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6"/>
      </w:numPr>
    </w:pPr>
    <w:rPr/>
  </w:style>
  <w:style w:type="paragraph" w:styleId="ListNumber2">
    <w:name w:val="List Number 2"/>
    <w:basedOn w:val="ListNumber"/>
    <w:qFormat/>
    <w:pPr>
      <w:numPr>
        <w:ilvl w:val="0"/>
        <w:numId w:val="7"/>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bidi="ar-SA" w:eastAsia="zh-CN"/>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overflowPunct w:val="false"/>
      <w:autoSpaceDE w:val="false"/>
      <w:textAlignment w:val="baseline"/>
    </w:pPr>
    <w:rPr>
      <w:lang w:eastAsia="ja-JP"/>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8"/>
      </w:numPr>
    </w:pPr>
    <w:rPr/>
  </w:style>
  <w:style w:type="paragraph" w:styleId="ListBullet2">
    <w:name w:val="List Bullet 2"/>
    <w:basedOn w:val="ListBullet"/>
    <w:qFormat/>
    <w:pPr>
      <w:numPr>
        <w:ilvl w:val="0"/>
        <w:numId w:val="9"/>
      </w:numPr>
      <w:ind w:left="851" w:hanging="284"/>
    </w:pPr>
    <w:rPr/>
  </w:style>
  <w:style w:type="paragraph" w:styleId="List2">
    <w:name w:val="List Bullet 3"/>
    <w:basedOn w:val="List"/>
    <w:pPr>
      <w:ind w:left="851" w:hanging="284"/>
    </w:pPr>
    <w:rPr/>
  </w:style>
  <w:style w:type="paragraph" w:styleId="B2">
    <w:name w:val="B2"/>
    <w:basedOn w:val="List2"/>
    <w:qFormat/>
    <w:pPr>
      <w:overflowPunct w:val="false"/>
      <w:autoSpaceDE w:val="false"/>
      <w:textAlignment w:val="baseline"/>
    </w:pPr>
    <w:rPr>
      <w:lang w:eastAsia="ja-JP"/>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EditorsNote">
    <w:name w:val="Editor's Note"/>
    <w:basedOn w:val="NO"/>
    <w:qFormat/>
    <w:pPr>
      <w:overflowPunct w:val="false"/>
      <w:autoSpaceDE w:val="false"/>
      <w:textAlignment w:val="baseline"/>
    </w:pPr>
    <w:rPr>
      <w:color w:val="FF0000"/>
      <w:lang w:eastAsia="ja-JP"/>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TF">
    <w:name w:val="TF"/>
    <w:basedOn w:val="TH"/>
    <w:qFormat/>
    <w:pPr>
      <w:keepNext w:val="false"/>
      <w:overflowPunct w:val="false"/>
      <w:autoSpaceDE w:val="false"/>
      <w:spacing w:before="0" w:after="240"/>
      <w:textAlignment w:val="baseline"/>
    </w:pPr>
    <w:rPr>
      <w:lang w:eastAsia="ja-JP"/>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10"/>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style>
  <w:style w:type="paragraph" w:styleId="CouvRecTitle">
    <w:name w:val="Couv Rec Title"/>
    <w:basedOn w:val="Normal"/>
    <w:qFormat/>
    <w:pPr>
      <w:keepNext w:val="true"/>
      <w:keepLines/>
      <w:spacing w:before="240" w:after="180"/>
      <w:ind w:left="1418" w:hanging="0"/>
    </w:pPr>
    <w:rPr>
      <w:rFonts w:ascii="Arial" w:hAnsi="Arial" w:cs="Arial"/>
      <w:b/>
      <w:sz w:val="36"/>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ulleted">
    <w:name w:val="Bulleted"/>
    <w:basedOn w:val="Normal"/>
    <w:qFormat/>
    <w:pPr>
      <w:numPr>
        <w:ilvl w:val="0"/>
        <w:numId w:val="5"/>
      </w:numPr>
    </w:pPr>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BalloonText">
    <w:name w:val="Balloon Text"/>
    <w:basedOn w:val="Normal"/>
    <w:qFormat/>
    <w:pPr/>
    <w:rPr>
      <w:rFonts w:ascii="Tahoma" w:hAnsi="Tahoma" w:cs="Tahoma"/>
      <w:sz w:val="16"/>
      <w:szCs w:val="16"/>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Tabletext">
    <w:name w:val="table text"/>
    <w:basedOn w:val="Normal"/>
    <w:qFormat/>
    <w:pPr>
      <w:spacing w:before="40" w:after="40"/>
    </w:pPr>
    <w:rPr/>
  </w:style>
  <w:style w:type="paragraph" w:styleId="Bibliography">
    <w:name w:val="Bibliography"/>
    <w:basedOn w:val="Normal"/>
    <w:next w:val="Normal"/>
    <w:qFormat/>
    <w:pPr/>
    <w:rPr/>
  </w:style>
  <w:style w:type="paragraph" w:styleId="BlockText">
    <w:name w:val="Block Text"/>
    <w:basedOn w:val="Normal"/>
    <w:qFormat/>
    <w:pPr>
      <w:spacing w:before="0" w:after="120"/>
      <w:ind w:left="1440" w:right="1440" w:hanging="0"/>
    </w:pPr>
    <w:rPr/>
  </w:style>
  <w:style w:type="paragraph" w:styleId="BodyText2">
    <w:name w:val="Body Text 2"/>
    <w:basedOn w:val="Normal"/>
    <w:qFormat/>
    <w:pPr>
      <w:spacing w:lineRule="auto" w:line="480" w:before="0" w:after="120"/>
    </w:pPr>
    <w:rPr/>
  </w:style>
  <w:style w:type="paragraph" w:styleId="BodyText3">
    <w:name w:val="Body Text 3"/>
    <w:basedOn w:val="Normal"/>
    <w:qFormat/>
    <w:pPr>
      <w:spacing w:before="0" w:after="120"/>
    </w:pPr>
    <w:rPr>
      <w:sz w:val="16"/>
      <w:szCs w:val="16"/>
    </w:rPr>
  </w:style>
  <w:style w:type="paragraph" w:styleId="BodyTextFirstIndent">
    <w:name w:val="Body Text First Indent"/>
    <w:basedOn w:val="TextBody"/>
    <w:qFormat/>
    <w:pPr>
      <w:spacing w:before="0" w:after="120"/>
      <w:ind w:firstLine="210"/>
    </w:pPr>
    <w:rPr/>
  </w:style>
  <w:style w:type="paragraph" w:styleId="TextBodyIndent">
    <w:name w:val="Body Text Indent"/>
    <w:basedOn w:val="Normal"/>
    <w:pPr>
      <w:spacing w:before="0" w:after="120"/>
      <w:ind w:left="283" w:hanging="0"/>
    </w:pPr>
    <w:rPr/>
  </w:style>
  <w:style w:type="paragraph" w:styleId="BodyTextFirstIndent2">
    <w:name w:val="Body Text First Indent 2"/>
    <w:basedOn w:val="TextBodyIndent"/>
    <w:qFormat/>
    <w:pPr>
      <w:ind w:left="283" w:firstLine="210"/>
    </w:pPr>
    <w:rPr/>
  </w:style>
  <w:style w:type="paragraph" w:styleId="BodyTextIndent2">
    <w:name w:val="Body Text Indent 2"/>
    <w:basedOn w:val="Normal"/>
    <w:qFormat/>
    <w:pPr>
      <w:spacing w:lineRule="auto" w:line="480" w:before="0" w:after="120"/>
      <w:ind w:left="283" w:hanging="0"/>
    </w:pPr>
    <w:rPr/>
  </w:style>
  <w:style w:type="paragraph" w:styleId="BodyTextIndent3">
    <w:name w:val="Body Text Indent 3"/>
    <w:basedOn w:val="Normal"/>
    <w:qFormat/>
    <w:pPr>
      <w:spacing w:before="0" w:after="120"/>
      <w:ind w:left="283" w:hanging="0"/>
    </w:pPr>
    <w:rPr>
      <w:sz w:val="16"/>
      <w:szCs w:val="16"/>
    </w:rPr>
  </w:style>
  <w:style w:type="paragraph" w:styleId="Closing">
    <w:name w:val="Closing"/>
    <w:basedOn w:val="Normal"/>
    <w:qFormat/>
    <w:pPr>
      <w:ind w:left="4252" w:hanging="0"/>
    </w:pPr>
    <w:rPr/>
  </w:style>
  <w:style w:type="paragraph" w:styleId="CommentSubject">
    <w:name w:val="Comment Subject"/>
    <w:basedOn w:val="CommentText"/>
    <w:next w:val="CommentText"/>
    <w:qFormat/>
    <w:pPr/>
    <w:rPr>
      <w:b/>
      <w:bCs/>
    </w:rPr>
  </w:style>
  <w:style w:type="paragraph" w:styleId="Date">
    <w:name w:val="Date"/>
    <w:basedOn w:val="Normal"/>
    <w:next w:val="Normal"/>
    <w:qFormat/>
    <w:pPr/>
    <w:rPr/>
  </w:style>
  <w:style w:type="paragraph" w:styleId="EmailSignature">
    <w:name w:val="E-mail Signature"/>
    <w:basedOn w:val="Normal"/>
    <w:qFormat/>
    <w:pPr/>
    <w:rPr/>
  </w:style>
  <w:style w:type="paragraph" w:styleId="Endnote">
    <w:name w:val="Endnote Text"/>
    <w:basedOn w:val="Normal"/>
    <w:pPr/>
    <w:rPr/>
  </w:style>
  <w:style w:type="paragraph" w:styleId="Addressee">
    <w:name w:val="Envelope Address"/>
    <w:basedOn w:val="Normal"/>
    <w:pPr>
      <w:ind w:left="2880" w:hanging="0"/>
    </w:pPr>
    <w:rPr>
      <w:rFonts w:ascii="Calibri Light" w:hAnsi="Calibri Light" w:cs="Calibri Light"/>
      <w:sz w:val="24"/>
      <w:szCs w:val="24"/>
    </w:rPr>
  </w:style>
  <w:style w:type="paragraph" w:styleId="Sender">
    <w:name w:val="Envelope Return"/>
    <w:basedOn w:val="Normal"/>
    <w:pPr/>
    <w:rPr>
      <w:rFonts w:ascii="Calibri Light" w:hAnsi="Calibri Light" w:cs="Calibri Light"/>
    </w:rPr>
  </w:style>
  <w:style w:type="paragraph" w:styleId="HTMLAddress">
    <w:name w:val="HTML Address"/>
    <w:basedOn w:val="Normal"/>
    <w:qFormat/>
    <w:pPr/>
    <w:rPr>
      <w:i/>
      <w:iCs/>
    </w:rPr>
  </w:style>
  <w:style w:type="paragraph" w:styleId="HTMLPreformatted">
    <w:name w:val="HTML Preformatted"/>
    <w:basedOn w:val="Normal"/>
    <w:qFormat/>
    <w:pPr/>
    <w:rPr>
      <w:rFonts w:ascii="Courier New" w:hAnsi="Courier New" w:cs="Courier New"/>
    </w:rPr>
  </w:style>
  <w:style w:type="paragraph" w:styleId="Index3">
    <w:name w:val="Index 3"/>
    <w:basedOn w:val="Normal"/>
    <w:next w:val="Normal"/>
    <w:pPr>
      <w:ind w:left="600" w:hanging="200"/>
    </w:pPr>
    <w:rPr/>
  </w:style>
  <w:style w:type="paragraph" w:styleId="Index4">
    <w:name w:val="Index 4"/>
    <w:basedOn w:val="Normal"/>
    <w:next w:val="Normal"/>
    <w:qFormat/>
    <w:pPr>
      <w:ind w:left="800" w:hanging="200"/>
    </w:pPr>
    <w:rPr/>
  </w:style>
  <w:style w:type="paragraph" w:styleId="Index5">
    <w:name w:val="Index 5"/>
    <w:basedOn w:val="Normal"/>
    <w:next w:val="Normal"/>
    <w:qFormat/>
    <w:pPr>
      <w:ind w:left="1000" w:hanging="200"/>
    </w:pPr>
    <w:rPr/>
  </w:style>
  <w:style w:type="paragraph" w:styleId="Index6">
    <w:name w:val="Index 6"/>
    <w:basedOn w:val="Normal"/>
    <w:next w:val="Normal"/>
    <w:qFormat/>
    <w:pPr>
      <w:ind w:left="1200" w:hanging="200"/>
    </w:pPr>
    <w:rPr/>
  </w:style>
  <w:style w:type="paragraph" w:styleId="Index7">
    <w:name w:val="Index 7"/>
    <w:basedOn w:val="Normal"/>
    <w:next w:val="Normal"/>
    <w:qFormat/>
    <w:pPr>
      <w:ind w:left="1400" w:hanging="200"/>
    </w:pPr>
    <w:rPr/>
  </w:style>
  <w:style w:type="paragraph" w:styleId="Index8">
    <w:name w:val="Index 8"/>
    <w:basedOn w:val="Normal"/>
    <w:next w:val="Normal"/>
    <w:qFormat/>
    <w:pPr>
      <w:ind w:left="1600" w:hanging="200"/>
    </w:pPr>
    <w:rPr/>
  </w:style>
  <w:style w:type="paragraph" w:styleId="Index9">
    <w:name w:val="Index 9"/>
    <w:basedOn w:val="Normal"/>
    <w:next w:val="Normal"/>
    <w:qFormat/>
    <w:pPr>
      <w:ind w:left="1800" w:hanging="200"/>
    </w:pPr>
    <w:rPr/>
  </w:style>
  <w:style w:type="paragraph" w:styleId="IntenseQuote">
    <w:name w:val="Intense Quote"/>
    <w:basedOn w:val="Normal"/>
    <w:next w:val="Normal"/>
    <w:qFormat/>
    <w:pPr>
      <w:pBdr>
        <w:top w:val="single" w:sz="4" w:space="10" w:color="4472C4"/>
        <w:bottom w:val="single" w:sz="4" w:space="10" w:color="4472C4"/>
      </w:pBdr>
      <w:spacing w:before="360" w:after="360"/>
      <w:ind w:left="864" w:right="864" w:hanging="0"/>
      <w:jc w:val="center"/>
    </w:pPr>
    <w:rPr>
      <w:i/>
      <w:iCs/>
      <w:color w:val="4472C4"/>
    </w:rPr>
  </w:style>
  <w:style w:type="paragraph" w:styleId="ListContinue">
    <w:name w:val="List Continue"/>
    <w:basedOn w:val="Normal"/>
    <w:qFormat/>
    <w:pPr>
      <w:spacing w:before="0" w:after="120"/>
      <w:ind w:left="283" w:hanging="0"/>
      <w:contextualSpacing/>
    </w:pPr>
    <w:rPr/>
  </w:style>
  <w:style w:type="paragraph" w:styleId="ListContinue2">
    <w:name w:val="List Continue 2"/>
    <w:basedOn w:val="Normal"/>
    <w:qFormat/>
    <w:pPr>
      <w:spacing w:before="0" w:after="120"/>
      <w:ind w:left="566" w:hanging="0"/>
      <w:contextualSpacing/>
    </w:pPr>
    <w:rPr/>
  </w:style>
  <w:style w:type="paragraph" w:styleId="ListContinue3">
    <w:name w:val="List Continue 3"/>
    <w:basedOn w:val="Normal"/>
    <w:qFormat/>
    <w:pPr>
      <w:spacing w:before="0" w:after="120"/>
      <w:ind w:left="849" w:hanging="0"/>
      <w:contextualSpacing/>
    </w:pPr>
    <w:rPr/>
  </w:style>
  <w:style w:type="paragraph" w:styleId="ListContinue4">
    <w:name w:val="List Continue 4"/>
    <w:basedOn w:val="Normal"/>
    <w:qFormat/>
    <w:pPr>
      <w:spacing w:before="0" w:after="120"/>
      <w:ind w:left="1132" w:hanging="0"/>
      <w:contextualSpacing/>
    </w:pPr>
    <w:rPr/>
  </w:style>
  <w:style w:type="paragraph" w:styleId="ListContinue5">
    <w:name w:val="List Continue 5"/>
    <w:basedOn w:val="Normal"/>
    <w:qFormat/>
    <w:pPr>
      <w:spacing w:before="0" w:after="120"/>
      <w:ind w:left="1415" w:hanging="0"/>
      <w:contextualSpacing/>
    </w:pPr>
    <w:rPr/>
  </w:style>
  <w:style w:type="paragraph" w:styleId="ListNumber3">
    <w:name w:val="List Number 3"/>
    <w:basedOn w:val="Normal"/>
    <w:qFormat/>
    <w:pPr>
      <w:numPr>
        <w:ilvl w:val="0"/>
        <w:numId w:val="4"/>
      </w:numPr>
      <w:spacing w:before="0" w:after="180"/>
      <w:contextualSpacing/>
    </w:pPr>
    <w:rPr/>
  </w:style>
  <w:style w:type="paragraph" w:styleId="ListNumber4">
    <w:name w:val="List Number 4"/>
    <w:basedOn w:val="Normal"/>
    <w:qFormat/>
    <w:pPr>
      <w:numPr>
        <w:ilvl w:val="0"/>
        <w:numId w:val="3"/>
      </w:numPr>
      <w:spacing w:before="0" w:after="180"/>
      <w:contextualSpacing/>
    </w:pPr>
    <w:rPr/>
  </w:style>
  <w:style w:type="paragraph" w:styleId="ListNumber5">
    <w:name w:val="List Number 5"/>
    <w:basedOn w:val="Normal"/>
    <w:qFormat/>
    <w:pPr>
      <w:numPr>
        <w:ilvl w:val="0"/>
        <w:numId w:val="2"/>
      </w:numPr>
      <w:spacing w:before="0" w:after="180"/>
      <w:contextualSpacing/>
    </w:pPr>
    <w:rPr/>
  </w:style>
  <w:style w:type="paragraph" w:styleId="ListParagraph">
    <w:name w:val="List Paragraph"/>
    <w:basedOn w:val="Normal"/>
    <w:qFormat/>
    <w:pPr>
      <w:ind w:left="720" w:hanging="0"/>
    </w:pPr>
    <w:rPr/>
  </w:style>
  <w:style w:type="paragraph" w:styleId="MacroText">
    <w:name w:val="Macro Text"/>
    <w:qFormat/>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180"/>
    </w:pPr>
    <w:rPr>
      <w:rFonts w:ascii="Courier New" w:hAnsi="Courier New" w:eastAsia="Times New Roman" w:cs="Courier New"/>
      <w:color w:val="auto"/>
      <w:sz w:val="20"/>
      <w:szCs w:val="20"/>
      <w:lang w:val="en-GB" w:bidi="ar-SA" w:eastAsia="zh-CN"/>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fill="CCCCCC" w:val="clear"/>
      <w:ind w:left="1134" w:hanging="1134"/>
    </w:pPr>
    <w:rPr>
      <w:rFonts w:ascii="Calibri Light" w:hAnsi="Calibri Light" w:cs="Calibri Light"/>
      <w:sz w:val="24"/>
      <w:szCs w:val="24"/>
    </w:rPr>
  </w:style>
  <w:style w:type="paragraph" w:styleId="NoSpacing">
    <w:name w:val="No Spacing"/>
    <w:qFormat/>
    <w:pPr>
      <w:widowControl/>
      <w:bidi w:val="0"/>
    </w:pPr>
    <w:rPr>
      <w:rFonts w:ascii="Times New Roman" w:hAnsi="Times New Roman" w:eastAsia="Times New Roman" w:cs="Times New Roman"/>
      <w:color w:val="auto"/>
      <w:sz w:val="20"/>
      <w:szCs w:val="20"/>
      <w:lang w:val="en-GB" w:bidi="ar-SA" w:eastAsia="zh-CN"/>
    </w:rPr>
  </w:style>
  <w:style w:type="paragraph" w:styleId="NormalWeb">
    <w:name w:val="Normal (Web)"/>
    <w:basedOn w:val="Normal"/>
    <w:qFormat/>
    <w:pPr/>
    <w:rPr>
      <w:sz w:val="24"/>
      <w:szCs w:val="24"/>
    </w:rPr>
  </w:style>
  <w:style w:type="paragraph" w:styleId="NormalIndent">
    <w:name w:val="Normal Indent"/>
    <w:basedOn w:val="Normal"/>
    <w:qFormat/>
    <w:pPr>
      <w:ind w:left="720" w:hanging="0"/>
    </w:pPr>
    <w:rPr/>
  </w:style>
  <w:style w:type="paragraph" w:styleId="NoteHeading">
    <w:name w:val="Note Heading"/>
    <w:basedOn w:val="Normal"/>
    <w:next w:val="Normal"/>
    <w:qFormat/>
    <w:pPr/>
    <w:rPr/>
  </w:style>
  <w:style w:type="paragraph" w:styleId="Quote">
    <w:name w:val="Quote"/>
    <w:basedOn w:val="Normal"/>
    <w:next w:val="Normal"/>
    <w:qFormat/>
    <w:pPr>
      <w:spacing w:before="200" w:after="160"/>
      <w:ind w:left="864" w:right="864" w:hanging="0"/>
      <w:jc w:val="center"/>
    </w:pPr>
    <w:rPr>
      <w:i/>
      <w:iCs/>
      <w:color w:val="404040"/>
    </w:rPr>
  </w:style>
  <w:style w:type="paragraph" w:styleId="Salutation">
    <w:name w:val="Salutation"/>
    <w:basedOn w:val="Normal"/>
    <w:next w:val="Normal"/>
    <w:qFormat/>
    <w:pPr/>
    <w:rPr/>
  </w:style>
  <w:style w:type="paragraph" w:styleId="Signature">
    <w:name w:val="Signature"/>
    <w:basedOn w:val="Normal"/>
    <w:pPr>
      <w:ind w:left="4252" w:hanging="0"/>
    </w:pPr>
    <w:rPr/>
  </w:style>
  <w:style w:type="paragraph" w:styleId="Subtitle">
    <w:name w:val="Subtitle"/>
    <w:basedOn w:val="Normal"/>
    <w:next w:val="Normal"/>
    <w:qFormat/>
    <w:pPr>
      <w:spacing w:before="0" w:after="60"/>
      <w:jc w:val="center"/>
      <w:outlineLvl w:val="1"/>
    </w:pPr>
    <w:rPr>
      <w:rFonts w:ascii="Calibri Light" w:hAnsi="Calibri Light" w:cs="Calibri Light"/>
      <w:sz w:val="24"/>
      <w:szCs w:val="24"/>
    </w:rPr>
  </w:style>
  <w:style w:type="paragraph" w:styleId="TableofAuthorities">
    <w:name w:val="Table of Authorities"/>
    <w:basedOn w:val="Normal"/>
    <w:next w:val="Normal"/>
    <w:qFormat/>
    <w:pPr>
      <w:ind w:left="200" w:hanging="200"/>
    </w:pPr>
    <w:rPr/>
  </w:style>
  <w:style w:type="paragraph" w:styleId="TableofFigures">
    <w:name w:val="Table of Figures"/>
    <w:basedOn w:val="Normal"/>
    <w:next w:val="Normal"/>
    <w:qFormat/>
    <w:pPr/>
    <w:rPr/>
  </w:style>
  <w:style w:type="paragraph" w:styleId="TOAHeading">
    <w:name w:val="TOA Heading"/>
    <w:basedOn w:val="Normal"/>
    <w:next w:val="Normal"/>
    <w:qFormat/>
    <w:pPr>
      <w:spacing w:before="120" w:after="180"/>
    </w:pPr>
    <w:rPr>
      <w:rFonts w:ascii="Calibri Light" w:hAnsi="Calibri Light" w:cs="Calibri Light"/>
      <w:b/>
      <w:bCs/>
      <w:sz w:val="24"/>
      <w:szCs w:val="24"/>
    </w:rPr>
  </w:style>
  <w:style w:type="paragraph" w:styleId="TOCHeading">
    <w:name w:val="TOC Heading"/>
    <w:basedOn w:val="Heading1"/>
    <w:next w:val="Normal"/>
    <w:qFormat/>
    <w:pPr>
      <w:keepLines w:val="false"/>
      <w:numPr>
        <w:ilvl w:val="0"/>
        <w:numId w:val="0"/>
      </w:numPr>
      <w:pBdr>
        <w:top w:val="nil"/>
      </w:pBdr>
      <w:spacing w:before="240" w:after="60"/>
      <w:ind w:left="0" w:hanging="0"/>
      <w:outlineLvl w:val="9"/>
    </w:pPr>
    <w:rPr>
      <w:rFonts w:ascii="Calibri Light" w:hAnsi="Calibri Light" w:cs="Calibri Light"/>
      <w:b/>
      <w:bCs/>
      <w:kern w:val="2"/>
      <w:sz w:val="32"/>
      <w:szCs w:val="32"/>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oleObject" Target="embeddings/oleObject1.bin"/><Relationship Id="rId8" Type="http://schemas.openxmlformats.org/officeDocument/2006/relationships/image" Target="media/image3.wmf"/><Relationship Id="rId9" Type="http://schemas.openxmlformats.org/officeDocument/2006/relationships/hyperlink" Target="http://www.oasis-pki.org/pdfs/PKI_Basics-A_technical_perspective.pdf" TargetMode="External"/><Relationship Id="rId10" Type="http://schemas.openxmlformats.org/officeDocument/2006/relationships/hyperlink" Target="https://cabforum.org/wp-content/uploads/CA-Browser-Forum-BR-1.8.0.pdf" TargetMode="External"/><Relationship Id="rId11" Type="http://schemas.openxmlformats.org/officeDocument/2006/relationships/hyperlink" Target="https://www.gsma.com/security/resources/fs-34-key-management-for-4g-and-5g-inter-plmn-security/" TargetMode="External"/><Relationship Id="rId12" Type="http://schemas.openxmlformats.org/officeDocument/2006/relationships/oleObject" Target="embeddings/oleObject2.bin"/><Relationship Id="rId13" Type="http://schemas.openxmlformats.org/officeDocument/2006/relationships/image" Target="media/image4.wmf"/><Relationship Id="rId14" Type="http://schemas.openxmlformats.org/officeDocument/2006/relationships/oleObject" Target="embeddings/oleObject3.bin"/><Relationship Id="rId15" Type="http://schemas.openxmlformats.org/officeDocument/2006/relationships/image" Target="media/image5.wmf"/><Relationship Id="rId16" Type="http://schemas.openxmlformats.org/officeDocument/2006/relationships/oleObject" Target="embeddings/oleObject4.bin"/><Relationship Id="rId17" Type="http://schemas.openxmlformats.org/officeDocument/2006/relationships/image" Target="media/image6.wmf"/><Relationship Id="rId18" Type="http://schemas.openxmlformats.org/officeDocument/2006/relationships/oleObject" Target="embeddings/oleObject5.bin"/><Relationship Id="rId19" Type="http://schemas.openxmlformats.org/officeDocument/2006/relationships/image" Target="media/image7.wmf"/><Relationship Id="rId20" Type="http://schemas.openxmlformats.org/officeDocument/2006/relationships/image" Target="media/image8.wmf"/><Relationship Id="rId21" Type="http://schemas.openxmlformats.org/officeDocument/2006/relationships/oleObject" Target="embeddings/oleObject6.bin"/><Relationship Id="rId22" Type="http://schemas.openxmlformats.org/officeDocument/2006/relationships/image" Target="media/image9.wmf"/><Relationship Id="rId23" Type="http://schemas.openxmlformats.org/officeDocument/2006/relationships/oleObject" Target="embeddings/oleObject7.bin"/><Relationship Id="rId24" Type="http://schemas.openxmlformats.org/officeDocument/2006/relationships/image" Target="media/image10.wmf"/><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2023-09-20T13:25:00Z</dcterms:created>
  <dc:creator>MCC Support</dc:creator>
  <dc:description/>
  <cp:keywords>UMTS Security Network</cp:keywords>
  <dc:language>en-US</dc:language>
  <cp:lastModifiedBy>28.541_CR0995R1_(Rel-16)_TEI16</cp:lastModifiedBy>
  <dcterms:modified xsi:type="dcterms:W3CDTF">2023-09-20T13:25:00Z</dcterms:modified>
  <cp:revision>2</cp:revision>
  <dc:subject>Network Domain Security (NDS);Authentication Framework (AF) (Release 14156)</dc:subject>
  <dc:title>3GPP TS 33.310</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el-16%0110%33.310%Rel-16%0112%33.310%Rel-16%0113%33.310%Rel-16%0115%33.310%Rel-16%0116%33.310%Rel-16%0117%33.310%Rel-16%0127%33.310%Rel-16%0131%33.310%Rel-16%0133%33.310%Rel-16%0139%33.310%Rel-16%0141%33.310%Rel-16%0145%33.310%Rel-16%0147%33.310%Rel-16%01</vt:lpwstr>
  </property>
  <property fmtid="{D5CDD505-2E9C-101B-9397-08002B2CF9AE}" pid="3" name="MCCCRsImpl2">
    <vt:lpwstr>49%</vt:lpwstr>
  </property>
</Properties>
</file>