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rFonts w:eastAsia="Arial"/>
                                <w:sz w:val="64"/>
                                <w:lang w:val="en-GB" w:eastAsia="en-US"/>
                              </w:rPr>
                              <w:t xml:space="preserve"> </w:t>
                            </w:r>
                            <w:r>
                              <w:rPr>
                                <w:sz w:val="64"/>
                                <w:lang w:val="en-GB" w:eastAsia="en-US"/>
                              </w:rPr>
                              <w:t xml:space="preserve">3GPP TS 33.514 </w:t>
                            </w:r>
                            <w:r>
                              <w:rPr>
                                <w:lang w:val="en-GB" w:eastAsia="en-US"/>
                              </w:rPr>
                              <w:t xml:space="preserve">V16.4.0 </w:t>
                            </w:r>
                            <w:r>
                              <w:rPr>
                                <w:sz w:val="32"/>
                                <w:lang w:val="en-GB"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rFonts w:eastAsia="Arial"/>
                          <w:sz w:val="64"/>
                          <w:lang w:val="en-GB" w:eastAsia="en-US"/>
                        </w:rPr>
                        <w:t xml:space="preserve"> </w:t>
                      </w:r>
                      <w:r>
                        <w:rPr>
                          <w:sz w:val="64"/>
                          <w:lang w:val="en-GB" w:eastAsia="en-US"/>
                        </w:rPr>
                        <w:t xml:space="preserve">3GPP TS 33.514 </w:t>
                      </w:r>
                      <w:r>
                        <w:rPr>
                          <w:lang w:val="en-GB" w:eastAsia="en-US"/>
                        </w:rPr>
                        <w:t xml:space="preserve">V16.4.0 </w:t>
                      </w:r>
                      <w:r>
                        <w:rPr>
                          <w:sz w:val="32"/>
                          <w:lang w:val="en-GB"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Unified Data Management (UDM) network product class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Unified Data Management (UDM) network product class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UDM, product class, security, 5G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UDM, product class, security, 5G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34114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834114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834114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834115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834115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8341152">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834115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UDM-specific security requirements and related test cases</w:t>
            <w:tab/>
          </w:r>
          <w:hyperlink w:anchor="__RefHeading___Toc5834115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834115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Security functional requirements on the UDM derived from 3GPP specifications and related test cases</w:t>
            <w:tab/>
          </w:r>
          <w:hyperlink w:anchor="__RefHeading___Toc58341156">
            <w:r>
              <w:rPr>
                <w:rStyle w:val="IndexLink"/>
              </w:rPr>
              <w:t>7</w:t>
            </w:r>
          </w:hyperlink>
        </w:p>
        <w:p>
          <w:pPr>
            <w:pStyle w:val="Contents3"/>
            <w:rPr>
              <w:rFonts w:ascii="Calibri" w:hAnsi="Calibri" w:cs="Calibri"/>
              <w:sz w:val="22"/>
              <w:szCs w:val="22"/>
              <w:lang w:val="en-US" w:eastAsia="en-US"/>
            </w:rPr>
          </w:pPr>
          <w:r>
            <w:rPr>
              <w:rFonts w:eastAsia="SimSun;宋体"/>
            </w:rPr>
            <w:t>4.2.0</w:t>
          </w:r>
          <w:r>
            <w:rPr>
              <w:rFonts w:cs="Calibri" w:ascii="Calibri" w:hAnsi="Calibri"/>
              <w:sz w:val="22"/>
              <w:szCs w:val="22"/>
              <w:lang w:val="en-US" w:eastAsia="en-US"/>
            </w:rPr>
            <w:tab/>
          </w:r>
          <w:r>
            <w:rPr>
              <w:rFonts w:eastAsia="SimSun;宋体"/>
            </w:rPr>
            <w:t>General</w:t>
          </w:r>
          <w:r>
            <w:rPr/>
            <w:tab/>
          </w:r>
          <w:hyperlink w:anchor="__RefHeading___Toc58341157">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User Privacy Procedure</w:t>
            <w:tab/>
          </w:r>
          <w:hyperlink w:anchor="__RefHeading___Toc58341158">
            <w:r>
              <w:rPr>
                <w:rStyle w:val="IndexLink"/>
              </w:rPr>
              <w:t>7</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De-concealment of SUPI from the SUCI based on the protection scheme used to generate the SUCI.</w:t>
            <w:tab/>
          </w:r>
          <w:hyperlink w:anchor="__RefHeading___Toc58341159">
            <w:r>
              <w:rPr>
                <w:rStyle w:val="IndexLink"/>
              </w:rPr>
              <w:t>7</w:t>
            </w:r>
          </w:hyperlink>
        </w:p>
        <w:p>
          <w:pPr>
            <w:pStyle w:val="Contents3"/>
            <w:rPr>
              <w:rFonts w:ascii="Calibri" w:hAnsi="Calibri" w:cs="Calibri"/>
              <w:sz w:val="22"/>
              <w:szCs w:val="22"/>
              <w:lang w:val="en-US" w:eastAsia="en-US"/>
            </w:rPr>
          </w:pPr>
          <w:r>
            <w:rPr/>
            <w:t xml:space="preserve">4.2.2 </w:t>
          </w:r>
          <w:r>
            <w:rPr>
              <w:rFonts w:cs="Calibri" w:ascii="Calibri" w:hAnsi="Calibri"/>
              <w:sz w:val="22"/>
              <w:szCs w:val="22"/>
              <w:lang w:val="en-US" w:eastAsia="en-US"/>
            </w:rPr>
            <w:tab/>
          </w:r>
          <w:r>
            <w:rPr/>
            <w:t>Authentication and key agreement procedure</w:t>
            <w:tab/>
          </w:r>
          <w:hyperlink w:anchor="__RefHeading___Toc58341160">
            <w:r>
              <w:rPr>
                <w:rStyle w:val="IndexLink"/>
              </w:rPr>
              <w:t>8</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Synchronization failure handling</w:t>
            <w:tab/>
          </w:r>
          <w:hyperlink w:anchor="__RefHeading___Toc58341161">
            <w:r>
              <w:rPr>
                <w:rStyle w:val="IndexLink"/>
              </w:rPr>
              <w:t>8</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Storing of authentication status of UE by UDM.</w:t>
            <w:tab/>
          </w:r>
          <w:hyperlink w:anchor="__RefHeading___Toc58341162">
            <w:r>
              <w:rPr>
                <w:rStyle w:val="IndexLink"/>
              </w:rPr>
              <w:t>9</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8341163">
            <w:r>
              <w:rPr>
                <w:rStyle w:val="IndexLink"/>
              </w:rPr>
              <w:t>10</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8341164">
            <w:r>
              <w:rPr>
                <w:rStyle w:val="IndexLink"/>
              </w:rPr>
              <w:t>10</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1165">
            <w:r>
              <w:rPr>
                <w:rStyle w:val="IndexLink"/>
              </w:rPr>
              <w:t>10</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1166">
            <w:r>
              <w:rPr>
                <w:rStyle w:val="IndexLink"/>
              </w:rPr>
              <w:t>10</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1167">
            <w:r>
              <w:rPr>
                <w:rStyle w:val="IndexLink"/>
              </w:rPr>
              <w:t>10</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1168">
            <w:r>
              <w:rPr>
                <w:rStyle w:val="IndexLink"/>
              </w:rPr>
              <w:t>10</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1169">
            <w:r>
              <w:rPr>
                <w:rStyle w:val="IndexLink"/>
              </w:rPr>
              <w:t>10</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8341170">
            <w:r>
              <w:rPr>
                <w:rStyle w:val="IndexLink"/>
              </w:rPr>
              <w:t>10</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1171">
            <w:r>
              <w:rPr>
                <w:rStyle w:val="IndexLink"/>
              </w:rPr>
              <w:t>10</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8341172">
            <w:r>
              <w:rPr>
                <w:rStyle w:val="IndexLink"/>
              </w:rPr>
              <w:t>10</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8341173">
            <w:r>
              <w:rPr>
                <w:rStyle w:val="IndexLink"/>
              </w:rPr>
              <w:t>10</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8341174">
            <w:r>
              <w:rPr>
                <w:rStyle w:val="IndexLink"/>
              </w:rPr>
              <w:t>11</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8341175">
            <w:r>
              <w:rPr>
                <w:rStyle w:val="IndexLink"/>
              </w:rPr>
              <w:t>11</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8341176">
            <w:r>
              <w:rPr>
                <w:rStyle w:val="IndexLink"/>
              </w:rPr>
              <w:t>11</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8341177">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UDM</w:t>
          </w:r>
          <w:r>
            <w:rPr/>
            <w:t>-specific adaptations of hardening requirements and related test cases</w:t>
            <w:tab/>
          </w:r>
          <w:hyperlink w:anchor="__RefHeading___Toc58341178">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8341179">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8341180">
            <w:r>
              <w:rPr>
                <w:rStyle w:val="IndexLink"/>
              </w:rPr>
              <w:t>11</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8341181">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8341182">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8341183">
            <w:r>
              <w:rPr>
                <w:rStyle w:val="IndexLink"/>
              </w:rPr>
              <w:t>11</w:t>
            </w:r>
          </w:hyperlink>
        </w:p>
        <w:p>
          <w:pPr>
            <w:pStyle w:val="Contents3"/>
            <w:rPr>
              <w:rFonts w:ascii="Calibri" w:hAnsi="Calibri" w:cs="Calibri"/>
              <w:sz w:val="22"/>
              <w:szCs w:val="22"/>
              <w:lang w:val="en-US" w:eastAsia="en-US"/>
            </w:rPr>
          </w:pPr>
          <w:r>
            <w:rPr>
              <w:rFonts w:eastAsia="SimSun;宋体"/>
            </w:rPr>
            <w:t>4.3.6</w:t>
          </w:r>
          <w:r>
            <w:rPr>
              <w:rFonts w:cs="Calibri" w:ascii="Calibri" w:hAnsi="Calibri"/>
              <w:sz w:val="22"/>
              <w:szCs w:val="22"/>
              <w:lang w:val="en-US" w:eastAsia="en-US"/>
            </w:rPr>
            <w:tab/>
          </w:r>
          <w:r>
            <w:rPr>
              <w:rFonts w:eastAsia="SimSun;宋体"/>
            </w:rPr>
            <w:t>Network functions in service-based architecture</w:t>
          </w:r>
          <w:r>
            <w:rPr/>
            <w:tab/>
          </w:r>
          <w:hyperlink w:anchor="__RefHeading___Toc58341184">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lang w:val="en-US" w:eastAsia="en-US"/>
            </w:rPr>
            <w:t>UDM</w:t>
          </w:r>
          <w:r>
            <w:rPr/>
            <w:t>-specific adaptations of basic vulnerability testing requirements and related test cases</w:t>
            <w:tab/>
          </w:r>
          <w:hyperlink w:anchor="__RefHeading___Toc58341185">
            <w:r>
              <w:rPr>
                <w:rStyle w:val="IndexLink"/>
              </w:rPr>
              <w:t>11</w:t>
            </w:r>
          </w:hyperlink>
        </w:p>
        <w:p>
          <w:pPr>
            <w:pStyle w:val="Contents8"/>
            <w:rPr>
              <w:rFonts w:ascii="Calibri" w:hAnsi="Calibri" w:cs="Calibri"/>
              <w:szCs w:val="22"/>
              <w:lang w:val="en-US" w:eastAsia="en-US"/>
            </w:rPr>
          </w:pPr>
          <w:r>
            <w:rPr>
              <w:b w:val="false"/>
            </w:rPr>
            <w:t>Annex A (informative): Change history</w:t>
            <w:tab/>
          </w:r>
          <w:hyperlink w:anchor="__RefHeading___Toc58341186">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834114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9" w:name="__RefHeading___Toc58341148"/>
      <w:bookmarkEnd w:id="9"/>
      <w:r>
        <w:rPr/>
        <w:t>1</w:t>
        <w:tab/>
        <w:t>Scope</w:t>
      </w:r>
    </w:p>
    <w:p>
      <w:pPr>
        <w:pStyle w:val="Normal"/>
        <w:rPr/>
      </w:pPr>
      <w:r>
        <w:rPr/>
        <w:t>The present document contains requirements and test cases that are specific to the UDM network product class. It refers to the Catalogue of General Security Assurance Requirements and formulates specific adaptions of the requirements and test cases. It also specifies the requirements and test cases unique to the UDM network product class.</w:t>
      </w:r>
    </w:p>
    <w:p>
      <w:pPr>
        <w:pStyle w:val="Heading1"/>
        <w:ind w:left="1134" w:hanging="1134"/>
        <w:rPr/>
      </w:pPr>
      <w:bookmarkStart w:id="10" w:name="__RefHeading___Toc58341149"/>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33.501 (Release 15): "Security architecture and procedures for 5G system".</w:t>
      </w:r>
    </w:p>
    <w:p>
      <w:pPr>
        <w:pStyle w:val="EX"/>
        <w:rPr/>
      </w:pPr>
      <w:r>
        <w:rPr/>
        <w:t>[3]</w:t>
        <w:tab/>
        <w:t>3GPP TS 33.117: "Catalogue of general security assurance requirements".</w:t>
      </w:r>
    </w:p>
    <w:p>
      <w:pPr>
        <w:pStyle w:val="EX"/>
        <w:rPr/>
      </w:pPr>
      <w:r>
        <w:rPr/>
        <w:t>[4]</w:t>
        <w:tab/>
        <w:t>3GPP TR 33.926 "Security Assurance Specification (SCAS) threats and critical assets in 3GPP network product classes".</w:t>
      </w:r>
    </w:p>
    <w:p>
      <w:pPr>
        <w:pStyle w:val="EX"/>
        <w:rPr/>
      </w:pPr>
      <w:r>
        <w:rPr/>
        <w:t>[5]</w:t>
        <w:tab/>
        <w:t>3GPP TS 23.501: "System Architecture for the 5G System (5GS)".</w:t>
      </w:r>
    </w:p>
    <w:p>
      <w:pPr>
        <w:pStyle w:val="EX"/>
        <w:rPr/>
      </w:pPr>
      <w:r>
        <w:rPr/>
        <w:t>[6]</w:t>
        <w:tab/>
        <w:t>3GPP TS 23.003: "Numbering, addressing and identification".</w:t>
      </w:r>
    </w:p>
    <w:p>
      <w:pPr>
        <w:pStyle w:val="Heading1"/>
        <w:ind w:left="1134" w:hanging="1134"/>
        <w:rPr/>
      </w:pPr>
      <w:bookmarkStart w:id="19" w:name="__RefHeading___Toc58341150"/>
      <w:bookmarkEnd w:id="19"/>
      <w:r>
        <w:rPr/>
        <w:t>3</w:t>
        <w:tab/>
        <w:t>Definitions of terms, symbols and abbreviations</w:t>
      </w:r>
    </w:p>
    <w:p>
      <w:pPr>
        <w:pStyle w:val="Heading2"/>
        <w:rPr/>
      </w:pPr>
      <w:bookmarkStart w:id="20" w:name="__RefHeading___Toc58341151"/>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pPr>
      <w:r>
        <w:rPr>
          <w:b/>
        </w:rPr>
        <w:t xml:space="preserve">Subscription Identifier: </w:t>
      </w:r>
      <w:r>
        <w:rPr/>
        <w:t>Defined in TS 23.501 [5] and in TS 23.003 [6].</w:t>
      </w:r>
    </w:p>
    <w:p>
      <w:pPr>
        <w:pStyle w:val="Normal"/>
        <w:rPr/>
      </w:pPr>
      <w:r>
        <w:rPr>
          <w:b/>
        </w:rPr>
        <w:t>Subscription Concealed Identifier:</w:t>
      </w:r>
      <w:r>
        <w:rPr/>
        <w:t xml:space="preserve"> Defined in TS 33.501 [2].</w:t>
      </w:r>
    </w:p>
    <w:p>
      <w:pPr>
        <w:pStyle w:val="Normal"/>
        <w:rPr/>
      </w:pPr>
      <w:r>
        <w:rPr>
          <w:b/>
        </w:rPr>
        <w:t xml:space="preserve">Subscription Identifier De-concealing Function: </w:t>
      </w:r>
      <w:r>
        <w:rPr/>
        <w:t>Defined in TS 33.501 [2].</w:t>
      </w:r>
    </w:p>
    <w:p>
      <w:pPr>
        <w:pStyle w:val="Heading2"/>
        <w:rPr/>
      </w:pPr>
      <w:bookmarkStart w:id="24" w:name="__RefHeading___Toc58341152"/>
      <w:bookmarkEnd w:id="24"/>
      <w:r>
        <w:rPr/>
        <w:t>3.2</w:t>
        <w:tab/>
        <w:t>Symbols</w:t>
      </w:r>
    </w:p>
    <w:p>
      <w:pPr>
        <w:pStyle w:val="Normal"/>
        <w:rPr/>
      </w:pPr>
      <w:r>
        <w:rPr/>
        <w:t>Void.</w:t>
      </w:r>
    </w:p>
    <w:p>
      <w:pPr>
        <w:pStyle w:val="Heading2"/>
        <w:rPr/>
      </w:pPr>
      <w:bookmarkStart w:id="25" w:name="__RefHeading___Toc58341153"/>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t>5GS</w:t>
        <w:tab/>
        <w:t>5G System</w:t>
      </w:r>
    </w:p>
    <w:p>
      <w:pPr>
        <w:pStyle w:val="EW"/>
        <w:rPr/>
      </w:pPr>
      <w:r>
        <w:rPr/>
        <w:t>AMF</w:t>
        <w:tab/>
        <w:t>Access and Mobility Management Function</w:t>
      </w:r>
    </w:p>
    <w:p>
      <w:pPr>
        <w:pStyle w:val="EW"/>
        <w:rPr/>
      </w:pPr>
      <w:r>
        <w:rPr/>
        <w:t>AKA</w:t>
        <w:tab/>
        <w:t>Authentication and Key Agreement</w:t>
      </w:r>
    </w:p>
    <w:p>
      <w:pPr>
        <w:pStyle w:val="EW"/>
        <w:rPr/>
      </w:pPr>
      <w:r>
        <w:rPr/>
        <w:t>ARPF</w:t>
        <w:tab/>
        <w:t>Authentication credential Repository and Processing Function</w:t>
      </w:r>
    </w:p>
    <w:p>
      <w:pPr>
        <w:pStyle w:val="EW"/>
        <w:rPr/>
      </w:pPr>
      <w:r>
        <w:rPr/>
        <w:t>AUSF</w:t>
        <w:tab/>
        <w:t>Authentication Server Function</w:t>
      </w:r>
    </w:p>
    <w:p>
      <w:pPr>
        <w:pStyle w:val="EW"/>
        <w:rPr/>
      </w:pPr>
      <w:r>
        <w:rPr/>
        <w:t>EAP</w:t>
        <w:tab/>
        <w:t>Extensible Authentication Protocol</w:t>
      </w:r>
    </w:p>
    <w:p>
      <w:pPr>
        <w:pStyle w:val="EW"/>
        <w:rPr/>
      </w:pPr>
      <w:r>
        <w:rPr/>
        <w:t>SIDF</w:t>
        <w:tab/>
        <w:t xml:space="preserve">Subscription Identifier De-concealing Function </w:t>
      </w:r>
    </w:p>
    <w:p>
      <w:pPr>
        <w:pStyle w:val="EW"/>
        <w:rPr/>
      </w:pPr>
      <w:r>
        <w:rPr>
          <w:lang w:eastAsia="ko-KR"/>
        </w:rPr>
        <w:t>SUCI</w:t>
        <w:tab/>
        <w:t>Subscription Concealed Identifier</w:t>
      </w:r>
    </w:p>
    <w:p>
      <w:pPr>
        <w:pStyle w:val="EW"/>
        <w:rPr/>
      </w:pPr>
      <w:r>
        <w:rPr/>
        <w:t>SUPI</w:t>
        <w:tab/>
        <w:t>Subscription Permanent Identifier</w:t>
      </w:r>
    </w:p>
    <w:p>
      <w:pPr>
        <w:pStyle w:val="EW"/>
        <w:rPr/>
      </w:pPr>
      <w:r>
        <w:rPr/>
        <w:t>UDM</w:t>
        <w:tab/>
        <w:t>Unified Data Management</w:t>
      </w:r>
    </w:p>
    <w:p>
      <w:pPr>
        <w:pStyle w:val="EX"/>
        <w:rPr/>
      </w:pPr>
      <w:r>
        <w:rPr/>
        <w:t>UDR</w:t>
        <w:tab/>
        <w:t>Unified Data Repository</w:t>
      </w:r>
    </w:p>
    <w:p>
      <w:pPr>
        <w:pStyle w:val="Heading1"/>
        <w:ind w:left="1134" w:hanging="1134"/>
        <w:rPr/>
      </w:pPr>
      <w:bookmarkStart w:id="26" w:name="__RefHeading___Toc58341154"/>
      <w:bookmarkEnd w:id="26"/>
      <w:r>
        <w:rPr/>
        <w:t>4</w:t>
        <w:tab/>
        <w:t>UDM-specific security requirements and related test cases</w:t>
      </w:r>
    </w:p>
    <w:p>
      <w:pPr>
        <w:pStyle w:val="Heading2"/>
        <w:rPr/>
      </w:pPr>
      <w:bookmarkStart w:id="27" w:name="__RefHeading___Toc58341155"/>
      <w:bookmarkEnd w:id="27"/>
      <w:r>
        <w:rPr/>
        <w:t>4.1</w:t>
        <w:tab/>
        <w:t>Introduction</w:t>
      </w:r>
    </w:p>
    <w:p>
      <w:pPr>
        <w:pStyle w:val="Normal"/>
        <w:rPr/>
      </w:pPr>
      <w:r>
        <w:rPr/>
        <w:t>UDM specific security requirements include both requirements derived from UDM specific security functional requirements in relevant specifications as well as security requirements introduced in the present document derived from the threats specific to UDM as described in TR 33.926 [4].</w:t>
      </w:r>
    </w:p>
    <w:p>
      <w:pPr>
        <w:pStyle w:val="Heading2"/>
        <w:rPr/>
      </w:pPr>
      <w:bookmarkStart w:id="28" w:name="__RefHeading___Toc58341156"/>
      <w:bookmarkEnd w:id="28"/>
      <w:r>
        <w:rPr/>
        <w:t>4.2</w:t>
        <w:tab/>
        <w:t>Security functional requirements on the UDM derived from 3GPP specifications and related test cases</w:t>
      </w:r>
    </w:p>
    <w:p>
      <w:pPr>
        <w:pStyle w:val="Heading3"/>
        <w:rPr>
          <w:rFonts w:eastAsia="SimSun;宋体"/>
        </w:rPr>
      </w:pPr>
      <w:bookmarkStart w:id="29" w:name="__RefHeading___Toc58341157"/>
      <w:bookmarkEnd w:id="29"/>
      <w:r>
        <w:rPr>
          <w:rFonts w:eastAsia="SimSun;宋体"/>
        </w:rPr>
        <w:t>4.2.0</w:t>
        <w:tab/>
        <w:t>General</w:t>
      </w:r>
    </w:p>
    <w:p>
      <w:pPr>
        <w:pStyle w:val="Normal"/>
        <w:rPr/>
      </w:pPr>
      <w:r>
        <w:rPr/>
        <w:t>The general approach in TS 33.117 [3] clause 4.2.2.1 and all the requirements and test cases in TS 33.117 [3] clause 4.2.2.2 related to SBA/SBI aspect apply to the UDM network product class.</w:t>
      </w:r>
    </w:p>
    <w:p>
      <w:pPr>
        <w:pStyle w:val="Heading3"/>
        <w:rPr/>
      </w:pPr>
      <w:bookmarkStart w:id="30" w:name="__RefHeading___Toc58341158"/>
      <w:bookmarkEnd w:id="30"/>
      <w:r>
        <w:rPr/>
        <w:t>4.2.1</w:t>
        <w:tab/>
        <w:t>User Privacy Procedure</w:t>
      </w:r>
    </w:p>
    <w:p>
      <w:pPr>
        <w:pStyle w:val="Heading4"/>
        <w:ind w:left="1418" w:hanging="1418"/>
        <w:rPr/>
      </w:pPr>
      <w:bookmarkStart w:id="31" w:name="__RefHeading___Toc58341159"/>
      <w:bookmarkEnd w:id="31"/>
      <w:r>
        <w:rPr/>
        <w:t>4.2.1.1</w:t>
        <w:tab/>
        <w:t>De-concealment of SUPI from the SUCI based on the protection scheme used to generate the SUCI.</w:t>
      </w:r>
    </w:p>
    <w:p>
      <w:pPr>
        <w:pStyle w:val="Normal"/>
        <w:rPr>
          <w:lang w:eastAsia="ja-JP"/>
        </w:rPr>
      </w:pPr>
      <w:r>
        <w:rPr>
          <w:i/>
        </w:rPr>
        <w:t>Requirement Name:</w:t>
      </w:r>
      <w:r>
        <w:rPr/>
        <w:t xml:space="preserve"> </w:t>
      </w:r>
      <w:r>
        <w:rPr>
          <w:lang w:eastAsia="ja-JP"/>
        </w:rPr>
        <w:t xml:space="preserve">De-concealment of SUPI from the SUCI based on the protection scheme used to generate the SUCI. </w:t>
      </w:r>
    </w:p>
    <w:p>
      <w:pPr>
        <w:pStyle w:val="Normal"/>
        <w:rPr/>
      </w:pPr>
      <w:r>
        <w:rPr>
          <w:i/>
        </w:rPr>
        <w:t>Requirement Reference:</w:t>
      </w:r>
      <w:r>
        <w:rPr/>
        <w:t xml:space="preserve"> TS 33.501 [2], clause 5.8.2.</w:t>
      </w:r>
    </w:p>
    <w:p>
      <w:pPr>
        <w:pStyle w:val="Normal"/>
        <w:rPr/>
      </w:pPr>
      <w:r>
        <w:rPr>
          <w:i/>
        </w:rPr>
        <w:t>Requirement Description:</w:t>
      </w:r>
      <w:r>
        <w:rPr/>
        <w:t xml:space="preserve"> "The SIDF shall resolve the SUPI from the SUCI based on the protection scheme used to generate the SUCI." as specified in TS 33.501 [2], clause 5.8.2. </w:t>
      </w:r>
    </w:p>
    <w:p>
      <w:pPr>
        <w:pStyle w:val="Normal"/>
        <w:rPr/>
      </w:pPr>
      <w:r>
        <w:rPr>
          <w:i/>
        </w:rPr>
        <w:t>Threat References</w:t>
      </w:r>
      <w:r>
        <w:rPr/>
        <w:t>: TR 33.926 [4], clause E.2.2.1, Incorrect SUCI de-concealment.</w:t>
      </w:r>
    </w:p>
    <w:p>
      <w:pPr>
        <w:pStyle w:val="Normal"/>
        <w:rPr>
          <w:b/>
          <w:b/>
        </w:rPr>
      </w:pPr>
      <w:r>
        <w:rPr>
          <w:b/>
        </w:rPr>
        <w:t>TEST CASE:</w:t>
      </w:r>
    </w:p>
    <w:p>
      <w:pPr>
        <w:pStyle w:val="Normal"/>
        <w:rPr/>
      </w:pPr>
      <w:r>
        <w:rPr>
          <w:b/>
        </w:rPr>
        <w:t xml:space="preserve">Test Name: </w:t>
      </w:r>
      <w:r>
        <w:rPr/>
        <w:t>TC_DE-CONCEAL_SUPI_from_SUCI_UDM</w:t>
      </w:r>
    </w:p>
    <w:p>
      <w:pPr>
        <w:pStyle w:val="Normal"/>
        <w:rPr>
          <w:b/>
          <w:b/>
        </w:rPr>
      </w:pPr>
      <w:r>
        <w:rPr>
          <w:b/>
        </w:rPr>
        <w:t>Purpose:</w:t>
      </w:r>
    </w:p>
    <w:p>
      <w:pPr>
        <w:pStyle w:val="Normal"/>
        <w:rPr/>
      </w:pPr>
      <w:r>
        <w:rPr/>
        <w:t>Verify that the SIDF De-conceals the SUPI from the SUCI based on the protection scheme used to generate the SUCI.</w:t>
      </w:r>
    </w:p>
    <w:p>
      <w:pPr>
        <w:pStyle w:val="Normal"/>
        <w:keepNext w:val="true"/>
        <w:keepLines/>
        <w:spacing w:before="180" w:after="180"/>
        <w:rPr/>
      </w:pPr>
      <w:r>
        <w:rPr>
          <w:b/>
          <w:lang w:eastAsia="zh-CN"/>
        </w:rPr>
        <w:t>Procedure and execution steps:</w:t>
      </w:r>
    </w:p>
    <w:p>
      <w:pPr>
        <w:pStyle w:val="Normal"/>
        <w:rPr>
          <w:b/>
          <w:b/>
        </w:rPr>
      </w:pPr>
      <w:r>
        <w:rPr>
          <w:b/>
        </w:rPr>
        <w:t>Pre-Condition:</w:t>
      </w:r>
    </w:p>
    <w:p>
      <w:pPr>
        <w:pStyle w:val="B1"/>
        <w:rPr/>
      </w:pPr>
      <w:r>
        <w:rPr/>
        <w:t>-</w:t>
        <w:tab/>
        <w:t>UDM network product is connected in simulated/real network environment including an AUSF and AMF.</w:t>
      </w:r>
    </w:p>
    <w:p>
      <w:pPr>
        <w:pStyle w:val="B1"/>
        <w:rPr/>
      </w:pPr>
      <w:r>
        <w:rPr/>
        <w:t>-</w:t>
        <w:tab/>
        <w:t>Tester shall have access to the subscription data stored in UDR.</w:t>
      </w:r>
    </w:p>
    <w:p>
      <w:pPr>
        <w:pStyle w:val="B1"/>
        <w:rPr/>
      </w:pPr>
      <w:r>
        <w:rPr/>
        <w:t>-</w:t>
        <w:tab/>
        <w:t>Tester shall record the SUPI from the UE.</w:t>
      </w:r>
    </w:p>
    <w:p>
      <w:pPr>
        <w:pStyle w:val="Normal"/>
        <w:rPr>
          <w:b/>
          <w:b/>
        </w:rPr>
      </w:pPr>
      <w:r>
        <w:rPr>
          <w:b/>
        </w:rPr>
        <w:t>Execution Steps:</w:t>
      </w:r>
    </w:p>
    <w:p>
      <w:pPr>
        <w:pStyle w:val="Normal"/>
        <w:rPr>
          <w:b/>
          <w:b/>
        </w:rPr>
      </w:pPr>
      <w:r>
        <w:rPr>
          <w:b/>
        </w:rPr>
        <w:t>Test case:</w:t>
      </w:r>
    </w:p>
    <w:p>
      <w:pPr>
        <w:pStyle w:val="B1"/>
        <w:rPr/>
      </w:pPr>
      <w:r>
        <w:rPr/>
        <w:t xml:space="preserve">Tester shall capture the entire authentication procedure between UE and AMF over N1, N12 and N13 interface using any network analyser. </w:t>
      </w:r>
    </w:p>
    <w:p>
      <w:pPr>
        <w:pStyle w:val="B1"/>
        <w:rPr/>
      </w:pPr>
      <w:r>
        <w:rPr/>
        <w:t>1.</w:t>
        <w:tab/>
        <w:t>Tester shall filter the Nudm_Authentication_Get Response message sent from UDM to AUSF over N13 interface containing the SUPI.</w:t>
      </w:r>
    </w:p>
    <w:p>
      <w:pPr>
        <w:pStyle w:val="B1"/>
        <w:rPr/>
      </w:pPr>
      <w:r>
        <w:rPr/>
        <w:t>2.</w:t>
        <w:tab/>
        <w:t xml:space="preserve">Tester shall compare the SUPI </w:t>
      </w:r>
      <w:r>
        <w:rPr>
          <w:rFonts w:eastAsia="SimSun;宋体"/>
          <w:lang w:eastAsia="zh-CN"/>
        </w:rPr>
        <w:t xml:space="preserve">gotten </w:t>
      </w:r>
      <w:r>
        <w:rPr/>
        <w:t>from UE and the SUPI retrieved from Nudm_Authentication_Get Response message.</w:t>
      </w:r>
    </w:p>
    <w:p>
      <w:pPr>
        <w:pStyle w:val="NO"/>
        <w:rPr/>
      </w:pPr>
      <w:r>
        <w:rPr/>
        <w:t>NOTE:</w:t>
        <w:tab/>
        <w:t>The tester may filter the Nausf_UEAutentication_Authenticate Response message sent from the UDM/AUSF to the AMF over N12 interface containing the SUPI, if the UDM and AUSF network products are collocated without an open N13 interface.</w:t>
      </w:r>
    </w:p>
    <w:p>
      <w:pPr>
        <w:pStyle w:val="Normal"/>
        <w:rPr/>
      </w:pPr>
      <w:r>
        <w:rPr>
          <w:b/>
        </w:rPr>
        <w:t>Expected Results:</w:t>
      </w:r>
    </w:p>
    <w:p>
      <w:pPr>
        <w:pStyle w:val="Normal"/>
        <w:rPr/>
      </w:pPr>
      <w:r>
        <w:rPr/>
        <w:t>SIDF resolves the SUPI from the SUCI based on the protection scheme used to generate the SUCI.</w:t>
      </w:r>
    </w:p>
    <w:p>
      <w:pPr>
        <w:pStyle w:val="Normal"/>
        <w:rPr/>
      </w:pPr>
      <w:r>
        <w:rPr>
          <w:b/>
        </w:rPr>
        <w:t>Expected format of evidence:</w:t>
      </w:r>
    </w:p>
    <w:p>
      <w:pPr>
        <w:pStyle w:val="Normal"/>
        <w:rPr/>
      </w:pPr>
      <w:r>
        <w:rPr/>
        <w:t>Evidence suitable for the interface, e.g., evidence can be presented in the form of screenshot/screen-capture.</w:t>
      </w:r>
    </w:p>
    <w:p>
      <w:pPr>
        <w:pStyle w:val="Heading3"/>
        <w:rPr/>
      </w:pPr>
      <w:bookmarkStart w:id="32" w:name="__RefHeading___Toc58341160"/>
      <w:bookmarkEnd w:id="32"/>
      <w:r>
        <w:rPr/>
        <w:t xml:space="preserve">4.2.2 </w:t>
        <w:tab/>
        <w:t>Authentication and key agreement procedure</w:t>
      </w:r>
    </w:p>
    <w:p>
      <w:pPr>
        <w:pStyle w:val="Heading4"/>
        <w:ind w:left="1418" w:hanging="1418"/>
        <w:rPr/>
      </w:pPr>
      <w:bookmarkStart w:id="33" w:name="__RefHeading___Toc58341161"/>
      <w:bookmarkEnd w:id="33"/>
      <w:r>
        <w:rPr/>
        <w:t>4.2.2.1</w:t>
        <w:tab/>
        <w:t>Synchronization failure handling</w:t>
      </w:r>
    </w:p>
    <w:p>
      <w:pPr>
        <w:pStyle w:val="Normal"/>
        <w:rPr>
          <w:lang w:eastAsia="zh-CN"/>
        </w:rPr>
      </w:pPr>
      <w:r>
        <w:rPr>
          <w:i/>
        </w:rPr>
        <w:t>Requirement Name</w:t>
      </w:r>
      <w:r>
        <w:rPr/>
        <w:t>: Synchronization failure handling</w:t>
      </w:r>
    </w:p>
    <w:p>
      <w:pPr>
        <w:pStyle w:val="Normal"/>
        <w:rPr/>
      </w:pPr>
      <w:r>
        <w:rPr>
          <w:i/>
        </w:rPr>
        <w:t xml:space="preserve">Requirement Reference: </w:t>
      </w:r>
      <w:r>
        <w:rPr/>
        <w:t>TS 33.501 [2], clause 6.1.3.3.2.</w:t>
      </w:r>
    </w:p>
    <w:p>
      <w:pPr>
        <w:pStyle w:val="Normal"/>
        <w:rPr/>
      </w:pPr>
      <w:r>
        <w:rPr>
          <w:i/>
        </w:rPr>
        <w:t>Requirement Description</w:t>
      </w:r>
      <w:r>
        <w:rPr/>
        <w:t>: "When the UDM/ARPF receives an Nudm_UEAuthentication_Get Request message with a "synchronisation failure indication" it acts as described in TS 33.102 [9], clause 6.3.5 where ARPF is mapped to HE/AuC. The UDM/ARPF sends an Nudm_UEAuthentication_Get Response message with a new authentication vector for either EAP-AKA' or 5G-AKA depending on the authentication method applicable for the user to the AUSF.</w:t>
      </w:r>
      <w:r>
        <w:rPr>
          <w:lang w:eastAsia="zh-CN"/>
        </w:rPr>
        <w:t xml:space="preserve">as specified in </w:t>
      </w:r>
      <w:r>
        <w:rPr/>
        <w:t>TS 33.501 [2], clause 6.1.3.3.2.</w:t>
      </w:r>
    </w:p>
    <w:p>
      <w:pPr>
        <w:pStyle w:val="Normal"/>
        <w:rPr/>
      </w:pPr>
      <w:r>
        <w:rPr>
          <w:i/>
        </w:rPr>
        <w:t>Threat References</w:t>
      </w:r>
      <w:r>
        <w:rPr/>
        <w:t>: TR 33.926 [4], clause E.2.2.2, Synchronization failure.</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w:t>
      </w:r>
      <w:r>
        <w:rPr/>
        <w:t>synchronization failure is recovered correctly in the home network</w:t>
      </w:r>
      <w:r>
        <w:rPr>
          <w:lang w:eastAsia="zh-CN"/>
        </w:rPr>
        <w:t xml:space="preserve">. </w:t>
      </w:r>
    </w:p>
    <w:p>
      <w:pPr>
        <w:pStyle w:val="Normal"/>
        <w:rPr/>
      </w:pPr>
      <w:r>
        <w:rPr>
          <w:b/>
          <w:lang w:eastAsia="zh-CN"/>
        </w:rPr>
        <w:t>Pre-Conditions:</w:t>
      </w:r>
    </w:p>
    <w:p>
      <w:pPr>
        <w:pStyle w:val="Normal"/>
        <w:rPr/>
      </w:pPr>
      <w:r>
        <w:rPr>
          <w:lang w:eastAsia="zh-CN"/>
        </w:rPr>
        <w:t xml:space="preserve">Test environment with an AUSF. The AUSF or AMF may be simulated. </w:t>
      </w:r>
    </w:p>
    <w:p>
      <w:pPr>
        <w:pStyle w:val="Normal"/>
        <w:rPr>
          <w:b/>
          <w:b/>
          <w:lang w:eastAsia="zh-CN"/>
        </w:rPr>
      </w:pPr>
      <w:r>
        <w:rPr>
          <w:b/>
          <w:lang w:eastAsia="zh-CN"/>
        </w:rPr>
        <w:t>Execution Steps</w:t>
      </w:r>
    </w:p>
    <w:p>
      <w:pPr>
        <w:pStyle w:val="B1"/>
        <w:rPr>
          <w:lang w:eastAsia="zh-CN"/>
        </w:rPr>
      </w:pPr>
      <w:r>
        <w:rPr>
          <w:lang w:eastAsia="zh-CN"/>
        </w:rPr>
        <w:t>1.</w:t>
        <w:tab/>
        <w:t xml:space="preserve">The AUSF sends </w:t>
      </w:r>
      <w:r>
        <w:rPr/>
        <w:t>an Nudm_UEAuthentication_Get Request message to the UDM with a "synchronisation failure indication" and parameters RAND and AUTS</w:t>
      </w:r>
      <w:r>
        <w:rPr>
          <w:lang w:eastAsia="zh-CN"/>
        </w:rPr>
        <w:t>.</w:t>
      </w:r>
    </w:p>
    <w:p>
      <w:pPr>
        <w:pStyle w:val="B1"/>
        <w:rPr>
          <w:lang w:eastAsia="zh-CN"/>
        </w:rPr>
      </w:pPr>
      <w:r>
        <w:rPr>
          <w:lang w:eastAsia="zh-CN"/>
        </w:rPr>
        <w:t>2.</w:t>
        <w:tab/>
        <w:t xml:space="preserve">The UDM/ARPF performs steps 1-5 as described in </w:t>
      </w:r>
      <w:r>
        <w:rPr/>
        <w:t>TS 33.102, clause 6.3.5.</w:t>
      </w:r>
    </w:p>
    <w:p>
      <w:pPr>
        <w:pStyle w:val="Normal"/>
        <w:rPr>
          <w:b/>
          <w:b/>
          <w:lang w:eastAsia="zh-CN"/>
        </w:rPr>
      </w:pPr>
      <w:r>
        <w:rPr>
          <w:b/>
          <w:lang w:eastAsia="zh-CN"/>
        </w:rPr>
        <w:t>Expected Results:</w:t>
      </w:r>
    </w:p>
    <w:p>
      <w:pPr>
        <w:pStyle w:val="Normal"/>
        <w:rPr>
          <w:lang w:eastAsia="zh-CN"/>
        </w:rPr>
      </w:pPr>
      <w:r>
        <w:rPr/>
        <w:t>The UDM sends an Nudm_UEAuthentication_Get Response message with a new authentication vector to the AUSF</w:t>
      </w:r>
      <w:r>
        <w:rPr>
          <w:lang w:eastAsia="zh-CN"/>
        </w:rPr>
        <w:t>.</w:t>
      </w:r>
    </w:p>
    <w:p>
      <w:pPr>
        <w:pStyle w:val="NO"/>
        <w:rPr>
          <w:lang w:eastAsia="zh-CN"/>
        </w:rPr>
      </w:pPr>
      <w:r>
        <w:rPr/>
        <w:t>NOTE:</w:t>
        <w:tab/>
        <w:t>The expected results would be that the UDM/AUSF sends an Nausf_UEAuthentication_Authenticate Response message with EAP Request/AKA’-Challenge for EAP AKA’, or 5G SE AV for 5G AKA to the AMF, if the UDM and AUSF network products are collocated without an open N13 interface.</w:t>
      </w:r>
    </w:p>
    <w:p>
      <w:pPr>
        <w:pStyle w:val="Heading4"/>
        <w:ind w:left="1418" w:hanging="1418"/>
        <w:rPr/>
      </w:pPr>
      <w:bookmarkStart w:id="34" w:name="__RefHeading___Toc58341162"/>
      <w:r>
        <w:rPr/>
        <w:t>4.2.2.2</w:t>
        <w:tab/>
        <w:t>Storing of authentication status of UE by UDM.</w:t>
      </w:r>
      <w:bookmarkEnd w:id="34"/>
      <w:r>
        <w:rPr/>
        <w:t xml:space="preserve"> </w:t>
      </w:r>
    </w:p>
    <w:p>
      <w:pPr>
        <w:pStyle w:val="Normal"/>
        <w:rPr>
          <w:lang w:eastAsia="ja-JP"/>
        </w:rPr>
      </w:pPr>
      <w:r>
        <w:rPr>
          <w:i/>
        </w:rPr>
        <w:t>Requirement Name:</w:t>
      </w:r>
      <w:r>
        <w:rPr>
          <w:lang w:eastAsia="ja-JP"/>
        </w:rPr>
        <w:t xml:space="preserve"> Storing of authentication status of UE by UDM. </w:t>
      </w:r>
    </w:p>
    <w:p>
      <w:pPr>
        <w:pStyle w:val="Normal"/>
        <w:rPr/>
      </w:pPr>
      <w:r>
        <w:rPr>
          <w:i/>
        </w:rPr>
        <w:t>Requirement Reference:</w:t>
      </w:r>
      <w:r>
        <w:rPr/>
        <w:t xml:space="preserve"> TS 33.501 [2], clause 6.1.4.1a</w:t>
      </w:r>
    </w:p>
    <w:p>
      <w:pPr>
        <w:pStyle w:val="Normal"/>
        <w:rPr/>
      </w:pPr>
      <w:r>
        <w:rPr>
          <w:i/>
        </w:rPr>
        <w:t>Requirement Description:</w:t>
      </w:r>
      <w:r>
        <w:rPr/>
        <w:t xml:space="preserve"> "The UDM shall store the authentication status of the UE (SUPI, authentication result, timestamp, and the serving network name) after authentication" as specified in TS 33.501 [2], clause 6.1.4.1a.</w:t>
      </w:r>
    </w:p>
    <w:p>
      <w:pPr>
        <w:pStyle w:val="Normal"/>
        <w:rPr/>
      </w:pPr>
      <w:r>
        <w:rPr>
          <w:i/>
        </w:rPr>
        <w:t>Threat References</w:t>
      </w:r>
      <w:r>
        <w:rPr/>
        <w:t>: TR 33.926 [4], clause E.2.2.3, Failure to store of authentication status.</w:t>
      </w:r>
    </w:p>
    <w:p>
      <w:pPr>
        <w:pStyle w:val="Normal"/>
        <w:rPr>
          <w:b/>
          <w:b/>
        </w:rPr>
      </w:pPr>
      <w:r>
        <w:rPr>
          <w:b/>
        </w:rPr>
        <w:t xml:space="preserve">TEST CASE: </w:t>
      </w:r>
    </w:p>
    <w:p>
      <w:pPr>
        <w:pStyle w:val="Normal"/>
        <w:rPr/>
      </w:pPr>
      <w:r>
        <w:rPr>
          <w:b/>
        </w:rPr>
        <w:t xml:space="preserve">Test Name: </w:t>
      </w:r>
      <w:r>
        <w:rPr/>
        <w:t>TC_AUTH_STATUS_STORE_UDM</w:t>
      </w:r>
    </w:p>
    <w:p>
      <w:pPr>
        <w:pStyle w:val="Normal"/>
        <w:rPr>
          <w:b/>
          <w:b/>
        </w:rPr>
      </w:pPr>
      <w:r>
        <w:rPr>
          <w:b/>
        </w:rPr>
        <w:t xml:space="preserve">Purpose: </w:t>
      </w:r>
    </w:p>
    <w:p>
      <w:pPr>
        <w:pStyle w:val="Normal"/>
        <w:rPr/>
      </w:pPr>
      <w:r>
        <w:rPr/>
        <w:t>Verify that the UDM under test stores the authentication status of UE, which is identical to the UE authentication information sent to/from the AUSF and the AMF.</w:t>
      </w:r>
    </w:p>
    <w:p>
      <w:pPr>
        <w:pStyle w:val="Normal"/>
        <w:keepNext w:val="true"/>
        <w:keepLines/>
        <w:spacing w:before="180" w:after="180"/>
        <w:rPr/>
      </w:pPr>
      <w:r>
        <w:rPr>
          <w:b/>
          <w:lang w:eastAsia="zh-CN"/>
        </w:rPr>
        <w:t>Procedure and execution steps:</w:t>
      </w:r>
    </w:p>
    <w:p>
      <w:pPr>
        <w:pStyle w:val="Normal"/>
        <w:rPr>
          <w:b/>
          <w:b/>
        </w:rPr>
      </w:pPr>
      <w:r>
        <w:rPr>
          <w:b/>
        </w:rPr>
        <w:t xml:space="preserve">Pre-Condition: </w:t>
      </w:r>
    </w:p>
    <w:p>
      <w:pPr>
        <w:pStyle w:val="B1"/>
        <w:rPr/>
      </w:pPr>
      <w:r>
        <w:rPr/>
        <w:t>-</w:t>
        <w:tab/>
        <w:t>UDM network product is connected with an AUSF in simulated/real network environment involving AMF, eNB.</w:t>
      </w:r>
    </w:p>
    <w:p>
      <w:pPr>
        <w:pStyle w:val="B1"/>
        <w:rPr/>
      </w:pPr>
      <w:r>
        <w:rPr/>
        <w:t>-</w:t>
        <w:tab/>
        <w:t>The tester shall have access to all the authentication specific data sent over N1 interface, N12 interface and N13 interface.</w:t>
      </w:r>
    </w:p>
    <w:p>
      <w:pPr>
        <w:pStyle w:val="B1"/>
        <w:rPr/>
      </w:pPr>
      <w:r>
        <w:rPr/>
        <w:t>-</w:t>
        <w:tab/>
        <w:t>The tester shall have access to the UDM under test.</w:t>
      </w:r>
    </w:p>
    <w:p>
      <w:pPr>
        <w:pStyle w:val="Normal"/>
        <w:rPr>
          <w:b/>
          <w:b/>
        </w:rPr>
      </w:pPr>
      <w:r>
        <w:rPr>
          <w:b/>
        </w:rPr>
        <w:t xml:space="preserve">Execution Steps: </w:t>
      </w:r>
    </w:p>
    <w:p>
      <w:pPr>
        <w:pStyle w:val="B1"/>
        <w:rPr/>
      </w:pPr>
      <w:r>
        <w:rPr/>
        <w:t>1.</w:t>
        <w:tab/>
        <w:t xml:space="preserve">The tester shall capture the entire authentication procedure and authentication confirmation procedure over N12 and N13 interface using any network analyser. </w:t>
      </w:r>
    </w:p>
    <w:p>
      <w:pPr>
        <w:pStyle w:val="B1"/>
        <w:rPr/>
      </w:pPr>
      <w:r>
        <w:rPr/>
        <w:t>2.</w:t>
        <w:tab/>
        <w:t>the tester shall filter the Nudm_UEAuthentication_Get Request message sent over the N13 interface to retrieve serving network name.</w:t>
      </w:r>
    </w:p>
    <w:p>
      <w:pPr>
        <w:pStyle w:val="B1"/>
        <w:rPr/>
      </w:pPr>
      <w:r>
        <w:rPr/>
        <w:t>3.</w:t>
        <w:tab/>
        <w:t>The ester shall filter the Nudm_Authentication_Get Response message sent over N13 interface to find the SUPI.</w:t>
      </w:r>
    </w:p>
    <w:p>
      <w:pPr>
        <w:pStyle w:val="B1"/>
        <w:rPr/>
      </w:pPr>
      <w:r>
        <w:rPr/>
        <w:t>4.</w:t>
        <w:tab/>
        <w:t>The tester shall filter the Nausf_UEAuthentication_Authenticate Response message sent over N12 interface to retrieve the Authentication result (EAP success/failure for EAP-AKA' or Result for 5G AKA).</w:t>
      </w:r>
    </w:p>
    <w:p>
      <w:pPr>
        <w:pStyle w:val="B1"/>
        <w:rPr/>
      </w:pPr>
      <w:r>
        <w:rPr/>
        <w:t>5.</w:t>
        <w:tab/>
        <w:t>The tester shall filter the Nudm_UEAuthentication_ResultConfirmation Request message to retrieve the authentication result and time of authentication procedure sent from the AUSF to the UDM over N13 interface.</w:t>
      </w:r>
    </w:p>
    <w:p>
      <w:pPr>
        <w:pStyle w:val="B1"/>
        <w:rPr/>
      </w:pPr>
      <w:r>
        <w:rPr/>
        <w:t>6.</w:t>
        <w:tab/>
        <w:t>The tester shall compare the serving network name stored in the UDM against the serving network name retrieved from the Nudm_Authentication_Get Request message and the serving network name retrieved from the Nudm_UEAuthentication_ResultConfirmation Request message.</w:t>
      </w:r>
    </w:p>
    <w:p>
      <w:pPr>
        <w:pStyle w:val="B1"/>
        <w:rPr/>
      </w:pPr>
      <w:r>
        <w:rPr/>
        <w:t>7.</w:t>
        <w:tab/>
        <w:t>The tester shall compare the authentication status stored in the UDM against the authentication result retrieved from N12 interface.</w:t>
      </w:r>
    </w:p>
    <w:p>
      <w:pPr>
        <w:pStyle w:val="B1"/>
        <w:rPr/>
      </w:pPr>
      <w:r>
        <w:rPr/>
        <w:t>8.</w:t>
        <w:tab/>
        <w:t>The tester shall compare the SUPI stored in the UDM against the SUPI retrieved from the Nudm_Authentication_Get Response message and the SUPI  retrieved from the Nudm_UEAuthentication_ResultConfirmation Request message.</w:t>
      </w:r>
    </w:p>
    <w:p>
      <w:pPr>
        <w:pStyle w:val="B1"/>
        <w:rPr/>
      </w:pPr>
      <w:r>
        <w:rPr/>
        <w:t>9.</w:t>
        <w:tab/>
        <w:t>The tester shall compare the timestamp stored in the UDM against the time of authentication procedure retrieved from the Nudm_UEAuthentication_ResultConfirmation Request message.</w:t>
      </w:r>
    </w:p>
    <w:p>
      <w:pPr>
        <w:pStyle w:val="Normal"/>
        <w:rPr/>
      </w:pPr>
      <w:r>
        <w:rPr>
          <w:b/>
        </w:rPr>
        <w:t>Expected Results:</w:t>
      </w:r>
    </w:p>
    <w:p>
      <w:pPr>
        <w:pStyle w:val="Normal"/>
        <w:rPr/>
      </w:pPr>
      <w:r>
        <w:rPr/>
        <w:t>The storing of authentication status (SUPI, authentication result, timestamp, and the serving network name) of UE at the UDM is verified.</w:t>
      </w:r>
    </w:p>
    <w:p>
      <w:pPr>
        <w:pStyle w:val="Normal"/>
        <w:rPr/>
      </w:pPr>
      <w:r>
        <w:rPr>
          <w:b/>
        </w:rPr>
        <w:t>Expected format of evidence:</w:t>
      </w:r>
    </w:p>
    <w:p>
      <w:pPr>
        <w:pStyle w:val="Normal"/>
        <w:rPr/>
      </w:pPr>
      <w:r>
        <w:rPr/>
        <w:t>Evidence suitable for the interface, e.g., evidence can be presented in the form of screenshot/screen-capture.</w:t>
      </w:r>
    </w:p>
    <w:p>
      <w:pPr>
        <w:pStyle w:val="NO"/>
        <w:rPr/>
      </w:pPr>
      <w:r>
        <w:rPr/>
        <w:t>NOTE:</w:t>
        <w:tab/>
        <w:t>this test case does not apply to the deployment scenario where the UDM and AUSF network products are collocated without an open N13 interface.</w:t>
      </w:r>
    </w:p>
    <w:p>
      <w:pPr>
        <w:pStyle w:val="Heading3"/>
        <w:rPr/>
      </w:pPr>
      <w:bookmarkStart w:id="35" w:name="__RefHeading___Toc58341163"/>
      <w:bookmarkEnd w:id="35"/>
      <w:r>
        <w:rPr/>
        <w:t>4.2.3</w:t>
        <w:tab/>
        <w:t>Technical Baseline</w:t>
      </w:r>
    </w:p>
    <w:p>
      <w:pPr>
        <w:pStyle w:val="Heading4"/>
        <w:ind w:left="1418" w:hanging="1418"/>
        <w:rPr/>
      </w:pPr>
      <w:bookmarkStart w:id="36" w:name="__RefHeading___Toc58341164"/>
      <w:bookmarkEnd w:id="36"/>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37" w:name="__RefHeading___Toc58341165"/>
      <w:bookmarkEnd w:id="37"/>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38" w:name="__RefHeading___Toc58341166"/>
      <w:bookmarkEnd w:id="38"/>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pPr>
        <w:pStyle w:val="Heading5"/>
        <w:ind w:left="1701" w:hanging="1701"/>
        <w:rPr/>
      </w:pPr>
      <w:bookmarkStart w:id="39" w:name="__RefHeading___Toc58341167"/>
      <w:bookmarkEnd w:id="39"/>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UDM-specific additions to clause </w:t>
      </w:r>
      <w:r>
        <w:rPr/>
        <w:t>4</w:t>
      </w:r>
      <w:r>
        <w:rPr/>
        <w:t>.</w:t>
      </w:r>
      <w:r>
        <w:rPr/>
        <w:t>2</w:t>
      </w:r>
      <w:r>
        <w:rPr/>
        <w:t>.3</w:t>
      </w:r>
      <w:r>
        <w:rPr/>
        <w:t>.2</w:t>
      </w:r>
      <w:r>
        <w:rPr/>
        <w:t>.2 of TS 33.117 [3].</w:t>
      </w:r>
    </w:p>
    <w:p>
      <w:pPr>
        <w:pStyle w:val="Heading5"/>
        <w:ind w:left="1701" w:hanging="1701"/>
        <w:rPr/>
      </w:pPr>
      <w:bookmarkStart w:id="40" w:name="__RefHeading___Toc58341168"/>
      <w:bookmarkEnd w:id="40"/>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UDM-specific additions to clause </w:t>
      </w:r>
      <w:r>
        <w:rPr/>
        <w:t>4</w:t>
      </w:r>
      <w:r>
        <w:rPr/>
        <w:t>.</w:t>
      </w:r>
      <w:r>
        <w:rPr/>
        <w:t>2</w:t>
      </w:r>
      <w:r>
        <w:rPr/>
        <w:t>.3</w:t>
      </w:r>
      <w:r>
        <w:rPr/>
        <w:t>.2</w:t>
      </w:r>
      <w:r>
        <w:rPr/>
        <w:t>.3 of TS 33.117 [3].</w:t>
      </w:r>
    </w:p>
    <w:p>
      <w:pPr>
        <w:pStyle w:val="Heading5"/>
        <w:ind w:left="1701" w:hanging="1701"/>
        <w:rPr/>
      </w:pPr>
      <w:bookmarkStart w:id="41" w:name="__RefHeading___Toc58341169"/>
      <w:bookmarkEnd w:id="41"/>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[3].</w:t>
      </w:r>
    </w:p>
    <w:p>
      <w:pPr>
        <w:pStyle w:val="Heading5"/>
        <w:ind w:left="1701" w:hanging="1701"/>
        <w:rPr/>
      </w:pPr>
      <w:bookmarkStart w:id="42" w:name="__RefHeading___Toc58341170"/>
      <w:bookmarkEnd w:id="42"/>
      <w:r>
        <w:rPr/>
        <w:t>4.2.3.2.5</w:t>
        <w:tab/>
        <w:t>Logging access to personal data</w:t>
      </w:r>
    </w:p>
    <w:p>
      <w:pPr>
        <w:pStyle w:val="Normal"/>
        <w:rPr>
          <w:lang w:eastAsia="zh-CN"/>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43" w:name="__RefHeading___Toc58341171"/>
      <w:bookmarkEnd w:id="43"/>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[3].</w:t>
      </w:r>
    </w:p>
    <w:p>
      <w:pPr>
        <w:pStyle w:val="Heading4"/>
        <w:keepNext w:val="false"/>
        <w:keepLines w:val="false"/>
        <w:suppressLineNumbers/>
        <w:suppressAutoHyphens w:val="true"/>
        <w:ind w:left="1418" w:hanging="1418"/>
        <w:rPr/>
      </w:pPr>
      <w:bookmarkStart w:id="44" w:name="__RefHeading___Toc58341172"/>
      <w:bookmarkEnd w:id="44"/>
      <w:r>
        <w:rPr/>
        <w:t>4.2.3.4</w:t>
        <w:tab/>
        <w:t>Authentication</w:t>
      </w:r>
      <w:r>
        <w:rPr>
          <w:spacing w:val="-17"/>
        </w:rPr>
        <w:t xml:space="preserve"> </w:t>
      </w:r>
      <w:r>
        <w:rPr/>
        <w:t>and</w:t>
      </w:r>
      <w:r>
        <w:rPr>
          <w:spacing w:val="-4"/>
        </w:rPr>
        <w:t xml:space="preserve"> </w:t>
      </w:r>
      <w:r>
        <w:rPr/>
        <w:t>authorization</w:t>
      </w:r>
    </w:p>
    <w:p>
      <w:pPr>
        <w:pStyle w:val="Normal"/>
        <w:rPr/>
      </w:pPr>
      <w:r>
        <w:rPr>
          <w:lang w:eastAsia="zh-CN"/>
        </w:rPr>
        <w:t xml:space="preserve"> </w:t>
      </w:r>
      <w:r>
        <w:rPr>
          <w:color w:val="000000"/>
        </w:rPr>
        <w:t xml:space="preserve">There are no UDM-specific additions to clause </w:t>
      </w:r>
      <w:r>
        <w:rPr>
          <w:color w:val="000000"/>
        </w:rPr>
        <w:t>4</w:t>
      </w:r>
      <w:r>
        <w:rPr>
          <w:color w:val="000000"/>
        </w:rPr>
        <w:t>.</w:t>
      </w:r>
      <w:r>
        <w:rPr>
          <w:color w:val="000000"/>
        </w:rPr>
        <w:t>2</w:t>
      </w:r>
      <w:r>
        <w:rPr>
          <w:color w:val="000000"/>
        </w:rPr>
        <w:t>.3</w:t>
      </w:r>
      <w:r>
        <w:rPr>
          <w:color w:val="000000"/>
        </w:rPr>
        <w:t>.</w:t>
      </w:r>
      <w:r>
        <w:rPr>
          <w:color w:val="000000"/>
        </w:rPr>
        <w:t>4 of TS 33.117 [3].</w:t>
      </w:r>
    </w:p>
    <w:p>
      <w:pPr>
        <w:pStyle w:val="Heading4"/>
        <w:keepNext w:val="false"/>
        <w:keepLines w:val="false"/>
        <w:suppressLineNumbers/>
        <w:suppressAutoHyphens w:val="true"/>
        <w:ind w:left="1418" w:hanging="1418"/>
        <w:rPr/>
      </w:pPr>
      <w:bookmarkStart w:id="45" w:name="__RefHeading___Toc58341173"/>
      <w:bookmarkEnd w:id="45"/>
      <w:r>
        <w:rPr/>
        <w:t>4.2.3.5</w:t>
        <w:tab/>
        <w:t>Protecting</w:t>
      </w:r>
      <w:r>
        <w:rPr>
          <w:spacing w:val="-12"/>
        </w:rPr>
        <w:t xml:space="preserve"> </w:t>
      </w:r>
      <w:r>
        <w:rPr/>
        <w:t>sessions</w:t>
      </w:r>
    </w:p>
    <w:p>
      <w:pPr>
        <w:pStyle w:val="Normal"/>
        <w:rPr/>
      </w:pPr>
      <w:r>
        <w:rPr>
          <w:lang w:eastAsia="zh-CN"/>
        </w:rPr>
        <w:t xml:space="preserve"> </w:t>
      </w:r>
      <w:r>
        <w:rPr>
          <w:color w:val="000000"/>
        </w:rPr>
        <w:t xml:space="preserve">There are no UDM-specific additions to clause </w:t>
      </w:r>
      <w:r>
        <w:rPr>
          <w:color w:val="000000"/>
        </w:rPr>
        <w:t>4</w:t>
      </w:r>
      <w:r>
        <w:rPr>
          <w:color w:val="000000"/>
        </w:rPr>
        <w:t>.</w:t>
      </w:r>
      <w:r>
        <w:rPr>
          <w:color w:val="000000"/>
        </w:rPr>
        <w:t>2</w:t>
      </w:r>
      <w:r>
        <w:rPr>
          <w:color w:val="000000"/>
        </w:rPr>
        <w:t>.3</w:t>
      </w:r>
      <w:r>
        <w:rPr>
          <w:color w:val="000000"/>
        </w:rPr>
        <w:t>.</w:t>
      </w:r>
      <w:r>
        <w:rPr>
          <w:color w:val="000000"/>
        </w:rPr>
        <w:t>5 of TS 33.117 [3].</w:t>
      </w:r>
    </w:p>
    <w:p>
      <w:pPr>
        <w:pStyle w:val="Heading4"/>
        <w:keepNext w:val="false"/>
        <w:keepLines w:val="false"/>
        <w:suppressLineNumbers/>
        <w:suppressAutoHyphens w:val="true"/>
        <w:ind w:left="1418" w:hanging="1418"/>
        <w:rPr/>
      </w:pPr>
      <w:bookmarkStart w:id="46" w:name="__RefHeading___Toc58341174"/>
      <w:bookmarkEnd w:id="46"/>
      <w:r>
        <w:rPr/>
        <w:t>4.2.3.6</w:t>
        <w:tab/>
        <w:t>Logging</w:t>
      </w:r>
    </w:p>
    <w:p>
      <w:pPr>
        <w:pStyle w:val="Normal"/>
        <w:rPr>
          <w:lang w:eastAsia="zh-CN"/>
        </w:rPr>
      </w:pPr>
      <w:r>
        <w:rPr>
          <w:lang w:eastAsia="zh-CN"/>
        </w:rPr>
        <w:t xml:space="preserve"> </w:t>
      </w:r>
      <w:r>
        <w:rPr>
          <w:color w:val="000000"/>
        </w:rPr>
        <w:t xml:space="preserve">There are no UDM-specific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[3].</w:t>
      </w:r>
      <w:r>
        <w:rPr>
          <w:lang w:eastAsia="zh-CN"/>
        </w:rPr>
        <w:t xml:space="preserve"> </w:t>
      </w:r>
    </w:p>
    <w:p>
      <w:pPr>
        <w:pStyle w:val="Heading3"/>
        <w:keepNext w:val="false"/>
        <w:keepLines w:val="false"/>
        <w:suppressLineNumbers/>
        <w:suppressAutoHyphens w:val="true"/>
        <w:rPr/>
      </w:pPr>
      <w:bookmarkStart w:id="47" w:name="__RefHeading___Toc58341175"/>
      <w:bookmarkEnd w:id="47"/>
      <w:r>
        <w:rPr/>
        <w:t>4.2.4</w:t>
        <w:tab/>
        <w:t>Operating Systems</w:t>
      </w:r>
    </w:p>
    <w:p>
      <w:pPr>
        <w:pStyle w:val="Normal"/>
        <w:rPr>
          <w:lang w:eastAsia="zh-CN"/>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.4 of TS 33.117 [3].</w:t>
      </w:r>
      <w:r>
        <w:rPr>
          <w:lang w:eastAsia="zh-CN"/>
        </w:rPr>
        <w:t xml:space="preserve"> </w:t>
      </w:r>
    </w:p>
    <w:p>
      <w:pPr>
        <w:pStyle w:val="Heading3"/>
        <w:keepNext w:val="false"/>
        <w:keepLines w:val="false"/>
        <w:suppressLineNumbers/>
        <w:suppressAutoHyphens w:val="true"/>
        <w:rPr/>
      </w:pPr>
      <w:bookmarkStart w:id="48" w:name="__RefHeading___Toc58341176"/>
      <w:bookmarkEnd w:id="48"/>
      <w:r>
        <w:rPr/>
        <w:t>4.2.5</w:t>
        <w:tab/>
        <w:t>Web Servers</w:t>
      </w:r>
    </w:p>
    <w:p>
      <w:pPr>
        <w:pStyle w:val="Normal"/>
        <w:rPr>
          <w:lang w:eastAsia="zh-CN"/>
        </w:rPr>
      </w:pPr>
      <w:r>
        <w:rPr>
          <w:lang w:eastAsia="zh-CN"/>
        </w:rPr>
        <w:t xml:space="preserve"> </w:t>
      </w:r>
      <w:r>
        <w:rPr>
          <w:color w:val="000000"/>
        </w:rPr>
        <w:t xml:space="preserve">There are no UDM-specific additions to clause </w:t>
      </w:r>
      <w:r>
        <w:rPr>
          <w:color w:val="000000"/>
        </w:rPr>
        <w:t>4</w:t>
      </w:r>
      <w:r>
        <w:rPr>
          <w:color w:val="000000"/>
        </w:rPr>
        <w:t>.</w:t>
      </w:r>
      <w:r>
        <w:rPr>
          <w:color w:val="000000"/>
          <w:lang w:eastAsia="zh-CN"/>
        </w:rPr>
        <w:t>2</w:t>
      </w:r>
      <w:r>
        <w:rPr>
          <w:color w:val="000000"/>
        </w:rPr>
        <w:t>.5 of TS 33.117 [3].</w:t>
      </w:r>
    </w:p>
    <w:p>
      <w:pPr>
        <w:pStyle w:val="Heading3"/>
        <w:keepNext w:val="false"/>
        <w:keepLines w:val="false"/>
        <w:suppressLineNumbers/>
        <w:suppressAutoHyphens w:val="true"/>
        <w:rPr/>
      </w:pPr>
      <w:bookmarkStart w:id="49" w:name="__RefHeading___Toc58341177"/>
      <w:bookmarkEnd w:id="49"/>
      <w:r>
        <w:rPr/>
        <w:t>4.2.6</w:t>
        <w:tab/>
        <w:t>Network Devices</w:t>
      </w:r>
    </w:p>
    <w:p>
      <w:pPr>
        <w:pStyle w:val="Normal"/>
        <w:rPr>
          <w:lang w:eastAsia="zh-CN"/>
        </w:rPr>
      </w:pPr>
      <w:r>
        <w:rPr>
          <w:color w:val="000000"/>
        </w:rPr>
        <w:t xml:space="preserve">There are no UDM-specific additions to clause </w:t>
      </w:r>
      <w:r>
        <w:rPr>
          <w:color w:val="000000"/>
        </w:rPr>
        <w:t>4</w:t>
      </w:r>
      <w:r>
        <w:rPr>
          <w:color w:val="000000"/>
        </w:rPr>
        <w:t>.</w:t>
      </w:r>
      <w:r>
        <w:rPr>
          <w:color w:val="000000"/>
          <w:lang w:eastAsia="zh-CN"/>
        </w:rPr>
        <w:t>2</w:t>
      </w:r>
      <w:r>
        <w:rPr>
          <w:color w:val="000000"/>
        </w:rPr>
        <w:t>.6 of TS 33.117 [3].</w:t>
      </w:r>
      <w:r>
        <w:rPr>
          <w:lang w:eastAsia="zh-CN"/>
        </w:rPr>
        <w:t xml:space="preserve"> </w:t>
      </w:r>
    </w:p>
    <w:p>
      <w:pPr>
        <w:pStyle w:val="Heading2"/>
        <w:keepNext w:val="false"/>
        <w:keepLines w:val="false"/>
        <w:suppressLineNumbers/>
        <w:suppressAutoHyphens w:val="true"/>
        <w:rPr/>
      </w:pPr>
      <w:bookmarkStart w:id="50" w:name="__RefHeading___Toc58341178"/>
      <w:bookmarkEnd w:id="50"/>
      <w:r>
        <w:rPr/>
        <w:t>4.3</w:t>
        <w:tab/>
      </w:r>
      <w:r>
        <w:rPr>
          <w:lang w:eastAsia="zh-CN"/>
        </w:rPr>
        <w:t>UDM</w:t>
      </w:r>
      <w:r>
        <w:rPr/>
        <w:t>-specific adaptations of hardening requirements and related test cases</w:t>
      </w:r>
    </w:p>
    <w:p>
      <w:pPr>
        <w:pStyle w:val="Heading3"/>
        <w:rPr/>
      </w:pPr>
      <w:bookmarkStart w:id="51" w:name="__RefHeading___Toc58341179"/>
      <w:bookmarkEnd w:id="51"/>
      <w:r>
        <w:rPr/>
        <w:t>4.3.1</w:t>
        <w:tab/>
        <w:t>Introduction</w:t>
      </w:r>
    </w:p>
    <w:p>
      <w:pPr>
        <w:pStyle w:val="Normal"/>
        <w:rPr/>
      </w:pPr>
      <w:r>
        <w:rPr>
          <w:lang w:eastAsia="zh-CN"/>
        </w:rPr>
        <w:t>The present clause contains UDM</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52" w:name="__RefHeading___Toc58341180"/>
      <w:bookmarkEnd w:id="52"/>
      <w:r>
        <w:rPr/>
        <w:t>4.3.2</w:t>
        <w:tab/>
        <w:t>Technical baseline</w:t>
      </w:r>
    </w:p>
    <w:p>
      <w:pPr>
        <w:pStyle w:val="Normal"/>
        <w:rPr/>
      </w:pPr>
      <w:r>
        <w:rPr>
          <w:color w:val="000000"/>
        </w:rPr>
        <w:t xml:space="preserve">There are no UDM-specific additions to clause </w:t>
      </w:r>
      <w:r>
        <w:rPr>
          <w:color w:val="000000"/>
        </w:rPr>
        <w:t>4</w:t>
      </w:r>
      <w:r>
        <w:rPr>
          <w:color w:val="000000"/>
        </w:rPr>
        <w:t>.</w:t>
      </w:r>
      <w:r>
        <w:rPr>
          <w:color w:val="000000"/>
          <w:lang w:eastAsia="zh-CN"/>
        </w:rPr>
        <w:t>3.2</w:t>
      </w:r>
      <w:r>
        <w:rPr>
          <w:color w:val="000000"/>
        </w:rPr>
        <w:t xml:space="preserve"> of TS 33.117 [3].</w:t>
      </w:r>
    </w:p>
    <w:p>
      <w:pPr>
        <w:pStyle w:val="Heading3"/>
        <w:rPr/>
      </w:pPr>
      <w:bookmarkStart w:id="53" w:name="__RefHeading___Toc58341181"/>
      <w:bookmarkEnd w:id="53"/>
      <w:r>
        <w:rPr/>
        <w:t>4.3.3</w:t>
        <w:tab/>
        <w:t>Operating systems</w:t>
      </w:r>
    </w:p>
    <w:p>
      <w:pPr>
        <w:pStyle w:val="Normal"/>
        <w:rPr/>
      </w:pPr>
      <w:r>
        <w:rPr>
          <w:color w:val="000000"/>
        </w:rPr>
        <w:t xml:space="preserve">There are no UDM-specific additions to clause </w:t>
      </w:r>
      <w:r>
        <w:rPr>
          <w:color w:val="000000"/>
        </w:rPr>
        <w:t>4</w:t>
      </w:r>
      <w:r>
        <w:rPr>
          <w:color w:val="000000"/>
        </w:rPr>
        <w:t>.</w:t>
      </w:r>
      <w:r>
        <w:rPr>
          <w:color w:val="000000"/>
          <w:lang w:eastAsia="zh-CN"/>
        </w:rPr>
        <w:t>3.3</w:t>
      </w:r>
      <w:r>
        <w:rPr>
          <w:color w:val="000000"/>
        </w:rPr>
        <w:t xml:space="preserve"> of TS 33.117 [3].</w:t>
      </w:r>
    </w:p>
    <w:p>
      <w:pPr>
        <w:pStyle w:val="Heading3"/>
        <w:rPr/>
      </w:pPr>
      <w:bookmarkStart w:id="54" w:name="__RefHeading___Toc58341182"/>
      <w:bookmarkEnd w:id="54"/>
      <w:r>
        <w:rPr/>
        <w:t>4.3.4</w:t>
        <w:tab/>
        <w:t>Web servers</w:t>
      </w:r>
    </w:p>
    <w:p>
      <w:pPr>
        <w:pStyle w:val="Normal"/>
        <w:rPr/>
      </w:pPr>
      <w:r>
        <w:rPr>
          <w:color w:val="000000"/>
        </w:rPr>
        <w:t xml:space="preserve">There are no UDM-specific additions to clause </w:t>
      </w:r>
      <w:r>
        <w:rPr>
          <w:color w:val="000000"/>
        </w:rPr>
        <w:t>4</w:t>
      </w:r>
      <w:r>
        <w:rPr>
          <w:color w:val="000000"/>
        </w:rPr>
        <w:t>.</w:t>
      </w:r>
      <w:r>
        <w:rPr>
          <w:color w:val="000000"/>
          <w:lang w:eastAsia="zh-CN"/>
        </w:rPr>
        <w:t>3.4</w:t>
      </w:r>
      <w:r>
        <w:rPr>
          <w:color w:val="000000"/>
        </w:rPr>
        <w:t xml:space="preserve"> of TS 33.117 [3].</w:t>
      </w:r>
    </w:p>
    <w:p>
      <w:pPr>
        <w:pStyle w:val="Heading3"/>
        <w:rPr/>
      </w:pPr>
      <w:bookmarkStart w:id="55" w:name="__RefHeading___Toc58341183"/>
      <w:bookmarkEnd w:id="55"/>
      <w:r>
        <w:rPr/>
        <w:t>4.3.5</w:t>
        <w:tab/>
        <w:t>Network devices</w:t>
      </w:r>
    </w:p>
    <w:p>
      <w:pPr>
        <w:pStyle w:val="Normal"/>
        <w:rPr>
          <w:color w:val="000000"/>
        </w:rPr>
      </w:pPr>
      <w:r>
        <w:rPr>
          <w:color w:val="000000"/>
        </w:rPr>
        <w:t xml:space="preserve">There are no UDM-specific additions to clause </w:t>
      </w:r>
      <w:r>
        <w:rPr>
          <w:color w:val="000000"/>
        </w:rPr>
        <w:t>4</w:t>
      </w:r>
      <w:r>
        <w:rPr>
          <w:color w:val="000000"/>
        </w:rPr>
        <w:t>.</w:t>
      </w:r>
      <w:r>
        <w:rPr>
          <w:color w:val="000000"/>
          <w:lang w:eastAsia="zh-CN"/>
        </w:rPr>
        <w:t>3.5</w:t>
      </w:r>
      <w:r>
        <w:rPr>
          <w:color w:val="000000"/>
        </w:rPr>
        <w:t xml:space="preserve"> of TS 33.117 [3].</w:t>
      </w:r>
    </w:p>
    <w:p>
      <w:pPr>
        <w:pStyle w:val="Heading3"/>
        <w:rPr>
          <w:rFonts w:eastAsia="SimSun;宋体"/>
        </w:rPr>
      </w:pPr>
      <w:bookmarkStart w:id="56" w:name="__RefHeading___Toc58341184"/>
      <w:bookmarkEnd w:id="56"/>
      <w:r>
        <w:rPr>
          <w:rFonts w:eastAsia="SimSun;宋体"/>
        </w:rPr>
        <w:t>4.3.6</w:t>
        <w:tab/>
        <w:t>Network functions in service-based architecture</w:t>
      </w:r>
    </w:p>
    <w:p>
      <w:pPr>
        <w:pStyle w:val="Normal"/>
        <w:rPr>
          <w:lang w:eastAsia="zh-CN"/>
        </w:rPr>
      </w:pPr>
      <w:r>
        <w:rPr>
          <w:lang w:eastAsia="zh-CN"/>
        </w:rPr>
        <w:t>There are no UDM-specific additions to clause 4.3.6 in TS 33.117 [3].</w:t>
      </w:r>
    </w:p>
    <w:p>
      <w:pPr>
        <w:pStyle w:val="Heading2"/>
        <w:keepNext w:val="false"/>
        <w:keepLines w:val="false"/>
        <w:suppressLineNumbers/>
        <w:suppressAutoHyphens w:val="true"/>
        <w:rPr/>
      </w:pPr>
      <w:bookmarkStart w:id="57" w:name="__RefHeading___Toc58341185"/>
      <w:bookmarkEnd w:id="57"/>
      <w:r>
        <w:rPr/>
        <w:t>4.4</w:t>
        <w:tab/>
      </w:r>
      <w:r>
        <w:rPr>
          <w:lang w:eastAsia="zh-CN"/>
        </w:rPr>
        <w:t>UDM</w:t>
      </w:r>
      <w:r>
        <w:rPr/>
        <w:t>-specific adaptations of basic vulnerability testing requirements and related test cases</w:t>
      </w:r>
    </w:p>
    <w:p>
      <w:pPr>
        <w:pStyle w:val="Normal"/>
        <w:rPr/>
      </w:pPr>
      <w:r>
        <w:rPr>
          <w:color w:val="000000"/>
        </w:rPr>
        <w:t xml:space="preserve">There are no UDM-specific additions to clause </w:t>
      </w:r>
      <w:r>
        <w:rPr>
          <w:color w:val="000000"/>
        </w:rPr>
        <w:t>4</w:t>
      </w:r>
      <w:r>
        <w:rPr>
          <w:color w:val="000000"/>
        </w:rPr>
        <w:t>.</w:t>
      </w:r>
      <w:r>
        <w:rPr>
          <w:color w:val="000000"/>
          <w:lang w:eastAsia="zh-CN"/>
        </w:rPr>
        <w:t>4</w:t>
      </w:r>
      <w:r>
        <w:rPr>
          <w:color w:val="000000"/>
        </w:rPr>
        <w:t xml:space="preserve"> of TS 33.117 [3].</w:t>
      </w:r>
      <w:r>
        <w:br w:type="page"/>
      </w:r>
    </w:p>
    <w:p>
      <w:pPr>
        <w:pStyle w:val="Heading8"/>
        <w:ind w:left="0" w:hanging="0"/>
        <w:rPr/>
      </w:pPr>
      <w:bookmarkStart w:id="58" w:name="__RefHeading___Toc58341186"/>
      <w:bookmarkEnd w:id="58"/>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993"/>
        <w:gridCol w:w="708"/>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Corrections for clean-up and alignment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Update to the test case of Storing of UE authentication status by UDM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bookmarkStart w:id="59" w:name="OLE_LINK5"/>
            <w:r>
              <w:rPr>
                <w:sz w:val="16"/>
                <w:szCs w:val="16"/>
                <w:lang w:eastAsia="zh-CN"/>
              </w:rPr>
              <w:t>Clarification on the test cases if the UDM and AUSF are collocated</w:t>
            </w:r>
            <w:bookmarkEnd w:id="59"/>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of general SBA/SBI aspect in 33.514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33.514 V16.4.0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33.514 V16.4.0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Tahoma" w:hAnsi="Tahoma" w:cs="Tahoma"/>
      <w:sz w:val="16"/>
      <w:szCs w:val="16"/>
      <w:lang w:val="en-GB"/>
    </w:rPr>
  </w:style>
  <w:style w:type="character" w:styleId="EditorsNoteChar">
    <w:name w:val="Editor's Note Char"/>
    <w:qFormat/>
    <w:rPr>
      <w:color w:val="FF0000"/>
    </w:rPr>
  </w:style>
  <w:style w:type="character" w:styleId="Heading3Char">
    <w:name w:val="Heading 3 Char"/>
    <w:qFormat/>
    <w:rPr>
      <w:rFonts w:ascii="Arial" w:hAnsi="Arial" w:cs="Arial"/>
      <w:sz w:val="28"/>
    </w:rPr>
  </w:style>
  <w:style w:type="character" w:styleId="B1Char">
    <w:name w:val="B1 Char"/>
    <w:qFormat/>
    <w:rPr/>
  </w:style>
  <w:style w:type="character" w:styleId="EXChar">
    <w:name w:val="EX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Heading2Char">
    <w:name w:val="Heading 2 Char"/>
    <w:qFormat/>
    <w:rPr>
      <w:rFonts w:ascii="Arial" w:hAnsi="Arial" w:cs="Arial"/>
      <w:sz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MS Mincho;ＭＳ 明朝" w:cs="Calibri"/>
      <w:sz w:val="22"/>
      <w:szCs w:val="22"/>
      <w:lang w:val="en-IN" w:eastAsia="ja-JP"/>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2019-10-22T14:45:00Z</dcterms:created>
  <dc:creator>MCC Support</dc:creator>
  <dc:description/>
  <cp:keywords>&lt;keyword[ keyword ]&gt;</cp:keywords>
  <dc:language>en-US</dc:language>
  <cp:lastModifiedBy>28.541_CR0382R1_(Rel-17)_eSON_5G</cp:lastModifiedBy>
  <cp:lastPrinted>2019-10-16T08:57:00Z</cp:lastPrinted>
  <dcterms:modified xsi:type="dcterms:W3CDTF">2020-12-16T15:33:00Z</dcterms:modified>
  <cp:revision>16</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C:\Users\rajvel\Desktop\SA3#92\Contributions\SCAS\Reference\S3-18hhh_Skeleton TS 33.514_draft_v2.doc</vt:lpwstr>
  </property>
</Properties>
</file>