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33.516 </w:t>
                            </w:r>
                            <w:r>
                              <w:rPr>
                                <w:lang w:val="en-GB" w:eastAsia="en-US"/>
                              </w:rPr>
                              <w:t xml:space="preserve">V16.2.0 </w:t>
                            </w:r>
                            <w:r>
                              <w:rPr>
                                <w:sz w:val="32"/>
                                <w:lang w:val="en-GB" w:eastAsia="en-US"/>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33.516 </w:t>
                      </w:r>
                      <w:r>
                        <w:rPr>
                          <w:lang w:val="en-GB" w:eastAsia="en-US"/>
                        </w:rPr>
                        <w:t xml:space="preserve">V16.2.0 </w:t>
                      </w:r>
                      <w:r>
                        <w:rPr>
                          <w:sz w:val="32"/>
                          <w:lang w:val="en-GB" w:eastAsia="en-US"/>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 Authentication Server Function (AUSF) network product class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 Authentication Server Function (AUSF) network product class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9675" cy="8362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9675" cy="83629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86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869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9675" cy="83629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9675" cy="83629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869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869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5G, AUSF,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5G, AUSF,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834152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834152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834152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5834152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5834152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8341527">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834152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AUSF-specific security requirements and related test cases</w:t>
            <w:tab/>
          </w:r>
          <w:hyperlink w:anchor="__RefHeading___Toc5834152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8341530">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AUSF-specific adaptations of security functional requirements and related test cases</w:t>
            <w:tab/>
          </w:r>
          <w:hyperlink w:anchor="__RefHeading___Toc58341531">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58341532">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Security functional requirements on the AUSF deriving from 3GPP specifications and related test cases</w:t>
            <w:tab/>
          </w:r>
          <w:hyperlink w:anchor="__RefHeading___Toc58341533">
            <w:r>
              <w:rPr>
                <w:rStyle w:val="IndexLink"/>
              </w:rPr>
              <w:t>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58341534">
            <w:r>
              <w:rPr>
                <w:rStyle w:val="IndexLink"/>
              </w:rPr>
              <w:t>7</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58341535">
            <w:r>
              <w:rPr>
                <w:rStyle w:val="IndexLink"/>
              </w:rPr>
              <w:t>7</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8341536">
            <w:r>
              <w:rPr>
                <w:rStyle w:val="IndexLink"/>
              </w:rPr>
              <w:t>7</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8341537">
            <w:r>
              <w:rPr>
                <w:rStyle w:val="IndexLink"/>
              </w:rPr>
              <w:t>7</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8341538">
            <w:r>
              <w:rPr>
                <w:rStyle w:val="IndexLink"/>
              </w:rPr>
              <w:t>7</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8341539">
            <w:r>
              <w:rPr>
                <w:rStyle w:val="IndexLink"/>
              </w:rPr>
              <w:t>8</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8341540">
            <w:r>
              <w:rPr>
                <w:rStyle w:val="IndexLink"/>
              </w:rPr>
              <w:t>8</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58341541">
            <w:r>
              <w:rPr>
                <w:rStyle w:val="IndexLink"/>
              </w:rPr>
              <w:t>8</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8341542">
            <w:r>
              <w:rPr>
                <w:rStyle w:val="IndexLink"/>
              </w:rPr>
              <w:t>8</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58341543">
            <w:r>
              <w:rPr>
                <w:rStyle w:val="IndexLink"/>
              </w:rPr>
              <w:t>8</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58341544">
            <w:r>
              <w:rPr>
                <w:rStyle w:val="IndexLink"/>
              </w:rPr>
              <w:t>8</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58341545">
            <w:r>
              <w:rPr>
                <w:rStyle w:val="IndexLink"/>
              </w:rPr>
              <w:t>8</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58341546">
            <w:r>
              <w:rPr>
                <w:rStyle w:val="IndexLink"/>
              </w:rPr>
              <w:t>8</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58341547">
            <w:r>
              <w:rPr>
                <w:rStyle w:val="IndexLink"/>
              </w:rPr>
              <w:t>8</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5834154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AUSF-specific adaptations of hardening requirements and related test cases</w:t>
            <w:tab/>
          </w:r>
          <w:hyperlink w:anchor="__RefHeading___Toc58341549">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58341550">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58341551">
            <w:r>
              <w:rPr>
                <w:rStyle w:val="IndexLink"/>
              </w:rPr>
              <w:t>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58341552">
            <w:r>
              <w:rPr>
                <w:rStyle w:val="IndexLink"/>
              </w:rPr>
              <w:t>8</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58341553">
            <w:r>
              <w:rPr>
                <w:rStyle w:val="IndexLink"/>
              </w:rPr>
              <w:t>9</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58341554">
            <w:r>
              <w:rPr>
                <w:rStyle w:val="IndexLink"/>
              </w:rPr>
              <w:t>9</w:t>
            </w:r>
          </w:hyperlink>
        </w:p>
        <w:p>
          <w:pPr>
            <w:pStyle w:val="Contents3"/>
            <w:rPr>
              <w:rFonts w:ascii="Calibri" w:hAnsi="Calibri" w:cs="Calibri"/>
              <w:sz w:val="22"/>
              <w:szCs w:val="22"/>
              <w:lang w:val="en-US" w:eastAsia="en-US"/>
            </w:rPr>
          </w:pPr>
          <w:r>
            <w:rPr>
              <w:rFonts w:eastAsia="SimSun;宋体"/>
            </w:rPr>
            <w:t>4.3.6</w:t>
          </w:r>
          <w:r>
            <w:rPr>
              <w:rFonts w:cs="Calibri" w:ascii="Calibri" w:hAnsi="Calibri"/>
              <w:sz w:val="22"/>
              <w:szCs w:val="22"/>
              <w:lang w:val="en-US" w:eastAsia="en-US"/>
            </w:rPr>
            <w:tab/>
          </w:r>
          <w:r>
            <w:rPr>
              <w:rFonts w:eastAsia="SimSun;宋体"/>
            </w:rPr>
            <w:t>Network functions in service-based architecture</w:t>
          </w:r>
          <w:r>
            <w:rPr/>
            <w:tab/>
          </w:r>
          <w:hyperlink w:anchor="__RefHeading___Toc58341555">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AUSF-specific adaptations of basic vulnerability testing requirements and related test cases</w:t>
            <w:tab/>
          </w:r>
          <w:hyperlink w:anchor="__RefHeading___Toc58341556">
            <w:r>
              <w:rPr>
                <w:rStyle w:val="IndexLink"/>
              </w:rPr>
              <w:t>9</w:t>
            </w:r>
          </w:hyperlink>
        </w:p>
        <w:p>
          <w:pPr>
            <w:pStyle w:val="Contents8"/>
            <w:rPr>
              <w:rFonts w:ascii="Calibri" w:hAnsi="Calibri" w:cs="Calibri"/>
              <w:szCs w:val="22"/>
              <w:lang w:val="en-US" w:eastAsia="en-US"/>
            </w:rPr>
          </w:pPr>
          <w:r>
            <w:rPr>
              <w:b w:val="false"/>
            </w:rPr>
            <w:t>Annex A (informative): Change history</w:t>
            <w:tab/>
          </w:r>
          <w:hyperlink w:anchor="__RefHeading___Toc58341557">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8341522"/>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9" w:name="__RefHeading___Toc58341523"/>
      <w:bookmarkEnd w:id="9"/>
      <w:r>
        <w:rPr/>
        <w:t>1</w:t>
        <w:tab/>
        <w:t>Scope</w:t>
      </w:r>
    </w:p>
    <w:p>
      <w:pPr>
        <w:pStyle w:val="Normal"/>
        <w:rPr/>
      </w:pPr>
      <w:r>
        <w:rPr/>
        <w:t>The present document contains objectives, requirements and test cases that are specific to the AUSF network product class. It refers to the Catalogue of General Security Assurance Requirements and formulates specific adaptions of the requirements and test cases given there, as well as specifying requirements and test cases unique to the AUSF network product class.</w:t>
      </w:r>
    </w:p>
    <w:p>
      <w:pPr>
        <w:pStyle w:val="Heading1"/>
        <w:ind w:left="1134" w:hanging="1134"/>
        <w:rPr/>
      </w:pPr>
      <w:bookmarkStart w:id="10" w:name="__RefHeading___Toc58341524"/>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33.501 (Release 15): "Security architecture and procedures for 5G system".</w:t>
      </w:r>
    </w:p>
    <w:p>
      <w:pPr>
        <w:pStyle w:val="EX"/>
        <w:rPr/>
      </w:pPr>
      <w:r>
        <w:rPr/>
        <w:t>[3]</w:t>
        <w:tab/>
        <w:t xml:space="preserve">3GPP TS 33.117: "Catalogue of general security assurance requirements". </w:t>
      </w:r>
    </w:p>
    <w:p>
      <w:pPr>
        <w:pStyle w:val="EX"/>
        <w:rPr/>
      </w:pPr>
      <w:r>
        <w:rPr/>
        <w:t>[4]</w:t>
        <w:tab/>
        <w:t>3GPP TR 33.926: "Security Assurance Specification (SCAS) threats and critical assets in 3GPP network product classes".</w:t>
      </w:r>
    </w:p>
    <w:p>
      <w:pPr>
        <w:pStyle w:val="Heading1"/>
        <w:ind w:left="1134" w:hanging="1134"/>
        <w:rPr/>
      </w:pPr>
      <w:bookmarkStart w:id="15" w:name="OLE_LINK4"/>
      <w:bookmarkStart w:id="16" w:name="OLE_LINK3"/>
      <w:bookmarkStart w:id="17" w:name="OLE_LINK2"/>
      <w:bookmarkStart w:id="18" w:name="OLE_LINK1"/>
      <w:bookmarkStart w:id="19" w:name="__RefHeading___Toc58341525"/>
      <w:bookmarkEnd w:id="15"/>
      <w:bookmarkEnd w:id="16"/>
      <w:bookmarkEnd w:id="17"/>
      <w:bookmarkEnd w:id="18"/>
      <w:bookmarkEnd w:id="19"/>
      <w:r>
        <w:rPr/>
        <w:t>3</w:t>
        <w:tab/>
        <w:t>Definitions of terms, symbols and abbreviations</w:t>
      </w:r>
    </w:p>
    <w:p>
      <w:pPr>
        <w:pStyle w:val="Heading2"/>
        <w:rPr/>
      </w:pPr>
      <w:bookmarkStart w:id="20" w:name="__RefHeading___Toc58341526"/>
      <w:bookmarkEnd w:id="20"/>
      <w:r>
        <w:rPr/>
        <w:t>3.1</w:t>
        <w:tab/>
        <w:t>Terms</w:t>
      </w:r>
    </w:p>
    <w:p>
      <w:pPr>
        <w:pStyle w:val="Normal"/>
        <w:rPr/>
      </w:pPr>
      <w:r>
        <w:rPr/>
        <w:t xml:space="preserve">For the purposes of the present document, the terms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Heading2"/>
        <w:rPr/>
      </w:pPr>
      <w:bookmarkStart w:id="24" w:name="__RefHeading___Toc58341527"/>
      <w:bookmarkEnd w:id="24"/>
      <w:r>
        <w:rPr/>
        <w:t>3.2</w:t>
        <w:tab/>
        <w:t>Symbols</w:t>
      </w:r>
    </w:p>
    <w:p>
      <w:pPr>
        <w:pStyle w:val="Normal"/>
        <w:rPr/>
      </w:pPr>
      <w:r>
        <w:rPr/>
        <w:t>Void.</w:t>
      </w:r>
    </w:p>
    <w:p>
      <w:pPr>
        <w:pStyle w:val="Heading2"/>
        <w:rPr/>
      </w:pPr>
      <w:bookmarkStart w:id="25" w:name="__RefHeading___Toc58341528"/>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26" w:name="__RefHeading___Toc58341529"/>
      <w:bookmarkEnd w:id="26"/>
      <w:r>
        <w:rPr/>
        <w:t>4</w:t>
        <w:tab/>
        <w:t>AUSF-specific security requirements and related test cases</w:t>
      </w:r>
    </w:p>
    <w:p>
      <w:pPr>
        <w:pStyle w:val="Heading2"/>
        <w:rPr/>
      </w:pPr>
      <w:bookmarkStart w:id="27" w:name="__RefHeading___Toc58341530"/>
      <w:bookmarkEnd w:id="27"/>
      <w:r>
        <w:rPr/>
        <w:t>4.1</w:t>
        <w:tab/>
        <w:t>Introduction</w:t>
      </w:r>
    </w:p>
    <w:p>
      <w:pPr>
        <w:pStyle w:val="Normal"/>
        <w:rPr/>
      </w:pPr>
      <w:r>
        <w:rPr/>
        <w:t>AUSF specific security requirements include both requirements derived from AUSF specific security functional requirements in relevant specifications as well as security requirements introduced in the present document derived from the threats specific to AUSF as described in TR 33.926 [4].</w:t>
      </w:r>
    </w:p>
    <w:p>
      <w:pPr>
        <w:pStyle w:val="Heading2"/>
        <w:rPr/>
      </w:pPr>
      <w:bookmarkStart w:id="28" w:name="__RefHeading___Toc58341531"/>
      <w:bookmarkEnd w:id="28"/>
      <w:r>
        <w:rPr/>
        <w:t>4.2</w:t>
        <w:tab/>
        <w:t>AUSF-specific adaptations of security functional requirements and related test cases</w:t>
      </w:r>
    </w:p>
    <w:p>
      <w:pPr>
        <w:pStyle w:val="Heading3"/>
        <w:rPr/>
      </w:pPr>
      <w:bookmarkStart w:id="29" w:name="__RefHeading___Toc58341532"/>
      <w:bookmarkEnd w:id="29"/>
      <w:r>
        <w:rPr/>
        <w:t>4.2.1</w:t>
        <w:tab/>
        <w:t>Introduction</w:t>
      </w:r>
    </w:p>
    <w:p>
      <w:pPr>
        <w:pStyle w:val="Normal"/>
        <w:rPr/>
      </w:pPr>
      <w:r>
        <w:rPr/>
        <w:t xml:space="preserve">The present clause describes the security functional requirements and the corresponding test cases for AUSF network product class. The proposed security requirements are classified in two groups: </w:t>
      </w:r>
    </w:p>
    <w:p>
      <w:pPr>
        <w:pStyle w:val="B1"/>
        <w:rPr/>
      </w:pPr>
      <w:r>
        <w:rPr/>
        <w:t>-</w:t>
        <w:tab/>
        <w:t>Security functional requirements derived from TS 33.501 [2] and detailed in clause 4.2.2.</w:t>
      </w:r>
    </w:p>
    <w:p>
      <w:pPr>
        <w:pStyle w:val="B1"/>
        <w:rPr/>
      </w:pPr>
      <w:r>
        <w:rPr/>
        <w:t>-</w:t>
        <w:tab/>
        <w:t>General security functional requirements which include requirements not already addressed in TS 33.501 [2] but whose support is also important to ensure that AUSF conforms to a common security baseline detailed in clause 4.2.3.</w:t>
      </w:r>
    </w:p>
    <w:p>
      <w:pPr>
        <w:pStyle w:val="Heading3"/>
        <w:rPr/>
      </w:pPr>
      <w:bookmarkStart w:id="30" w:name="__RefHeading___Toc58341533"/>
      <w:bookmarkEnd w:id="30"/>
      <w:r>
        <w:rPr/>
        <w:t>4.2.2</w:t>
        <w:tab/>
        <w:t>Security functional requirements on the AUSF deriving from 3GPP specifications and related test cases</w:t>
      </w:r>
    </w:p>
    <w:p>
      <w:pPr>
        <w:pStyle w:val="Normal"/>
        <w:rPr/>
      </w:pPr>
      <w:r>
        <w:rPr/>
        <w:t>The general approach in TS 33.117 [3] clause 4.2.2.1 and all the requirements and test cases in TS 33.117 [3] clause 4.2.2.2 related to SBA/SBI aspect apply to the A</w:t>
      </w:r>
      <w:r>
        <w:rPr>
          <w:lang w:eastAsia="zh-CN"/>
        </w:rPr>
        <w:t>US</w:t>
      </w:r>
      <w:r>
        <w:rPr/>
        <w:t>F network product class.</w:t>
      </w:r>
    </w:p>
    <w:p>
      <w:pPr>
        <w:pStyle w:val="Normal"/>
        <w:rPr/>
      </w:pPr>
      <w:r>
        <w:rPr>
          <w:color w:val="000000"/>
        </w:rPr>
        <w:t xml:space="preserve">There are no AUSF-specific test cases according to the </w:t>
      </w:r>
      <w:r>
        <w:rPr/>
        <w:t>security functional requirements on the AUSF deriving from TS 33.501 [2] and security requirements derived from the threats specific to AUSF as described in TR 33.926 [4]</w:t>
      </w:r>
      <w:r>
        <w:rPr>
          <w:color w:val="000000"/>
        </w:rPr>
        <w:t>.</w:t>
      </w:r>
    </w:p>
    <w:p>
      <w:pPr>
        <w:pStyle w:val="Heading3"/>
        <w:rPr/>
      </w:pPr>
      <w:bookmarkStart w:id="31" w:name="__RefHeading___Toc58341534"/>
      <w:bookmarkEnd w:id="31"/>
      <w:r>
        <w:rPr/>
        <w:t>4.2.3</w:t>
        <w:tab/>
        <w:t>Technical Baseline</w:t>
      </w:r>
    </w:p>
    <w:p>
      <w:pPr>
        <w:pStyle w:val="Heading4"/>
        <w:ind w:left="1418" w:hanging="1418"/>
        <w:rPr/>
      </w:pPr>
      <w:bookmarkStart w:id="32" w:name="__RefHeading___Toc58341535"/>
      <w:bookmarkEnd w:id="32"/>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33" w:name="__RefHeading___Toc58341536"/>
      <w:bookmarkEnd w:id="33"/>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34" w:name="__RefHeading___Toc58341537"/>
      <w:bookmarkEnd w:id="34"/>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[3].</w:t>
      </w:r>
    </w:p>
    <w:p>
      <w:pPr>
        <w:pStyle w:val="Heading5"/>
        <w:ind w:left="1701" w:hanging="1701"/>
        <w:rPr/>
      </w:pPr>
      <w:bookmarkStart w:id="35" w:name="__RefHeading___Toc58341538"/>
      <w:bookmarkEnd w:id="35"/>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t xml:space="preserve">There are no </w:t>
      </w:r>
      <w:r>
        <w:rPr>
          <w:color w:val="000000"/>
        </w:rPr>
        <w:t>AUSF</w:t>
      </w:r>
      <w:r>
        <w:rPr/>
        <w:t xml:space="preserve">-specific additions to clause </w:t>
      </w:r>
      <w:r>
        <w:rPr/>
        <w:t>4</w:t>
      </w:r>
      <w:r>
        <w:rPr/>
        <w:t>.</w:t>
      </w:r>
      <w:r>
        <w:rPr/>
        <w:t>2</w:t>
      </w:r>
      <w:r>
        <w:rPr/>
        <w:t>.3</w:t>
      </w:r>
      <w:r>
        <w:rPr/>
        <w:t>.2</w:t>
      </w:r>
      <w:r>
        <w:rPr/>
        <w:t>.2 of TS 33.117 [3].</w:t>
      </w:r>
    </w:p>
    <w:p>
      <w:pPr>
        <w:pStyle w:val="Heading5"/>
        <w:ind w:left="1701" w:hanging="1701"/>
        <w:rPr/>
      </w:pPr>
      <w:bookmarkStart w:id="36" w:name="__RefHeading___Toc58341539"/>
      <w:bookmarkEnd w:id="36"/>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w:t>
      </w:r>
      <w:r>
        <w:rPr>
          <w:color w:val="000000"/>
        </w:rPr>
        <w:t>AUSF</w:t>
      </w:r>
      <w:r>
        <w:rPr/>
        <w:t xml:space="preserve">-specific additions to clause </w:t>
      </w:r>
      <w:r>
        <w:rPr/>
        <w:t>4</w:t>
      </w:r>
      <w:r>
        <w:rPr/>
        <w:t>.</w:t>
      </w:r>
      <w:r>
        <w:rPr/>
        <w:t>2</w:t>
      </w:r>
      <w:r>
        <w:rPr/>
        <w:t>.3</w:t>
      </w:r>
      <w:r>
        <w:rPr/>
        <w:t>.2</w:t>
      </w:r>
      <w:r>
        <w:rPr/>
        <w:t>.3 of TS 33.117 [3].</w:t>
      </w:r>
    </w:p>
    <w:p>
      <w:pPr>
        <w:pStyle w:val="Heading5"/>
        <w:ind w:left="1701" w:hanging="1701"/>
        <w:rPr/>
      </w:pPr>
      <w:bookmarkStart w:id="37" w:name="__RefHeading___Toc58341540"/>
      <w:bookmarkEnd w:id="37"/>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B1"/>
        <w:ind w:left="0" w:hanging="0"/>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[3].</w:t>
      </w:r>
    </w:p>
    <w:p>
      <w:pPr>
        <w:pStyle w:val="Heading5"/>
        <w:ind w:left="1701" w:hanging="1701"/>
        <w:rPr/>
      </w:pPr>
      <w:bookmarkStart w:id="38" w:name="__RefHeading___Toc58341541"/>
      <w:bookmarkEnd w:id="38"/>
      <w:r>
        <w:rPr/>
        <w:t>4.2.3.2.5</w:t>
        <w:tab/>
        <w:t>Logging access to personal data</w:t>
      </w:r>
    </w:p>
    <w:p>
      <w:pPr>
        <w:pStyle w:val="Normal"/>
        <w:rPr>
          <w:lang w:eastAsia="zh-CN"/>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[3].</w:t>
      </w:r>
    </w:p>
    <w:p>
      <w:pPr>
        <w:pStyle w:val="Heading4"/>
        <w:keepNext w:val="false"/>
        <w:keepLines w:val="false"/>
        <w:suppressLineNumbers/>
        <w:suppressAutoHyphens w:val="true"/>
        <w:ind w:left="1418" w:hanging="1418"/>
        <w:rPr/>
      </w:pPr>
      <w:bookmarkStart w:id="39" w:name="__RefHeading___Toc58341542"/>
      <w:bookmarkEnd w:id="39"/>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[3].</w:t>
      </w:r>
    </w:p>
    <w:p>
      <w:pPr>
        <w:pStyle w:val="Heading4"/>
        <w:keepNext w:val="false"/>
        <w:keepLines w:val="false"/>
        <w:suppressLineNumbers/>
        <w:suppressAutoHyphens w:val="true"/>
        <w:ind w:left="1418" w:hanging="1418"/>
        <w:rPr/>
      </w:pPr>
      <w:bookmarkStart w:id="40" w:name="__RefHeading___Toc58341543"/>
      <w:bookmarkEnd w:id="40"/>
      <w:r>
        <w:rPr/>
        <w:t>4.2.3.4</w:t>
        <w:tab/>
        <w:t>Authentication</w:t>
      </w:r>
      <w:r>
        <w:rPr>
          <w:spacing w:val="-17"/>
        </w:rPr>
        <w:t xml:space="preserve"> </w:t>
      </w:r>
      <w:r>
        <w:rPr/>
        <w:t>and</w:t>
      </w:r>
      <w:r>
        <w:rPr>
          <w:spacing w:val="-4"/>
        </w:rPr>
        <w:t xml:space="preserve"> </w:t>
      </w:r>
      <w:r>
        <w:rPr/>
        <w:t>authorization</w:t>
      </w:r>
    </w:p>
    <w:p>
      <w:pPr>
        <w:pStyle w:val="Normal"/>
        <w:rPr>
          <w:lang w:eastAsia="zh-CN"/>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4</w:t>
      </w:r>
      <w:r>
        <w:rPr>
          <w:color w:val="000000"/>
        </w:rPr>
        <w:t xml:space="preserve"> of TS 33.117 [3].</w:t>
      </w:r>
    </w:p>
    <w:p>
      <w:pPr>
        <w:pStyle w:val="Heading4"/>
        <w:keepNext w:val="false"/>
        <w:keepLines w:val="false"/>
        <w:suppressLineNumbers/>
        <w:suppressAutoHyphens w:val="true"/>
        <w:ind w:left="1418" w:hanging="1418"/>
        <w:rPr/>
      </w:pPr>
      <w:bookmarkStart w:id="41" w:name="__RefHeading___Toc58341544"/>
      <w:bookmarkEnd w:id="41"/>
      <w:r>
        <w:rPr/>
        <w:t>4.2.3.5</w:t>
        <w:tab/>
        <w:t>Protecting</w:t>
      </w:r>
      <w:r>
        <w:rPr>
          <w:spacing w:val="-12"/>
        </w:rPr>
        <w:t xml:space="preserve"> </w:t>
      </w:r>
      <w:r>
        <w:rPr/>
        <w:t>sessions</w:t>
      </w:r>
    </w:p>
    <w:p>
      <w:pPr>
        <w:pStyle w:val="Normal"/>
        <w:rPr>
          <w:lang w:eastAsia="zh-CN"/>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5</w:t>
      </w:r>
      <w:r>
        <w:rPr>
          <w:color w:val="000000"/>
        </w:rPr>
        <w:t xml:space="preserve"> of TS 33.117 [3].</w:t>
      </w:r>
    </w:p>
    <w:p>
      <w:pPr>
        <w:pStyle w:val="Heading4"/>
        <w:keepNext w:val="false"/>
        <w:keepLines w:val="false"/>
        <w:suppressLineNumbers/>
        <w:suppressAutoHyphens w:val="true"/>
        <w:ind w:left="1418" w:hanging="1418"/>
        <w:rPr/>
      </w:pPr>
      <w:bookmarkStart w:id="42" w:name="__RefHeading___Toc58341545"/>
      <w:bookmarkEnd w:id="42"/>
      <w:r>
        <w:rPr/>
        <w:t>4.2.3.6</w:t>
        <w:tab/>
        <w:t>Logging</w:t>
      </w:r>
    </w:p>
    <w:p>
      <w:pPr>
        <w:pStyle w:val="Normal"/>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[3].</w:t>
      </w:r>
      <w:r>
        <w:rPr>
          <w:lang w:eastAsia="zh-CN"/>
        </w:rPr>
        <w:t xml:space="preserve"> </w:t>
      </w:r>
    </w:p>
    <w:p>
      <w:pPr>
        <w:pStyle w:val="Heading3"/>
        <w:keepNext w:val="false"/>
        <w:keepLines w:val="false"/>
        <w:suppressLineNumbers/>
        <w:suppressAutoHyphens w:val="true"/>
        <w:rPr/>
      </w:pPr>
      <w:bookmarkStart w:id="43" w:name="__RefHeading___Toc58341546"/>
      <w:bookmarkEnd w:id="43"/>
      <w:r>
        <w:rPr/>
        <w:t>4.2.4</w:t>
        <w:tab/>
        <w:t>Operating Systems</w:t>
      </w:r>
    </w:p>
    <w:p>
      <w:pPr>
        <w:pStyle w:val="Normal"/>
        <w:rPr/>
      </w:pPr>
      <w:r>
        <w:rPr>
          <w:color w:val="000000"/>
        </w:rPr>
        <w:t xml:space="preserve">There are no AUSF -specific additions to clause </w:t>
      </w:r>
      <w:r>
        <w:rPr>
          <w:color w:val="000000"/>
        </w:rPr>
        <w:t>4</w:t>
      </w:r>
      <w:r>
        <w:rPr>
          <w:color w:val="000000"/>
        </w:rPr>
        <w:t>.</w:t>
      </w:r>
      <w:r>
        <w:rPr>
          <w:color w:val="000000"/>
          <w:lang w:eastAsia="zh-CN"/>
        </w:rPr>
        <w:t>2</w:t>
      </w:r>
      <w:r>
        <w:rPr>
          <w:color w:val="000000"/>
        </w:rPr>
        <w:t>.4 of TS 33.117 [3].</w:t>
      </w:r>
    </w:p>
    <w:p>
      <w:pPr>
        <w:pStyle w:val="Heading3"/>
        <w:keepNext w:val="false"/>
        <w:keepLines w:val="false"/>
        <w:suppressLineNumbers/>
        <w:suppressAutoHyphens w:val="true"/>
        <w:rPr/>
      </w:pPr>
      <w:bookmarkStart w:id="44" w:name="__RefHeading___Toc58341547"/>
      <w:bookmarkEnd w:id="44"/>
      <w:r>
        <w:rPr/>
        <w:t>4.2.5</w:t>
        <w:tab/>
        <w:t>Web Servers</w:t>
      </w:r>
    </w:p>
    <w:p>
      <w:pPr>
        <w:pStyle w:val="Normal"/>
        <w:rPr/>
      </w:pPr>
      <w:r>
        <w:rPr>
          <w:color w:val="000000"/>
        </w:rPr>
        <w:t xml:space="preserve">There are no AUSF -specific additions to clause </w:t>
      </w:r>
      <w:r>
        <w:rPr>
          <w:color w:val="000000"/>
        </w:rPr>
        <w:t>4</w:t>
      </w:r>
      <w:r>
        <w:rPr>
          <w:color w:val="000000"/>
        </w:rPr>
        <w:t>.</w:t>
      </w:r>
      <w:r>
        <w:rPr>
          <w:color w:val="000000"/>
        </w:rPr>
        <w:t>2</w:t>
      </w:r>
      <w:r>
        <w:rPr>
          <w:color w:val="000000"/>
        </w:rPr>
        <w:t>.5 of TS 33.117 [3].</w:t>
      </w:r>
    </w:p>
    <w:p>
      <w:pPr>
        <w:pStyle w:val="Heading3"/>
        <w:keepNext w:val="false"/>
        <w:keepLines w:val="false"/>
        <w:suppressLineNumbers/>
        <w:suppressAutoHyphens w:val="true"/>
        <w:rPr/>
      </w:pPr>
      <w:bookmarkStart w:id="45" w:name="__RefHeading___Toc58341548"/>
      <w:bookmarkEnd w:id="45"/>
      <w:r>
        <w:rPr/>
        <w:t>4.2.6</w:t>
        <w:tab/>
        <w:t>Network Devices</w:t>
      </w:r>
    </w:p>
    <w:p>
      <w:pPr>
        <w:pStyle w:val="Normal"/>
        <w:rPr/>
      </w:pPr>
      <w:r>
        <w:rPr>
          <w:color w:val="000000"/>
        </w:rPr>
        <w:t xml:space="preserve">There are no AUSF-specific additions to clause </w:t>
      </w:r>
      <w:r>
        <w:rPr>
          <w:color w:val="000000"/>
        </w:rPr>
        <w:t>4</w:t>
      </w:r>
      <w:r>
        <w:rPr>
          <w:color w:val="000000"/>
        </w:rPr>
        <w:t>.</w:t>
      </w:r>
      <w:r>
        <w:rPr>
          <w:color w:val="000000"/>
          <w:lang w:eastAsia="zh-CN"/>
        </w:rPr>
        <w:t>2</w:t>
      </w:r>
      <w:r>
        <w:rPr>
          <w:color w:val="000000"/>
        </w:rPr>
        <w:t>.6 of TS 33.117 [3].</w:t>
      </w:r>
    </w:p>
    <w:p>
      <w:pPr>
        <w:pStyle w:val="Heading2"/>
        <w:keepNext w:val="false"/>
        <w:keepLines w:val="false"/>
        <w:suppressLineNumbers/>
        <w:suppressAutoHyphens w:val="true"/>
        <w:rPr/>
      </w:pPr>
      <w:bookmarkStart w:id="46" w:name="__RefHeading___Toc58341549"/>
      <w:bookmarkEnd w:id="46"/>
      <w:r>
        <w:rPr/>
        <w:t>4.3</w:t>
        <w:tab/>
        <w:t>AUSF-specific adaptations of hardening requirements and related test cases</w:t>
      </w:r>
    </w:p>
    <w:p>
      <w:pPr>
        <w:pStyle w:val="Heading3"/>
        <w:rPr/>
      </w:pPr>
      <w:bookmarkStart w:id="47" w:name="__RefHeading___Toc58341550"/>
      <w:bookmarkEnd w:id="47"/>
      <w:r>
        <w:rPr/>
        <w:t>4.3.1</w:t>
        <w:tab/>
        <w:t>Introduction</w:t>
      </w:r>
    </w:p>
    <w:p>
      <w:pPr>
        <w:pStyle w:val="Normal"/>
        <w:rPr/>
      </w:pPr>
      <w:r>
        <w:rPr>
          <w:lang w:eastAsia="zh-CN"/>
        </w:rPr>
        <w:t>The present clause contains AUSF</w:t>
      </w:r>
      <w:r>
        <w:rPr/>
        <w:t xml:space="preserve">-specific </w:t>
      </w:r>
      <w:r>
        <w:rPr>
          <w:lang w:eastAsia="zh-CN"/>
        </w:rPr>
        <w:t xml:space="preserve">adaptations of </w:t>
      </w:r>
      <w:r>
        <w:rPr>
          <w:lang w:eastAsia="zh-CN"/>
        </w:rPr>
        <w:t xml:space="preserve">hardening </w:t>
      </w:r>
      <w:r>
        <w:rPr/>
        <w:t>requirements</w:t>
      </w:r>
      <w:r>
        <w:rPr>
          <w:lang w:eastAsia="zh-CN"/>
        </w:rPr>
        <w:t xml:space="preserve"> and related test cases</w:t>
      </w:r>
      <w:r>
        <w:rPr>
          <w:lang w:eastAsia="zh-CN"/>
        </w:rPr>
        <w:t>.</w:t>
      </w:r>
    </w:p>
    <w:p>
      <w:pPr>
        <w:pStyle w:val="Heading3"/>
        <w:rPr/>
      </w:pPr>
      <w:bookmarkStart w:id="48" w:name="__RefHeading___Toc58341551"/>
      <w:bookmarkEnd w:id="48"/>
      <w:r>
        <w:rPr/>
        <w:t>4.3.2</w:t>
        <w:tab/>
        <w:t>Technical baseline</w:t>
      </w:r>
    </w:p>
    <w:p>
      <w:pPr>
        <w:pStyle w:val="Normal"/>
        <w:rPr/>
      </w:pPr>
      <w:r>
        <w:rPr>
          <w:color w:val="000000"/>
        </w:rPr>
        <w:t xml:space="preserve">There are no </w:t>
      </w:r>
      <w:r>
        <w:rPr>
          <w:lang w:eastAsia="zh-CN"/>
        </w:rPr>
        <w:t>AUSF</w:t>
      </w:r>
      <w:r>
        <w:rPr>
          <w:color w:val="000000"/>
        </w:rPr>
        <w:t xml:space="preserve">-specific additions to clause </w:t>
      </w:r>
      <w:r>
        <w:rPr>
          <w:color w:val="000000"/>
        </w:rPr>
        <w:t>4</w:t>
      </w:r>
      <w:r>
        <w:rPr>
          <w:color w:val="000000"/>
        </w:rPr>
        <w:t>.</w:t>
      </w:r>
      <w:r>
        <w:rPr>
          <w:color w:val="000000"/>
          <w:lang w:eastAsia="zh-CN"/>
        </w:rPr>
        <w:t>3.2</w:t>
      </w:r>
      <w:r>
        <w:rPr>
          <w:color w:val="000000"/>
        </w:rPr>
        <w:t xml:space="preserve"> of TS 33.117 [3].</w:t>
      </w:r>
    </w:p>
    <w:p>
      <w:pPr>
        <w:pStyle w:val="Heading3"/>
        <w:rPr/>
      </w:pPr>
      <w:bookmarkStart w:id="49" w:name="__RefHeading___Toc58341552"/>
      <w:bookmarkEnd w:id="49"/>
      <w:r>
        <w:rPr/>
        <w:t>4.3.3</w:t>
        <w:tab/>
        <w:t>Operating systems</w:t>
      </w:r>
    </w:p>
    <w:p>
      <w:pPr>
        <w:pStyle w:val="Normal"/>
        <w:rPr/>
      </w:pPr>
      <w:r>
        <w:rPr>
          <w:color w:val="000000"/>
        </w:rPr>
        <w:t xml:space="preserve">There are no </w:t>
      </w:r>
      <w:r>
        <w:rPr>
          <w:lang w:eastAsia="zh-CN"/>
        </w:rPr>
        <w:t>AUSF</w:t>
      </w:r>
      <w:r>
        <w:rPr>
          <w:color w:val="000000"/>
        </w:rPr>
        <w:t xml:space="preserve">-specific additions to clause </w:t>
      </w:r>
      <w:r>
        <w:rPr>
          <w:color w:val="000000"/>
        </w:rPr>
        <w:t>4</w:t>
      </w:r>
      <w:r>
        <w:rPr>
          <w:color w:val="000000"/>
        </w:rPr>
        <w:t>.</w:t>
      </w:r>
      <w:r>
        <w:rPr>
          <w:color w:val="000000"/>
          <w:lang w:eastAsia="zh-CN"/>
        </w:rPr>
        <w:t>3.3</w:t>
      </w:r>
      <w:r>
        <w:rPr>
          <w:color w:val="000000"/>
        </w:rPr>
        <w:t xml:space="preserve"> of TS 33.117 [3].</w:t>
      </w:r>
    </w:p>
    <w:p>
      <w:pPr>
        <w:pStyle w:val="Heading3"/>
        <w:rPr/>
      </w:pPr>
      <w:bookmarkStart w:id="50" w:name="__RefHeading___Toc58341553"/>
      <w:bookmarkEnd w:id="50"/>
      <w:r>
        <w:rPr/>
        <w:t>4.3.4</w:t>
        <w:tab/>
        <w:t>Web servers</w:t>
      </w:r>
    </w:p>
    <w:p>
      <w:pPr>
        <w:pStyle w:val="Normal"/>
        <w:rPr/>
      </w:pPr>
      <w:r>
        <w:rPr>
          <w:color w:val="000000"/>
        </w:rPr>
        <w:t xml:space="preserve">There are no </w:t>
      </w:r>
      <w:r>
        <w:rPr>
          <w:lang w:eastAsia="zh-CN"/>
        </w:rPr>
        <w:t>AUSF</w:t>
      </w:r>
      <w:r>
        <w:rPr>
          <w:color w:val="000000"/>
        </w:rPr>
        <w:t xml:space="preserve">-specific additions to clause </w:t>
      </w:r>
      <w:r>
        <w:rPr>
          <w:color w:val="000000"/>
        </w:rPr>
        <w:t>4</w:t>
      </w:r>
      <w:r>
        <w:rPr>
          <w:color w:val="000000"/>
        </w:rPr>
        <w:t>.</w:t>
      </w:r>
      <w:r>
        <w:rPr>
          <w:color w:val="000000"/>
          <w:lang w:eastAsia="zh-CN"/>
        </w:rPr>
        <w:t>3.4</w:t>
      </w:r>
      <w:r>
        <w:rPr>
          <w:color w:val="000000"/>
        </w:rPr>
        <w:t xml:space="preserve"> of TS 33.117 [3].</w:t>
      </w:r>
    </w:p>
    <w:p>
      <w:pPr>
        <w:pStyle w:val="Heading3"/>
        <w:rPr/>
      </w:pPr>
      <w:bookmarkStart w:id="51" w:name="__RefHeading___Toc58341554"/>
      <w:bookmarkEnd w:id="51"/>
      <w:r>
        <w:rPr/>
        <w:t>4.3.5</w:t>
        <w:tab/>
        <w:t>Network devices</w:t>
      </w:r>
    </w:p>
    <w:p>
      <w:pPr>
        <w:pStyle w:val="Normal"/>
        <w:rPr>
          <w:color w:val="000000"/>
        </w:rPr>
      </w:pPr>
      <w:r>
        <w:rPr>
          <w:color w:val="000000"/>
        </w:rPr>
        <w:t xml:space="preserve">There are no </w:t>
      </w:r>
      <w:r>
        <w:rPr>
          <w:lang w:eastAsia="zh-CN"/>
        </w:rPr>
        <w:t>AUSF</w:t>
      </w:r>
      <w:r>
        <w:rPr>
          <w:color w:val="000000"/>
        </w:rPr>
        <w:t xml:space="preserve">-specific additions to clause </w:t>
      </w:r>
      <w:r>
        <w:rPr>
          <w:color w:val="000000"/>
        </w:rPr>
        <w:t>4</w:t>
      </w:r>
      <w:r>
        <w:rPr>
          <w:color w:val="000000"/>
        </w:rPr>
        <w:t>.</w:t>
      </w:r>
      <w:r>
        <w:rPr>
          <w:color w:val="000000"/>
          <w:lang w:eastAsia="zh-CN"/>
        </w:rPr>
        <w:t>3.5</w:t>
      </w:r>
      <w:r>
        <w:rPr>
          <w:color w:val="000000"/>
        </w:rPr>
        <w:t xml:space="preserve"> of TS 33.117 [3].</w:t>
      </w:r>
    </w:p>
    <w:p>
      <w:pPr>
        <w:pStyle w:val="Heading3"/>
        <w:rPr>
          <w:rFonts w:eastAsia="SimSun;宋体"/>
        </w:rPr>
      </w:pPr>
      <w:bookmarkStart w:id="52" w:name="__RefHeading___Toc58341555"/>
      <w:bookmarkEnd w:id="52"/>
      <w:r>
        <w:rPr>
          <w:rFonts w:eastAsia="SimSun;宋体"/>
        </w:rPr>
        <w:t>4.3.6</w:t>
        <w:tab/>
        <w:t>Network functions in service-based architecture</w:t>
      </w:r>
    </w:p>
    <w:p>
      <w:pPr>
        <w:pStyle w:val="Normal"/>
        <w:rPr/>
      </w:pPr>
      <w:r>
        <w:rPr>
          <w:lang w:eastAsia="zh-CN"/>
        </w:rPr>
        <w:t>There are no AUSF-specific additions to clause 4.3.6 in TS 33.117 [3].</w:t>
      </w:r>
    </w:p>
    <w:p>
      <w:pPr>
        <w:pStyle w:val="Heading2"/>
        <w:keepNext w:val="false"/>
        <w:keepLines w:val="false"/>
        <w:suppressLineNumbers/>
        <w:suppressAutoHyphens w:val="true"/>
        <w:rPr/>
      </w:pPr>
      <w:bookmarkStart w:id="53" w:name="__RefHeading___Toc58341556"/>
      <w:bookmarkEnd w:id="53"/>
      <w:r>
        <w:rPr/>
        <w:t>4.4</w:t>
        <w:tab/>
        <w:t>AUSF-specific adaptations of basic vulnerability testing requirements and related test cases</w:t>
      </w:r>
    </w:p>
    <w:p>
      <w:pPr>
        <w:pStyle w:val="Normal"/>
        <w:rPr/>
      </w:pPr>
      <w:r>
        <w:rPr>
          <w:color w:val="000000"/>
        </w:rPr>
        <w:t xml:space="preserve">There are no AUSF-specific additions to clause </w:t>
      </w:r>
      <w:r>
        <w:rPr>
          <w:color w:val="000000"/>
        </w:rPr>
        <w:t>4</w:t>
      </w:r>
      <w:r>
        <w:rPr>
          <w:color w:val="000000"/>
        </w:rPr>
        <w:t>.</w:t>
      </w:r>
      <w:r>
        <w:rPr>
          <w:color w:val="000000"/>
          <w:lang w:eastAsia="zh-CN"/>
        </w:rPr>
        <w:t>4</w:t>
      </w:r>
      <w:r>
        <w:rPr>
          <w:color w:val="000000"/>
        </w:rPr>
        <w:t xml:space="preserve"> of TS 33.117 [3].</w:t>
      </w:r>
      <w:r>
        <w:br w:type="page"/>
      </w:r>
    </w:p>
    <w:p>
      <w:pPr>
        <w:pStyle w:val="Heading8"/>
        <w:keepNext w:val="false"/>
        <w:keepLines w:val="false"/>
        <w:suppressLineNumbers/>
        <w:suppressAutoHyphens w:val="true"/>
        <w:ind w:left="0" w:hanging="0"/>
        <w:rPr>
          <w:color w:val="FF0000"/>
        </w:rPr>
      </w:pPr>
      <w:bookmarkStart w:id="54" w:name="__RefHeading___Toc58341557"/>
      <w:bookmarkStart w:id="55" w:name="historyclause"/>
      <w:bookmarkEnd w:id="54"/>
      <w:bookmarkEnd w:id="55"/>
      <w:r>
        <w:rPr/>
        <w:t>Annex A (informative):</w:t>
        <w:br/>
        <w:t>Change history</w:t>
      </w:r>
    </w:p>
    <w:p>
      <w:pPr>
        <w:pStyle w:val="Normal"/>
        <w:suppressLineNumbers/>
        <w:suppressAutoHyphens w:val="true"/>
        <w:rPr>
          <w:color w:val="FF0000"/>
        </w:rPr>
      </w:pPr>
      <w:r>
        <w:rPr>
          <w:color w:val="FF0000"/>
        </w:rPr>
      </w:r>
      <w:bookmarkStart w:id="56" w:name="historyclause"/>
      <w:bookmarkStart w:id="57" w:name="historyclause"/>
      <w:bookmarkEnd w:id="57"/>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Correction for alignment</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SP-201004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Reference of general SBA/SBI aspect in 33.516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16.2.0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33.516 V16.2.0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33.516 V16.2.0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Times New Roman"/>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NOZchn">
    <w:name w:val="NO Zchn"/>
    <w:qFormat/>
    <w:rPr/>
  </w:style>
  <w:style w:type="character" w:styleId="B1Char">
    <w:name w:val="B1 Char"/>
    <w:qFormat/>
    <w:rPr/>
  </w:style>
  <w:style w:type="character" w:styleId="FootnoteTextChar">
    <w:name w:val="Footnote Text Char"/>
    <w:qFormat/>
    <w:rPr>
      <w:sz w:val="16"/>
    </w:rPr>
  </w:style>
  <w:style w:type="character" w:styleId="FootnoteCharacters">
    <w:name w:val="Footnote Characters"/>
    <w:qFormat/>
    <w:rPr>
      <w:b/>
      <w:sz w:val="16"/>
      <w:vertAlign w:val="superscript"/>
    </w:rPr>
  </w:style>
  <w:style w:type="character" w:styleId="BalloonTextChar">
    <w:name w:val="Balloon Text Char"/>
    <w:qFormat/>
    <w:rPr>
      <w:rFonts w:ascii="Segoe UI" w:hAnsi="Segoe UI" w:cs="Segoe UI"/>
      <w:sz w:val="18"/>
      <w:szCs w:val="18"/>
      <w:lang w:val="en-GB"/>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Heading3Char">
    <w:name w:val="Heading 3 Char"/>
    <w:qFormat/>
    <w:rPr>
      <w:rFonts w:ascii="Arial" w:hAnsi="Arial" w:cs="Arial"/>
      <w:sz w:val="2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Footnote">
    <w:name w:val="Footnote Text"/>
    <w:basedOn w:val="Normal"/>
    <w:pPr>
      <w:keepLines/>
      <w:ind w:left="454" w:hanging="454"/>
    </w:pPr>
    <w:rPr>
      <w:sz w:val="16"/>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Normal"/>
    <w:qFormat/>
    <w:pPr>
      <w:numPr>
        <w:ilvl w:val="0"/>
        <w:numId w:val="2"/>
      </w:numPr>
      <w:textAlignment w:val="auto"/>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2019-10-22T14:18:00Z</dcterms:created>
  <dc:creator>MCC Support</dc:creator>
  <dc:description/>
  <cp:keywords>&lt;keyword[ keyword ]&gt;</cp:keywords>
  <dc:language>en-US</dc:language>
  <cp:lastModifiedBy>28.541_CR0382R1_(Rel-17)_eSON_5G</cp:lastModifiedBy>
  <dcterms:modified xsi:type="dcterms:W3CDTF">2020-12-16T15:35:00Z</dcterms:modified>
  <cp:revision>10</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0x0101003C4C8F31E74DF74E8FCFF284B4431CE2</vt:lpwstr>
  </property>
</Properties>
</file>