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footerReference w:type="default" r:id="rId2"/>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TR 33.935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TR 33.935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89710"/>
                <wp:effectExtent l="0" t="0" r="0" b="0"/>
                <wp:wrapTopAndBottom/>
                <wp:docPr id="4"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Study on detailed Long Term Key Update Process (LTKUP) detailed solutions;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36.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Security Aspects;</w:t>
                      </w:r>
                    </w:p>
                    <w:p>
                      <w:pPr>
                        <w:pStyle w:val="ZT"/>
                        <w:rPr/>
                      </w:pPr>
                      <w:r>
                        <w:rPr/>
                        <w:t>Study on detailed Long Term Key Update Process (LTKUP) detailed solutions;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5"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4"/>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tabs>
                          <w:tab w:val="clear" w:pos="284"/>
                          <w:tab w:val="right" w:pos="10206" w:leader="none"/>
                        </w:tabs>
                        <w:jc w:val="left"/>
                        <w:rPr>
                          <w:lang w:val="en-GB" w:eastAsia="en-US"/>
                        </w:rPr>
                      </w:pPr>
                      <w:r>
                        <w:rPr>
                          <w:color w:val="0000FF"/>
                          <w:lang w:val="en-GB" w:eastAsia="en-US"/>
                        </w:rPr>
                        <w:tab/>
                      </w:r>
                    </w:p>
                    <w:p>
                      <w:pPr>
                        <w:pStyle w:val="ZU"/>
                        <w:pBdr>
                          <w:top w:val="nil"/>
                        </w:pBdr>
                        <w:tabs>
                          <w:tab w:val="clear" w:pos="284"/>
                          <w:tab w:val="right" w:pos="10206" w:leader="none"/>
                        </w:tabs>
                        <w:jc w:val="left"/>
                        <w:rPr>
                          <w:lang w:val="en-GB" w:eastAsia="en-US"/>
                        </w:rPr>
                      </w:pPr>
                      <w:r>
                        <w:rPr>
                          <w:rFonts w:eastAsia="Arial"/>
                          <w:i/>
                          <w:lang w:val="en-GB" w:eastAsia="en-US"/>
                        </w:rPr>
                        <w:t xml:space="preserve">  </w:t>
                      </w:r>
                      <w:r>
                        <w:rPr>
                          <w:i/>
                          <w:lang w:val="en-GB" w:eastAsia="en-US"/>
                        </w:rPr>
                        <w:drawing>
                          <wp:inline distT="0" distB="0" distL="0" distR="0">
                            <wp:extent cx="1208405" cy="83883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6"/>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10"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1"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12"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13" name="Frame8"/>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2507736">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42507737">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42507738">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42507739">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42507740">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42507741">
            <w:r>
              <w:rPr>
                <w:rStyle w:val="IndexLink"/>
              </w:rPr>
              <w:t>6</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42507742">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LTKUP solutions</w:t>
            <w:tab/>
          </w:r>
          <w:hyperlink w:anchor="__RefHeading___Toc42507743">
            <w:r>
              <w:rPr>
                <w:rStyle w:val="IndexLink"/>
              </w:rPr>
              <w:t>7</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Overview</w:t>
            <w:tab/>
          </w:r>
          <w:hyperlink w:anchor="__RefHeading___Toc42507744">
            <w:r>
              <w:rPr>
                <w:rStyle w:val="IndexLink"/>
              </w:rPr>
              <w:t>7</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Solution 4b - Diffe-Hellman based Key agreement over SIM OTA</w:t>
            <w:tab/>
          </w:r>
          <w:hyperlink w:anchor="__RefHeading___Toc42507745">
            <w:r>
              <w:rPr>
                <w:rStyle w:val="IndexLink"/>
              </w:rPr>
              <w:t>7</w:t>
            </w:r>
          </w:hyperlink>
        </w:p>
        <w:p>
          <w:pPr>
            <w:pStyle w:val="Contents3"/>
            <w:rPr>
              <w:rFonts w:ascii="Calibri" w:hAnsi="Calibri" w:cs="Calibri"/>
              <w:sz w:val="22"/>
              <w:szCs w:val="22"/>
              <w:lang w:val="en-US" w:eastAsia="en-US"/>
            </w:rPr>
          </w:pPr>
          <w:r>
            <w:rPr/>
            <w:t>4.2.1</w:t>
          </w:r>
          <w:r>
            <w:rPr>
              <w:rFonts w:cs="Calibri" w:ascii="Calibri" w:hAnsi="Calibri"/>
              <w:sz w:val="22"/>
              <w:szCs w:val="22"/>
              <w:lang w:val="en-US" w:eastAsia="en-US"/>
            </w:rPr>
            <w:tab/>
          </w:r>
          <w:r>
            <w:rPr/>
            <w:t>Solution overview</w:t>
            <w:tab/>
          </w:r>
          <w:hyperlink w:anchor="__RefHeading___Toc42507746">
            <w:r>
              <w:rPr>
                <w:rStyle w:val="IndexLink"/>
              </w:rPr>
              <w:t>7</w:t>
            </w:r>
          </w:hyperlink>
        </w:p>
        <w:p>
          <w:pPr>
            <w:pStyle w:val="Contents3"/>
            <w:rPr>
              <w:rFonts w:ascii="Calibri" w:hAnsi="Calibri" w:cs="Calibri"/>
              <w:sz w:val="22"/>
              <w:szCs w:val="22"/>
              <w:lang w:val="en-US" w:eastAsia="en-US"/>
            </w:rPr>
          </w:pPr>
          <w:r>
            <w:rPr/>
            <w:t>4.2.2</w:t>
          </w:r>
          <w:r>
            <w:rPr>
              <w:rFonts w:cs="Calibri" w:ascii="Calibri" w:hAnsi="Calibri"/>
              <w:sz w:val="22"/>
              <w:szCs w:val="22"/>
              <w:lang w:val="en-US" w:eastAsia="en-US"/>
            </w:rPr>
            <w:tab/>
          </w:r>
          <w:r>
            <w:rPr/>
            <w:t>Architecture overview</w:t>
            <w:tab/>
          </w:r>
          <w:hyperlink w:anchor="__RefHeading___Toc42507747">
            <w:r>
              <w:rPr>
                <w:rStyle w:val="IndexLink"/>
              </w:rPr>
              <w:t>7</w:t>
            </w:r>
          </w:hyperlink>
        </w:p>
        <w:p>
          <w:pPr>
            <w:pStyle w:val="Contents3"/>
            <w:rPr>
              <w:rFonts w:ascii="Calibri" w:hAnsi="Calibri" w:cs="Calibri"/>
              <w:sz w:val="22"/>
              <w:szCs w:val="22"/>
              <w:lang w:val="en-US" w:eastAsia="en-US"/>
            </w:rPr>
          </w:pPr>
          <w:r>
            <w:rPr/>
            <w:t>4.2.3</w:t>
          </w:r>
          <w:r>
            <w:rPr>
              <w:rFonts w:cs="Calibri" w:ascii="Calibri" w:hAnsi="Calibri"/>
              <w:sz w:val="22"/>
              <w:szCs w:val="22"/>
              <w:lang w:val="en-US" w:eastAsia="en-US"/>
            </w:rPr>
            <w:tab/>
          </w:r>
          <w:r>
            <w:rPr/>
            <w:t>Implementation recommendations</w:t>
            <w:tab/>
          </w:r>
          <w:hyperlink w:anchor="__RefHeading___Toc42507748">
            <w:r>
              <w:rPr>
                <w:rStyle w:val="IndexLink"/>
              </w:rPr>
              <w:t>7</w:t>
            </w:r>
          </w:hyperlink>
        </w:p>
        <w:p>
          <w:pPr>
            <w:pStyle w:val="Contents3"/>
            <w:rPr>
              <w:rFonts w:ascii="Calibri" w:hAnsi="Calibri" w:cs="Calibri"/>
              <w:sz w:val="22"/>
              <w:szCs w:val="22"/>
              <w:lang w:val="en-US" w:eastAsia="en-US"/>
            </w:rPr>
          </w:pPr>
          <w:r>
            <w:rPr/>
            <w:t>4.2.4</w:t>
          </w:r>
          <w:r>
            <w:rPr>
              <w:rFonts w:cs="Calibri" w:ascii="Calibri" w:hAnsi="Calibri"/>
              <w:sz w:val="22"/>
              <w:szCs w:val="22"/>
              <w:lang w:val="en-US" w:eastAsia="en-US"/>
            </w:rPr>
            <w:tab/>
          </w:r>
          <w:r>
            <w:rPr/>
            <w:t>Example implementation</w:t>
            <w:tab/>
          </w:r>
          <w:hyperlink w:anchor="__RefHeading___Toc42507749">
            <w:r>
              <w:rPr>
                <w:rStyle w:val="IndexLink"/>
              </w:rPr>
              <w:t>8</w:t>
            </w:r>
          </w:hyperlink>
        </w:p>
        <w:p>
          <w:pPr>
            <w:pStyle w:val="Contents4"/>
            <w:rPr>
              <w:rFonts w:ascii="Calibri" w:hAnsi="Calibri" w:cs="Calibri"/>
              <w:sz w:val="22"/>
              <w:szCs w:val="22"/>
              <w:lang w:val="en-US" w:eastAsia="en-US"/>
            </w:rPr>
          </w:pPr>
          <w:r>
            <w:rPr>
              <w:rFonts w:eastAsia="SimSun;宋体"/>
            </w:rPr>
            <w:t>4.2.4.1</w:t>
          </w:r>
          <w:r>
            <w:rPr>
              <w:rFonts w:cs="Calibri" w:ascii="Calibri" w:hAnsi="Calibri"/>
              <w:sz w:val="22"/>
              <w:szCs w:val="22"/>
              <w:lang w:val="en-US" w:eastAsia="en-US"/>
            </w:rPr>
            <w:tab/>
          </w:r>
          <w:r>
            <w:rPr>
              <w:rFonts w:eastAsia="SimSun;宋体"/>
            </w:rPr>
            <w:t>OTA Transport</w:t>
          </w:r>
          <w:r>
            <w:rPr/>
            <w:tab/>
          </w:r>
          <w:hyperlink w:anchor="__RefHeading___Toc42507750">
            <w:r>
              <w:rPr>
                <w:rStyle w:val="IndexLink"/>
              </w:rPr>
              <w:t>8</w:t>
            </w:r>
          </w:hyperlink>
        </w:p>
        <w:p>
          <w:pPr>
            <w:pStyle w:val="Contents4"/>
            <w:rPr>
              <w:rFonts w:ascii="Calibri" w:hAnsi="Calibri" w:cs="Calibri"/>
              <w:sz w:val="22"/>
              <w:szCs w:val="22"/>
              <w:lang w:val="en-US" w:eastAsia="en-US"/>
            </w:rPr>
          </w:pPr>
          <w:r>
            <w:rPr>
              <w:rFonts w:eastAsia="SimSun;宋体"/>
            </w:rPr>
            <w:t>4.2.4.2</w:t>
          </w:r>
          <w:r>
            <w:rPr>
              <w:rFonts w:cs="Calibri" w:ascii="Calibri" w:hAnsi="Calibri"/>
              <w:sz w:val="22"/>
              <w:szCs w:val="22"/>
              <w:lang w:val="en-US" w:eastAsia="en-US"/>
            </w:rPr>
            <w:tab/>
          </w:r>
          <w:r>
            <w:rPr>
              <w:rFonts w:eastAsia="SimSun;宋体"/>
            </w:rPr>
            <w:t>LTKUP Message Flow</w:t>
          </w:r>
          <w:r>
            <w:rPr/>
            <w:tab/>
          </w:r>
          <w:hyperlink w:anchor="__RefHeading___Toc42507751">
            <w:r>
              <w:rPr>
                <w:rStyle w:val="IndexLink"/>
              </w:rPr>
              <w:t>9</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Solution 5 - Multiple sets of parameters on the USIM</w:t>
            <w:tab/>
          </w:r>
          <w:hyperlink w:anchor="__RefHeading___Toc42507752">
            <w:r>
              <w:rPr>
                <w:rStyle w:val="IndexLink"/>
              </w:rPr>
              <w:t>11</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Solution Overview</w:t>
            <w:tab/>
          </w:r>
          <w:hyperlink w:anchor="__RefHeading___Toc42507753">
            <w:r>
              <w:rPr>
                <w:rStyle w:val="IndexLink"/>
              </w:rPr>
              <w:t>11</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Solution description</w:t>
            <w:tab/>
          </w:r>
          <w:hyperlink w:anchor="__RefHeading___Toc42507754">
            <w:r>
              <w:rPr>
                <w:rStyle w:val="IndexLink"/>
              </w:rPr>
              <w:t>11</w:t>
            </w:r>
          </w:hyperlink>
        </w:p>
        <w:p>
          <w:pPr>
            <w:pStyle w:val="Contents4"/>
            <w:rPr>
              <w:rFonts w:ascii="Calibri" w:hAnsi="Calibri" w:cs="Calibri"/>
              <w:sz w:val="22"/>
              <w:szCs w:val="22"/>
              <w:lang w:val="en-US" w:eastAsia="en-US"/>
            </w:rPr>
          </w:pPr>
          <w:r>
            <w:rPr/>
            <w:t>4.3.2.0</w:t>
          </w:r>
          <w:r>
            <w:rPr>
              <w:rFonts w:cs="Calibri" w:ascii="Calibri" w:hAnsi="Calibri"/>
              <w:sz w:val="22"/>
              <w:szCs w:val="22"/>
              <w:lang w:val="en-US" w:eastAsia="en-US"/>
            </w:rPr>
            <w:tab/>
          </w:r>
          <w:r>
            <w:rPr/>
            <w:t>Overview</w:t>
            <w:tab/>
          </w:r>
          <w:hyperlink w:anchor="__RefHeading___Toc42507755">
            <w:r>
              <w:rPr>
                <w:rStyle w:val="IndexLink"/>
              </w:rPr>
              <w:t>11</w:t>
            </w:r>
          </w:hyperlink>
        </w:p>
        <w:p>
          <w:pPr>
            <w:pStyle w:val="Contents4"/>
            <w:rPr>
              <w:rFonts w:ascii="Calibri" w:hAnsi="Calibri" w:cs="Calibri"/>
              <w:sz w:val="22"/>
              <w:szCs w:val="22"/>
              <w:lang w:val="en-US" w:eastAsia="en-US"/>
            </w:rPr>
          </w:pPr>
          <w:r>
            <w:rPr/>
            <w:t>4.3.2.1</w:t>
          </w:r>
          <w:r>
            <w:rPr>
              <w:rFonts w:cs="Calibri" w:ascii="Calibri" w:hAnsi="Calibri"/>
              <w:sz w:val="22"/>
              <w:szCs w:val="22"/>
              <w:lang w:val="en-US" w:eastAsia="en-US"/>
            </w:rPr>
            <w:tab/>
          </w:r>
          <w:r>
            <w:rPr/>
            <w:t>UICC in personalisation centre</w:t>
            <w:tab/>
          </w:r>
          <w:hyperlink w:anchor="__RefHeading___Toc42507756">
            <w:r>
              <w:rPr>
                <w:rStyle w:val="IndexLink"/>
              </w:rPr>
              <w:t>11</w:t>
            </w:r>
          </w:hyperlink>
        </w:p>
        <w:p>
          <w:pPr>
            <w:pStyle w:val="Contents4"/>
            <w:rPr>
              <w:rFonts w:ascii="Calibri" w:hAnsi="Calibri" w:cs="Calibri"/>
              <w:sz w:val="22"/>
              <w:szCs w:val="22"/>
              <w:lang w:val="en-US" w:eastAsia="en-US"/>
            </w:rPr>
          </w:pPr>
          <w:r>
            <w:rPr/>
            <w:t>4.3.2.2</w:t>
          </w:r>
          <w:r>
            <w:rPr>
              <w:rFonts w:cs="Calibri" w:ascii="Calibri" w:hAnsi="Calibri"/>
              <w:sz w:val="22"/>
              <w:szCs w:val="22"/>
              <w:lang w:val="en-US" w:eastAsia="en-US"/>
            </w:rPr>
            <w:tab/>
          </w:r>
          <w:r>
            <w:rPr/>
            <w:t>UICC in the field</w:t>
            <w:tab/>
          </w:r>
          <w:hyperlink w:anchor="__RefHeading___Toc42507757">
            <w:r>
              <w:rPr>
                <w:rStyle w:val="IndexLink"/>
              </w:rPr>
              <w:t>11</w:t>
            </w:r>
          </w:hyperlink>
        </w:p>
        <w:p>
          <w:pPr>
            <w:pStyle w:val="Contents9"/>
            <w:rPr>
              <w:rFonts w:ascii="Calibri" w:hAnsi="Calibri" w:cs="Calibri"/>
              <w:szCs w:val="22"/>
              <w:lang w:val="en-US" w:eastAsia="en-US"/>
            </w:rPr>
          </w:pPr>
          <w:r>
            <w:rPr>
              <w:b w:val="false"/>
            </w:rPr>
            <w:t>Annex A: Change history</w:t>
            <w:tab/>
          </w:r>
          <w:hyperlink w:anchor="__RefHeading___Toc42507758">
            <w:r>
              <w:rPr>
                <w:rStyle w:val="IndexLink"/>
                <w:b w:val="false"/>
              </w:rPr>
              <w:t>14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42507736"/>
      <w:bookmarkEnd w:id="7"/>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Normal"/>
        <w:rPr/>
      </w:pPr>
      <w:r>
        <w:rPr/>
        <w:t>In the present document, modal verbs have the following meanings:</w:t>
      </w:r>
    </w:p>
    <w:p>
      <w:pPr>
        <w:pStyle w:val="EX"/>
        <w:rPr/>
      </w:pPr>
      <w:r>
        <w:rPr>
          <w:b/>
        </w:rPr>
        <w:t>shall</w:t>
      </w:r>
      <w:r>
        <w:rPr/>
        <w:tab/>
        <w:t>indicates a mandatory requirement to do something</w:t>
      </w:r>
    </w:p>
    <w:p>
      <w:pPr>
        <w:pStyle w:val="EX"/>
        <w:rPr/>
      </w:pPr>
      <w:r>
        <w:rPr>
          <w:b/>
        </w:rPr>
        <w:t>shall not</w:t>
      </w:r>
      <w:r>
        <w:rPr/>
        <w:tab/>
        <w:t>indicates an interdiction (prohibition) to do something</w:t>
      </w:r>
    </w:p>
    <w:p>
      <w:pPr>
        <w:pStyle w:val="Normal"/>
        <w:rPr/>
      </w:pPr>
      <w:r>
        <w:rPr/>
        <w:t>The constructions "shall" and "shall not" are confined to the context of normative provisions, and do not appear in Technical Reports.</w:t>
      </w:r>
    </w:p>
    <w:p>
      <w:pPr>
        <w:pStyle w:val="Normal"/>
        <w:rPr/>
      </w:pPr>
      <w:r>
        <w:rP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pPr>
        <w:pStyle w:val="EX"/>
        <w:rPr/>
      </w:pPr>
      <w:r>
        <w:rPr>
          <w:b/>
        </w:rPr>
        <w:t>should</w:t>
      </w:r>
      <w:r>
        <w:rPr/>
        <w:tab/>
        <w:t>indicates a recommendation to do something</w:t>
      </w:r>
    </w:p>
    <w:p>
      <w:pPr>
        <w:pStyle w:val="EX"/>
        <w:rPr/>
      </w:pPr>
      <w:r>
        <w:rPr>
          <w:b/>
        </w:rPr>
        <w:t>should not</w:t>
      </w:r>
      <w:r>
        <w:rPr/>
        <w:tab/>
        <w:t>indicates a recommendation not to do something</w:t>
      </w:r>
    </w:p>
    <w:p>
      <w:pPr>
        <w:pStyle w:val="EX"/>
        <w:rPr/>
      </w:pPr>
      <w:r>
        <w:rPr>
          <w:b/>
        </w:rPr>
        <w:t>may</w:t>
      </w:r>
      <w:r>
        <w:rPr/>
        <w:tab/>
        <w:t>indicates permission to do something</w:t>
      </w:r>
    </w:p>
    <w:p>
      <w:pPr>
        <w:pStyle w:val="EX"/>
        <w:rPr/>
      </w:pPr>
      <w:r>
        <w:rPr>
          <w:b/>
        </w:rPr>
        <w:t>need not</w:t>
      </w:r>
      <w:r>
        <w:rPr/>
        <w:tab/>
        <w:t>indicates permission not to do something</w:t>
      </w:r>
    </w:p>
    <w:p>
      <w:pPr>
        <w:pStyle w:val="Normal"/>
        <w:rPr/>
      </w:pPr>
      <w:r>
        <w:rPr/>
        <w:t>The construction "may not" is ambiguous and is not used in normative elements. The unambiguous constructions "might not" or "shall not" are used instead, depending upon the meaning intended.</w:t>
      </w:r>
    </w:p>
    <w:p>
      <w:pPr>
        <w:pStyle w:val="EX"/>
        <w:rPr/>
      </w:pPr>
      <w:r>
        <w:rPr>
          <w:b/>
        </w:rPr>
        <w:t>can</w:t>
      </w:r>
      <w:r>
        <w:rPr/>
        <w:tab/>
        <w:t>indicates that something is possible</w:t>
      </w:r>
    </w:p>
    <w:p>
      <w:pPr>
        <w:pStyle w:val="EX"/>
        <w:rPr/>
      </w:pPr>
      <w:r>
        <w:rPr>
          <w:b/>
        </w:rPr>
        <w:t>cannot</w:t>
      </w:r>
      <w:r>
        <w:rPr/>
        <w:tab/>
        <w:t>indicates that something is impossible</w:t>
      </w:r>
    </w:p>
    <w:p>
      <w:pPr>
        <w:pStyle w:val="Normal"/>
        <w:rPr/>
      </w:pPr>
      <w:r>
        <w:rPr/>
        <w:t>The constructions "can" and "cannot" are not substitutes for "may" and "need not".</w:t>
      </w:r>
    </w:p>
    <w:p>
      <w:pPr>
        <w:pStyle w:val="EX"/>
        <w:rPr/>
      </w:pPr>
      <w:r>
        <w:rPr>
          <w:b/>
        </w:rPr>
        <w:t>will</w:t>
      </w:r>
      <w:r>
        <w:rPr/>
        <w:tab/>
        <w:t>indicates that something is certain or expected to happen as a result of action taken by an agency the behaviour of which is outside the scope of the present document</w:t>
      </w:r>
    </w:p>
    <w:p>
      <w:pPr>
        <w:pStyle w:val="EX"/>
        <w:rPr/>
      </w:pPr>
      <w:r>
        <w:rPr>
          <w:b/>
        </w:rPr>
        <w:t>will not</w:t>
      </w:r>
      <w:r>
        <w:rPr/>
        <w:tab/>
        <w:t>indicates that something is certain or expected not to happen as a result of action taken by an agency the behaviour of which is outside the scope of the present document</w:t>
      </w:r>
    </w:p>
    <w:p>
      <w:pPr>
        <w:pStyle w:val="EX"/>
        <w:rPr/>
      </w:pPr>
      <w:r>
        <w:rPr>
          <w:b/>
        </w:rPr>
        <w:t>might</w:t>
      </w:r>
      <w:r>
        <w:rPr/>
        <w:tab/>
        <w:t>indicates a likelihood that something will happen as a result of action taken by some agency the behaviour of which is outside the scope of the present document</w:t>
      </w:r>
    </w:p>
    <w:p>
      <w:pPr>
        <w:pStyle w:val="EX"/>
        <w:rPr/>
      </w:pPr>
      <w:r>
        <w:rPr>
          <w:b/>
        </w:rPr>
        <w:t>might not</w:t>
      </w:r>
      <w:r>
        <w:rPr/>
        <w:tab/>
        <w:t>indicates a likelihood that something will not happen as a result of action taken by some agency the behaviour of which is outside the scope of the present document</w:t>
      </w:r>
    </w:p>
    <w:p>
      <w:pPr>
        <w:pStyle w:val="Normal"/>
        <w:rPr/>
      </w:pPr>
      <w:r>
        <w:rPr/>
        <w:t>In addition:</w:t>
      </w:r>
    </w:p>
    <w:p>
      <w:pPr>
        <w:pStyle w:val="EX"/>
        <w:rPr/>
      </w:pPr>
      <w:r>
        <w:rPr>
          <w:b/>
        </w:rPr>
        <w:t>is</w:t>
      </w:r>
      <w:r>
        <w:rPr/>
        <w:tab/>
        <w:t>(or any other verb in the indicative mood) indicates a statement of fact</w:t>
      </w:r>
    </w:p>
    <w:p>
      <w:pPr>
        <w:pStyle w:val="EX"/>
        <w:rPr/>
      </w:pPr>
      <w:r>
        <w:rPr>
          <w:b/>
        </w:rPr>
        <w:t>is not</w:t>
      </w:r>
      <w:r>
        <w:rPr/>
        <w:tab/>
        <w:t>(or any other negative verb in the indicative mood) indicates a statement of fact</w:t>
      </w:r>
    </w:p>
    <w:p>
      <w:pPr>
        <w:pStyle w:val="Normal"/>
        <w:rPr/>
      </w:pPr>
      <w:r>
        <w:rPr/>
        <w:t>The constructions "is" and "is not" do not indicate requirements.</w:t>
      </w:r>
    </w:p>
    <w:p>
      <w:pPr>
        <w:pStyle w:val="B2"/>
        <w:rPr/>
      </w:pPr>
      <w:r>
        <w:rPr/>
      </w:r>
      <w:r>
        <w:br w:type="page"/>
      </w:r>
    </w:p>
    <w:p>
      <w:pPr>
        <w:pStyle w:val="Heading1"/>
        <w:ind w:left="1134" w:hanging="1134"/>
        <w:rPr/>
      </w:pPr>
      <w:bookmarkStart w:id="8" w:name="__RefHeading___Toc42507737"/>
      <w:bookmarkEnd w:id="8"/>
      <w:r>
        <w:rPr/>
        <w:t>1</w:t>
        <w:tab/>
        <w:t>Scope</w:t>
      </w:r>
    </w:p>
    <w:p>
      <w:pPr>
        <w:pStyle w:val="Normal"/>
        <w:rPr/>
      </w:pPr>
      <w:r>
        <w:rPr/>
        <w:t>The present document describes LTKUP solution 4b and LTKUP solution 5 from 3GPP TR 33.834 [2] in implementable detail.</w:t>
      </w:r>
    </w:p>
    <w:p>
      <w:pPr>
        <w:pStyle w:val="Heading1"/>
        <w:ind w:left="1134" w:hanging="1134"/>
        <w:rPr/>
      </w:pPr>
      <w:bookmarkStart w:id="9" w:name="__RefHeading___Toc4250773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TR 33.834: "Security Aspects; Study on Long Term Key Update Procedures (LTKUP)".</w:t>
      </w:r>
    </w:p>
    <w:p>
      <w:pPr>
        <w:pStyle w:val="EX"/>
        <w:rPr/>
      </w:pPr>
      <w:r>
        <w:rPr/>
        <w:t>[3]</w:t>
        <w:tab/>
        <w:t>3GPP TS 31.115: "Secured packet structure for (Universal) Subscriber Identity Module (U)SIM Toolkit applications".</w:t>
      </w:r>
    </w:p>
    <w:p>
      <w:pPr>
        <w:pStyle w:val="EX"/>
        <w:rPr/>
      </w:pPr>
      <w:r>
        <w:rPr/>
        <w:t>[4]</w:t>
        <w:tab/>
        <w:t>3GPP TS 31.116: "Remote APDU Structure for (U)SIM Toolkit applications".</w:t>
      </w:r>
    </w:p>
    <w:p>
      <w:pPr>
        <w:pStyle w:val="EX"/>
        <w:rPr/>
      </w:pPr>
      <w:r>
        <w:rPr/>
        <w:t>[5]</w:t>
        <w:tab/>
        <w:t>3GPP TS 33.220: "Generic Authentication Architecture (GAA); Generic Bootstrapping Architecture (GBA)".</w:t>
      </w:r>
    </w:p>
    <w:p>
      <w:pPr>
        <w:pStyle w:val="Heading1"/>
        <w:ind w:left="1134" w:hanging="1134"/>
        <w:rPr/>
      </w:pPr>
      <w:bookmarkStart w:id="10" w:name="__RefHeading___Toc42507739"/>
      <w:bookmarkEnd w:id="10"/>
      <w:r>
        <w:rPr/>
        <w:t>3</w:t>
        <w:tab/>
        <w:t>Definitions of terms, symbols and abbreviations</w:t>
      </w:r>
    </w:p>
    <w:p>
      <w:pPr>
        <w:pStyle w:val="Heading2"/>
        <w:rPr/>
      </w:pPr>
      <w:bookmarkStart w:id="11" w:name="__RefHeading___Toc42507740"/>
      <w:bookmarkEnd w:id="11"/>
      <w:r>
        <w:rPr/>
        <w:t>3.1</w:t>
        <w:tab/>
        <w:t>Terms</w:t>
      </w:r>
    </w:p>
    <w:p>
      <w:pPr>
        <w:pStyle w:val="Normal"/>
        <w:rPr/>
      </w:pPr>
      <w:r>
        <w:rPr/>
        <w:t>For the purposes of the present document, the terms given in TR 21.905 [1] and the following apply. A term defined in the present document takes precedence over the definition of the same term, if any, in TR 21.905 [1].</w:t>
      </w:r>
    </w:p>
    <w:p>
      <w:pPr>
        <w:pStyle w:val="Heading2"/>
        <w:rPr/>
      </w:pPr>
      <w:bookmarkStart w:id="12" w:name="__RefHeading___Toc42507741"/>
      <w:bookmarkEnd w:id="12"/>
      <w:r>
        <w:rPr/>
        <w:t>3.2</w:t>
        <w:tab/>
        <w:t>Symbols</w:t>
      </w:r>
    </w:p>
    <w:p>
      <w:pPr>
        <w:pStyle w:val="Normal"/>
        <w:rPr/>
      </w:pPr>
      <w:r>
        <w:rPr/>
        <w:t>Void.</w:t>
      </w:r>
    </w:p>
    <w:p>
      <w:pPr>
        <w:pStyle w:val="Heading2"/>
        <w:rPr/>
      </w:pPr>
      <w:bookmarkStart w:id="13" w:name="__RefHeading___Toc42507742"/>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LTKUP</w:t>
        <w:tab/>
        <w:t>Long Term Key Update Procedure</w:t>
      </w:r>
    </w:p>
    <w:p>
      <w:pPr>
        <w:pStyle w:val="EW"/>
        <w:rPr/>
      </w:pPr>
      <w:r>
        <w:rPr/>
      </w:r>
    </w:p>
    <w:p>
      <w:pPr>
        <w:pStyle w:val="Heading1"/>
        <w:ind w:left="1134" w:hanging="1134"/>
        <w:rPr/>
      </w:pPr>
      <w:bookmarkStart w:id="14" w:name="__RefHeading___Toc42507743"/>
      <w:bookmarkEnd w:id="14"/>
      <w:r>
        <w:rPr/>
        <w:t>4</w:t>
        <w:tab/>
        <w:t>LTKUP solutions</w:t>
      </w:r>
    </w:p>
    <w:p>
      <w:pPr>
        <w:pStyle w:val="Heading2"/>
        <w:rPr/>
      </w:pPr>
      <w:bookmarkStart w:id="15" w:name="__RefHeading___Toc42507744"/>
      <w:bookmarkEnd w:id="15"/>
      <w:r>
        <w:rPr/>
        <w:t>4.1</w:t>
        <w:tab/>
        <w:t>Overview</w:t>
      </w:r>
    </w:p>
    <w:p>
      <w:pPr>
        <w:pStyle w:val="Normal"/>
        <w:keepNext w:val="true"/>
        <w:rPr/>
      </w:pPr>
      <w:r>
        <w:rPr/>
        <w:t>TR 33.834 [2] recommends the production of detailed implementation for:</w:t>
      </w:r>
    </w:p>
    <w:p>
      <w:pPr>
        <w:pStyle w:val="B1"/>
        <w:rPr/>
      </w:pPr>
      <w:r>
        <w:rPr/>
        <w:t>-</w:t>
        <w:tab/>
        <w:t>Solution 4b - Diffe-Hellman based key agreement over SIM OTA</w:t>
      </w:r>
    </w:p>
    <w:p>
      <w:pPr>
        <w:pStyle w:val="B1"/>
        <w:rPr/>
      </w:pPr>
      <w:r>
        <w:rPr/>
        <w:t>-</w:t>
        <w:tab/>
        <w:t>Solution 5 - multiple sets of parameters on the USIM</w:t>
      </w:r>
    </w:p>
    <w:p>
      <w:pPr>
        <w:pStyle w:val="Normal"/>
        <w:keepNext w:val="true"/>
        <w:rPr/>
      </w:pPr>
      <w:r>
        <w:rPr/>
        <w:t>Both solutions meet all of the key issues identified in TR 33.834 [2]:</w:t>
      </w:r>
    </w:p>
    <w:p>
      <w:pPr>
        <w:pStyle w:val="B1"/>
        <w:rPr/>
      </w:pPr>
      <w:r>
        <w:rPr/>
        <w:t>-</w:t>
        <w:tab/>
        <w:t>Key Issue 1: individual subscription - K exposed</w:t>
      </w:r>
    </w:p>
    <w:p>
      <w:pPr>
        <w:pStyle w:val="B1"/>
        <w:rPr/>
      </w:pPr>
      <w:r>
        <w:rPr/>
        <w:t>-</w:t>
        <w:tab/>
        <w:t>Key Issue 2: batch of subscriptions - K exposed</w:t>
      </w:r>
    </w:p>
    <w:p>
      <w:pPr>
        <w:pStyle w:val="B1"/>
        <w:rPr/>
      </w:pPr>
      <w:r>
        <w:rPr/>
        <w:t>-</w:t>
        <w:tab/>
        <w:t>Key Issue 3: LTK Derivation vs. LTK Transport</w:t>
      </w:r>
    </w:p>
    <w:p>
      <w:pPr>
        <w:pStyle w:val="B1"/>
        <w:rPr/>
      </w:pPr>
      <w:r>
        <w:rPr/>
        <w:t>-</w:t>
        <w:tab/>
        <w:t>Key Issue 4: Loss of synchronisation of long term keys</w:t>
      </w:r>
    </w:p>
    <w:p>
      <w:pPr>
        <w:pStyle w:val="B1"/>
        <w:rPr/>
      </w:pPr>
      <w:r>
        <w:rPr/>
        <w:t>- Key Issue 5: undetected leakage of K</w:t>
      </w:r>
    </w:p>
    <w:p>
      <w:pPr>
        <w:pStyle w:val="Normal"/>
        <w:rPr/>
      </w:pPr>
      <w:r>
        <w:rPr/>
        <w:t>Both solutions can be implemented in GSM, UMTS, LTE and 5G and both require SIM/USIM changes and Home network HSS/AuC/UDM changes.</w:t>
      </w:r>
    </w:p>
    <w:p>
      <w:pPr>
        <w:pStyle w:val="Heading2"/>
        <w:rPr/>
      </w:pPr>
      <w:bookmarkStart w:id="16" w:name="__RefHeading___Toc42507745"/>
      <w:r>
        <w:rPr/>
        <w:t>4.2</w:t>
        <w:tab/>
        <w:t>Solution 4b - Diffe-Hellman based Key agreement over SIM OTA</w:t>
      </w:r>
      <w:bookmarkEnd w:id="16"/>
      <w:r>
        <w:rPr/>
        <w:t xml:space="preserve"> </w:t>
      </w:r>
    </w:p>
    <w:p>
      <w:pPr>
        <w:pStyle w:val="Heading3"/>
        <w:rPr/>
      </w:pPr>
      <w:bookmarkStart w:id="17" w:name="__RefHeading___Toc42507746"/>
      <w:bookmarkEnd w:id="17"/>
      <w:r>
        <w:rPr/>
        <w:t>4.2.1</w:t>
        <w:tab/>
        <w:t>Solution overview</w:t>
      </w:r>
    </w:p>
    <w:p>
      <w:pPr>
        <w:pStyle w:val="Normal"/>
        <w:rPr/>
      </w:pPr>
      <w:r>
        <w:rPr/>
        <w:t>This solution involves a key exchange protocol being run between the USIM/ISIM and the home network HSS, in order to create a newly agreed Ki value to replace the existing one. This key agreement protocol is transported over USIM OTA (TS 31.115 [3] and TS 31.116 [4]).</w:t>
      </w:r>
    </w:p>
    <w:p>
      <w:pPr>
        <w:pStyle w:val="Heading3"/>
        <w:rPr/>
      </w:pPr>
      <w:bookmarkStart w:id="18" w:name="__RefHeading___Toc42507747"/>
      <w:bookmarkEnd w:id="18"/>
      <w:r>
        <w:rPr/>
        <w:t>4.2.2</w:t>
        <w:tab/>
        <w:t>Architecture overview</w:t>
      </w:r>
    </w:p>
    <w:p>
      <w:pPr>
        <w:pStyle w:val="Normal"/>
        <w:rPr/>
      </w:pPr>
      <w:r>
        <w:rPr/>
        <w:t>The Architecture consists of a HSS / UDM, and OTA server and the USIM/UICC.</w:t>
      </w:r>
    </w:p>
    <w:p>
      <w:pPr>
        <w:pStyle w:val="TH"/>
        <w:rPr/>
      </w:pPr>
      <w:r>
        <w:rPr/>
        <mc:AlternateContent>
          <mc:Choice Requires="wpg">
            <w:drawing>
              <wp:inline distT="0" distB="0" distL="0" distR="0">
                <wp:extent cx="4895850" cy="984250"/>
                <wp:effectExtent l="0" t="0" r="0" b="0"/>
                <wp:docPr id="14" name=""/>
                <a:graphic xmlns:a="http://schemas.openxmlformats.org/drawingml/2006/main">
                  <a:graphicData uri="http://schemas.microsoft.com/office/word/2010/wordprocessingGroup">
                    <wpg:wgp>
                      <wpg:cNvGrpSpPr/>
                      <wpg:grpSpPr>
                        <a:xfrm>
                          <a:off x="0" y="0"/>
                          <a:ext cx="4896000" cy="984240"/>
                          <a:chOff x="0" y="0"/>
                          <a:chExt cx="4896000" cy="984240"/>
                        </a:xfrm>
                      </wpg:grpSpPr>
                      <wps:wsp>
                        <wps:cNvSpPr txBox="1"/>
                        <wps:spPr>
                          <a:xfrm>
                            <a:off x="0" y="12600"/>
                            <a:ext cx="1244520" cy="9525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HSS</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with</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LTKUP service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803240" y="0"/>
                            <a:ext cx="1244520" cy="9525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OTA</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Server</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3651120" y="31680"/>
                            <a:ext cx="1244520" cy="9525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USIM/UICC</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wps:spPr>
                          <a:xfrm>
                            <a:off x="3086280" y="361800"/>
                            <a:ext cx="533520" cy="222120"/>
                          </a:xfrm>
                          <a:prstGeom prst="leftRightArrow">
                            <a:avLst>
                              <a:gd name="adj1" fmla="val 50000"/>
                              <a:gd name="adj2" fmla="val 47816"/>
                            </a:avLst>
                          </a:prstGeom>
                          <a:solidFill>
                            <a:srgbClr val="ffffff"/>
                          </a:solidFill>
                          <a:ln w="9360">
                            <a:solidFill>
                              <a:srgbClr val="000000"/>
                            </a:solidFill>
                            <a:miter/>
                          </a:ln>
                        </wps:spPr>
                        <wps:style>
                          <a:lnRef idx="0"/>
                          <a:fillRef idx="0"/>
                          <a:effectRef idx="0"/>
                          <a:fontRef idx="minor"/>
                        </wps:style>
                        <wps:bodyPr/>
                      </wps:wsp>
                      <wps:wsp>
                        <wps:cNvSpPr/>
                        <wps:spPr>
                          <a:xfrm>
                            <a:off x="1244520" y="355680"/>
                            <a:ext cx="533520" cy="222120"/>
                          </a:xfrm>
                          <a:prstGeom prst="leftRightArrow">
                            <a:avLst>
                              <a:gd name="adj1" fmla="val 50000"/>
                              <a:gd name="adj2" fmla="val 47816"/>
                            </a:avLst>
                          </a:prstGeom>
                          <a:solidFill>
                            <a:srgbClr val="ffffff"/>
                          </a:solidFill>
                          <a:ln w="9360">
                            <a:solidFill>
                              <a:srgbClr val="000000"/>
                            </a:solidFill>
                            <a:miter/>
                          </a:ln>
                        </wps:spPr>
                        <wps:style>
                          <a:lnRef idx="0"/>
                          <a:fillRef idx="0"/>
                          <a:effectRef idx="0"/>
                          <a:fontRef idx="minor"/>
                        </wps:style>
                        <wps:bodyPr/>
                      </wps:wsp>
                    </wpg:wgp>
                  </a:graphicData>
                </a:graphic>
              </wp:inline>
            </w:drawing>
          </mc:Choice>
          <mc:Fallback>
            <w:pict>
              <v:group id="shape_0" style="position:absolute;margin-left:0pt;margin-top:0pt;width:385.5pt;height:77.5pt" coordorigin="0,0" coordsize="7710,1550">
                <v:shapetype id="_x0000_t202" coordsize="21600,21600" o:spt="202" path="m,l,21600l21600,21600l21600,xe">
                  <v:stroke joinstyle="miter"/>
                  <v:path gradientshapeok="t" o:connecttype="rect"/>
                </v:shapetype>
                <v:shape id="shape_0" fillcolor="white" stroked="t" o:allowincell="f" style="position:absolute;left:0;top:20;width:1959;height:149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HSS</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with</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LTKUP service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2840;top:0;width:1959;height:149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OTA</w:t>
                        </w:r>
                      </w:p>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Server</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t" o:allowincell="f" style="position:absolute;left:5750;top:50;width:1959;height:1499;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bidi="ar-SA"/>
                          </w:rPr>
                          <w:t>USIM/UICC</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fillcolor="white" stroked="t" o:allowincell="f" style="position:absolute;left:4860;top:570;width:839;height:349;mso-wrap-style:none;v-text-anchor:middle;mso-position-horizontal-relative:char" type="_x0000_t69">
                  <v:fill o:detectmouseclick="t" type="solid" color2="black"/>
                  <v:stroke color="black" weight="9360" joinstyle="miter" endcap="flat"/>
                  <w10:wrap type="none"/>
                </v:shape>
                <v:shape id="shape_0" fillcolor="white" stroked="t" o:allowincell="f" style="position:absolute;left:1960;top:560;width:839;height:349;mso-wrap-style:none;v-text-anchor:middle;mso-position-horizontal-relative:char" type="_x0000_t69">
                  <v:fill o:detectmouseclick="t" type="solid" color2="black"/>
                  <v:stroke color="black" weight="9360" joinstyle="miter" endcap="flat"/>
                  <w10:wrap type="none"/>
                </v:shape>
              </v:group>
            </w:pict>
          </mc:Fallback>
        </mc:AlternateContent>
      </w:r>
    </w:p>
    <w:p>
      <w:pPr>
        <w:pStyle w:val="TF1"/>
        <w:rPr/>
      </w:pPr>
      <w:r>
        <w:rPr/>
        <w:t>Figure 4.2.2-1</w:t>
      </w:r>
    </w:p>
    <w:p>
      <w:pPr>
        <w:pStyle w:val="Normal"/>
        <w:rPr/>
      </w:pPr>
      <w:r>
        <w:rPr/>
        <w:t>The HSS to OTA interface is proprietary.</w:t>
      </w:r>
    </w:p>
    <w:p>
      <w:pPr>
        <w:pStyle w:val="Normal"/>
        <w:rPr/>
      </w:pPr>
      <w:r>
        <w:rPr/>
        <w:t>The OTA server interface to the USIM/UICC is as specified in TS 31.115 [3] and TS 31.116 [4].</w:t>
      </w:r>
    </w:p>
    <w:p>
      <w:pPr>
        <w:pStyle w:val="Heading3"/>
        <w:rPr/>
      </w:pPr>
      <w:bookmarkStart w:id="19" w:name="__RefHeading___Toc42507748"/>
      <w:bookmarkEnd w:id="19"/>
      <w:r>
        <w:rPr/>
        <w:t>4.2.3</w:t>
        <w:tab/>
        <w:t>Implementation recommendations</w:t>
      </w:r>
    </w:p>
    <w:p>
      <w:pPr>
        <w:pStyle w:val="Normal"/>
        <w:rPr/>
      </w:pPr>
      <w:r>
        <w:rPr/>
        <w:t>Elliptic Curve Diffie Hellman is recommended as a suitable key exchange algorithm.</w:t>
      </w:r>
    </w:p>
    <w:p>
      <w:pPr>
        <w:pStyle w:val="Normal"/>
        <w:rPr/>
      </w:pPr>
      <w:r>
        <w:rPr/>
        <w:t xml:space="preserve">Exposing the HSS to update introduces risks, and so should be handled with great care. It is possible to run the key exchange protocol with a proxy for the HSS rather than with the HSS directly. </w:t>
      </w:r>
    </w:p>
    <w:p>
      <w:pPr>
        <w:pStyle w:val="Normal"/>
        <w:rPr/>
      </w:pPr>
      <w:r>
        <w:rPr/>
        <w:t>It is recommended that the update protocol take place over 3GPP-standardised signalling, rather than over the internet; and it is also recommended that the HSS, rather than the USIM/ISIM, be the entity to trigger the update protocol. With these two points in mind, it is recommended for simplicity that the update protocol be carried out by the HSS directly, rather than by a proxy.</w:t>
      </w:r>
    </w:p>
    <w:p>
      <w:pPr>
        <w:pStyle w:val="Normal"/>
        <w:rPr/>
      </w:pPr>
      <w:r>
        <w:rPr/>
        <w:t>In this solution, the key exchange protocol is authenticated using the pre-existing shared secret, so that an attacker who does not already know the secret cannot act as man-in-the-middle at all. An attacker who does already know the secret is able to act as man-in-the-middle during the key exchange protocol; however, a good protocol design can ensure that this attacker will have to remain as an active man-in-the-middle, essentially forever, in order to exploit that.</w:t>
      </w:r>
    </w:p>
    <w:p>
      <w:pPr>
        <w:pStyle w:val="Normal"/>
        <w:rPr/>
      </w:pPr>
      <w:r>
        <w:rPr/>
        <w:t>Using a key exchange protocol raises a risk that this protocol itself might be compromised over the lifetime of next generation systems (perhaps using quantum computers), and allow newly-exchanged keys to be recovered by an attacker. One counter-measure is that where parties to the protocol already have a shared secret (e.g. the USIM/ISIM and HSS already share Ki), then this existing shared secret is fed into the new key derivation function, together with the output from the key exchange protocol. That way, an attacker would have to know the existing shared secret and compromise the key exchange to learn the newly derived secret. A suitable key derivation algorithm can use HMAC-SHA256, as defined in TS 33.220 [5], as follows:</w:t>
      </w:r>
    </w:p>
    <w:p>
      <w:pPr>
        <w:pStyle w:val="EQ"/>
        <w:rPr/>
      </w:pPr>
      <w:r>
        <w:rPr/>
        <w:tab/>
        <w:t>new Ki = KDF (key exchange protocol output, initial Ki)</w:t>
      </w:r>
    </w:p>
    <w:p>
      <w:pPr>
        <w:pStyle w:val="Normal"/>
        <w:rPr/>
      </w:pPr>
      <w:r>
        <w:rPr/>
        <w:t>where "key exchange protocol output" refers to the shared secret resulting from the key exchange protocol, and "initial Ki" refers to the Ki value that was shared between the USIM/ISIM and the HSS before the protocol was run, and that was used to authenticate the key exchange.</w:t>
      </w:r>
    </w:p>
    <w:p>
      <w:pPr>
        <w:pStyle w:val="Heading3"/>
        <w:rPr/>
      </w:pPr>
      <w:bookmarkStart w:id="20" w:name="__RefHeading___Toc42507749"/>
      <w:bookmarkEnd w:id="20"/>
      <w:r>
        <w:rPr/>
        <w:t>4.2.4</w:t>
        <w:tab/>
        <w:t>Example implementation</w:t>
      </w:r>
    </w:p>
    <w:p>
      <w:pPr>
        <w:pStyle w:val="Heading4"/>
        <w:ind w:left="1418" w:hanging="1418"/>
        <w:rPr>
          <w:rFonts w:eastAsia="SimSun;宋体"/>
        </w:rPr>
      </w:pPr>
      <w:bookmarkStart w:id="21" w:name="__RefHeading___Toc42507750"/>
      <w:bookmarkEnd w:id="21"/>
      <w:r>
        <w:rPr>
          <w:rFonts w:eastAsia="SimSun;宋体"/>
        </w:rPr>
        <w:t>4.2.4.1</w:t>
        <w:tab/>
        <w:t>OTA Transport</w:t>
      </w:r>
    </w:p>
    <w:p>
      <w:pPr>
        <w:pStyle w:val="Normal"/>
        <w:rPr>
          <w:rFonts w:eastAsia="SimSun;宋体"/>
        </w:rPr>
      </w:pPr>
      <w:r>
        <w:rPr/>
        <w:t xml:space="preserve">The LTKUP messages are securely transported to and from the USIM using APDUs within SIM OTA messages (see TS 31.115 [3]).  </w:t>
      </w:r>
    </w:p>
    <w:p>
      <w:pPr>
        <w:pStyle w:val="Normal"/>
        <w:rPr/>
      </w:pPr>
      <w:r>
        <w:rPr/>
        <w:t>The APDUs are FFS.</w:t>
      </w:r>
    </w:p>
    <w:p>
      <w:pPr>
        <w:pStyle w:val="Heading4"/>
        <w:ind w:left="1418" w:hanging="1418"/>
        <w:rPr>
          <w:rFonts w:eastAsia="SimSun;宋体"/>
        </w:rPr>
      </w:pPr>
      <w:bookmarkStart w:id="22" w:name="__RefHeading___Toc42507751"/>
      <w:bookmarkEnd w:id="22"/>
      <w:r>
        <w:rPr>
          <w:rFonts w:eastAsia="SimSun;宋体"/>
        </w:rPr>
        <w:t>4.2.4.2</w:t>
        <w:tab/>
        <w:t>LTKUP Message Flow</w:t>
      </w:r>
    </w:p>
    <w:p>
      <w:pPr>
        <w:pStyle w:val="Normal"/>
        <w:keepNext w:val="true"/>
        <w:rPr>
          <w:rFonts w:eastAsia="SimSun;宋体"/>
        </w:rPr>
      </w:pPr>
      <w:r>
        <w:rPr/>
        <w:t>The LTKUP service is delivered using a Diffie-Hellman key agreement process as follows:</w:t>
      </w:r>
    </w:p>
    <w:p>
      <w:pPr>
        <w:pStyle w:val="TH"/>
        <w:rPr/>
      </w:pPr>
      <w:r>
        <w:rPr/>
        <w:drawing>
          <wp:inline distT="0" distB="0" distL="0" distR="0">
            <wp:extent cx="6076950" cy="6165850"/>
            <wp:effectExtent l="0" t="0" r="0" b="0"/>
            <wp:docPr id="15" name="LTKUPv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TKUPv2" descr=""/>
                    <pic:cNvPicPr>
                      <a:picLocks noChangeAspect="1" noChangeArrowheads="1"/>
                    </pic:cNvPicPr>
                  </pic:nvPicPr>
                  <pic:blipFill>
                    <a:blip r:embed="rId7"/>
                    <a:srcRect l="-3" t="-3" r="-3" b="-3"/>
                    <a:stretch>
                      <a:fillRect/>
                    </a:stretch>
                  </pic:blipFill>
                  <pic:spPr bwMode="auto">
                    <a:xfrm>
                      <a:off x="0" y="0"/>
                      <a:ext cx="6076950" cy="6165850"/>
                    </a:xfrm>
                    <a:prstGeom prst="rect">
                      <a:avLst/>
                    </a:prstGeom>
                  </pic:spPr>
                </pic:pic>
              </a:graphicData>
            </a:graphic>
          </wp:inline>
        </w:drawing>
      </w:r>
    </w:p>
    <w:p>
      <w:pPr>
        <w:pStyle w:val="TF1"/>
        <w:rPr/>
      </w:pPr>
      <w:r>
        <w:rPr/>
        <w:t>Figure 4.2.4.2-1: LTKUP key agreement process diagram</w:t>
      </w:r>
    </w:p>
    <w:p>
      <w:pPr>
        <w:pStyle w:val="Normal"/>
        <w:rPr/>
      </w:pPr>
      <w:r>
        <w:rPr>
          <w:b/>
          <w:bCs/>
          <w:color w:val="333333"/>
          <w:lang w:eastAsia="en-GB"/>
        </w:rPr>
        <w:t>Initiate LTKUP</w:t>
      </w:r>
    </w:p>
    <w:p>
      <w:pPr>
        <w:pStyle w:val="Normal"/>
        <w:rPr>
          <w:color w:val="333333"/>
          <w:lang w:eastAsia="en-GB"/>
        </w:rPr>
      </w:pPr>
      <w:r>
        <w:rPr>
          <w:b/>
          <w:bCs/>
          <w:color w:val="333333"/>
          <w:lang w:eastAsia="en-GB"/>
        </w:rPr>
        <w:t>parameters:</w:t>
      </w:r>
    </w:p>
    <w:p>
      <w:pPr>
        <w:pStyle w:val="Normal"/>
        <w:rPr/>
      </w:pPr>
      <w:r>
        <w:rPr>
          <w:b/>
          <w:bCs/>
          <w:color w:val="333333"/>
          <w:lang w:eastAsia="en-GB"/>
        </w:rPr>
        <w:t>curve/ECIES profile id:</w:t>
      </w:r>
    </w:p>
    <w:p>
      <w:pPr>
        <w:pStyle w:val="B1"/>
        <w:rPr/>
      </w:pPr>
      <w:r>
        <w:rPr>
          <w:lang w:eastAsia="en-GB"/>
        </w:rPr>
        <w:t>-</w:t>
        <w:tab/>
        <w:t>Length: 1</w:t>
      </w:r>
    </w:p>
    <w:p>
      <w:pPr>
        <w:pStyle w:val="B1"/>
        <w:rPr/>
      </w:pPr>
      <w:r>
        <w:rPr>
          <w:lang w:eastAsia="en-GB"/>
        </w:rPr>
        <w:t>-</w:t>
        <w:tab/>
        <w:t>Values: 0 - 5 + proprietary/reserved</w:t>
      </w:r>
    </w:p>
    <w:p>
      <w:pPr>
        <w:pStyle w:val="Normal"/>
        <w:rPr>
          <w:b/>
          <w:b/>
          <w:bCs/>
          <w:color w:val="333333"/>
          <w:lang w:eastAsia="en-GB"/>
        </w:rPr>
      </w:pPr>
      <w:r>
        <w:rPr>
          <w:b/>
          <w:bCs/>
          <w:color w:val="333333"/>
          <w:lang w:eastAsia="en-GB"/>
        </w:rPr>
        <w:t>algorithm type:</w:t>
      </w:r>
    </w:p>
    <w:p>
      <w:pPr>
        <w:pStyle w:val="B1"/>
        <w:rPr/>
      </w:pPr>
      <w:r>
        <w:rPr>
          <w:lang w:eastAsia="en-GB"/>
        </w:rPr>
        <w:t>-</w:t>
        <w:tab/>
        <w:t>Length: 1</w:t>
      </w:r>
    </w:p>
    <w:p>
      <w:pPr>
        <w:pStyle w:val="B1"/>
        <w:rPr/>
      </w:pPr>
      <w:r>
        <w:rPr>
          <w:lang w:eastAsia="en-GB"/>
        </w:rPr>
        <w:t>-</w:t>
        <w:tab/>
        <w:t>Values: MILENAGE, TUAK, other</w:t>
      </w:r>
    </w:p>
    <w:p>
      <w:pPr>
        <w:pStyle w:val="Normal"/>
        <w:rPr/>
      </w:pPr>
      <w:r>
        <w:rPr>
          <w:b/>
          <w:bCs/>
          <w:color w:val="333333"/>
          <w:lang w:eastAsia="en-GB"/>
        </w:rPr>
        <w:t xml:space="preserve">desired key length: </w:t>
      </w:r>
    </w:p>
    <w:p>
      <w:pPr>
        <w:pStyle w:val="B1"/>
        <w:rPr/>
      </w:pPr>
      <w:r>
        <w:rPr>
          <w:lang w:eastAsia="en-GB"/>
        </w:rPr>
        <w:t>-</w:t>
        <w:tab/>
        <w:t>Length: 1</w:t>
      </w:r>
    </w:p>
    <w:p>
      <w:pPr>
        <w:pStyle w:val="B1"/>
        <w:rPr/>
      </w:pPr>
      <w:r>
        <w:rPr>
          <w:lang w:eastAsia="en-GB"/>
        </w:rPr>
        <w:t>-</w:t>
        <w:tab/>
        <w:t>Values: 16, 32</w:t>
      </w:r>
    </w:p>
    <w:p>
      <w:pPr>
        <w:pStyle w:val="Normal"/>
        <w:rPr>
          <w:b/>
          <w:b/>
          <w:bCs/>
          <w:color w:val="333333"/>
          <w:lang w:eastAsia="en-GB"/>
        </w:rPr>
      </w:pPr>
      <w:r>
        <w:rPr>
          <w:b/>
          <w:bCs/>
          <w:color w:val="333333"/>
          <w:lang w:eastAsia="en-GB"/>
        </w:rPr>
        <w:t xml:space="preserve">key id: </w:t>
      </w:r>
    </w:p>
    <w:p>
      <w:pPr>
        <w:pStyle w:val="B1"/>
        <w:rPr/>
      </w:pPr>
      <w:r>
        <w:rPr>
          <w:lang w:eastAsia="en-GB"/>
        </w:rPr>
        <w:t>-</w:t>
        <w:tab/>
        <w:t>Length: 1</w:t>
      </w:r>
    </w:p>
    <w:p>
      <w:pPr>
        <w:pStyle w:val="B1"/>
        <w:rPr/>
      </w:pPr>
      <w:r>
        <w:rPr>
          <w:lang w:eastAsia="en-GB"/>
        </w:rPr>
        <w:t>-</w:t>
        <w:tab/>
        <w:t>Values: 0 - 127</w:t>
      </w:r>
    </w:p>
    <w:p>
      <w:pPr>
        <w:pStyle w:val="Normal"/>
        <w:rPr>
          <w:b/>
          <w:b/>
          <w:bCs/>
          <w:color w:val="333333"/>
          <w:lang w:eastAsia="en-GB"/>
        </w:rPr>
      </w:pPr>
      <w:r>
        <w:rPr>
          <w:b/>
          <w:bCs/>
          <w:color w:val="333333"/>
          <w:lang w:eastAsia="en-GB"/>
        </w:rPr>
        <w:t>LSoH public exponent:</w:t>
      </w:r>
    </w:p>
    <w:p>
      <w:pPr>
        <w:pStyle w:val="B1"/>
        <w:rPr/>
      </w:pPr>
      <w:r>
        <w:rPr>
          <w:lang w:eastAsia="en-GB"/>
        </w:rPr>
        <w:t>-</w:t>
        <w:tab/>
        <w:t>Length: 32, 48 (or 64)</w:t>
      </w:r>
    </w:p>
    <w:p>
      <w:pPr>
        <w:pStyle w:val="B1"/>
        <w:rPr/>
      </w:pPr>
      <w:r>
        <w:rPr>
          <w:lang w:eastAsia="en-GB"/>
        </w:rPr>
        <w:t>-</w:t>
        <w:tab/>
        <w:t>Values: Random</w:t>
      </w:r>
    </w:p>
    <w:p>
      <w:pPr>
        <w:pStyle w:val="Normal"/>
        <w:rPr/>
      </w:pPr>
      <w:r>
        <w:rPr>
          <w:b/>
          <w:bCs/>
          <w:color w:val="333333"/>
          <w:lang w:eastAsia="en-GB"/>
        </w:rPr>
        <w:t>known secrets to include:</w:t>
      </w:r>
    </w:p>
    <w:p>
      <w:pPr>
        <w:pStyle w:val="B1"/>
        <w:rPr/>
      </w:pPr>
      <w:r>
        <w:rPr>
          <w:lang w:eastAsia="en-GB"/>
        </w:rPr>
        <w:t>-</w:t>
        <w:tab/>
        <w:t>Length: 4</w:t>
      </w:r>
    </w:p>
    <w:p>
      <w:pPr>
        <w:pStyle w:val="B1"/>
        <w:rPr/>
      </w:pPr>
      <w:r>
        <w:rPr>
          <w:lang w:eastAsia="en-GB"/>
        </w:rPr>
        <w:t>-</w:t>
        <w:tab/>
        <w:t>Values: Identifiers for K, OPc/TOPc, "initiate LTKUP message", others</w:t>
      </w:r>
    </w:p>
    <w:p>
      <w:pPr>
        <w:pStyle w:val="Normal"/>
        <w:rPr>
          <w:b/>
          <w:b/>
          <w:bCs/>
          <w:color w:val="333333"/>
          <w:lang w:eastAsia="en-GB"/>
        </w:rPr>
      </w:pPr>
      <w:r>
        <w:rPr>
          <w:b/>
          <w:bCs/>
          <w:color w:val="333333"/>
          <w:lang w:eastAsia="en-GB"/>
        </w:rPr>
        <w:t>proprietary flags:</w:t>
      </w:r>
    </w:p>
    <w:p>
      <w:pPr>
        <w:pStyle w:val="B1"/>
        <w:rPr/>
      </w:pPr>
      <w:r>
        <w:rPr>
          <w:lang w:eastAsia="en-GB"/>
        </w:rPr>
        <w:t>-</w:t>
        <w:tab/>
        <w:t>Length: Any</w:t>
      </w:r>
    </w:p>
    <w:p>
      <w:pPr>
        <w:pStyle w:val="B1"/>
        <w:rPr/>
      </w:pPr>
      <w:r>
        <w:rPr>
          <w:lang w:eastAsia="en-GB"/>
        </w:rPr>
        <w:t>-</w:t>
        <w:tab/>
        <w:t>Values: Any</w:t>
      </w:r>
    </w:p>
    <w:p>
      <w:pPr>
        <w:pStyle w:val="Normal"/>
        <w:rPr>
          <w:b/>
          <w:b/>
          <w:bCs/>
          <w:color w:val="333333"/>
          <w:lang w:eastAsia="en-GB"/>
        </w:rPr>
      </w:pPr>
      <w:r>
        <w:rPr>
          <w:b/>
          <w:bCs/>
          <w:color w:val="333333"/>
          <w:lang w:eastAsia="en-GB"/>
        </w:rPr>
        <w:t>LTKUP USIM Parameter Exchange</w:t>
      </w:r>
    </w:p>
    <w:p>
      <w:pPr>
        <w:pStyle w:val="Normal"/>
        <w:rPr>
          <w:color w:val="333333"/>
          <w:lang w:eastAsia="en-GB"/>
        </w:rPr>
      </w:pPr>
      <w:r>
        <w:rPr>
          <w:b/>
          <w:bCs/>
          <w:color w:val="333333"/>
          <w:lang w:eastAsia="en-GB"/>
        </w:rPr>
        <w:t>parameters:</w:t>
      </w:r>
    </w:p>
    <w:p>
      <w:pPr>
        <w:pStyle w:val="Normal"/>
        <w:rPr/>
      </w:pPr>
      <w:r>
        <w:rPr>
          <w:b/>
          <w:bCs/>
          <w:color w:val="333333"/>
          <w:lang w:eastAsia="en-GB"/>
        </w:rPr>
        <w:t>USIM public exponent</w:t>
      </w:r>
    </w:p>
    <w:p>
      <w:pPr>
        <w:pStyle w:val="B1"/>
        <w:rPr/>
      </w:pPr>
      <w:r>
        <w:rPr>
          <w:lang w:eastAsia="en-GB"/>
        </w:rPr>
        <w:t>-</w:t>
        <w:tab/>
        <w:t>Length: 32, 48 (or 64)</w:t>
      </w:r>
    </w:p>
    <w:p>
      <w:pPr>
        <w:pStyle w:val="B1"/>
        <w:rPr/>
      </w:pPr>
      <w:r>
        <w:rPr>
          <w:lang w:eastAsia="en-GB"/>
        </w:rPr>
        <w:t>-</w:t>
        <w:tab/>
        <w:t>Values:Random</w:t>
      </w:r>
    </w:p>
    <w:p>
      <w:pPr>
        <w:pStyle w:val="Normal"/>
        <w:rPr>
          <w:b/>
          <w:b/>
          <w:bCs/>
          <w:color w:val="333333"/>
          <w:lang w:eastAsia="en-GB"/>
        </w:rPr>
      </w:pPr>
      <w:r>
        <w:rPr>
          <w:b/>
          <w:bCs/>
          <w:color w:val="333333"/>
          <w:lang w:eastAsia="en-GB"/>
        </w:rPr>
        <w:t>Confirm shared secret</w:t>
      </w:r>
    </w:p>
    <w:p>
      <w:pPr>
        <w:pStyle w:val="B1"/>
        <w:rPr/>
      </w:pPr>
      <w:r>
        <w:rPr>
          <w:lang w:eastAsia="en-GB"/>
        </w:rPr>
        <w:t>-</w:t>
        <w:tab/>
        <w:t>Length: 8</w:t>
      </w:r>
    </w:p>
    <w:p>
      <w:pPr>
        <w:pStyle w:val="B1"/>
        <w:rPr/>
      </w:pPr>
      <w:r>
        <w:rPr>
          <w:lang w:eastAsia="en-GB"/>
        </w:rPr>
        <w:t>-</w:t>
        <w:tab/>
        <w:t>Values: Random</w:t>
      </w:r>
    </w:p>
    <w:p>
      <w:pPr>
        <w:pStyle w:val="Normal"/>
        <w:rPr>
          <w:b/>
          <w:b/>
          <w:bCs/>
          <w:color w:val="333333"/>
          <w:lang w:eastAsia="en-GB"/>
        </w:rPr>
      </w:pPr>
      <w:r>
        <w:rPr>
          <w:b/>
          <w:bCs/>
          <w:color w:val="333333"/>
          <w:lang w:eastAsia="en-GB"/>
        </w:rPr>
        <w:t>LTKUP HLR Parameter Exchange</w:t>
      </w:r>
    </w:p>
    <w:p>
      <w:pPr>
        <w:pStyle w:val="Normal"/>
        <w:rPr>
          <w:color w:val="333333"/>
          <w:lang w:eastAsia="en-GB"/>
        </w:rPr>
      </w:pPr>
      <w:r>
        <w:rPr>
          <w:b/>
          <w:bCs/>
          <w:color w:val="333333"/>
          <w:lang w:eastAsia="en-GB"/>
        </w:rPr>
        <w:t>parameters:</w:t>
      </w:r>
    </w:p>
    <w:p>
      <w:pPr>
        <w:pStyle w:val="Normal"/>
        <w:rPr>
          <w:b/>
          <w:b/>
          <w:bCs/>
          <w:color w:val="333333"/>
          <w:lang w:eastAsia="en-GB"/>
        </w:rPr>
      </w:pPr>
      <w:r>
        <w:rPr>
          <w:b/>
          <w:bCs/>
          <w:color w:val="333333"/>
          <w:lang w:eastAsia="en-GB"/>
        </w:rPr>
        <w:t>Encrypted Associated Params</w:t>
      </w:r>
    </w:p>
    <w:p>
      <w:pPr>
        <w:pStyle w:val="B1"/>
        <w:rPr/>
      </w:pPr>
      <w:r>
        <w:rPr>
          <w:lang w:eastAsia="en-GB"/>
        </w:rPr>
        <w:t>-</w:t>
        <w:tab/>
        <w:t>Length: 16 for OPc, 32 for TOPc, Any for Other</w:t>
      </w:r>
    </w:p>
    <w:p>
      <w:pPr>
        <w:pStyle w:val="B1"/>
        <w:rPr/>
      </w:pPr>
      <w:r>
        <w:rPr>
          <w:lang w:eastAsia="en-GB"/>
        </w:rPr>
        <w:t>-</w:t>
        <w:tab/>
        <w:t>Values: Random</w:t>
      </w:r>
    </w:p>
    <w:p>
      <w:pPr>
        <w:pStyle w:val="Normal"/>
        <w:rPr/>
      </w:pPr>
      <w:r>
        <w:rPr>
          <w:b/>
          <w:bCs/>
          <w:color w:val="333333"/>
          <w:lang w:eastAsia="en-GB"/>
        </w:rPr>
        <w:t>MAC-tag for Encrypted Associated Params</w:t>
      </w:r>
    </w:p>
    <w:p>
      <w:pPr>
        <w:pStyle w:val="B1"/>
        <w:rPr/>
      </w:pPr>
      <w:r>
        <w:rPr>
          <w:lang w:eastAsia="en-GB"/>
        </w:rPr>
        <w:t>-</w:t>
        <w:tab/>
        <w:t>Length: 8</w:t>
      </w:r>
    </w:p>
    <w:p>
      <w:pPr>
        <w:pStyle w:val="B1"/>
        <w:rPr/>
      </w:pPr>
      <w:r>
        <w:rPr>
          <w:lang w:eastAsia="en-GB"/>
        </w:rPr>
        <w:t>-</w:t>
        <w:tab/>
        <w:t>Values: Random</w:t>
      </w:r>
    </w:p>
    <w:p>
      <w:pPr>
        <w:pStyle w:val="Normal"/>
        <w:rPr>
          <w:b/>
          <w:b/>
          <w:bCs/>
          <w:color w:val="333333"/>
          <w:lang w:eastAsia="en-GB"/>
        </w:rPr>
      </w:pPr>
      <w:r>
        <w:rPr>
          <w:b/>
          <w:bCs/>
          <w:color w:val="333333"/>
          <w:lang w:eastAsia="en-GB"/>
        </w:rPr>
        <w:t>LTKUP Complete Confirmation</w:t>
      </w:r>
    </w:p>
    <w:p>
      <w:pPr>
        <w:pStyle w:val="Normal"/>
        <w:rPr>
          <w:color w:val="333333"/>
          <w:lang w:eastAsia="en-GB"/>
        </w:rPr>
      </w:pPr>
      <w:r>
        <w:rPr>
          <w:b/>
          <w:bCs/>
          <w:color w:val="333333"/>
          <w:lang w:eastAsia="en-GB"/>
        </w:rPr>
        <w:t>parameters:</w:t>
      </w:r>
    </w:p>
    <w:p>
      <w:pPr>
        <w:pStyle w:val="Normal"/>
        <w:rPr>
          <w:b/>
          <w:b/>
          <w:bCs/>
          <w:color w:val="333333"/>
          <w:lang w:eastAsia="en-GB"/>
        </w:rPr>
      </w:pPr>
      <w:r>
        <w:rPr>
          <w:b/>
          <w:bCs/>
          <w:color w:val="333333"/>
          <w:lang w:eastAsia="en-GB"/>
        </w:rPr>
        <w:t>Confirm Associated Params</w:t>
      </w:r>
    </w:p>
    <w:p>
      <w:pPr>
        <w:pStyle w:val="B1"/>
        <w:rPr/>
      </w:pPr>
      <w:r>
        <w:rPr>
          <w:lang w:eastAsia="en-GB"/>
        </w:rPr>
        <w:t>-</w:t>
        <w:tab/>
        <w:t>Length: 8</w:t>
      </w:r>
    </w:p>
    <w:p>
      <w:pPr>
        <w:pStyle w:val="B1"/>
        <w:rPr/>
      </w:pPr>
      <w:r>
        <w:rPr>
          <w:lang w:eastAsia="en-GB"/>
        </w:rPr>
        <w:t>-</w:t>
        <w:tab/>
        <w:t>Values:Random</w:t>
      </w:r>
    </w:p>
    <w:p>
      <w:pPr>
        <w:pStyle w:val="Normal"/>
        <w:rPr>
          <w:color w:val="333333"/>
          <w:lang w:eastAsia="en-GB"/>
        </w:rPr>
      </w:pPr>
      <w:r>
        <w:rPr>
          <w:color w:val="333333"/>
          <w:lang w:eastAsia="en-GB"/>
        </w:rPr>
        <w:t>The "confirm" messages from the USIM are best done by MACing all the parameters to be confirmed, using an integrity key derived from the shared secret. TBC: whether it is acceptable to use the same integrity key that was already derived for use in the "HLR Parameter Exchange" message (with some additional flags like a message id included as part of the data to be MACed), or whether it is better to derive an additional key just for the USIM confirmation.</w:t>
      </w:r>
    </w:p>
    <w:p>
      <w:pPr>
        <w:pStyle w:val="Heading2"/>
        <w:rPr/>
      </w:pPr>
      <w:bookmarkStart w:id="23" w:name="__RefHeading___Toc42507752"/>
      <w:bookmarkEnd w:id="23"/>
      <w:r>
        <w:rPr/>
        <w:t>4.3</w:t>
        <w:tab/>
        <w:t>Solution 5 - Multiple sets of parameters on the USIM</w:t>
      </w:r>
    </w:p>
    <w:p>
      <w:pPr>
        <w:pStyle w:val="Heading3"/>
        <w:rPr/>
      </w:pPr>
      <w:bookmarkStart w:id="24" w:name="__RefHeading___Toc42507753"/>
      <w:bookmarkEnd w:id="24"/>
      <w:r>
        <w:rPr/>
        <w:t>4.3.1</w:t>
        <w:tab/>
        <w:t>Solution Overview</w:t>
      </w:r>
    </w:p>
    <w:p>
      <w:pPr>
        <w:pStyle w:val="Normal"/>
        <w:rPr/>
      </w:pPr>
      <w:r>
        <w:rPr>
          <w:color w:val="000000"/>
        </w:rPr>
        <w:t xml:space="preserve">This solution aims to update the long term key K stored on a USIM application on UICC. The solution relies on the presence of several sets of parameters (K/OPc or K/TOPc) stored in the USIM. Only one set of parameters is active at a time in the USIM. </w:t>
      </w:r>
    </w:p>
    <w:p>
      <w:pPr>
        <w:pStyle w:val="NO"/>
        <w:rPr/>
      </w:pPr>
      <w:r>
        <w:rPr/>
        <w:t>NOTE:</w:t>
        <w:tab/>
        <w:t>the UICC application mentioned in this solution is the USIM. But the solution also applies to ISIM application.</w:t>
      </w:r>
    </w:p>
    <w:p>
      <w:pPr>
        <w:pStyle w:val="Normal"/>
        <w:rPr/>
      </w:pPr>
      <w:r>
        <w:rPr/>
        <w:t xml:space="preserve">The decision to launch the procedure to replace the long term key K in the USIM is taken by the home network operator. </w:t>
      </w:r>
    </w:p>
    <w:p>
      <w:pPr>
        <w:pStyle w:val="Heading3"/>
        <w:rPr/>
      </w:pPr>
      <w:bookmarkStart w:id="25" w:name="__RefHeading___Toc42507754"/>
      <w:bookmarkEnd w:id="25"/>
      <w:r>
        <w:rPr/>
        <w:t>4.3.2</w:t>
        <w:tab/>
        <w:t>Solution description</w:t>
      </w:r>
    </w:p>
    <w:p>
      <w:pPr>
        <w:pStyle w:val="Heading4"/>
        <w:ind w:left="1418" w:hanging="1418"/>
        <w:rPr/>
      </w:pPr>
      <w:bookmarkStart w:id="26" w:name="__RefHeading___Toc42507755"/>
      <w:bookmarkEnd w:id="26"/>
      <w:r>
        <w:rPr/>
        <w:t>4.3.2.0</w:t>
        <w:tab/>
        <w:t>Overview</w:t>
      </w:r>
    </w:p>
    <w:p>
      <w:pPr>
        <w:pStyle w:val="Normal"/>
        <w:rPr/>
      </w:pPr>
      <w:r>
        <w:rPr/>
        <w:t xml:space="preserve">The solution requires steps when the UICC is in the personalisation centre and then when the UICC is in the field. </w:t>
      </w:r>
    </w:p>
    <w:p>
      <w:pPr>
        <w:pStyle w:val="Heading4"/>
        <w:ind w:left="1418" w:hanging="1418"/>
        <w:rPr/>
      </w:pPr>
      <w:bookmarkStart w:id="27" w:name="__RefHeading___Toc42507756"/>
      <w:bookmarkEnd w:id="27"/>
      <w:r>
        <w:rPr/>
        <w:t>4.3.2.1</w:t>
        <w:tab/>
        <w:t>UICC in personalisation centre</w:t>
      </w:r>
    </w:p>
    <w:p>
      <w:pPr>
        <w:pStyle w:val="Normal"/>
        <w:rPr/>
      </w:pPr>
      <w:r>
        <w:rPr/>
        <w:t xml:space="preserve">For each UICC, several sets of parameters (K/OPc or K/TOPc) are generated and provisioned in a USIM. But, only one set of parameters is active at a time in this USIM. </w:t>
      </w:r>
    </w:p>
    <w:p>
      <w:pPr>
        <w:pStyle w:val="Normal"/>
        <w:rPr/>
      </w:pPr>
      <w:r>
        <w:rPr/>
        <w:t xml:space="preserve">The personalisation centre sends to the network operator an output file, which contains only one single set of parameters (K and eventually OPc or TOPc). This set of parameters is provisioned in the network operator backend. The other sets of parameters generated may be retrieved on demand from the personalisation centre. </w:t>
      </w:r>
    </w:p>
    <w:p>
      <w:pPr>
        <w:pStyle w:val="Normal"/>
        <w:rPr/>
      </w:pPr>
      <w:r>
        <w:rPr/>
        <w:t xml:space="preserve">The OTA command sent to the USIM/UICC is secured thanks to secured packet mechanism specified in TS 31.115 [3]. Optionally, a shared key called "replacement mechanism protection" key is provisioned in the UICC in order to protect in integrity the payload of the OTA command. This "replacement mechanism protection" key offers an additional level of security due to the sensitivity of the procedure. This "replacement mechanism protection" key, if present, is securely stored in the personalisation centre and never exits the personalisation center.  </w:t>
      </w:r>
    </w:p>
    <w:p>
      <w:pPr>
        <w:pStyle w:val="Heading4"/>
        <w:ind w:left="1418" w:hanging="1418"/>
        <w:rPr/>
      </w:pPr>
      <w:bookmarkStart w:id="28" w:name="__RefHeading___Toc42507757"/>
      <w:bookmarkEnd w:id="28"/>
      <w:r>
        <w:rPr/>
        <w:t>4.3.2.2</w:t>
        <w:tab/>
        <w:t>UICC in the field</w:t>
      </w:r>
    </w:p>
    <w:p>
      <w:pPr>
        <w:pStyle w:val="Normal"/>
        <w:rPr/>
      </w:pPr>
      <w:r>
        <w:rPr/>
        <w:t>Once the UICC is in a User Equipment in the field, the network operator can launch when he wants the replacement procedure as follows:</w:t>
      </w:r>
    </w:p>
    <w:p>
      <w:pPr>
        <w:pStyle w:val="TH"/>
        <w:rPr/>
      </w:pPr>
      <w:r>
        <w:rPr/>
        <mc:AlternateContent>
          <mc:Choice Requires="wpg">
            <w:drawing>
              <wp:inline distT="0" distB="0" distL="0" distR="0">
                <wp:extent cx="6135370" cy="6284595"/>
                <wp:effectExtent l="0" t="0" r="0" b="0"/>
                <wp:docPr id="16" name="Zeichenbereich 177"/>
                <a:graphic xmlns:a="http://schemas.openxmlformats.org/drawingml/2006/main">
                  <a:graphicData uri="http://schemas.microsoft.com/office/word/2010/wordprocessingGroup">
                    <wpg:wgp>
                      <wpg:cNvGrpSpPr/>
                      <wpg:grpSpPr>
                        <a:xfrm>
                          <a:off x="0" y="0"/>
                          <a:ext cx="6135480" cy="6284520"/>
                          <a:chOff x="0" y="0"/>
                          <a:chExt cx="6135480" cy="6284520"/>
                        </a:xfrm>
                      </wpg:grpSpPr>
                      <wps:wsp>
                        <wps:cNvSpPr/>
                        <wps:nvSpPr>
                          <wps:cNvPr id="0" name=""/>
                          <wps:cNvSpPr/>
                        </wps:nvSpPr>
                        <wps:spPr>
                          <a:xfrm>
                            <a:off x="0" y="0"/>
                            <a:ext cx="6135480" cy="6284520"/>
                          </a:xfrm>
                          <a:prstGeom prst="rect">
                            <a:avLst/>
                          </a:prstGeom>
                          <a:noFill/>
                          <a:ln w="0">
                            <a:noFill/>
                          </a:ln>
                        </wps:spPr>
                        <wps:bodyPr/>
                      </wps:wsp>
                      <wps:wsp>
                        <wps:cNvSpPr txBox="1"/>
                        <wps:spPr>
                          <a:xfrm>
                            <a:off x="3469680" y="709920"/>
                            <a:ext cx="1636560" cy="22032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Input file (e.g. IMSI)</w:t>
                              </w:r>
                            </w:p>
                          </w:txbxContent>
                        </wps:txbx>
                        <wps:bodyPr wrap="square" lIns="83160" rIns="83160" tIns="41760" bIns="41760" anchor="t">
                          <a:noAutofit/>
                        </wps:bodyPr>
                      </wps:wsp>
                      <wps:wsp>
                        <wps:cNvSpPr txBox="1"/>
                        <wps:spPr>
                          <a:xfrm>
                            <a:off x="3085560" y="1581120"/>
                            <a:ext cx="2929320" cy="22032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3. Output file (IMSI, new set of parameters, OTA payload)</w:t>
                              </w:r>
                            </w:p>
                          </w:txbxContent>
                        </wps:txbx>
                        <wps:bodyPr wrap="square" lIns="83160" rIns="83160" tIns="41760" bIns="41760" anchor="t">
                          <a:noAutofit/>
                        </wps:bodyPr>
                      </wps:wsp>
                      <wps:wsp>
                        <wps:cNvSpPr txBox="1"/>
                        <wps:spPr>
                          <a:xfrm>
                            <a:off x="815400" y="2320200"/>
                            <a:ext cx="2072520" cy="22032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 xml:space="preserve">5. OTA msg </w:t>
                              </w:r>
                            </w:p>
                          </w:txbxContent>
                        </wps:txbx>
                        <wps:bodyPr wrap="square" lIns="83160" rIns="83160" tIns="41760" bIns="41760" anchor="t">
                          <a:noAutofit/>
                        </wps:bodyPr>
                      </wps:wsp>
                      <wps:wsp>
                        <wps:cNvSpPr txBox="1"/>
                        <wps:spPr>
                          <a:xfrm>
                            <a:off x="219240" y="191880"/>
                            <a:ext cx="902880" cy="318240"/>
                          </a:xfrm>
                          <a:prstGeom prst="rect">
                            <a:avLst/>
                          </a:prstGeom>
                          <a:solidFill>
                            <a:srgbClr val="ffffff"/>
                          </a:solidFill>
                          <a:ln w="9360">
                            <a:solidFill>
                              <a:srgbClr val="000000"/>
                            </a:solidFill>
                            <a:miter/>
                          </a:ln>
                        </wps:spPr>
                        <wps:txbx>
                          <w:txbxContent>
                            <w:p>
                              <w:pPr>
                                <w:overflowPunct w:val="false"/>
                                <w:autoSpaceDE w:val="false"/>
                                <w:bidi w:val="0"/>
                                <w:spacing w:before="0" w:after="180"/>
                                <w:ind w:firstLine="284"/>
                                <w:rPr/>
                              </w:pPr>
                              <w:r>
                                <w:rPr>
                                  <w:kern w:val="2"/>
                                  <w:sz w:val="18"/>
                                  <w:szCs w:val="20"/>
                                  <w:rFonts w:ascii="Times New Roman" w:hAnsi="Times New Roman" w:eastAsia="Times New Roman" w:cs="Times New Roman"/>
                                  <w:color w:val="auto"/>
                                  <w:lang w:val="nl-NL" w:bidi="ar-SA"/>
                                </w:rPr>
                                <w:t>UE</w:t>
                              </w:r>
                            </w:p>
                          </w:txbxContent>
                        </wps:txbx>
                        <wps:bodyPr wrap="square" lIns="83160" rIns="83160" tIns="41760" bIns="41760" anchor="t">
                          <a:noAutofit/>
                        </wps:bodyPr>
                      </wps:wsp>
                      <wps:wsp>
                        <wps:cNvSpPr txBox="1"/>
                        <wps:spPr>
                          <a:xfrm>
                            <a:off x="1915920" y="191880"/>
                            <a:ext cx="1959120" cy="3639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18"/>
                                  <w:szCs w:val="20"/>
                                  <w:rFonts w:ascii="Times New Roman" w:hAnsi="Times New Roman" w:eastAsia="Times New Roman" w:cs="Times New Roman"/>
                                  <w:color w:val="auto"/>
                                  <w:lang w:val="nl-NL" w:bidi="ar-SA"/>
                                </w:rPr>
                                <w:t xml:space="preserve">Home Network </w:t>
                              </w:r>
                            </w:p>
                          </w:txbxContent>
                        </wps:txbx>
                        <wps:bodyPr wrap="square" lIns="83160" rIns="83160" tIns="41760" bIns="41760" anchor="t">
                          <a:noAutofit/>
                        </wps:bodyPr>
                      </wps:wsp>
                      <wps:wsp>
                        <wps:cNvCnPr/>
                        <wps:spPr>
                          <a:xfrm>
                            <a:off x="606960" y="509760"/>
                            <a:ext cx="2880" cy="5717880"/>
                          </a:xfrm>
                          <a:prstGeom prst="straightConnector1">
                            <a:avLst/>
                          </a:prstGeom>
                          <a:ln w="9360">
                            <a:solidFill>
                              <a:srgbClr val="000000"/>
                            </a:solidFill>
                            <a:miter/>
                          </a:ln>
                        </wps:spPr>
                        <wps:bodyPr/>
                      </wps:wsp>
                      <wps:wsp>
                        <wps:cNvCnPr/>
                        <wps:spPr>
                          <a:xfrm>
                            <a:off x="2950200" y="1840320"/>
                            <a:ext cx="2309400" cy="1440"/>
                          </a:xfrm>
                          <a:prstGeom prst="straightConnector1">
                            <a:avLst/>
                          </a:prstGeom>
                          <a:ln w="9360">
                            <a:solidFill>
                              <a:srgbClr val="000000"/>
                            </a:solidFill>
                            <a:miter/>
                            <a:headEnd len="med" type="triangle" w="med"/>
                          </a:ln>
                        </wps:spPr>
                        <wps:bodyPr/>
                      </wps:wsp>
                      <wps:wsp>
                        <wps:cNvCnPr/>
                        <wps:spPr>
                          <a:xfrm>
                            <a:off x="593640" y="2595240"/>
                            <a:ext cx="2303640" cy="1800"/>
                          </a:xfrm>
                          <a:prstGeom prst="straightConnector1">
                            <a:avLst/>
                          </a:prstGeom>
                          <a:ln w="9360">
                            <a:solidFill>
                              <a:srgbClr val="000000"/>
                            </a:solidFill>
                            <a:miter/>
                            <a:headEnd len="med" type="triangle" w="med"/>
                          </a:ln>
                        </wps:spPr>
                        <wps:bodyPr/>
                      </wps:wsp>
                      <wps:wsp>
                        <wps:cNvCnPr/>
                        <wps:spPr>
                          <a:xfrm flipH="1">
                            <a:off x="608400" y="3478680"/>
                            <a:ext cx="2328120" cy="1440"/>
                          </a:xfrm>
                          <a:prstGeom prst="straightConnector1">
                            <a:avLst/>
                          </a:prstGeom>
                          <a:ln w="9360">
                            <a:solidFill>
                              <a:srgbClr val="000000"/>
                            </a:solidFill>
                            <a:miter/>
                            <a:headEnd len="med" type="triangle" w="med"/>
                          </a:ln>
                        </wps:spPr>
                        <wps:bodyPr/>
                      </wps:wsp>
                      <wps:wsp>
                        <wps:cNvSpPr txBox="1"/>
                        <wps:spPr>
                          <a:xfrm>
                            <a:off x="1542960" y="4656960"/>
                            <a:ext cx="1456200" cy="22032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10. Authentication Request</w:t>
                              </w:r>
                            </w:p>
                          </w:txbxContent>
                        </wps:txbx>
                        <wps:bodyPr wrap="square" lIns="83160" rIns="83160" tIns="41760" bIns="41760" anchor="t">
                          <a:noAutofit/>
                        </wps:bodyPr>
                      </wps:wsp>
                      <wps:wsp>
                        <wps:cNvCnPr/>
                        <wps:spPr>
                          <a:xfrm flipH="1">
                            <a:off x="606960" y="5740920"/>
                            <a:ext cx="1187280" cy="1800"/>
                          </a:xfrm>
                          <a:prstGeom prst="straightConnector1">
                            <a:avLst/>
                          </a:prstGeom>
                          <a:ln w="9360">
                            <a:solidFill>
                              <a:srgbClr val="000000"/>
                            </a:solidFill>
                            <a:miter/>
                            <a:headEnd len="med" type="triangle" w="med"/>
                          </a:ln>
                        </wps:spPr>
                        <wps:bodyPr/>
                      </wps:wsp>
                      <wps:wsp>
                        <wps:cNvSpPr txBox="1"/>
                        <wps:spPr>
                          <a:xfrm>
                            <a:off x="4775760" y="146520"/>
                            <a:ext cx="986040" cy="3963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18"/>
                                  <w:szCs w:val="20"/>
                                  <w:rFonts w:ascii="Times New Roman" w:hAnsi="Times New Roman" w:eastAsia="Times New Roman" w:cs="Times New Roman"/>
                                  <w:color w:val="auto"/>
                                  <w:lang w:val="nl-NL" w:bidi="ar-SA"/>
                                </w:rPr>
                                <w:t>Personalisation Centre</w:t>
                              </w:r>
                            </w:p>
                          </w:txbxContent>
                        </wps:txbx>
                        <wps:bodyPr wrap="square" lIns="83160" rIns="83160" tIns="41760" bIns="41760" anchor="t">
                          <a:noAutofit/>
                        </wps:bodyPr>
                      </wps:wsp>
                      <wps:wsp>
                        <wps:cNvCnPr/>
                        <wps:spPr>
                          <a:xfrm>
                            <a:off x="2896200" y="555480"/>
                            <a:ext cx="41760" cy="5672160"/>
                          </a:xfrm>
                          <a:prstGeom prst="straightConnector1">
                            <a:avLst/>
                          </a:prstGeom>
                          <a:ln w="9360">
                            <a:solidFill>
                              <a:srgbClr val="000000"/>
                            </a:solidFill>
                            <a:miter/>
                          </a:ln>
                        </wps:spPr>
                        <wps:bodyPr/>
                      </wps:wsp>
                      <wps:wsp>
                        <wps:cNvSpPr txBox="1"/>
                        <wps:spPr>
                          <a:xfrm>
                            <a:off x="2221920" y="1906920"/>
                            <a:ext cx="1247760" cy="48960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kern w:val="2"/>
                                  <w:sz w:val="18"/>
                                  <w:szCs w:val="20"/>
                                  <w:rFonts w:ascii="Times New Roman" w:hAnsi="Times New Roman" w:eastAsia="Times New Roman" w:cs="Times New Roman"/>
                                  <w:color w:val="auto"/>
                                  <w:lang w:val="en-US" w:bidi="ar-SA"/>
                                </w:rPr>
                                <w:t>4. OTA campaign to activate replacement mechanism</w:t>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txbxContent>
                        </wps:txbx>
                        <wps:bodyPr wrap="square" lIns="83160" rIns="83160" tIns="41760" bIns="41760" anchor="t">
                          <a:noAutofit/>
                        </wps:bodyPr>
                      </wps:wsp>
                      <wps:wsp>
                        <wps:cNvCnPr/>
                        <wps:spPr>
                          <a:xfrm flipH="1">
                            <a:off x="5257800" y="542880"/>
                            <a:ext cx="11880" cy="5685480"/>
                          </a:xfrm>
                          <a:prstGeom prst="straightConnector1">
                            <a:avLst/>
                          </a:prstGeom>
                          <a:ln w="9360">
                            <a:solidFill>
                              <a:srgbClr val="000000"/>
                            </a:solidFill>
                            <a:miter/>
                          </a:ln>
                        </wps:spPr>
                        <wps:bodyPr/>
                      </wps:wsp>
                      <wps:wsp>
                        <wps:cNvCnPr/>
                        <wps:spPr>
                          <a:xfrm flipH="1">
                            <a:off x="2886840" y="930240"/>
                            <a:ext cx="2363760" cy="1800"/>
                          </a:xfrm>
                          <a:prstGeom prst="straightConnector1">
                            <a:avLst/>
                          </a:prstGeom>
                          <a:ln w="9360">
                            <a:solidFill>
                              <a:srgbClr val="000000"/>
                            </a:solidFill>
                            <a:miter/>
                            <a:headEnd len="med" type="triangle" w="med"/>
                          </a:ln>
                        </wps:spPr>
                        <wps:bodyPr/>
                      </wps:wsp>
                      <wps:wsp>
                        <wps:cNvSpPr txBox="1"/>
                        <wps:spPr>
                          <a:xfrm>
                            <a:off x="1013400" y="3209760"/>
                            <a:ext cx="1286640" cy="22032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7. Optional OTA PoR</w:t>
                              </w:r>
                            </w:p>
                          </w:txbxContent>
                        </wps:txbx>
                        <wps:bodyPr wrap="square" lIns="83160" rIns="83160" tIns="41760" bIns="41760" anchor="t">
                          <a:noAutofit/>
                        </wps:bodyPr>
                      </wps:wsp>
                      <wps:wsp>
                        <wps:cNvSpPr txBox="1"/>
                        <wps:spPr>
                          <a:xfrm>
                            <a:off x="109800" y="2759760"/>
                            <a:ext cx="1396440" cy="45036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6. Activation of replacement mechanism</w:t>
                              </w:r>
                            </w:p>
                          </w:txbxContent>
                        </wps:txbx>
                        <wps:bodyPr wrap="square" lIns="83160" rIns="83160" tIns="41760" bIns="41760" anchor="t">
                          <a:noAutofit/>
                        </wps:bodyPr>
                      </wps:wsp>
                      <wps:wsp>
                        <wps:cNvSpPr txBox="1"/>
                        <wps:spPr>
                          <a:xfrm>
                            <a:off x="2300040" y="3654360"/>
                            <a:ext cx="1310760" cy="904320"/>
                          </a:xfrm>
                          <a:prstGeom prst="rect">
                            <a:avLst/>
                          </a:prstGeom>
                          <a:solidFill>
                            <a:srgbClr val="ffffff"/>
                          </a:solidFill>
                          <a:ln w="9360">
                            <a:solidFill>
                              <a:srgbClr val="000000"/>
                            </a:solidFill>
                            <a:miter/>
                          </a:ln>
                        </wps:spPr>
                        <wps:txbx>
                          <w:txbxContent>
                            <w:p>
                              <w:pPr>
                                <w:overflowPunct w:val="false"/>
                                <w:autoSpaceDE w:val="false"/>
                                <w:bidi w:val="0"/>
                                <w:spacing w:before="0" w:after="0"/>
                                <w:rPr/>
                              </w:pPr>
                              <w:r>
                                <w:rPr>
                                  <w:kern w:val="2"/>
                                  <w:sz w:val="18"/>
                                  <w:szCs w:val="20"/>
                                  <w:rFonts w:ascii="Times New Roman" w:hAnsi="Times New Roman" w:eastAsia="Times New Roman" w:cs="Times New Roman"/>
                                  <w:color w:val="auto"/>
                                  <w:lang w:val="en-US" w:bidi="ar-SA"/>
                                </w:rPr>
                                <w:t>8. Provisioning of the set of parameters in the HLR/AuC</w:t>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kern w:val="2"/>
                                  <w:sz w:val="18"/>
                                  <w:szCs w:val="20"/>
                                  <w:rFonts w:ascii="Times New Roman" w:hAnsi="Times New Roman" w:eastAsia="Times New Roman" w:cs="Times New Roman"/>
                                  <w:color w:val="auto"/>
                                  <w:lang w:val="en-US" w:bidi="ar-SA"/>
                                </w:rPr>
                                <w:t>9. Issuance of new Authentication Vector</w:t>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txbxContent>
                        </wps:txbx>
                        <wps:bodyPr wrap="square" lIns="83160" rIns="83160" tIns="41760" bIns="41760" anchor="t">
                          <a:noAutofit/>
                        </wps:bodyPr>
                      </wps:wsp>
                      <wps:wsp>
                        <wps:cNvCnPr/>
                        <wps:spPr>
                          <a:xfrm>
                            <a:off x="1535400" y="4923000"/>
                            <a:ext cx="1353600" cy="1800"/>
                          </a:xfrm>
                          <a:prstGeom prst="straightConnector1">
                            <a:avLst/>
                          </a:prstGeom>
                          <a:ln w="9360">
                            <a:solidFill>
                              <a:srgbClr val="000000"/>
                            </a:solidFill>
                            <a:miter/>
                            <a:headEnd len="med" type="triangle" w="med"/>
                          </a:ln>
                        </wps:spPr>
                        <wps:bodyPr/>
                      </wps:wsp>
                      <wps:wsp>
                        <wps:cNvSpPr txBox="1"/>
                        <wps:spPr>
                          <a:xfrm>
                            <a:off x="138600" y="4992840"/>
                            <a:ext cx="1396440" cy="42804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11. Authentication procedure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lIns="83160" rIns="83160" tIns="41760" bIns="41760" anchor="t">
                          <a:noAutofit/>
                        </wps:bodyPr>
                      </wps:wsp>
                      <wps:wsp>
                        <wps:cNvSpPr txBox="1"/>
                        <wps:spPr>
                          <a:xfrm>
                            <a:off x="654840" y="5482440"/>
                            <a:ext cx="1765440" cy="220320"/>
                          </a:xfrm>
                          <a:prstGeom prst="rect">
                            <a:avLst/>
                          </a:prstGeom>
                          <a:solidFill>
                            <a:srgbClr val="ffffff"/>
                          </a:solidFill>
                          <a:ln w="0">
                            <a:noFill/>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12. Authentication Response</w:t>
                              </w:r>
                            </w:p>
                          </w:txbxContent>
                        </wps:txbx>
                        <wps:bodyPr wrap="square" lIns="83160" rIns="83160" tIns="41760" bIns="41760" anchor="t">
                          <a:noAutofit/>
                        </wps:bodyPr>
                      </wps:wsp>
                      <wps:wsp>
                        <wps:cNvSpPr txBox="1"/>
                        <wps:spPr>
                          <a:xfrm>
                            <a:off x="4531320" y="1049760"/>
                            <a:ext cx="1530360" cy="40392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 xml:space="preserve">2. Preparation of the output file </w:t>
                              </w:r>
                            </w:p>
                          </w:txbxContent>
                        </wps:txbx>
                        <wps:bodyPr wrap="square" lIns="83160" rIns="83160" tIns="41760" bIns="41760" anchor="t">
                          <a:noAutofit/>
                        </wps:bodyPr>
                      </wps:wsp>
                      <wps:wsp>
                        <wps:cNvSpPr txBox="1"/>
                        <wps:spPr>
                          <a:xfrm>
                            <a:off x="2171880" y="5823720"/>
                            <a:ext cx="1530360" cy="403920"/>
                          </a:xfrm>
                          <a:prstGeom prst="rect">
                            <a:avLst/>
                          </a:prstGeom>
                          <a:solidFill>
                            <a:srgbClr val="ffffff"/>
                          </a:solidFill>
                          <a:ln w="9360">
                            <a:solidFill>
                              <a:srgbClr val="000000"/>
                            </a:solidFill>
                            <a:miter/>
                          </a:ln>
                        </wps:spPr>
                        <wps:txb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13. Check the status of the key replacement procedure</w:t>
                              </w:r>
                            </w:p>
                          </w:txbxContent>
                        </wps:txbx>
                        <wps:bodyPr wrap="square" lIns="83160" rIns="83160" tIns="41760" bIns="41760" anchor="t">
                          <a:noAutofit/>
                        </wps:bodyPr>
                      </wps:wsp>
                      <wps:wsp>
                        <wps:cNvCnPr/>
                        <wps:spPr>
                          <a:xfrm>
                            <a:off x="609120" y="4922640"/>
                            <a:ext cx="934920" cy="1440"/>
                          </a:xfrm>
                          <a:prstGeom prst="straightConnector1">
                            <a:avLst/>
                          </a:prstGeom>
                          <a:ln w="9360">
                            <a:solidFill>
                              <a:srgbClr val="000000"/>
                            </a:solidFill>
                            <a:prstDash val="dash"/>
                            <a:miter/>
                          </a:ln>
                        </wps:spPr>
                        <wps:bodyPr/>
                      </wps:wsp>
                      <wps:wsp>
                        <wps:cNvCnPr/>
                        <wps:spPr>
                          <a:xfrm>
                            <a:off x="1793880" y="5741640"/>
                            <a:ext cx="1102680" cy="1800"/>
                          </a:xfrm>
                          <a:prstGeom prst="straightConnector1">
                            <a:avLst/>
                          </a:prstGeom>
                          <a:ln w="9360">
                            <a:solidFill>
                              <a:srgbClr val="000000"/>
                            </a:solidFill>
                            <a:prstDash val="dash"/>
                            <a:miter/>
                          </a:ln>
                        </wps:spPr>
                        <wps:bodyPr/>
                      </wps:wsp>
                    </wpg:wgp>
                  </a:graphicData>
                </a:graphic>
              </wp:inline>
            </w:drawing>
          </mc:Choice>
          <mc:Fallback>
            <w:pict>
              <v:group id="shape_0" alt="Zeichenbereich 177" style="position:absolute;margin-left:0pt;margin-top:0pt;width:483.1pt;height:494.85pt" coordorigin="0,0" coordsize="9662,9897">
                <v:rect id="shape_0" stroked="f" o:allowincell="f" style="position:absolute;left:0;top:0;width:9661;height:9896;mso-wrap-style:none;v-text-anchor:middle;mso-position-horizontal-relative:char">
                  <v:fill o:detectmouseclick="t" on="false"/>
                  <v:stroke color="#3465a4" joinstyle="round" endcap="flat"/>
                  <w10:wrap type="none"/>
                </v:rect>
                <v:shape id="shape_0" fillcolor="white" stroked="f" o:allowincell="f" style="position:absolute;left:5464;top:1118;width:2576;height:346;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Input file (e.g. IMSI)</w:t>
                        </w:r>
                      </w:p>
                    </w:txbxContent>
                  </v:textbox>
                  <v:fill o:detectmouseclick="t" type="solid" color2="black"/>
                  <v:stroke color="#3465a4" joinstyle="round" endcap="flat"/>
                  <w10:wrap type="none"/>
                </v:shape>
                <v:shape id="shape_0" fillcolor="white" stroked="f" o:allowincell="f" style="position:absolute;left:4859;top:2490;width:4612;height:346;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3. Output file (IMSI, new set of parameters, OTA payload)</w:t>
                        </w:r>
                      </w:p>
                    </w:txbxContent>
                  </v:textbox>
                  <v:fill o:detectmouseclick="t" type="solid" color2="black"/>
                  <v:stroke color="#3465a4" joinstyle="round" endcap="flat"/>
                  <w10:wrap type="none"/>
                </v:shape>
                <v:shape id="shape_0" fillcolor="white" stroked="f" o:allowincell="f" style="position:absolute;left:1284;top:3654;width:3263;height:346;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 xml:space="preserve">5. OTA msg </w:t>
                        </w:r>
                      </w:p>
                    </w:txbxContent>
                  </v:textbox>
                  <v:fill o:detectmouseclick="t" type="solid" color2="black"/>
                  <v:stroke color="#3465a4" joinstyle="round" endcap="flat"/>
                  <w10:wrap type="none"/>
                </v:shape>
                <v:shape id="shape_0" fillcolor="white" stroked="t" o:allowincell="f" style="position:absolute;left:345;top:302;width:1421;height:500;mso-wrap-style:square;v-text-anchor:top;mso-position-horizontal-relative:char" type="_x0000_t202">
                  <v:textbox>
                    <w:txbxContent>
                      <w:p>
                        <w:pPr>
                          <w:overflowPunct w:val="false"/>
                          <w:autoSpaceDE w:val="false"/>
                          <w:bidi w:val="0"/>
                          <w:spacing w:before="0" w:after="180"/>
                          <w:ind w:firstLine="284"/>
                          <w:rPr/>
                        </w:pPr>
                        <w:r>
                          <w:rPr>
                            <w:kern w:val="2"/>
                            <w:sz w:val="18"/>
                            <w:szCs w:val="20"/>
                            <w:rFonts w:ascii="Times New Roman" w:hAnsi="Times New Roman" w:eastAsia="Times New Roman" w:cs="Times New Roman"/>
                            <w:color w:val="auto"/>
                            <w:lang w:val="nl-NL" w:bidi="ar-SA"/>
                          </w:rPr>
                          <w:t>UE</w:t>
                        </w:r>
                      </w:p>
                    </w:txbxContent>
                  </v:textbox>
                  <v:fill o:detectmouseclick="t" type="solid" color2="black"/>
                  <v:stroke color="black" weight="9360" joinstyle="miter" endcap="flat"/>
                  <w10:wrap type="none"/>
                </v:shape>
                <v:shape id="shape_0" fillcolor="white" stroked="t" o:allowincell="f" style="position:absolute;left:3017;top:302;width:3084;height:572;mso-wrap-style:square;v-text-anchor:top;mso-position-horizontal-relative:char" type="_x0000_t202">
                  <v:textbox>
                    <w:txbxContent>
                      <w:p>
                        <w:pPr>
                          <w:overflowPunct w:val="false"/>
                          <w:autoSpaceDE w:val="false"/>
                          <w:bidi w:val="0"/>
                          <w:spacing w:before="0" w:after="180"/>
                          <w:jc w:val="center"/>
                          <w:rPr/>
                        </w:pPr>
                        <w:r>
                          <w:rPr>
                            <w:kern w:val="2"/>
                            <w:sz w:val="18"/>
                            <w:szCs w:val="20"/>
                            <w:rFonts w:ascii="Times New Roman" w:hAnsi="Times New Roman" w:eastAsia="Times New Roman" w:cs="Times New Roman"/>
                            <w:color w:val="auto"/>
                            <w:lang w:val="nl-NL" w:bidi="ar-SA"/>
                          </w:rPr>
                          <w:t xml:space="preserve">Home Network </w:t>
                        </w:r>
                      </w:p>
                    </w:txbxContent>
                  </v:textbox>
                  <v:fill o:detectmouseclick="t" type="solid" color2="black"/>
                  <v:stroke color="black" weight="9360" joinstyle="miter" endcap="flat"/>
                  <w10:wrap type="none"/>
                </v:shape>
                <v:shapetype id="_x0000_t32" coordsize="21600,21600" o:spt="32" path="m,l21600,21600nfe">
                  <v:stroke joinstyle="miter"/>
                  <v:path gradientshapeok="t" o:connecttype="rect" textboxrect="0,0,21600,21600"/>
                </v:shapetype>
                <v:shape id="shape_0" ID="AutoShape 183" stroked="t" o:allowincell="f" style="position:absolute;left:956;top:803;width:4;height:9004;mso-position-horizontal-relative:char" type="_x0000_t32">
                  <v:stroke color="black" weight="9360" joinstyle="miter" endcap="flat"/>
                  <v:fill o:detectmouseclick="t" on="false"/>
                  <w10:wrap type="none"/>
                </v:shape>
                <v:shape id="shape_0" ID="AutoShape 187" stroked="t" o:allowincell="f" style="position:absolute;left:4646;top:2898;width:3636;height:1;mso-position-horizontal-relative:char" type="_x0000_t32">
                  <v:stroke color="black" weight="9360" startarrow="block" startarrowwidth="medium" startarrowlength="medium" joinstyle="miter" endcap="flat"/>
                  <v:fill o:detectmouseclick="t" on="false"/>
                  <w10:wrap type="none"/>
                </v:shape>
                <v:shape id="shape_0" ID="AutoShape 188" stroked="t" o:allowincell="f" style="position:absolute;left:935;top:4087;width:3627;height:2;mso-position-horizontal-relative:char" type="_x0000_t32">
                  <v:stroke color="black" weight="9360" startarrow="block" startarrowwidth="medium" startarrowlength="medium" joinstyle="miter" endcap="flat"/>
                  <v:fill o:detectmouseclick="t" on="false"/>
                  <w10:wrap type="none"/>
                </v:shape>
                <v:shape id="shape_0" ID="AutoShape 189" stroked="t" o:allowincell="f" style="position:absolute;left:958;top:5478;width:3664;height:1;flip:x;mso-position-horizontal-relative:char" type="_x0000_t32">
                  <v:stroke color="black" weight="9360" startarrow="block" startarrowwidth="medium" startarrowlength="medium" joinstyle="miter" endcap="flat"/>
                  <v:fill o:detectmouseclick="t" on="false"/>
                  <w10:wrap type="none"/>
                </v:shape>
                <v:shape id="shape_0" fillcolor="white" stroked="f" o:allowincell="f" style="position:absolute;left:2430;top:7334;width:2292;height:346;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10. Authentication Request</w:t>
                        </w:r>
                      </w:p>
                    </w:txbxContent>
                  </v:textbox>
                  <v:fill o:detectmouseclick="t" type="solid" color2="black"/>
                  <v:stroke color="#3465a4" joinstyle="round" endcap="flat"/>
                  <w10:wrap type="none"/>
                </v:shape>
                <v:shape id="shape_0" ID="AutoShape 193" stroked="t" o:allowincell="f" style="position:absolute;left:956;top:9041;width:1868;height:2;flip:x;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7521;top:231;width:1552;height:623;mso-wrap-style:square;v-text-anchor:top;mso-position-horizontal-relative:char" type="_x0000_t202">
                  <v:textbox>
                    <w:txbxContent>
                      <w:p>
                        <w:pPr>
                          <w:overflowPunct w:val="false"/>
                          <w:autoSpaceDE w:val="false"/>
                          <w:bidi w:val="0"/>
                          <w:spacing w:before="0" w:after="180"/>
                          <w:jc w:val="center"/>
                          <w:rPr/>
                        </w:pPr>
                        <w:r>
                          <w:rPr>
                            <w:kern w:val="2"/>
                            <w:sz w:val="18"/>
                            <w:szCs w:val="20"/>
                            <w:rFonts w:ascii="Times New Roman" w:hAnsi="Times New Roman" w:eastAsia="Times New Roman" w:cs="Times New Roman"/>
                            <w:color w:val="auto"/>
                            <w:lang w:val="nl-NL" w:bidi="ar-SA"/>
                          </w:rPr>
                          <w:t>Personalisation Centre</w:t>
                        </w:r>
                      </w:p>
                    </w:txbxContent>
                  </v:textbox>
                  <v:fill o:detectmouseclick="t" type="solid" color2="black"/>
                  <v:stroke color="black" weight="9360" joinstyle="miter" endcap="flat"/>
                  <w10:wrap type="none"/>
                </v:shape>
                <v:shape id="shape_0" ID="AutoShape 196" stroked="t" o:allowincell="f" style="position:absolute;left:4561;top:875;width:65;height:8932;mso-position-horizontal-relative:char" type="_x0000_t32">
                  <v:stroke color="black" weight="9360" joinstyle="miter" endcap="flat"/>
                  <v:fill o:detectmouseclick="t" on="false"/>
                  <w10:wrap type="none"/>
                </v:shape>
                <v:shape id="shape_0" fillcolor="white" stroked="t" o:allowincell="f" style="position:absolute;left:3499;top:3003;width:1964;height:770;mso-wrap-style:square;v-text-anchor:top;mso-position-horizontal-relative:char" type="_x0000_t202">
                  <v:textbox>
                    <w:txbxContent>
                      <w:p>
                        <w:pPr>
                          <w:overflowPunct w:val="false"/>
                          <w:autoSpaceDE w:val="false"/>
                          <w:bidi w:val="0"/>
                          <w:spacing w:before="0" w:after="0"/>
                          <w:rPr/>
                        </w:pPr>
                        <w:r>
                          <w:rPr>
                            <w:kern w:val="2"/>
                            <w:sz w:val="18"/>
                            <w:szCs w:val="20"/>
                            <w:rFonts w:ascii="Times New Roman" w:hAnsi="Times New Roman" w:eastAsia="Times New Roman" w:cs="Times New Roman"/>
                            <w:color w:val="auto"/>
                            <w:lang w:val="en-US" w:bidi="ar-SA"/>
                          </w:rPr>
                          <w:t>4. OTA campaign to activate replacement mechanism</w:t>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ID="AutoShape 203" stroked="t" o:allowincell="f" style="position:absolute;left:8280;top:855;width:17;height:8953;flip:x;mso-position-horizontal-relative:char" type="_x0000_t32">
                  <v:stroke color="black" weight="9360" joinstyle="miter" endcap="flat"/>
                  <v:fill o:detectmouseclick="t" on="false"/>
                  <w10:wrap type="none"/>
                </v:shape>
                <v:shape id="shape_0" ID="AutoShape 193" stroked="t" o:allowincell="f" style="position:absolute;left:4546;top:1465;width:3720;height:2;flip:x;mso-position-horizontal-relative:char" type="_x0000_t32">
                  <v:stroke color="black" weight="9360" startarrow="block" startarrowwidth="medium" startarrowlength="medium" joinstyle="miter" endcap="flat"/>
                  <v:fill o:detectmouseclick="t" on="false"/>
                  <w10:wrap type="none"/>
                </v:shape>
                <v:shape id="shape_0" fillcolor="white" stroked="f" o:allowincell="f" style="position:absolute;left:1596;top:5055;width:2025;height:346;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7. Optional OTA PoR</w:t>
                        </w:r>
                      </w:p>
                    </w:txbxContent>
                  </v:textbox>
                  <v:fill o:detectmouseclick="t" type="solid" color2="black"/>
                  <v:stroke color="#3465a4" joinstyle="round" endcap="flat"/>
                  <w10:wrap type="none"/>
                </v:shape>
                <v:shape id="shape_0" fillcolor="white" stroked="t" o:allowincell="f" style="position:absolute;left:173;top:4346;width:2198;height:708;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6. Activation of replacement mechanism</w:t>
                        </w:r>
                      </w:p>
                    </w:txbxContent>
                  </v:textbox>
                  <v:fill o:detectmouseclick="t" type="solid" color2="black"/>
                  <v:stroke color="black" weight="9360" joinstyle="miter" endcap="flat"/>
                  <w10:wrap type="none"/>
                </v:shape>
                <v:shape id="shape_0" fillcolor="white" stroked="t" o:allowincell="f" style="position:absolute;left:3622;top:5755;width:2063;height:1423;mso-wrap-style:square;v-text-anchor:top;mso-position-horizontal-relative:char" type="_x0000_t202">
                  <v:textbox>
                    <w:txbxContent>
                      <w:p>
                        <w:pPr>
                          <w:overflowPunct w:val="false"/>
                          <w:autoSpaceDE w:val="false"/>
                          <w:bidi w:val="0"/>
                          <w:spacing w:before="0" w:after="0"/>
                          <w:rPr/>
                        </w:pPr>
                        <w:r>
                          <w:rPr>
                            <w:kern w:val="2"/>
                            <w:sz w:val="18"/>
                            <w:szCs w:val="20"/>
                            <w:rFonts w:ascii="Times New Roman" w:hAnsi="Times New Roman" w:eastAsia="Times New Roman" w:cs="Times New Roman"/>
                            <w:color w:val="auto"/>
                            <w:lang w:val="en-US" w:bidi="ar-SA"/>
                          </w:rPr>
                          <w:t>8. Provisioning of the set of parameters in the HLR/AuC</w:t>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kern w:val="2"/>
                            <w:sz w:val="18"/>
                            <w:szCs w:val="20"/>
                            <w:rFonts w:ascii="Times New Roman" w:hAnsi="Times New Roman" w:eastAsia="Times New Roman" w:cs="Times New Roman"/>
                            <w:color w:val="auto"/>
                            <w:lang w:val="en-US" w:bidi="ar-SA"/>
                          </w:rPr>
                          <w:t>9. Issuance of new Authentication Vector</w:t>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p>
                        <w:pPr>
                          <w:overflowPunct w:val="false"/>
                          <w:autoSpaceDE w:val="false"/>
                          <w:bidi w:val="0"/>
                          <w:spacing w:before="0" w:after="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ID="AutoShape 188" stroked="t" o:allowincell="f" style="position:absolute;left:2418;top:7753;width:2131;height:2;mso-position-horizontal-relative:char" type="_x0000_t32">
                  <v:stroke color="black" weight="9360" startarrow="block" startarrowwidth="medium" startarrowlength="medium" joinstyle="miter" endcap="flat"/>
                  <v:fill o:detectmouseclick="t" on="false"/>
                  <w10:wrap type="none"/>
                </v:shape>
                <v:shape id="shape_0" fillcolor="white" stroked="t" o:allowincell="f" style="position:absolute;left:218;top:7863;width:2198;height:673;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11. Authentication procedure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type="solid" color2="black"/>
                  <v:stroke color="black" weight="9360" joinstyle="miter" endcap="flat"/>
                  <w10:wrap type="none"/>
                </v:shape>
                <v:shape id="shape_0" fillcolor="white" stroked="f" o:allowincell="f" style="position:absolute;left:1031;top:8634;width:2779;height:346;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12. Authentication Response</w:t>
                        </w:r>
                      </w:p>
                    </w:txbxContent>
                  </v:textbox>
                  <v:fill o:detectmouseclick="t" type="solid" color2="black"/>
                  <v:stroke color="#3465a4" joinstyle="round" endcap="flat"/>
                  <w10:wrap type="none"/>
                </v:shape>
                <v:shape id="shape_0" fillcolor="white" stroked="t" o:allowincell="f" style="position:absolute;left:7136;top:1653;width:2409;height:635;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 xml:space="preserve">2. Preparation of the output file </w:t>
                        </w:r>
                      </w:p>
                    </w:txbxContent>
                  </v:textbox>
                  <v:fill o:detectmouseclick="t" type="solid" color2="black"/>
                  <v:stroke color="black" weight="9360" joinstyle="miter" endcap="flat"/>
                  <w10:wrap type="none"/>
                </v:shape>
                <v:shape id="shape_0" fillcolor="white" stroked="t" o:allowincell="f" style="position:absolute;left:3420;top:9171;width:2409;height:635;mso-wrap-style:square;v-text-anchor:top;mso-position-horizontal-relative:char" type="_x0000_t202">
                  <v:textbox>
                    <w:txbxContent>
                      <w:p>
                        <w:pPr>
                          <w:overflowPunct w:val="false"/>
                          <w:autoSpaceDE w:val="false"/>
                          <w:bidi w:val="0"/>
                          <w:spacing w:before="0" w:after="180"/>
                          <w:rPr/>
                        </w:pPr>
                        <w:r>
                          <w:rPr>
                            <w:kern w:val="2"/>
                            <w:sz w:val="18"/>
                            <w:szCs w:val="20"/>
                            <w:rFonts w:ascii="Times New Roman" w:hAnsi="Times New Roman" w:eastAsia="Times New Roman" w:cs="Times New Roman"/>
                            <w:color w:val="auto"/>
                            <w:lang w:val="en-US" w:bidi="ar-SA"/>
                          </w:rPr>
                          <w:t>13. Check the status of the key replacement procedure</w:t>
                        </w:r>
                      </w:p>
                    </w:txbxContent>
                  </v:textbox>
                  <v:fill o:detectmouseclick="t" type="solid" color2="black"/>
                  <v:stroke color="black" weight="9360" joinstyle="miter" endcap="flat"/>
                  <w10:wrap type="none"/>
                </v:shape>
                <v:shape id="shape_0" ID="AutoShape 188" stroked="t" o:allowincell="f" style="position:absolute;left:959;top:7752;width:1471;height:1;mso-position-horizontal-relative:char" type="_x0000_t32">
                  <v:stroke color="black" weight="9360" dashstyle="dash" joinstyle="miter" endcap="flat"/>
                  <v:fill o:detectmouseclick="t" on="false"/>
                  <w10:wrap type="none"/>
                </v:shape>
                <v:shape id="shape_0" ID="AutoShape 188" stroked="t" o:allowincell="f" style="position:absolute;left:2825;top:9042;width:1736;height:2;mso-position-horizontal-relative:char" type="_x0000_t32">
                  <v:stroke color="black" weight="9360" dashstyle="dash" joinstyle="miter" endcap="flat"/>
                  <v:fill o:detectmouseclick="t" on="false"/>
                  <w10:wrap type="none"/>
                </v:shape>
              </v:group>
            </w:pict>
          </mc:Fallback>
        </mc:AlternateContent>
      </w:r>
    </w:p>
    <w:p>
      <w:pPr>
        <w:pStyle w:val="TF1"/>
        <w:rPr/>
      </w:pPr>
      <w:r>
        <w:rPr/>
        <w:t>Figure 4.3.2.2-1: Key replacement procedure</w:t>
      </w:r>
    </w:p>
    <w:p>
      <w:pPr>
        <w:pStyle w:val="Normal"/>
        <w:rPr/>
      </w:pPr>
      <w:r>
        <w:rPr/>
        <w:t>The procedure to replace the long term key K works as follows:</w:t>
      </w:r>
    </w:p>
    <w:p>
      <w:pPr>
        <w:pStyle w:val="B1"/>
        <w:rPr/>
      </w:pPr>
      <w:r>
        <w:rPr/>
        <w:t>1)</w:t>
        <w:tab/>
        <w:t>When the network operator decides to update the long term key K of a given USIM within a UICC, the network operator sends an input file requesting the personalisation centre to deliver an output file containing a new set of parameters for a given USIM/UICC. The input file contains at least an identifier enabling the personalisation centre to retrieve new set of parameters (e.g. IMSI or ICCID).</w:t>
      </w:r>
    </w:p>
    <w:p>
      <w:pPr>
        <w:pStyle w:val="B1"/>
        <w:rPr/>
      </w:pPr>
      <w:r>
        <w:rPr/>
        <w:t>2.</w:t>
        <w:tab/>
        <w:t xml:space="preserve">The personalisation centre generates a new output file. This new output file contains the IMSI, a new set of parameters for this USIM (K and eventually OPc or TOPC), and the OTA payload that the network operator will have to send to the USIM. The OTA payload contains the request to activate the replacement mechanism, and an index identifying the corresponding set of parameters provisioned in the USIM. </w:t>
      </w:r>
    </w:p>
    <w:p>
      <w:pPr>
        <w:pStyle w:val="B1"/>
        <w:ind w:left="568" w:hanging="0"/>
        <w:rPr/>
      </w:pPr>
      <w:r>
        <w:rPr/>
        <w:t xml:space="preserve">Optionally, in case that the "replacement mechanism protection" key was generated and stored in the personalisation centre, the personalisation centre protects the OTA payload in integrity.  </w:t>
      </w:r>
    </w:p>
    <w:p>
      <w:pPr>
        <w:pStyle w:val="B1"/>
        <w:rPr/>
      </w:pPr>
      <w:r>
        <w:rPr/>
        <w:t>3.</w:t>
        <w:tab/>
        <w:t>The personalisation centre sends securely the output file to the network operator.</w:t>
      </w:r>
    </w:p>
    <w:p>
      <w:pPr>
        <w:pStyle w:val="B1"/>
        <w:rPr/>
      </w:pPr>
      <w:r>
        <w:rPr/>
        <w:t>4.</w:t>
        <w:tab/>
        <w:t xml:space="preserve">At reception of the output file, the network operator launches an OTA campaign targeting the corresponding USIM/UICC. The OTA campaign does not intend to immediately update the parameters in the USIM; the OTA campaign only activates the replacement mechanism for the targeted USIM. </w:t>
      </w:r>
    </w:p>
    <w:p>
      <w:pPr>
        <w:pStyle w:val="B1"/>
        <w:rPr/>
      </w:pPr>
      <w:r>
        <w:rPr/>
        <w:t>5.</w:t>
        <w:tab/>
        <w:t>The network operator sends to the USIM/UICC the OTA command activating the replacement mechanism in the USIM and providing the index of the new set of parameters.</w:t>
      </w:r>
    </w:p>
    <w:p>
      <w:pPr>
        <w:pStyle w:val="B1"/>
        <w:rPr/>
      </w:pPr>
      <w:r>
        <w:rPr/>
        <w:t>6.</w:t>
        <w:tab/>
        <w:t xml:space="preserve">The USIM/UICC in the UE receives the OTA command activating the replacement mechanism. </w:t>
      </w:r>
    </w:p>
    <w:p>
      <w:pPr>
        <w:pStyle w:val="B1"/>
        <w:ind w:left="568" w:hanging="0"/>
        <w:rPr/>
      </w:pPr>
      <w:r>
        <w:rPr/>
        <w:t xml:space="preserve">If the USIM is provisioned with the "replacement mechanism protection" key, then the USIM verifies the protection in integrity of the OTA payload. The replacement mechanism remains inactive if the if the OTA payload verification is unsuccessful. </w:t>
      </w:r>
    </w:p>
    <w:p>
      <w:pPr>
        <w:pStyle w:val="B1"/>
        <w:ind w:left="568" w:hanging="0"/>
        <w:rPr/>
      </w:pPr>
      <w:r>
        <w:rPr/>
        <w:t xml:space="preserve">If the OTA playload is not protected in integrity or if the OTA payload verification is successful, then the USIM activates the replacement mechanism and stores the index of the corresponding set of parameters. </w:t>
      </w:r>
    </w:p>
    <w:p>
      <w:pPr>
        <w:pStyle w:val="B1"/>
        <w:ind w:left="568" w:hanging="0"/>
        <w:rPr/>
      </w:pPr>
      <w:r>
        <w:rPr/>
        <w:t xml:space="preserve">Once the replacement mechanism is active, the USIM is ready to proceed the change of parameters set, but waits for an event to do so. The change of key is not yet done. </w:t>
      </w:r>
    </w:p>
    <w:p>
      <w:pPr>
        <w:pStyle w:val="B1"/>
        <w:rPr/>
      </w:pPr>
      <w:r>
        <w:rPr/>
        <w:t>7.</w:t>
        <w:tab/>
        <w:t xml:space="preserve">The USIM sends OTA Proof of Receipt to the network operator, if requested by the operator in step 4.  </w:t>
      </w:r>
    </w:p>
    <w:p>
      <w:pPr>
        <w:pStyle w:val="B1"/>
        <w:rPr/>
      </w:pPr>
      <w:r>
        <w:rPr/>
        <w:t>8.</w:t>
        <w:tab/>
        <w:t xml:space="preserve">The network operator provisions the received set of parameters (K and eventually OPc or TOPC) in the backend using usual mechanism. Only one single set of parameters (K and eventually OPc or TOPc) is active at a time in the network operator for a given USIM. </w:t>
      </w:r>
    </w:p>
    <w:p>
      <w:pPr>
        <w:pStyle w:val="B1"/>
        <w:rPr/>
      </w:pPr>
      <w:r>
        <w:rPr/>
        <w:t>9.</w:t>
        <w:tab/>
        <w:t xml:space="preserve">The network operator issues an authentication vector with the new set of parameters. </w:t>
      </w:r>
    </w:p>
    <w:p>
      <w:pPr>
        <w:pStyle w:val="NO"/>
        <w:rPr/>
      </w:pPr>
      <w:r>
        <w:rPr/>
        <w:t>NOTE:</w:t>
        <w:tab/>
        <w:t>Since the USIM has not yet replaced the set of parameters, the USIM will detect an authentication failure during the processing of AUTHENTICATE command with this authentication vector. The authentication failure aims to trigger the replacement mechanism in the USIM/UICC.</w:t>
      </w:r>
    </w:p>
    <w:p>
      <w:pPr>
        <w:pStyle w:val="B1"/>
        <w:rPr/>
      </w:pPr>
      <w:r>
        <w:rPr/>
        <w:t>10.</w:t>
        <w:tab/>
        <w:t xml:space="preserve">The network operator sends an authentication procedure request. </w:t>
      </w:r>
    </w:p>
    <w:p>
      <w:pPr>
        <w:pStyle w:val="B1"/>
        <w:rPr/>
      </w:pPr>
      <w:r>
        <w:rPr/>
        <w:t>11.</w:t>
        <w:tab/>
        <w:t xml:space="preserve">The USIM receives an AUTHENTICATE command and performs the authentication procedure. If the USIM detects an authentication failure due to wrong key K and if the replacement mechanism has been activated in the USIM, then the USIM tries to perform the MAC verification of the AUTHENTICATE command with the new set of parameters (K/OPc or K/TOPc) provisioned identified by the index received in step 6. </w:t>
      </w:r>
    </w:p>
    <w:p>
      <w:pPr>
        <w:pStyle w:val="B1"/>
        <w:rPr/>
      </w:pPr>
      <w:r>
        <w:rPr/>
        <w:tab/>
        <w:t>If the MAC verification with the new set of parameters is successful, then:</w:t>
      </w:r>
    </w:p>
    <w:p>
      <w:pPr>
        <w:pStyle w:val="B2"/>
        <w:rPr/>
      </w:pPr>
      <w:r>
        <w:rPr/>
        <w:t>-</w:t>
        <w:tab/>
        <w:t xml:space="preserve">the new set of parameters becomes active and the previous set of parameters may be deleted, </w:t>
      </w:r>
    </w:p>
    <w:p>
      <w:pPr>
        <w:pStyle w:val="B2"/>
        <w:rPr/>
      </w:pPr>
      <w:r>
        <w:rPr/>
        <w:t>-</w:t>
        <w:tab/>
        <w:t>the USIM continues the authentication procedure with the new set of parameters, and</w:t>
      </w:r>
    </w:p>
    <w:p>
      <w:pPr>
        <w:pStyle w:val="B2"/>
        <w:rPr/>
      </w:pPr>
      <w:r>
        <w:rPr/>
        <w:t>-</w:t>
        <w:tab/>
        <w:t xml:space="preserve">the USIM deactivates the replacement mechanism. </w:t>
      </w:r>
    </w:p>
    <w:p>
      <w:pPr>
        <w:pStyle w:val="B1"/>
        <w:rPr/>
      </w:pPr>
      <w:r>
        <w:rPr/>
        <w:tab/>
        <w:t xml:space="preserve">Otherwise: </w:t>
      </w:r>
    </w:p>
    <w:p>
      <w:pPr>
        <w:pStyle w:val="B2"/>
        <w:rPr/>
      </w:pPr>
      <w:r>
        <w:rPr/>
        <w:t>-</w:t>
        <w:tab/>
        <w:t>the USIM increments a retry counter associated to the replacement mechanism,</w:t>
      </w:r>
    </w:p>
    <w:p>
      <w:pPr>
        <w:pStyle w:val="B2"/>
        <w:rPr/>
      </w:pPr>
      <w:r>
        <w:rPr/>
        <w:t>-</w:t>
        <w:tab/>
        <w:t>the USIM deactivates the replacement mechanism if the retry counter has reached its maximum value, and</w:t>
      </w:r>
    </w:p>
    <w:p>
      <w:pPr>
        <w:pStyle w:val="B2"/>
        <w:rPr/>
      </w:pPr>
      <w:r>
        <w:rPr/>
        <w:t>-</w:t>
        <w:tab/>
        <w:t>the USIM abandons the authentication procedure with MAC failure error.</w:t>
      </w:r>
    </w:p>
    <w:p>
      <w:pPr>
        <w:pStyle w:val="B1"/>
        <w:rPr/>
      </w:pPr>
      <w:r>
        <w:rPr/>
        <w:t>12.</w:t>
        <w:tab/>
        <w:t xml:space="preserve">The UE sends the results of the authentication procedure. </w:t>
      </w:r>
    </w:p>
    <w:p>
      <w:pPr>
        <w:pStyle w:val="B1"/>
        <w:rPr/>
      </w:pPr>
      <w:r>
        <w:rPr/>
        <w:t>13.</w:t>
        <w:tab/>
        <w:t>The network operator knows the status of the key replacement procedure thanks to the results of the authentication procedure sent by the USIM. If the result of the authentication procedure sent by the USIM indicates a MAC failure, then the network operator knows that the replacement mechanism failed.</w:t>
      </w:r>
    </w:p>
    <w:p>
      <w:pPr>
        <w:pStyle w:val="Normal"/>
        <w:rPr/>
      </w:pPr>
      <w:r>
        <w:rPr/>
        <w:t xml:space="preserve">If the replacement mechanism failed, the network operator can decide to perform a new replacement procedure starting from step 9, or to perform a full procedure starting from step 1, or to restore the existing set of parameters active in the USIM. </w:t>
      </w:r>
    </w:p>
    <w:p>
      <w:pPr>
        <w:pStyle w:val="Heading9"/>
        <w:rPr/>
      </w:pPr>
      <w:bookmarkStart w:id="29" w:name="__RefHeading___Toc42507758"/>
      <w:bookmarkStart w:id="30" w:name="historyclause"/>
      <w:bookmarkEnd w:id="29"/>
      <w:bookmarkEnd w:id="30"/>
      <w:r>
        <w:rPr/>
        <w:t>Annex A:</w:t>
        <w:br/>
        <w:t>Change history</w:t>
      </w:r>
      <w:bookmarkStart w:id="31" w:name="OLE_LINK7"/>
      <w:bookmarkStart w:id="32" w:name="OLE_LINK6"/>
      <w:bookmarkStart w:id="33" w:name="OLE_LINK22"/>
      <w:bookmarkStart w:id="34" w:name="OLE_LINK21"/>
      <w:bookmarkStart w:id="35" w:name="OLE_LINK20"/>
      <w:bookmarkEnd w:id="31"/>
      <w:bookmarkEnd w:id="32"/>
    </w:p>
    <w:tbl>
      <w:tblPr>
        <w:tblW w:w="9639" w:type="dxa"/>
        <w:jc w:val="left"/>
        <w:tblInd w:w="-7" w:type="dxa"/>
        <w:tblLayout w:type="fixed"/>
        <w:tblCellMar>
          <w:top w:w="0" w:type="dxa"/>
          <w:left w:w="40" w:type="dxa"/>
          <w:bottom w:w="0" w:type="dxa"/>
          <w:right w:w="40" w:type="dxa"/>
        </w:tblCellMar>
      </w:tblPr>
      <w:tblGrid>
        <w:gridCol w:w="800"/>
        <w:gridCol w:w="901"/>
        <w:gridCol w:w="993"/>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9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2019-03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SA3#94AH</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S3-190956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First Draft includes: S3-191024, S3-190953, S3-190954 and S3-190955.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2019-11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SA3#97</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rPr>
              <w:t>S3</w:t>
            </w:r>
            <w:r>
              <w:rPr>
                <w:rFonts w:cs="Cambria Math" w:ascii="Cambria Math" w:hAnsi="Cambria Math"/>
                <w:sz w:val="16"/>
                <w:szCs w:val="16"/>
              </w:rPr>
              <w:noBreakHyphen/>
            </w:r>
            <w:r>
              <w:rPr>
                <w:sz w:val="16"/>
                <w:szCs w:val="16"/>
              </w:rPr>
              <w:t>194634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Updated with S3-193988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SA3#99e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S3-201451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Added S3-201311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0.3.0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2020-06</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SP-200378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Edithelp review</w:t>
            </w:r>
          </w:p>
          <w:p>
            <w:pPr>
              <w:pStyle w:val="TAL"/>
              <w:rPr>
                <w:sz w:val="16"/>
                <w:szCs w:val="16"/>
              </w:rPr>
            </w:pPr>
            <w:r>
              <w:rPr>
                <w:sz w:val="16"/>
                <w:szCs w:val="16"/>
              </w:rPr>
              <w:t>Presented for information and approval</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993"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jc w:val="center"/>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Upgrade to change control version</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widowControl/>
        <w:overflowPunct w:val="false"/>
        <w:autoSpaceDE w:val="false"/>
        <w:bidi w:val="0"/>
        <w:spacing w:before="0" w:after="180"/>
        <w:textAlignment w:val="baseline"/>
        <w:rPr/>
      </w:pPr>
      <w:r>
        <w:rPr/>
      </w:r>
      <w:bookmarkStart w:id="36" w:name="historyclause"/>
      <w:bookmarkStart w:id="37" w:name="historyclause"/>
      <w:bookmarkEnd w:id="37"/>
      <w:bookmarkEnd w:id="33"/>
      <w:bookmarkEnd w:id="34"/>
      <w:bookmarkEnd w:id="35"/>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Segoe UI">
    <w:charset w:val="00"/>
    <w:family w:val="swiss"/>
    <w:pitch w:val="variable"/>
  </w:font>
  <w:font w:name="Liberation Sans">
    <w:altName w:val="Arial"/>
    <w:charset w:val="01"/>
    <w:family w:val="swiss"/>
    <w:pitch w:val="variable"/>
  </w:font>
  <w:font w:name="Tahoma">
    <w:charset w:val="00"/>
    <w:family w:val="swiss"/>
    <w:pitch w:val="variable"/>
  </w:font>
  <w:font w:name="Cambria Math">
    <w:charset w:val="00"/>
    <w:family w:val="roman"/>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US" w:eastAsia="en-US"/>
      </w:rPr>
    </w:pPr>
    <w:r>
      <w:rPr>
        <w:lang w:val="en-US" w:eastAsia="en-US"/>
      </w:rPr>
    </w:r>
    <w:r>
      <mc:AlternateContent>
        <mc:Choice Requires="wps">
          <w:drawing>
            <wp:anchor behindDoc="1" distT="0" distB="0" distL="114935" distR="114935" simplePos="0" locked="0" layoutInCell="0" allowOverlap="1" relativeHeight="54">
              <wp:simplePos x="0" y="0"/>
              <wp:positionH relativeFrom="page">
                <wp:posOffset>0</wp:posOffset>
              </wp:positionH>
              <wp:positionV relativeFrom="page">
                <wp:posOffset>10229215</wp:posOffset>
              </wp:positionV>
              <wp:extent cx="7560310" cy="273685"/>
              <wp:effectExtent l="0" t="0" r="0" b="0"/>
              <wp:wrapNone/>
              <wp:docPr id="1" name="Frame9"/>
              <a:graphic xmlns:a="http://schemas.openxmlformats.org/drawingml/2006/main">
                <a:graphicData uri="http://schemas.microsoft.com/office/word/2010/wordprocessingShape">
                  <wps:wsp>
                    <wps:cNvSpPr txBox="1"/>
                    <wps:spPr>
                      <a:xfrm>
                        <a:off x="0" y="0"/>
                        <a:ext cx="7560310" cy="273685"/>
                      </a:xfrm>
                      <a:prstGeom prst="rect"/>
                      <a:solidFill>
                        <a:srgbClr val="FFFFFF">
                          <a:alpha val="0"/>
                        </a:srgbClr>
                      </a:solidFill>
                    </wps:spPr>
                    <wps:txbx>
                      <w:txbxContent>
                        <w:p>
                          <w:pPr>
                            <w:pStyle w:val="Normal"/>
                            <w:spacing w:before="0" w:after="0"/>
                            <w:rPr>
                              <w:rFonts w:ascii="Calibri" w:hAnsi="Calibri" w:cs="Calibri"/>
                              <w:color w:val="000000"/>
                              <w:sz w:val="14"/>
                            </w:rPr>
                          </w:pPr>
                          <w:r>
                            <w:rPr>
                              <w:rFonts w:cs="Calibri" w:ascii="Calibri" w:hAnsi="Calibri"/>
                              <w:color w:val="000000"/>
                              <w:sz w:val="14"/>
                            </w:rPr>
                          </w:r>
                        </w:p>
                      </w:txbxContent>
                    </wps:txbx>
                    <wps:bodyPr anchor="t" lIns="254635" tIns="635" rIns="92075" bIns="635">
                      <a:noAutofit/>
                    </wps:bodyPr>
                  </wps:wsp>
                </a:graphicData>
              </a:graphic>
            </wp:anchor>
          </w:drawing>
        </mc:Choice>
        <mc:Fallback>
          <w:pict>
            <v:rect fillcolor="#FFFFFF" style="position:absolute;rotation:-0;width:595.3pt;height:21.55pt;mso-wrap-distance-left:9.05pt;mso-wrap-distance-right:9.05pt;mso-wrap-distance-top:0pt;mso-wrap-distance-bottom:0pt;margin-top:805.45pt;mso-position-vertical-relative:page;margin-left:0pt;mso-position-horizontal-relative:page">
              <v:fill opacity="0f"/>
              <v:textbox inset="0.278472222222222in,0.000694444444444444in,0.100694444444444in,0.000694444444444444in">
                <w:txbxContent>
                  <w:p>
                    <w:pPr>
                      <w:pStyle w:val="Normal"/>
                      <w:spacing w:before="0" w:after="0"/>
                      <w:rPr>
                        <w:rFonts w:ascii="Calibri" w:hAnsi="Calibri" w:cs="Calibri"/>
                        <w:color w:val="000000"/>
                        <w:sz w:val="14"/>
                      </w:rPr>
                    </w:pPr>
                    <w:r>
                      <w:rPr>
                        <w:rFonts w:cs="Calibri" w:ascii="Calibri" w:hAnsi="Calibri"/>
                        <w:color w:val="000000"/>
                        <w:sz w:val="14"/>
                      </w:rPr>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r>
      <mc:AlternateContent>
        <mc:Choice Requires="wps">
          <w:drawing>
            <wp:anchor behindDoc="1" distT="0" distB="0" distL="114935" distR="114935" simplePos="0" locked="0" layoutInCell="0" allowOverlap="1" relativeHeight="67">
              <wp:simplePos x="0" y="0"/>
              <wp:positionH relativeFrom="page">
                <wp:posOffset>0</wp:posOffset>
              </wp:positionH>
              <wp:positionV relativeFrom="page">
                <wp:posOffset>10229215</wp:posOffset>
              </wp:positionV>
              <wp:extent cx="7560310" cy="273685"/>
              <wp:effectExtent l="0" t="0" r="0" b="0"/>
              <wp:wrapNone/>
              <wp:docPr id="20" name="Frame10"/>
              <a:graphic xmlns:a="http://schemas.openxmlformats.org/drawingml/2006/main">
                <a:graphicData uri="http://schemas.microsoft.com/office/word/2010/wordprocessingShape">
                  <wps:wsp>
                    <wps:cNvSpPr txBox="1"/>
                    <wps:spPr>
                      <a:xfrm>
                        <a:off x="0" y="0"/>
                        <a:ext cx="7560310" cy="273685"/>
                      </a:xfrm>
                      <a:prstGeom prst="rect"/>
                      <a:solidFill>
                        <a:srgbClr val="FFFFFF">
                          <a:alpha val="0"/>
                        </a:srgbClr>
                      </a:solidFill>
                    </wps:spPr>
                    <wps:txbx>
                      <w:txbxContent>
                        <w:p>
                          <w:pPr>
                            <w:pStyle w:val="Normal"/>
                            <w:spacing w:before="0" w:after="0"/>
                            <w:rPr>
                              <w:rFonts w:ascii="Calibri" w:hAnsi="Calibri" w:cs="Calibri"/>
                              <w:color w:val="000000"/>
                              <w:sz w:val="14"/>
                            </w:rPr>
                          </w:pPr>
                          <w:r>
                            <w:rPr>
                              <w:rFonts w:cs="Calibri" w:ascii="Calibri" w:hAnsi="Calibri"/>
                              <w:color w:val="000000"/>
                              <w:sz w:val="14"/>
                            </w:rPr>
                          </w:r>
                        </w:p>
                      </w:txbxContent>
                    </wps:txbx>
                    <wps:bodyPr anchor="t" lIns="254635" tIns="635" rIns="92075" bIns="635">
                      <a:noAutofit/>
                    </wps:bodyPr>
                  </wps:wsp>
                </a:graphicData>
              </a:graphic>
            </wp:anchor>
          </w:drawing>
        </mc:Choice>
        <mc:Fallback>
          <w:pict>
            <v:rect fillcolor="#FFFFFF" style="position:absolute;rotation:-0;width:595.3pt;height:21.55pt;mso-wrap-distance-left:9.05pt;mso-wrap-distance-right:9.05pt;mso-wrap-distance-top:0pt;mso-wrap-distance-bottom:0pt;margin-top:805.45pt;mso-position-vertical-relative:page;margin-left:0pt;mso-position-horizontal-relative:page">
              <v:fill opacity="0f"/>
              <v:textbox inset="0.278472222222222in,0.000694444444444444in,0.100694444444444in,0.000694444444444444in">
                <w:txbxContent>
                  <w:p>
                    <w:pPr>
                      <w:pStyle w:val="Normal"/>
                      <w:spacing w:before="0" w:after="0"/>
                      <w:rPr>
                        <w:rFonts w:ascii="Calibri" w:hAnsi="Calibri" w:cs="Calibri"/>
                        <w:color w:val="000000"/>
                        <w:sz w:val="14"/>
                      </w:rPr>
                    </w:pPr>
                    <w:r>
                      <w:rPr>
                        <w:rFonts w:cs="Calibri" w:ascii="Calibri" w:hAnsi="Calibri"/>
                        <w:color w:val="000000"/>
                        <w:sz w:val="14"/>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7">
              <wp:simplePos x="0" y="0"/>
              <wp:positionH relativeFrom="margin">
                <wp:align>right</wp:align>
              </wp:positionH>
              <wp:positionV relativeFrom="paragraph">
                <wp:posOffset>635</wp:posOffset>
              </wp:positionV>
              <wp:extent cx="1824990"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33.935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33.935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center</wp:align>
              </wp:positionH>
              <wp:positionV relativeFrom="paragraph">
                <wp:posOffset>635</wp:posOffset>
              </wp:positionV>
              <wp:extent cx="127635"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3">
              <wp:simplePos x="0" y="0"/>
              <wp:positionH relativeFrom="margin">
                <wp:align>left</wp:align>
              </wp:positionH>
              <wp:positionV relativeFrom="paragraph">
                <wp:posOffset>635</wp:posOffset>
              </wp:positionV>
              <wp:extent cx="591820" cy="131445"/>
              <wp:effectExtent l="0" t="0" r="0" b="0"/>
              <wp:wrapSquare wrapText="largest"/>
              <wp:docPr id="19"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10z0">
    <w:name w:val="WW8Num10z0"/>
    <w:qFormat/>
    <w:rPr>
      <w:rFonts w:ascii="Symbol" w:hAnsi="Symbol" w:cs="Symbol"/>
      <w:color w:val="00000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style>
  <w:style w:type="character" w:styleId="WW8Num12z0">
    <w:name w:val="WW8Num12z0"/>
    <w:qFormat/>
    <w:rPr/>
  </w:style>
  <w:style w:type="character" w:styleId="WW8Num13z0">
    <w:name w:val="WW8Num13z0"/>
    <w:qFormat/>
    <w:rPr>
      <w:rFonts w:ascii="Calibri" w:hAnsi="Calibri"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BalloonTextChar">
    <w:name w:val="Balloon Text Char"/>
    <w:qFormat/>
    <w:rPr>
      <w:rFonts w:ascii="Segoe UI" w:hAnsi="Segoe UI" w:cs="Segoe UI"/>
      <w:sz w:val="18"/>
      <w:szCs w:val="18"/>
    </w:rPr>
  </w:style>
  <w:style w:type="character" w:styleId="CommentTextChar">
    <w:name w:val="Comment Text Char"/>
    <w:qFormat/>
    <w:rPr/>
  </w:style>
  <w:style w:type="character" w:styleId="CommentSubjectChar">
    <w:name w:val="Comment Subject Char"/>
    <w:qFormat/>
    <w:rPr>
      <w:b/>
      <w:bCs/>
    </w:rPr>
  </w:style>
  <w:style w:type="character" w:styleId="B1Car">
    <w:name w:val="B1+ Car"/>
    <w:qForma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B1Char">
    <w:name w:val="B1 Char"/>
    <w:qFormat/>
    <w:rPr/>
  </w:style>
  <w:style w:type="character" w:styleId="EditorsNoteChar">
    <w:name w:val="Editor's Note Char"/>
    <w:qFormat/>
    <w:rPr>
      <w:color w:val="FF0000"/>
    </w:rPr>
  </w:style>
  <w:style w:type="character" w:styleId="NOChar">
    <w:name w:val="NO Char"/>
    <w:qFormat/>
    <w:rPr/>
  </w:style>
  <w:style w:type="character" w:styleId="B1Char1">
    <w:name w:val="B1 Char1"/>
    <w:qFormat/>
    <w:rPr>
      <w:rFonts w:ascii="Times New Roman" w:hAnsi="Times New Roman" w:cs="Times New Roman"/>
      <w:lang w:val="en-GB"/>
    </w:rPr>
  </w:style>
  <w:style w:type="character" w:styleId="TF">
    <w:name w:val="TF (文字)"/>
    <w:qFormat/>
    <w:rPr>
      <w:rFonts w:ascii="Arial" w:hAnsi="Arial" w:cs="Arial"/>
      <w:b/>
    </w:rPr>
  </w:style>
  <w:style w:type="character" w:styleId="Heading4Char">
    <w:name w:val="Heading 4 Char"/>
    <w:qFormat/>
    <w:rPr>
      <w:rFonts w:ascii="Arial" w:hAnsi="Arial" w:cs="Arial"/>
      <w:sz w:val="24"/>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alloonText">
    <w:name w:val="Balloon Text"/>
    <w:basedOn w:val="Normal"/>
    <w:qFormat/>
    <w:pPr>
      <w:spacing w:before="0" w:after="0"/>
    </w:pPr>
    <w:rPr>
      <w:rFonts w:ascii="Segoe UI" w:hAnsi="Segoe UI" w:cs="Segoe UI"/>
      <w:sz w:val="18"/>
      <w:szCs w:val="18"/>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11">
    <w:name w:val="B1+"/>
    <w:basedOn w:val="B1"/>
    <w:qFormat/>
    <w:pPr>
      <w:numPr>
        <w:ilvl w:val="0"/>
        <w:numId w:val="2"/>
      </w:numPr>
    </w:pPr>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png"/><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2020-07-08T10:54:00Z</dcterms:created>
  <dc:creator>MCC Support</dc:creator>
  <dc:description/>
  <cp:keywords>&lt;keyword[ keyword]&gt;</cp:keywords>
  <dc:language>en-US</dc:language>
  <cp:lastModifiedBy>33.835_CR0001_(Rel-16)_FS_AKMA</cp:lastModifiedBy>
  <dcterms:modified xsi:type="dcterms:W3CDTF">2020-07-08T10:59:00Z</dcterms:modified>
  <cp:revision>6</cp:revision>
  <dc:subject>&lt;Title 1; Title 2&gt; (Release 15 |14 | 13 |12)</dc:subject>
  <dc:title>3GPP TR ab.cde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Application">
    <vt:lpwstr>Microsoft Azure Information Protection</vt:lpwstr>
  </property>
  <property fmtid="{D5CDD505-2E9C-101B-9397-08002B2CF9AE}" pid="3" name="MSIP_Label_0359f705-2ba0-454b-9cfc-6ce5bcaac040_Enabled">
    <vt:lpwstr>True</vt:lpwstr>
  </property>
  <property fmtid="{D5CDD505-2E9C-101B-9397-08002B2CF9AE}" pid="4" name="MSIP_Label_0359f705-2ba0-454b-9cfc-6ce5bcaac040_Extended_MSFT_Method">
    <vt:lpwstr>Automatic</vt:lpwstr>
  </property>
  <property fmtid="{D5CDD505-2E9C-101B-9397-08002B2CF9AE}" pid="5" name="MSIP_Label_0359f705-2ba0-454b-9cfc-6ce5bcaac040_Name">
    <vt:lpwstr>C2 General</vt:lpwstr>
  </property>
  <property fmtid="{D5CDD505-2E9C-101B-9397-08002B2CF9AE}" pid="6" name="MSIP_Label_0359f705-2ba0-454b-9cfc-6ce5bcaac040_Owner">
    <vt:lpwstr>tim.evans1@vodafone.com</vt:lpwstr>
  </property>
  <property fmtid="{D5CDD505-2E9C-101B-9397-08002B2CF9AE}" pid="7" name="MSIP_Label_0359f705-2ba0-454b-9cfc-6ce5bcaac040_SetDate">
    <vt:lpwstr>2019-01-10T12:56:49.2966793Z</vt:lpwstr>
  </property>
  <property fmtid="{D5CDD505-2E9C-101B-9397-08002B2CF9AE}" pid="8" name="MSIP_Label_0359f705-2ba0-454b-9cfc-6ce5bcaac040_SiteId">
    <vt:lpwstr>68283f3b-8487-4c86-adb3-a5228f18b893</vt:lpwstr>
  </property>
  <property fmtid="{D5CDD505-2E9C-101B-9397-08002B2CF9AE}" pid="9" name="Sensitivity">
    <vt:lpwstr>C2 General</vt:lpwstr>
  </property>
</Properties>
</file>