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media/image3.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rFonts w:eastAsia="Malgun Gothic"/>
                                <w:sz w:val="64"/>
                                <w:lang w:val="en-US" w:eastAsia="en-US"/>
                              </w:rPr>
                              <w:t>34</w:t>
                            </w:r>
                            <w:r>
                              <w:rPr>
                                <w:sz w:val="64"/>
                              </w:rPr>
                              <w:t>.</w:t>
                            </w:r>
                            <w:r>
                              <w:rPr>
                                <w:rFonts w:eastAsia="Malgun Gothic"/>
                                <w:sz w:val="64"/>
                                <w:lang w:val="en-US" w:eastAsia="en-US"/>
                              </w:rPr>
                              <w:t>926</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rFonts w:eastAsia="Malgun Gothic"/>
                          <w:sz w:val="64"/>
                          <w:lang w:val="en-US" w:eastAsia="en-US"/>
                        </w:rPr>
                        <w:t>34</w:t>
                      </w:r>
                      <w:r>
                        <w:rPr>
                          <w:sz w:val="64"/>
                        </w:rPr>
                        <w:t>.</w:t>
                      </w:r>
                      <w:r>
                        <w:rPr>
                          <w:rFonts w:eastAsia="Malgun Gothic"/>
                          <w:sz w:val="64"/>
                          <w:lang w:val="en-US" w:eastAsia="en-US"/>
                        </w:rPr>
                        <w:t>926</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Electromagnetic compatibility (EMC);</w:t>
                            </w:r>
                          </w:p>
                          <w:p>
                            <w:pPr>
                              <w:pStyle w:val="ZT"/>
                              <w:rPr/>
                            </w:pPr>
                            <w:r>
                              <w:rPr/>
                              <w:t>Table of international requirements for mobile terminals and ancillary equipment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Electromagnetic compatibility (EMC);</w:t>
                      </w:r>
                    </w:p>
                    <w:p>
                      <w:pPr>
                        <w:pStyle w:val="ZT"/>
                        <w:rPr/>
                      </w:pPr>
                      <w:r>
                        <w:rPr/>
                        <w:t>Table of international requirements for mobile terminals and ancillary equipment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9675" cy="83883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09675" cy="838835"/>
                                          </a:xfrm>
                                          <a:prstGeom prst="rect">
                                            <a:avLst/>
                                          </a:prstGeom>
                                        </pic:spPr>
                                      </pic:pic>
                                    </a:graphicData>
                                  </a:graphic>
                                </wp:inline>
                              </w:drawing>
                            </w:r>
                            <w:r>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pPr>
                      <w:r>
                        <w:rPr>
                          <w:i/>
                        </w:rPr>
                        <w:drawing>
                          <wp:inline distT="0" distB="0" distL="0" distR="0">
                            <wp:extent cx="1209675" cy="83883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09675" cy="838835"/>
                                    </a:xfrm>
                                    <a:prstGeom prst="rect">
                                      <a:avLst/>
                                    </a:prstGeom>
                                  </pic:spPr>
                                </pic:pic>
                              </a:graphicData>
                            </a:graphic>
                          </wp:inline>
                        </w:drawing>
                      </w:r>
                      <w:r>
                        <w:rPr/>
                        <w:tab/>
                      </w:r>
                      <w:r>
                        <w:rPr/>
                        <w:drawing>
                          <wp:inline distT="0" distB="0" distL="0" distR="0">
                            <wp:extent cx="1629410" cy="95186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1" name="Frame7"/>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3.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outlineLvl w:val="0"/>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 w:cs="Calibri"/>
              <w:szCs w:val="22"/>
              <w:lang w:val="en-US" w:eastAsia="en-US"/>
            </w:rPr>
          </w:pPr>
          <w:r>
            <w:fldChar w:fldCharType="begin"/>
          </w:r>
          <w:r>
            <w:rPr>
              <w:sz w:val="22"/>
              <w:szCs w:val="20"/>
              <w:rFonts w:eastAsia="MS Mincho;ＭＳ 明朝" w:cs="Times New Roman"/>
              <w:color w:val="auto"/>
              <w:lang w:val="en-US" w:eastAsia="en-US" w:bidi="ar-SA"/>
            </w:rPr>
            <w:instrText xml:space="preserve"> TOC \o "1-9" </w:instrText>
          </w:r>
          <w:r>
            <w:rPr>
              <w:sz w:val="22"/>
              <w:szCs w:val="20"/>
              <w:rFonts w:eastAsia="MS Mincho;ＭＳ 明朝" w:cs="Times New Roman"/>
              <w:color w:val="auto"/>
              <w:lang w:val="en-US" w:eastAsia="en-US" w:bidi="ar-SA"/>
            </w:rPr>
            <w:fldChar w:fldCharType="separate"/>
          </w:r>
          <w:r>
            <w:rPr>
              <w:rFonts w:eastAsia="MS Mincho;ＭＳ 明朝" w:cs="Times New Roman"/>
              <w:color w:val="auto"/>
              <w:sz w:val="22"/>
              <w:szCs w:val="20"/>
              <w:lang w:val="en-US" w:eastAsia="en-US" w:bidi="ar-SA"/>
            </w:rPr>
            <w:t>Foreword</w:t>
            <w:tab/>
          </w:r>
          <w:hyperlink w:anchor="__RefHeading___Toc518925627">
            <w:r>
              <w:rPr>
                <w:rStyle w:val="IndexLink"/>
                <w:rFonts w:eastAsia="MS Mincho;ＭＳ 明朝" w:cs="Times New Roman"/>
                <w:color w:val="auto"/>
                <w:sz w:val="22"/>
                <w:szCs w:val="20"/>
                <w:lang w:val="en-US" w:eastAsia="en-US" w:bidi="ar-SA"/>
              </w:rPr>
              <w:t>5</w:t>
            </w:r>
          </w:hyperlink>
        </w:p>
        <w:p>
          <w:pPr>
            <w:pStyle w:val="Contents1"/>
            <w:rPr>
              <w:rFonts w:ascii="Calibri" w:hAnsi="Calibri" w:eastAsia="Malgun Gothic" w:cs="Calibri"/>
              <w:szCs w:val="22"/>
              <w:lang w:val="en-US" w:eastAsia="en-US"/>
            </w:rPr>
          </w:pPr>
          <w:r>
            <w:rPr/>
            <w:t>Introduction</w:t>
            <w:tab/>
          </w:r>
          <w:hyperlink w:anchor="__RefHeading___Toc518925628">
            <w:r>
              <w:rPr>
                <w:rStyle w:val="IndexLink"/>
              </w:rPr>
              <w:t>5</w:t>
            </w:r>
          </w:hyperlink>
        </w:p>
        <w:p>
          <w:pPr>
            <w:pStyle w:val="Contents1"/>
            <w:rPr>
              <w:rFonts w:ascii="Calibri" w:hAnsi="Calibri" w:eastAsia="Malgun Gothic" w:cs="Calibri"/>
              <w:szCs w:val="22"/>
              <w:lang w:val="en-US" w:eastAsia="en-US"/>
            </w:rPr>
          </w:pPr>
          <w:r>
            <w:rPr/>
            <w:t>1</w:t>
          </w:r>
          <w:r>
            <w:rPr>
              <w:rFonts w:eastAsia="Malgun Gothic" w:cs="Calibri" w:ascii="Calibri" w:hAnsi="Calibri"/>
              <w:szCs w:val="22"/>
              <w:lang w:val="en-US" w:eastAsia="en-US"/>
            </w:rPr>
            <w:tab/>
          </w:r>
          <w:r>
            <w:rPr/>
            <w:t>Scope</w:t>
            <w:tab/>
          </w:r>
          <w:hyperlink w:anchor="__RefHeading___Toc518925629">
            <w:r>
              <w:rPr>
                <w:rStyle w:val="IndexLink"/>
              </w:rPr>
              <w:t>6</w:t>
            </w:r>
          </w:hyperlink>
        </w:p>
        <w:p>
          <w:pPr>
            <w:pStyle w:val="Contents1"/>
            <w:rPr>
              <w:rFonts w:ascii="Calibri" w:hAnsi="Calibri" w:eastAsia="Malgun Gothic" w:cs="Calibri"/>
              <w:szCs w:val="22"/>
              <w:lang w:val="en-US" w:eastAsia="en-US"/>
            </w:rPr>
          </w:pPr>
          <w:r>
            <w:rPr/>
            <w:t>2</w:t>
          </w:r>
          <w:r>
            <w:rPr>
              <w:rFonts w:eastAsia="Malgun Gothic" w:cs="Calibri" w:ascii="Calibri" w:hAnsi="Calibri"/>
              <w:szCs w:val="22"/>
              <w:lang w:val="en-US" w:eastAsia="en-US"/>
            </w:rPr>
            <w:tab/>
          </w:r>
          <w:r>
            <w:rPr/>
            <w:t>References</w:t>
            <w:tab/>
          </w:r>
          <w:hyperlink w:anchor="__RefHeading___Toc518925630">
            <w:r>
              <w:rPr>
                <w:rStyle w:val="IndexLink"/>
              </w:rPr>
              <w:t>6</w:t>
            </w:r>
          </w:hyperlink>
        </w:p>
        <w:p>
          <w:pPr>
            <w:pStyle w:val="Contents1"/>
            <w:rPr>
              <w:rFonts w:ascii="Calibri" w:hAnsi="Calibri" w:eastAsia="Malgun Gothic" w:cs="Calibri"/>
              <w:szCs w:val="22"/>
              <w:lang w:val="en-US" w:eastAsia="en-US"/>
            </w:rPr>
          </w:pPr>
          <w:r>
            <w:rPr/>
            <w:t>3</w:t>
          </w:r>
          <w:r>
            <w:rPr>
              <w:rFonts w:eastAsia="Malgun Gothic" w:cs="Calibri" w:ascii="Calibri" w:hAnsi="Calibri"/>
              <w:szCs w:val="22"/>
              <w:lang w:val="en-US" w:eastAsia="en-US"/>
            </w:rPr>
            <w:tab/>
          </w:r>
          <w:r>
            <w:rPr/>
            <w:t>Definitions and abbreviations</w:t>
            <w:tab/>
          </w:r>
          <w:hyperlink w:anchor="__RefHeading___Toc518925631">
            <w:r>
              <w:rPr>
                <w:rStyle w:val="IndexLink"/>
              </w:rPr>
              <w:t>7</w:t>
            </w:r>
          </w:hyperlink>
        </w:p>
        <w:p>
          <w:pPr>
            <w:pStyle w:val="Contents2"/>
            <w:rPr>
              <w:rFonts w:ascii="Calibri" w:hAnsi="Calibri" w:eastAsia="Malgun Gothic" w:cs="Calibri"/>
              <w:sz w:val="22"/>
              <w:szCs w:val="22"/>
              <w:lang w:val="en-US" w:eastAsia="en-US"/>
            </w:rPr>
          </w:pPr>
          <w:r>
            <w:rPr/>
            <w:t>3.1</w:t>
          </w:r>
          <w:r>
            <w:rPr>
              <w:rFonts w:eastAsia="Malgun Gothic" w:cs="Calibri" w:ascii="Calibri" w:hAnsi="Calibri"/>
              <w:sz w:val="22"/>
              <w:szCs w:val="22"/>
              <w:lang w:val="en-US" w:eastAsia="en-US"/>
            </w:rPr>
            <w:tab/>
          </w:r>
          <w:r>
            <w:rPr/>
            <w:t>Definitions</w:t>
            <w:tab/>
          </w:r>
          <w:hyperlink w:anchor="__RefHeading___Toc518925632">
            <w:r>
              <w:rPr>
                <w:rStyle w:val="IndexLink"/>
              </w:rPr>
              <w:t>7</w:t>
            </w:r>
          </w:hyperlink>
        </w:p>
        <w:p>
          <w:pPr>
            <w:pStyle w:val="Contents1"/>
            <w:rPr>
              <w:rFonts w:ascii="Calibri" w:hAnsi="Calibri" w:eastAsia="Malgun Gothic" w:cs="Calibri"/>
              <w:szCs w:val="22"/>
              <w:lang w:val="en-US" w:eastAsia="en-US"/>
            </w:rPr>
          </w:pPr>
          <w:r>
            <w:rPr/>
            <w:t>4</w:t>
          </w:r>
          <w:r>
            <w:rPr>
              <w:rFonts w:eastAsia="Malgun Gothic" w:cs="Calibri" w:ascii="Calibri" w:hAnsi="Calibri"/>
              <w:szCs w:val="22"/>
              <w:lang w:val="en-US" w:eastAsia="en-US"/>
            </w:rPr>
            <w:tab/>
          </w:r>
          <w:r>
            <w:rPr/>
            <w:t>Table of International EMC Requirements for Mobile terminals and ancillary equipment</w:t>
            <w:tab/>
          </w:r>
          <w:hyperlink w:anchor="__RefHeading___Toc518925633">
            <w:r>
              <w:rPr>
                <w:rStyle w:val="IndexLink"/>
              </w:rPr>
              <w:t>9</w:t>
            </w:r>
          </w:hyperlink>
        </w:p>
        <w:p>
          <w:pPr>
            <w:pStyle w:val="Contents8"/>
            <w:rPr>
              <w:rFonts w:ascii="Calibri" w:hAnsi="Calibri" w:eastAsia="Malgun Gothic" w:cs="Calibri"/>
              <w:szCs w:val="22"/>
              <w:lang w:val="en-US" w:eastAsia="en-US"/>
            </w:rPr>
          </w:pPr>
          <w:r>
            <w:rPr>
              <w:b w:val="false"/>
            </w:rPr>
            <w:t>Annex A (informative):</w:t>
            <w:tab/>
            <w:t>Change history</w:t>
            <w:tab/>
          </w:r>
          <w:hyperlink w:anchor="__RefHeading___Toc518925634">
            <w:r>
              <w:rPr>
                <w:rStyle w:val="IndexLink"/>
                <w:b w:val="false"/>
              </w:rPr>
              <w:t>12</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4" w:name="__RefHeading___Toc518925627"/>
      <w:bookmarkEnd w:id="4"/>
      <w:r>
        <w:rPr/>
        <w:t>Foreword</w:t>
      </w:r>
    </w:p>
    <w:p>
      <w:pPr>
        <w:pStyle w:val="Normal"/>
        <w:rPr/>
      </w:pPr>
      <w:r>
        <w:rPr/>
        <w:t>This Technical Report has been produced by the 3GPP.</w:t>
      </w:r>
    </w:p>
    <w:p>
      <w:pPr>
        <w:pStyle w:val="Normal"/>
        <w:rPr/>
      </w:pPr>
      <w:r>
        <w:rPr/>
        <w:t>The contents of the present document are subject to continuing work within the TSG and may change following formal TSG approval. Should the TSG modify the contents of this TR,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5" w:name="__RefHeading___Toc518925628"/>
      <w:bookmarkEnd w:id="5"/>
      <w:r>
        <w:rPr/>
        <w:t>Introduction</w:t>
      </w:r>
    </w:p>
    <w:p>
      <w:pPr>
        <w:pStyle w:val="Normal"/>
        <w:rPr/>
      </w:pPr>
      <w:r>
        <w:rPr/>
        <w:t>This Technical Report is a living document and will continuously be upgraded as standards and regulations change. Sections will be added for new regions or nations, which enter the 3GPP and have different requirements. It is the intention to reference global standards but where it is known that none exist then alternative standards mandated by the regional and or national requirements will be quoted.</w:t>
      </w:r>
    </w:p>
    <w:p>
      <w:pPr>
        <w:pStyle w:val="Normal"/>
        <w:rPr/>
      </w:pPr>
      <w:r>
        <w:rPr/>
        <w:t xml:space="preserve">The sole purpose of the document is as a reference to the current status at time of publication. When new versions are published they will supersede the previous ones. </w:t>
      </w:r>
      <w:r>
        <w:br w:type="page"/>
      </w:r>
    </w:p>
    <w:p>
      <w:pPr>
        <w:pStyle w:val="Heading1"/>
        <w:ind w:left="1134" w:hanging="1134"/>
        <w:rPr/>
      </w:pPr>
      <w:bookmarkStart w:id="6" w:name="__RefHeading___Toc518925629"/>
      <w:bookmarkEnd w:id="6"/>
      <w:r>
        <w:rPr/>
        <w:t>1</w:t>
        <w:tab/>
        <w:t>Scope</w:t>
      </w:r>
    </w:p>
    <w:p>
      <w:pPr>
        <w:pStyle w:val="Normal"/>
        <w:rPr/>
      </w:pPr>
      <w:r>
        <w:rPr/>
        <w:t>The present document shows in tabular form most of the current regulatory and voluntary requirements by region or nation, and is for information purposes only.</w:t>
      </w:r>
    </w:p>
    <w:p>
      <w:pPr>
        <w:pStyle w:val="Heading1"/>
        <w:ind w:left="1134" w:hanging="1134"/>
        <w:rPr/>
      </w:pPr>
      <w:bookmarkStart w:id="7" w:name="__RefHeading___Toc518925630"/>
      <w:bookmarkEnd w:id="7"/>
      <w:r>
        <w:rPr/>
        <w:t>2</w:t>
        <w:tab/>
        <w:t>References</w:t>
      </w:r>
    </w:p>
    <w:p>
      <w:pPr>
        <w:pStyle w:val="Normal"/>
        <w:rPr/>
      </w:pPr>
      <w:r>
        <w:rPr>
          <w:color w:val="000000"/>
        </w:rPr>
        <w:t>The following documents contain provisions, which, through reference in this text, constitute provisions of the present document.</w:t>
      </w:r>
    </w:p>
    <w:p>
      <w:pPr>
        <w:pStyle w:val="B1"/>
        <w:rPr/>
      </w:pPr>
      <w:r>
        <w:rPr>
          <w:rFonts w:eastAsia="Malgun Gothic"/>
          <w:lang w:eastAsia="ko-KR"/>
        </w:rPr>
        <w:t>-</w:t>
        <w:tab/>
      </w:r>
      <w:r>
        <w:rPr/>
        <w:t>References are either specific (identified by date of publication, edition number, version number, etc.) or non</w:t>
        <w:noBreakHyphen/>
        <w:t>specific.</w:t>
      </w:r>
    </w:p>
    <w:p>
      <w:pPr>
        <w:pStyle w:val="B1"/>
        <w:rPr/>
      </w:pPr>
      <w:r>
        <w:rPr>
          <w:rFonts w:eastAsia="Malgun Gothic"/>
          <w:lang w:eastAsia="ko-KR"/>
        </w:rPr>
        <w:t>-</w:t>
        <w:tab/>
      </w:r>
      <w:r>
        <w:rPr/>
        <w:t>For a specific reference, subsequent revisions do not apply.</w:t>
      </w:r>
    </w:p>
    <w:p>
      <w:pPr>
        <w:pStyle w:val="B1"/>
        <w:rPr/>
      </w:pPr>
      <w:r>
        <w:rPr>
          <w:rFonts w:eastAsia="Malgun Gothic"/>
          <w:lang w:eastAsia="ko-KR"/>
        </w:rPr>
        <w:t>-</w:t>
        <w:tab/>
      </w:r>
      <w:r>
        <w:rPr/>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rFonts w:eastAsia="Times New Roman"/>
        </w:rPr>
        <w:t>[1]</w:t>
        <w:tab/>
        <w:t>IEC 61000-6-1 (1997): "Electromagnetic compatibility (EMC) – Part 6: Generic standards -  Section 1: Immunity standard for residential, commercial and light-industrial environments".</w:t>
      </w:r>
    </w:p>
    <w:p>
      <w:pPr>
        <w:pStyle w:val="EX"/>
        <w:rPr/>
      </w:pPr>
      <w:r>
        <w:rPr>
          <w:rFonts w:eastAsia="Times New Roman"/>
        </w:rPr>
        <w:t>[2]</w:t>
        <w:tab/>
        <w:t>IEC 61000-6-3 (1996): "Electromagnetic compatibility (EMC) – Part 6: Generic standards -  Section 3: Emission standard for residential, commercial and light-industrial environments.</w:t>
      </w:r>
    </w:p>
    <w:p>
      <w:pPr>
        <w:pStyle w:val="EX"/>
        <w:rPr/>
      </w:pPr>
      <w:r>
        <w:rPr>
          <w:rFonts w:eastAsia="Times New Roman"/>
        </w:rPr>
        <w:t>[3]</w:t>
        <w:tab/>
        <w:t>ISO 7637</w:t>
        <w:noBreakHyphen/>
        <w:t>1 (1990): "Road vehicles - Electrical disturbance by conduction and coupling - Part 1: Passenger cars and light commercial vehicles with nominal 12 V supply voltage - Electrical transient conduction along supply lines only".</w:t>
      </w:r>
    </w:p>
    <w:p>
      <w:pPr>
        <w:pStyle w:val="EX"/>
        <w:rPr/>
      </w:pPr>
      <w:r>
        <w:rPr>
          <w:rFonts w:eastAsia="Times New Roman"/>
        </w:rPr>
        <w:t>[4]</w:t>
        <w:tab/>
      </w:r>
      <w:r>
        <w:rPr/>
        <w:t>ISO 7637</w:t>
        <w:noBreakHyphen/>
        <w:t>2 (1990): "Road vehicles - Electrical disturbance by conduction and coupling - Part 2: Commercial vehicles with nominal 24 V supply voltage - Electrical transient conduction along supply lines only".</w:t>
      </w:r>
    </w:p>
    <w:p>
      <w:pPr>
        <w:pStyle w:val="EX"/>
        <w:rPr/>
      </w:pPr>
      <w:r>
        <w:rPr>
          <w:rFonts w:eastAsia="Times New Roman"/>
        </w:rPr>
        <w:t>[5]</w:t>
        <w:tab/>
      </w:r>
      <w:r>
        <w:rPr/>
        <w:t xml:space="preserve">RECOMMENDATION  ITU-R  SM.329 " Unwanted emissions in the spurious domain " </w:t>
      </w:r>
    </w:p>
    <w:p>
      <w:pPr>
        <w:pStyle w:val="EX"/>
        <w:rPr/>
      </w:pPr>
      <w:r>
        <w:rPr>
          <w:rFonts w:eastAsia="Times New Roman"/>
        </w:rPr>
        <w:t>[6]</w:t>
        <w:tab/>
      </w:r>
      <w:r>
        <w:rPr/>
        <w:t>IEC CISPR publication 22; 3</w:t>
      </w:r>
      <w:r>
        <w:rPr>
          <w:vertAlign w:val="superscript"/>
        </w:rPr>
        <w:t>rd</w:t>
      </w:r>
      <w:r>
        <w:rPr/>
        <w:t xml:space="preserve"> edition (1997-11); "Information technology equipment; Radio disturbance characteristics – Limits and methods of measurement"</w:t>
      </w:r>
    </w:p>
    <w:p>
      <w:pPr>
        <w:pStyle w:val="EX"/>
        <w:rPr/>
      </w:pPr>
      <w:r>
        <w:rPr>
          <w:rFonts w:eastAsia="Times New Roman"/>
        </w:rPr>
        <w:t>[7]</w:t>
        <w:tab/>
      </w:r>
      <w:r>
        <w:rPr/>
        <w:t>IEC CISPR publication 16-1; (1993); Radio disturbance and immunity measuring apparatus"; Am.1 (1997); "Specification for radio disturbance and immunity measuring apparatus and methods"</w:t>
      </w:r>
    </w:p>
    <w:p>
      <w:pPr>
        <w:pStyle w:val="EX"/>
        <w:rPr/>
      </w:pPr>
      <w:r>
        <w:rPr>
          <w:rFonts w:eastAsia="Times New Roman"/>
        </w:rPr>
        <w:t>[8]</w:t>
        <w:tab/>
      </w:r>
      <w:r>
        <w:rPr/>
        <w:t xml:space="preserve">IEC 61000-3-2; (1995-03); "Electromagnetic compatibility; Part 3 - Limits; section 2 – Limits for harmonic current emissions (equipment input current </w:t>
      </w:r>
      <w:r>
        <w:rPr>
          <w:rFonts w:eastAsia="Symbol" w:cs="Symbol" w:ascii="Symbol" w:hAnsi="Symbol"/>
        </w:rPr>
        <w:t></w:t>
      </w:r>
      <w:r>
        <w:rPr/>
        <w:t xml:space="preserve"> 16 A per phase)"; Am.1 (1997-09)</w:t>
      </w:r>
    </w:p>
    <w:p>
      <w:pPr>
        <w:pStyle w:val="EX"/>
        <w:rPr/>
      </w:pPr>
      <w:r>
        <w:rPr>
          <w:rFonts w:eastAsia="Times New Roman"/>
        </w:rPr>
        <w:t>[9]</w:t>
        <w:tab/>
      </w:r>
      <w:r>
        <w:rPr/>
        <w:t xml:space="preserve">IEC 61000-3-3; (1994-12); "Electromagnetic compatibility; Part 3 - Limits; section 2 – Limitation of voltage fluctuations and flicker in low-voltage supply systems for equipment with rated current </w:t>
      </w:r>
      <w:r>
        <w:rPr>
          <w:rFonts w:eastAsia="Symbol" w:cs="Symbol" w:ascii="Symbol" w:hAnsi="Symbol"/>
        </w:rPr>
        <w:t></w:t>
      </w:r>
      <w:r>
        <w:rPr/>
        <w:t xml:space="preserve"> 16 A" </w:t>
      </w:r>
    </w:p>
    <w:p>
      <w:pPr>
        <w:pStyle w:val="EX"/>
        <w:rPr/>
      </w:pPr>
      <w:r>
        <w:rPr>
          <w:rFonts w:eastAsia="Times New Roman"/>
        </w:rPr>
        <w:t>[10]</w:t>
        <w:tab/>
      </w:r>
      <w:r>
        <w:rPr/>
        <w:t>IEC 61000-4-2; "Electromagnetic compatibility (EMC) – Part 4: Testing and measurement techniques – section 2: Electrostatic discharge immunity test – Basic EMC publication"</w:t>
      </w:r>
    </w:p>
    <w:p>
      <w:pPr>
        <w:pStyle w:val="EX"/>
        <w:rPr/>
      </w:pPr>
      <w:r>
        <w:rPr>
          <w:rFonts w:eastAsia="Times New Roman"/>
        </w:rPr>
        <w:t>[11]</w:t>
        <w:tab/>
      </w:r>
      <w:r>
        <w:rPr/>
        <w:t>IEC 61000-4-3; "Electromagnetic compatibility (EMC) – Part 4: Testing and measurement techniques – section 3: Radiated, radio-frequency electromagnetic field immunity test"</w:t>
      </w:r>
    </w:p>
    <w:p>
      <w:pPr>
        <w:pStyle w:val="EX"/>
        <w:rPr/>
      </w:pPr>
      <w:r>
        <w:rPr>
          <w:rFonts w:eastAsia="Times New Roman"/>
        </w:rPr>
        <w:t>[12]</w:t>
        <w:tab/>
      </w:r>
      <w:r>
        <w:rPr/>
        <w:t>IEC 61000-4-4; "Electromagnetic compatibility (EMC) – Part 4: Testing and measurement techniques – section 4: Electrical fast transient/burst  immunity test – Basic EMC publication"</w:t>
      </w:r>
    </w:p>
    <w:p>
      <w:pPr>
        <w:pStyle w:val="EX"/>
        <w:rPr/>
      </w:pPr>
      <w:r>
        <w:rPr>
          <w:rFonts w:eastAsia="Times New Roman"/>
        </w:rPr>
        <w:t>[13]</w:t>
        <w:tab/>
      </w:r>
      <w:r>
        <w:rPr/>
        <w:t>IEC 61000-4-5; "Electromagnetic compatibility (EMC) – Part 4: Testing and measurement techniques – section 5: Surge immunity test"</w:t>
      </w:r>
    </w:p>
    <w:p>
      <w:pPr>
        <w:pStyle w:val="EX"/>
        <w:rPr/>
      </w:pPr>
      <w:r>
        <w:rPr>
          <w:rFonts w:eastAsia="Times New Roman"/>
        </w:rPr>
        <w:t>[14]</w:t>
        <w:tab/>
      </w:r>
      <w:r>
        <w:rPr/>
        <w:t>IEC 61000-4-6; "Electromagnetic compatibility (EMC) – Part 4: Testing and measurement techniques – section 6: immunity to conducted disturbances induced by radio frequency fields"</w:t>
      </w:r>
    </w:p>
    <w:p>
      <w:pPr>
        <w:pStyle w:val="EX"/>
        <w:rPr/>
      </w:pPr>
      <w:r>
        <w:rPr>
          <w:rFonts w:eastAsia="Times New Roman"/>
        </w:rPr>
        <w:t>[15]</w:t>
        <w:tab/>
      </w:r>
      <w:r>
        <w:rPr/>
        <w:t>IEC 61000-4-11; "Electromagnetic compatibility (EMC) – Part 4: Testing and measurement techniques – section 11:Voltage dips, short interruptions, and voltage variations immunity test"</w:t>
      </w:r>
    </w:p>
    <w:p>
      <w:pPr>
        <w:pStyle w:val="EX"/>
        <w:rPr>
          <w:lang w:val="en-AU"/>
        </w:rPr>
      </w:pPr>
      <w:r>
        <w:rPr>
          <w:rFonts w:eastAsia="Times New Roman"/>
        </w:rPr>
        <w:t>[16]</w:t>
        <w:tab/>
      </w:r>
      <w:r>
        <w:rPr/>
        <w:t>EN 300 607 - 1; Digital cellular telecommunications system (Phase 2); Mobile Station (MS) conformance specification; Part 1: Conformance specification (GSM 11.10-1 version 4.24.0)</w:t>
      </w:r>
    </w:p>
    <w:p>
      <w:pPr>
        <w:pStyle w:val="EX"/>
        <w:rPr/>
      </w:pPr>
      <w:r>
        <w:rPr>
          <w:rFonts w:eastAsia="Times New Roman"/>
        </w:rPr>
        <w:t>[17]</w:t>
        <w:tab/>
      </w:r>
      <w:r>
        <w:rPr/>
        <w:t>EN 55022; "Information technology equipment; Radio disturbance characteristics – Limits and methods of measurement"</w:t>
      </w:r>
    </w:p>
    <w:p>
      <w:pPr>
        <w:pStyle w:val="EX"/>
        <w:rPr/>
      </w:pPr>
      <w:r>
        <w:rPr>
          <w:rFonts w:eastAsia="Times New Roman"/>
        </w:rPr>
        <w:t>[18]</w:t>
        <w:tab/>
      </w:r>
      <w:r>
        <w:rPr/>
        <w:t xml:space="preserve">ARIB STD-T57  ; </w:t>
      </w:r>
      <w:r>
        <w:rPr>
          <w:lang w:eastAsia="ja-JP"/>
        </w:rPr>
        <w:t>"</w:t>
      </w:r>
      <w:r>
        <w:rPr/>
        <w:t>ELECTROMAGNETIC COMPATIBILITY (EMC) FOR RADIO EQUIPMENT</w:t>
      </w:r>
      <w:r>
        <w:rPr>
          <w:lang w:eastAsia="ja-JP"/>
        </w:rPr>
        <w:t xml:space="preserve"> Edition </w:t>
      </w:r>
      <w:r>
        <w:rPr/>
        <w:t xml:space="preserve">2.0 </w:t>
      </w:r>
      <w:r>
        <w:rPr>
          <w:lang w:eastAsia="ja-JP"/>
        </w:rPr>
        <w:t>" ARIB STANDARD</w:t>
      </w:r>
    </w:p>
    <w:p>
      <w:pPr>
        <w:pStyle w:val="EX"/>
        <w:rPr/>
      </w:pPr>
      <w:r>
        <w:rPr>
          <w:rFonts w:eastAsia="Times New Roman"/>
        </w:rPr>
        <w:t>[19]</w:t>
        <w:tab/>
      </w:r>
      <w:r>
        <w:rPr/>
        <w:t xml:space="preserve">RCR </w:t>
      </w:r>
      <w:r>
        <w:rPr>
          <w:lang w:eastAsia="ja-JP"/>
        </w:rPr>
        <w:t>STD-</w:t>
      </w:r>
      <w:r>
        <w:rPr/>
        <w:t>27</w:t>
      </w:r>
      <w:r>
        <w:rPr>
          <w:lang w:eastAsia="ja-JP"/>
        </w:rPr>
        <w:t xml:space="preserve">  </w:t>
      </w:r>
      <w:r>
        <w:rPr/>
        <w:t>;</w:t>
      </w:r>
      <w:r>
        <w:rPr>
          <w:lang w:eastAsia="ja-JP"/>
        </w:rPr>
        <w:t xml:space="preserve"> "PERSONAL DIGITAL CELLULAR TELECOMMUNICATION SYSTEM Edition H " ARIB STANDARD</w:t>
      </w:r>
    </w:p>
    <w:p>
      <w:pPr>
        <w:pStyle w:val="EX"/>
        <w:rPr/>
      </w:pPr>
      <w:r>
        <w:rPr>
          <w:rFonts w:eastAsia="Times New Roman"/>
        </w:rPr>
        <w:t>[20]</w:t>
        <w:tab/>
      </w:r>
      <w:r>
        <w:rPr/>
        <w:t>FCC CFR 47 part 15;  RADIO FREQUENCY DEVICES,  Code of Federal Regulations Title 47, Volume 1, Parts 0 to 19</w:t>
      </w:r>
    </w:p>
    <w:p>
      <w:pPr>
        <w:pStyle w:val="EX"/>
        <w:rPr/>
      </w:pPr>
      <w:r>
        <w:rPr>
          <w:rFonts w:eastAsia="Times New Roman"/>
        </w:rPr>
        <w:t>[21]</w:t>
        <w:tab/>
      </w:r>
      <w:r>
        <w:rPr/>
        <w:t>CWTS TS C404;</w:t>
      </w:r>
      <w:r>
        <w:rPr>
          <w:color w:val="000000"/>
          <w:sz w:val="40"/>
        </w:rPr>
        <w:t xml:space="preserve"> </w:t>
      </w:r>
      <w:r>
        <w:rPr>
          <w:color w:val="000000"/>
        </w:rPr>
        <w:t>China Wireless Telecommunication Standard (</w:t>
      </w:r>
      <w:r>
        <w:rPr>
          <w:color w:val="000000"/>
        </w:rPr>
        <w:t>CWTS</w:t>
      </w:r>
      <w:r>
        <w:rPr>
          <w:color w:val="000000"/>
        </w:rPr>
        <w:t>);</w:t>
      </w:r>
      <w:r>
        <w:rPr>
          <w:color w:val="000000"/>
          <w:sz w:val="40"/>
        </w:rPr>
        <w:t xml:space="preserve"> </w:t>
      </w:r>
      <w:r>
        <w:rPr>
          <w:color w:val="000000"/>
        </w:rPr>
        <w:t>Working Group 1 (WG1); UE and BTS EMC</w:t>
      </w:r>
    </w:p>
    <w:p>
      <w:pPr>
        <w:pStyle w:val="EX"/>
        <w:rPr>
          <w:b/>
          <w:b/>
          <w:sz w:val="24"/>
          <w:lang w:val="en-AU"/>
        </w:rPr>
      </w:pPr>
      <w:r>
        <w:rPr>
          <w:rFonts w:eastAsia="Times New Roman"/>
        </w:rPr>
        <w:t>[22]</w:t>
        <w:tab/>
      </w:r>
      <w:r>
        <w:rPr/>
        <w:t>ETSI EN 301 489;  Electromagnetic compatibility and Radio Spectrum Matters /ERM); Electromagnetic Compatibility (EMC) standard for radio equipment and services;</w:t>
        <w:br/>
        <w:t>Part 1: "Common technical requirements";</w:t>
        <w:br/>
        <w:t>Part 7: "Specific conditions for mobile and portable radio and ancillary equipment of digital cellular radio telecommunications systems (GSM and DCS)";.</w:t>
        <w:br/>
        <w:t>Part 8: "Specific conditions  for GSM base stations";</w:t>
        <w:br/>
        <w:t>Part 18: "Specific conditions for Terrestrial Trunked Radio (TETRA)"</w:t>
        <w:br/>
        <w:t>Part 23: " Specific conditions for 3rd Generation Partnership project (UMTS) Base station radio and ancillary equipment</w:t>
        <w:br/>
        <w:t>Part 24: " Specific conditions for 3rd Generation Partnership project (UMTS) for Mobile and potable (UE) radio and ancillary equipment</w:t>
      </w:r>
    </w:p>
    <w:p>
      <w:pPr>
        <w:pStyle w:val="Heading1"/>
        <w:ind w:left="1134" w:hanging="1134"/>
        <w:rPr/>
      </w:pPr>
      <w:bookmarkStart w:id="8" w:name="__RefHeading___Toc518925631"/>
      <w:bookmarkEnd w:id="8"/>
      <w:r>
        <w:rPr/>
        <w:t>3</w:t>
        <w:tab/>
        <w:t>Definitions and abbreviations</w:t>
      </w:r>
    </w:p>
    <w:p>
      <w:pPr>
        <w:pStyle w:val="Heading2"/>
        <w:rPr/>
      </w:pPr>
      <w:bookmarkStart w:id="9" w:name="__RefHeading___Toc518925632"/>
      <w:bookmarkEnd w:id="9"/>
      <w:r>
        <w:rPr/>
        <w:t>3.1</w:t>
        <w:tab/>
        <w:t>Definitions</w:t>
      </w:r>
    </w:p>
    <w:p>
      <w:pPr>
        <w:pStyle w:val="Normal"/>
        <w:spacing w:before="0" w:after="120"/>
        <w:rPr/>
      </w:pPr>
      <w:r>
        <w:rPr>
          <w:b/>
          <w:bCs/>
        </w:rPr>
        <w:t>Ancillary equipment:</w:t>
      </w:r>
      <w:r>
        <w:rPr>
          <w:lang w:val="en-US"/>
        </w:rPr>
        <w:t xml:space="preserve"> Equipment (apparatus), used in connection with a user equipment (UE) is considered as an ancillary equipment (apparatus) if:</w:t>
      </w:r>
    </w:p>
    <w:p>
      <w:pPr>
        <w:pStyle w:val="B1"/>
        <w:rPr/>
      </w:pPr>
      <w:r>
        <w:rPr>
          <w:lang w:val="en-US"/>
        </w:rPr>
        <w:t>-</w:t>
        <w:tab/>
        <w:t>the equipment is intended for use in conjunction with a UE to provide additional operational and/or control features to the UE, (e.g. to extend control to another position or location); and</w:t>
      </w:r>
    </w:p>
    <w:p>
      <w:pPr>
        <w:pStyle w:val="B1"/>
        <w:rPr>
          <w:lang w:val="en-US"/>
        </w:rPr>
      </w:pPr>
      <w:r>
        <w:rPr>
          <w:rFonts w:eastAsia="Malgun Gothic"/>
          <w:lang w:eastAsia="ko-KR"/>
        </w:rPr>
        <w:t>-</w:t>
        <w:tab/>
      </w:r>
      <w:r>
        <w:rPr>
          <w:lang w:val="en-US"/>
        </w:rPr>
        <w:t>the equipment cannot be used on a stand alone basis to provide user functions independently of a UE; and</w:t>
      </w:r>
    </w:p>
    <w:p>
      <w:pPr>
        <w:pStyle w:val="B1"/>
        <w:rPr/>
      </w:pPr>
      <w:r>
        <w:rPr>
          <w:rFonts w:eastAsia="Malgun Gothic"/>
          <w:lang w:eastAsia="ko-KR"/>
        </w:rPr>
        <w:t>-</w:t>
        <w:tab/>
      </w:r>
      <w:r>
        <w:rPr/>
        <w:t>the UE to which it is connected, is capable of providing some intended operation such as transmitting and/or receiving without the ancillary equipment (i.e. it is not a sub</w:t>
        <w:noBreakHyphen/>
        <w:t>unit of the main equipment essential to the main equipment basic functions).</w:t>
      </w:r>
    </w:p>
    <w:p>
      <w:pPr>
        <w:pStyle w:val="EQ"/>
        <w:keepLines w:val="false"/>
        <w:tabs>
          <w:tab w:val="clear" w:pos="4536"/>
          <w:tab w:val="clear" w:pos="9072"/>
        </w:tabs>
        <w:spacing w:before="0" w:after="120"/>
        <w:rPr/>
      </w:pPr>
      <w:r>
        <w:rPr>
          <w:b/>
          <w:bCs/>
        </w:rPr>
        <w:t>Idle mode:</w:t>
      </w:r>
      <w:r>
        <w:rPr/>
        <w:t xml:space="preserve"> Idle mode is the state of User Equipment (UE) when switched on but with no Radio Resource Control (RRC) connection. </w:t>
      </w:r>
    </w:p>
    <w:p>
      <w:pPr>
        <w:pStyle w:val="Normal"/>
        <w:spacing w:before="0" w:after="120"/>
        <w:rPr/>
      </w:pPr>
      <w:r>
        <w:rPr>
          <w:b/>
          <w:bCs/>
          <w:lang w:val="en-AU"/>
        </w:rPr>
        <w:t>Port</w:t>
      </w:r>
      <w:r>
        <w:rPr>
          <w:lang w:val="en-AU"/>
        </w:rPr>
        <w:t>: particular interface, of the specified equipment (apparatus), with the electromagnetic environment. For example, any connection point on an equipment intended for connection of cables to or from that equipment is considered as a port (see figure 1).</w:t>
      </w:r>
    </w:p>
    <w:p>
      <w:pPr>
        <w:pStyle w:val="TH"/>
        <w:rPr/>
      </w:pPr>
      <w:r>
        <w:rPr/>
        <w:drawing>
          <wp:inline distT="0" distB="0" distL="0" distR="0">
            <wp:extent cx="4364355" cy="144526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6" t="-19" r="-6" b="-19"/>
                    <a:stretch>
                      <a:fillRect/>
                    </a:stretch>
                  </pic:blipFill>
                  <pic:spPr bwMode="auto">
                    <a:xfrm>
                      <a:off x="0" y="0"/>
                      <a:ext cx="4364355" cy="1445260"/>
                    </a:xfrm>
                    <a:prstGeom prst="rect">
                      <a:avLst/>
                    </a:prstGeom>
                  </pic:spPr>
                </pic:pic>
              </a:graphicData>
            </a:graphic>
          </wp:inline>
        </w:drawing>
      </w:r>
    </w:p>
    <w:p>
      <w:pPr>
        <w:pStyle w:val="Normal"/>
        <w:rPr/>
      </w:pPr>
      <w:r>
        <w:rPr>
          <w:b/>
          <w:bCs/>
        </w:rPr>
        <w:t>Spurious emission from ITU-R SM 329:</w:t>
      </w:r>
      <w:r>
        <w:rPr/>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noBreakHyphen/>
        <w:t>of</w:t>
        <w:noBreakHyphen/>
        <w:t xml:space="preserve">band emissions. </w:t>
      </w:r>
    </w:p>
    <w:p>
      <w:pPr>
        <w:pStyle w:val="NO"/>
        <w:rPr/>
      </w:pPr>
      <w:r>
        <w:rPr/>
        <w:t>NOTE</w:t>
        <w:tab/>
        <w:t>For multi</w:t>
        <w:noBreakHyphen/>
        <w:t>channel or multi-carrier transmitters/transponders, where several carriers may be transmitted simultaneously from a final output amplifier or an active antenna, the centre frequency of the emission is taken to be the centre of the –3dB bandwidth of the transmitter or transponder.</w:t>
      </w:r>
    </w:p>
    <w:p>
      <w:pPr>
        <w:pStyle w:val="Normal"/>
        <w:spacing w:before="0" w:after="120"/>
        <w:rPr/>
      </w:pPr>
      <w:r>
        <w:rPr>
          <w:b/>
          <w:bCs/>
          <w:lang w:val="en-AU"/>
        </w:rPr>
        <w:t>Telecommunication port:</w:t>
      </w:r>
      <w:r>
        <w:rPr>
          <w:lang w:val="en-AU"/>
        </w:rPr>
        <w:t xml:space="preserve"> Ports which are intended to be connected to telecommunication networks (e.g. public switched telecommunication networks, integrated services digital networks), local area networks (e.g. Ethernet, Token Ring) and similar networks (see </w:t>
      </w:r>
      <w:r>
        <w:rPr/>
        <w:t>CISPR 22).</w:t>
      </w:r>
    </w:p>
    <w:p>
      <w:pPr>
        <w:sectPr>
          <w:headerReference w:type="default" r:id="rId7"/>
          <w:headerReference w:type="first" r:id="rId8"/>
          <w:footerReference w:type="default" r:id="rId9"/>
          <w:footerReference w:type="first" r:id="rId10"/>
          <w:type w:val="nextPage"/>
          <w:pgSz w:w="11906" w:h="16838"/>
          <w:pgMar w:left="1134" w:right="1134" w:gutter="0" w:header="851" w:top="1418" w:footer="340" w:bottom="1264"/>
          <w:pgNumType w:fmt="decimal"/>
          <w:formProt w:val="false"/>
          <w:titlePg/>
          <w:textDirection w:val="lrTb"/>
          <w:docGrid w:type="default" w:linePitch="360" w:charSpace="0"/>
        </w:sectPr>
        <w:pStyle w:val="Normal"/>
        <w:spacing w:before="0" w:after="120"/>
        <w:rPr>
          <w:lang w:val="en-AU"/>
        </w:rPr>
      </w:pPr>
      <w:r>
        <w:rPr>
          <w:b/>
          <w:bCs/>
        </w:rPr>
        <w:t>Transient phenomena</w:t>
      </w:r>
      <w:r>
        <w:rPr>
          <w:b/>
          <w:bCs/>
          <w:lang w:val="en-AU"/>
        </w:rPr>
        <w:t xml:space="preserve">: </w:t>
      </w:r>
      <w:r>
        <w:rPr/>
        <w:t>Pertaining to or designating a phenomena or a quantity which varies between two consecutive steady states during a time interval short compared with the time-scale of interest (IEC 60050-161 ).</w:t>
      </w:r>
    </w:p>
    <w:p>
      <w:pPr>
        <w:pStyle w:val="Heading1"/>
        <w:ind w:left="1134" w:hanging="1134"/>
        <w:rPr>
          <w:rFonts w:eastAsia="Malgun Gothic"/>
          <w:lang w:eastAsia="ko-KR"/>
        </w:rPr>
      </w:pPr>
      <w:bookmarkStart w:id="10" w:name="__RefHeading___Toc518925633"/>
      <w:bookmarkEnd w:id="10"/>
      <w:r>
        <w:rPr/>
        <w:t>4</w:t>
        <w:tab/>
        <w:t>Table of International EMC Requirements for Mobile terminals and ancillary equipment</w:t>
      </w:r>
    </w:p>
    <w:p>
      <w:pPr>
        <w:pStyle w:val="TH"/>
        <w:rPr>
          <w:rFonts w:eastAsia="Malgun Gothic"/>
          <w:lang w:eastAsia="ko-KR"/>
        </w:rPr>
      </w:pPr>
      <w:r>
        <w:rPr>
          <w:rFonts w:eastAsia="Malgun Gothic"/>
          <w:lang w:eastAsia="ko-KR"/>
        </w:rPr>
      </w:r>
    </w:p>
    <w:tbl>
      <w:tblPr>
        <w:tblW w:w="15246" w:type="dxa"/>
        <w:jc w:val="left"/>
        <w:tblInd w:w="-61" w:type="dxa"/>
        <w:tblLayout w:type="fixed"/>
        <w:tblCellMar>
          <w:top w:w="0" w:type="dxa"/>
          <w:left w:w="54" w:type="dxa"/>
          <w:bottom w:w="0" w:type="dxa"/>
          <w:right w:w="54" w:type="dxa"/>
        </w:tblCellMar>
      </w:tblPr>
      <w:tblGrid>
        <w:gridCol w:w="1559"/>
        <w:gridCol w:w="901"/>
        <w:gridCol w:w="909"/>
        <w:gridCol w:w="638"/>
        <w:gridCol w:w="915"/>
        <w:gridCol w:w="605"/>
        <w:gridCol w:w="1721"/>
        <w:gridCol w:w="1333"/>
        <w:gridCol w:w="946"/>
        <w:gridCol w:w="801"/>
        <w:gridCol w:w="1004"/>
        <w:gridCol w:w="1108"/>
        <w:gridCol w:w="2019"/>
        <w:gridCol w:w="787"/>
      </w:tblGrid>
      <w:tr>
        <w:trPr>
          <w:cantSplit w:val="true"/>
        </w:trPr>
        <w:tc>
          <w:tcPr>
            <w:tcW w:w="1559"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eastAsia="sv-SE"/>
              </w:rPr>
            </w:pPr>
            <w:r>
              <w:rPr>
                <w:sz w:val="16"/>
                <w:szCs w:val="16"/>
                <w:lang w:eastAsia="sv-SE"/>
              </w:rPr>
              <w:t>SPEC</w:t>
            </w:r>
          </w:p>
          <w:p>
            <w:pPr>
              <w:pStyle w:val="TAH"/>
              <w:rPr>
                <w:sz w:val="16"/>
                <w:szCs w:val="16"/>
                <w:lang w:eastAsia="sv-SE"/>
              </w:rPr>
            </w:pPr>
            <w:r>
              <w:rPr>
                <w:rFonts w:eastAsia="Arial"/>
                <w:sz w:val="16"/>
                <w:szCs w:val="16"/>
                <w:lang w:eastAsia="sv-SE"/>
              </w:rPr>
              <w:t xml:space="preserve"> </w:t>
            </w:r>
            <w:r>
              <w:rPr>
                <w:sz w:val="16"/>
                <w:szCs w:val="16"/>
                <w:lang w:eastAsia="sv-SE"/>
              </w:rPr>
              <w:t>ITEM AREA</w:t>
            </w:r>
          </w:p>
        </w:tc>
        <w:tc>
          <w:tcPr>
            <w:tcW w:w="901"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eastAsia="sv-SE"/>
              </w:rPr>
            </w:pPr>
            <w:r>
              <w:rPr>
                <w:sz w:val="16"/>
                <w:szCs w:val="16"/>
                <w:lang w:eastAsia="sv-SE"/>
              </w:rPr>
              <w:t>APPLIC.</w:t>
            </w:r>
          </w:p>
        </w:tc>
        <w:tc>
          <w:tcPr>
            <w:tcW w:w="909"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i-FI" w:eastAsia="sv-SE"/>
              </w:rPr>
            </w:pPr>
            <w:r>
              <w:rPr>
                <w:sz w:val="16"/>
                <w:szCs w:val="16"/>
                <w:lang w:val="fi-FI" w:eastAsia="sv-SE"/>
              </w:rPr>
              <w:t>China</w:t>
            </w:r>
          </w:p>
        </w:tc>
        <w:tc>
          <w:tcPr>
            <w:tcW w:w="638"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val="fi-FI" w:eastAsia="sv-SE"/>
              </w:rPr>
            </w:pPr>
            <w:r>
              <w:rPr>
                <w:sz w:val="16"/>
                <w:szCs w:val="16"/>
                <w:lang w:val="fi-FI" w:eastAsia="sv-SE"/>
              </w:rPr>
            </w:r>
          </w:p>
        </w:tc>
        <w:tc>
          <w:tcPr>
            <w:tcW w:w="915"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eastAsia="sv-SE"/>
              </w:rPr>
            </w:pPr>
            <w:r>
              <w:rPr>
                <w:sz w:val="16"/>
                <w:szCs w:val="16"/>
                <w:lang w:eastAsia="sv-SE"/>
              </w:rPr>
              <w:t>3GPP SPECS</w:t>
            </w:r>
          </w:p>
        </w:tc>
        <w:tc>
          <w:tcPr>
            <w:tcW w:w="605"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i-FI" w:eastAsia="sv-SE"/>
              </w:rPr>
            </w:pPr>
            <w:r>
              <w:rPr>
                <w:sz w:val="16"/>
                <w:szCs w:val="16"/>
                <w:lang w:val="fi-FI" w:eastAsia="sv-SE"/>
              </w:rPr>
              <w:t>JAPAN</w:t>
            </w:r>
          </w:p>
        </w:tc>
        <w:tc>
          <w:tcPr>
            <w:tcW w:w="1333"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val="fi-FI" w:eastAsia="sv-SE"/>
              </w:rPr>
            </w:pPr>
            <w:r>
              <w:rPr>
                <w:sz w:val="16"/>
                <w:szCs w:val="16"/>
                <w:lang w:val="fi-FI" w:eastAsia="sv-SE"/>
              </w:rPr>
            </w:r>
          </w:p>
        </w:tc>
        <w:tc>
          <w:tcPr>
            <w:tcW w:w="946"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i-FI" w:eastAsia="sv-SE"/>
              </w:rPr>
            </w:pPr>
            <w:r>
              <w:rPr>
                <w:sz w:val="16"/>
                <w:szCs w:val="16"/>
                <w:lang w:val="fi-FI" w:eastAsia="sv-SE"/>
              </w:rPr>
              <w:t>EUROPE</w:t>
            </w:r>
          </w:p>
        </w:tc>
        <w:tc>
          <w:tcPr>
            <w:tcW w:w="801"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val="fi-FI" w:eastAsia="sv-SE"/>
              </w:rPr>
            </w:pPr>
            <w:r>
              <w:rPr>
                <w:sz w:val="16"/>
                <w:szCs w:val="16"/>
                <w:lang w:val="fi-FI" w:eastAsia="sv-SE"/>
              </w:rPr>
            </w:r>
          </w:p>
        </w:tc>
        <w:tc>
          <w:tcPr>
            <w:tcW w:w="1004"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i-FI" w:eastAsia="sv-SE"/>
              </w:rPr>
            </w:pPr>
            <w:r>
              <w:rPr>
                <w:sz w:val="16"/>
                <w:szCs w:val="16"/>
                <w:lang w:val="fi-FI" w:eastAsia="sv-SE"/>
              </w:rPr>
              <w:t>USA</w:t>
            </w:r>
          </w:p>
        </w:tc>
        <w:tc>
          <w:tcPr>
            <w:tcW w:w="1108"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val="fi-FI" w:eastAsia="sv-SE"/>
              </w:rPr>
            </w:pPr>
            <w:r>
              <w:rPr>
                <w:sz w:val="16"/>
                <w:szCs w:val="16"/>
                <w:lang w:val="fi-FI" w:eastAsia="sv-SE"/>
              </w:rPr>
            </w:r>
          </w:p>
        </w:tc>
        <w:tc>
          <w:tcPr>
            <w:tcW w:w="2019"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KOREA</w:t>
            </w:r>
          </w:p>
        </w:tc>
        <w:tc>
          <w:tcPr>
            <w:tcW w:w="787"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val="fr-FR" w:eastAsia="sv-SE"/>
              </w:rPr>
            </w:pPr>
            <w:r>
              <w:rPr>
                <w:sz w:val="16"/>
                <w:szCs w:val="16"/>
                <w:lang w:val="fr-FR"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rFonts w:ascii="Arial" w:hAnsi="Arial" w:cs="Arial"/>
                <w:b/>
                <w:b/>
                <w:sz w:val="16"/>
                <w:szCs w:val="16"/>
                <w:lang w:val="fr-FR" w:eastAsia="sv-SE"/>
              </w:rPr>
            </w:pPr>
            <w:r>
              <w:rPr>
                <w:rFonts w:cs="Arial"/>
                <w:b/>
                <w:sz w:val="16"/>
                <w:szCs w:val="16"/>
                <w:lang w:val="fr-FR" w:eastAsia="sv-SE"/>
              </w:rPr>
            </w:r>
          </w:p>
        </w:tc>
        <w:tc>
          <w:tcPr>
            <w:tcW w:w="901" w:type="dxa"/>
            <w:tcBorders>
              <w:top w:val="single" w:sz="6" w:space="0" w:color="000000"/>
              <w:left w:val="single" w:sz="6" w:space="0" w:color="000000"/>
              <w:bottom w:val="single" w:sz="6" w:space="0" w:color="000000"/>
              <w:right w:val="single" w:sz="6" w:space="0" w:color="000000"/>
            </w:tcBorders>
            <w:shd w:fill="FFFF00" w:val="clear"/>
          </w:tcPr>
          <w:p>
            <w:pPr>
              <w:pStyle w:val="TAH"/>
              <w:snapToGrid w:val="false"/>
              <w:rPr>
                <w:sz w:val="16"/>
                <w:szCs w:val="16"/>
                <w:lang w:val="fr-FR" w:eastAsia="sv-SE"/>
              </w:rPr>
            </w:pPr>
            <w:r>
              <w:rPr>
                <w:sz w:val="16"/>
                <w:szCs w:val="16"/>
                <w:lang w:val="fr-FR" w:eastAsia="sv-SE"/>
              </w:rPr>
            </w:r>
          </w:p>
        </w:tc>
        <w:tc>
          <w:tcPr>
            <w:tcW w:w="909"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REQMENT</w:t>
            </w:r>
          </w:p>
        </w:tc>
        <w:tc>
          <w:tcPr>
            <w:tcW w:w="638"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REF. DOC</w:t>
            </w:r>
          </w:p>
        </w:tc>
        <w:tc>
          <w:tcPr>
            <w:tcW w:w="915"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REQMENT</w:t>
            </w:r>
          </w:p>
        </w:tc>
        <w:tc>
          <w:tcPr>
            <w:tcW w:w="605"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REF. DOC</w:t>
            </w:r>
          </w:p>
        </w:tc>
        <w:tc>
          <w:tcPr>
            <w:tcW w:w="1721"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REQMENT</w:t>
            </w:r>
          </w:p>
        </w:tc>
        <w:tc>
          <w:tcPr>
            <w:tcW w:w="1333"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REF. DOC</w:t>
            </w:r>
          </w:p>
        </w:tc>
        <w:tc>
          <w:tcPr>
            <w:tcW w:w="946"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REQMENT</w:t>
            </w:r>
          </w:p>
        </w:tc>
        <w:tc>
          <w:tcPr>
            <w:tcW w:w="801"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REF. DOC</w:t>
            </w:r>
          </w:p>
        </w:tc>
        <w:tc>
          <w:tcPr>
            <w:tcW w:w="1004"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REQMENT</w:t>
            </w:r>
          </w:p>
        </w:tc>
        <w:tc>
          <w:tcPr>
            <w:tcW w:w="1108" w:type="dxa"/>
            <w:tcBorders>
              <w:top w:val="single" w:sz="6" w:space="0" w:color="000000"/>
              <w:left w:val="single" w:sz="6" w:space="0" w:color="000000"/>
              <w:bottom w:val="single" w:sz="6" w:space="0" w:color="000000"/>
              <w:right w:val="single" w:sz="6" w:space="0" w:color="000000"/>
            </w:tcBorders>
            <w:shd w:fill="FFFF00" w:val="clear"/>
          </w:tcPr>
          <w:p>
            <w:pPr>
              <w:pStyle w:val="TAH"/>
              <w:rPr/>
            </w:pPr>
            <w:r>
              <w:rPr>
                <w:sz w:val="16"/>
                <w:szCs w:val="16"/>
                <w:lang w:val="fr-FR" w:eastAsia="sv-SE"/>
              </w:rPr>
              <w:t>REF. DOC</w:t>
            </w:r>
          </w:p>
        </w:tc>
        <w:tc>
          <w:tcPr>
            <w:tcW w:w="2019"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REQMENT</w:t>
            </w:r>
          </w:p>
        </w:tc>
        <w:tc>
          <w:tcPr>
            <w:tcW w:w="787" w:type="dxa"/>
            <w:tcBorders>
              <w:top w:val="single" w:sz="6" w:space="0" w:color="000000"/>
              <w:left w:val="single" w:sz="6" w:space="0" w:color="000000"/>
              <w:bottom w:val="single" w:sz="6" w:space="0" w:color="000000"/>
              <w:right w:val="single" w:sz="6" w:space="0" w:color="000000"/>
            </w:tcBorders>
            <w:shd w:fill="FFFF00" w:val="clear"/>
          </w:tcPr>
          <w:p>
            <w:pPr>
              <w:pStyle w:val="TAH"/>
              <w:rPr>
                <w:sz w:val="16"/>
                <w:szCs w:val="16"/>
                <w:lang w:val="fr-FR" w:eastAsia="sv-SE"/>
              </w:rPr>
            </w:pPr>
            <w:r>
              <w:rPr>
                <w:sz w:val="16"/>
                <w:szCs w:val="16"/>
                <w:lang w:val="fr-FR" w:eastAsia="sv-SE"/>
              </w:rPr>
              <w:t>REF. DOC</w:t>
            </w:r>
          </w:p>
        </w:tc>
      </w:tr>
      <w:tr>
        <w:trPr>
          <w:cantSplit w:val="true"/>
        </w:trPr>
        <w:tc>
          <w:tcPr>
            <w:tcW w:w="15246" w:type="dxa"/>
            <w:gridSpan w:val="14"/>
            <w:tcBorders>
              <w:top w:val="single" w:sz="6" w:space="0" w:color="000000"/>
              <w:left w:val="single" w:sz="6" w:space="0" w:color="000000"/>
              <w:bottom w:val="single" w:sz="6" w:space="0" w:color="000000"/>
              <w:right w:val="single" w:sz="6" w:space="0" w:color="000000"/>
            </w:tcBorders>
            <w:shd w:fill="FF0000" w:val="clear"/>
          </w:tcPr>
          <w:p>
            <w:pPr>
              <w:pStyle w:val="TAH"/>
              <w:rPr>
                <w:sz w:val="16"/>
                <w:szCs w:val="16"/>
                <w:lang w:eastAsia="sv-SE"/>
              </w:rPr>
            </w:pPr>
            <w:r>
              <w:rPr>
                <w:sz w:val="16"/>
                <w:szCs w:val="16"/>
                <w:lang w:eastAsia="sv-SE"/>
              </w:rPr>
              <w:t>RADIATED EMISSIONS</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pPr>
            <w:r>
              <w:rPr>
                <w:rFonts w:eastAsia="Arial"/>
                <w:sz w:val="16"/>
                <w:szCs w:val="16"/>
                <w:lang w:eastAsia="sv-SE"/>
              </w:rPr>
              <w:t xml:space="preserve">    </w:t>
            </w:r>
            <w:r>
              <w:rPr>
                <w:sz w:val="16"/>
                <w:szCs w:val="16"/>
                <w:lang w:eastAsia="sv-SE"/>
              </w:rPr>
              <w:t xml:space="preserve">Limits on Radiated Emission </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Vehicular, Portable, Ancillary,       </w:t>
            </w:r>
          </w:p>
        </w:tc>
        <w:tc>
          <w:tcPr>
            <w:tcW w:w="90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C404</w:t>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p>
            <w:pPr>
              <w:pStyle w:val="TAR"/>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pPr>
            <w:r>
              <w:rPr>
                <w:b/>
                <w:sz w:val="16"/>
                <w:szCs w:val="16"/>
                <w:lang w:eastAsia="ja-JP"/>
              </w:rPr>
              <w:t>c</w:t>
            </w:r>
            <w:r>
              <w:rPr>
                <w:b/>
                <w:sz w:val="16"/>
                <w:szCs w:val="16"/>
                <w:lang w:eastAsia="sv-SE"/>
              </w:rPr>
              <w:t>lassA</w:t>
            </w:r>
            <w:r>
              <w:rPr>
                <w:b/>
                <w:sz w:val="16"/>
                <w:szCs w:val="16"/>
                <w:lang w:eastAsia="ja-JP"/>
              </w:rPr>
              <w:t>(Q-peak)</w:t>
            </w:r>
            <w:r>
              <w:rPr>
                <w:b/>
                <w:sz w:val="16"/>
                <w:szCs w:val="16"/>
                <w:lang w:eastAsia="sv-SE"/>
              </w:rPr>
              <w:t xml:space="preserve">                                          </w:t>
            </w:r>
            <w:r>
              <w:rPr>
                <w:b/>
                <w:sz w:val="16"/>
                <w:szCs w:val="16"/>
                <w:lang w:eastAsia="ja-JP"/>
              </w:rPr>
              <w:t xml:space="preserve">    </w:t>
            </w:r>
            <w:r>
              <w:rPr>
                <w:sz w:val="16"/>
                <w:szCs w:val="16"/>
                <w:lang w:eastAsia="sv-SE"/>
              </w:rPr>
              <w:t>30MHz</w:t>
            </w:r>
            <w:r>
              <w:rPr>
                <w:sz w:val="16"/>
                <w:szCs w:val="16"/>
                <w:lang w:eastAsia="ja-JP"/>
              </w:rPr>
              <w:t>-2</w:t>
            </w:r>
            <w:r>
              <w:rPr>
                <w:sz w:val="16"/>
                <w:szCs w:val="16"/>
                <w:lang w:eastAsia="sv-SE"/>
              </w:rPr>
              <w:t>30</w:t>
            </w:r>
            <w:r>
              <w:rPr>
                <w:sz w:val="16"/>
                <w:szCs w:val="16"/>
                <w:lang w:eastAsia="ja-JP"/>
              </w:rPr>
              <w:t xml:space="preserve">    </w:t>
            </w:r>
            <w:r>
              <w:rPr>
                <w:sz w:val="16"/>
                <w:szCs w:val="16"/>
                <w:lang w:eastAsia="sv-SE"/>
              </w:rPr>
              <w:t>MHz</w:t>
            </w:r>
            <w:r>
              <w:rPr>
                <w:sz w:val="16"/>
                <w:szCs w:val="16"/>
                <w:lang w:eastAsia="ja-JP"/>
              </w:rPr>
              <w:t xml:space="preserve"> </w:t>
            </w:r>
            <w:r>
              <w:rPr>
                <w:sz w:val="16"/>
                <w:szCs w:val="16"/>
                <w:lang w:eastAsia="sv-SE"/>
              </w:rPr>
              <w:t>:</w:t>
            </w:r>
            <w:r>
              <w:rPr>
                <w:sz w:val="16"/>
                <w:szCs w:val="16"/>
                <w:lang w:eastAsia="ja-JP"/>
              </w:rPr>
              <w:t xml:space="preserve"> </w:t>
            </w:r>
            <w:r>
              <w:rPr>
                <w:sz w:val="16"/>
                <w:szCs w:val="16"/>
                <w:lang w:eastAsia="sv-SE"/>
              </w:rPr>
              <w:t>40dBuV/m</w:t>
            </w:r>
            <w:r>
              <w:rPr>
                <w:sz w:val="16"/>
                <w:szCs w:val="16"/>
                <w:lang w:eastAsia="ja-JP"/>
              </w:rPr>
              <w:t xml:space="preserve"> 2</w:t>
            </w:r>
            <w:r>
              <w:rPr>
                <w:sz w:val="16"/>
                <w:szCs w:val="16"/>
                <w:lang w:eastAsia="sv-SE"/>
              </w:rPr>
              <w:t>30MHz</w:t>
            </w:r>
            <w:r>
              <w:rPr>
                <w:sz w:val="16"/>
                <w:szCs w:val="16"/>
                <w:lang w:eastAsia="ja-JP"/>
              </w:rPr>
              <w:t>-</w:t>
            </w:r>
            <w:r>
              <w:rPr>
                <w:sz w:val="16"/>
                <w:szCs w:val="16"/>
                <w:lang w:eastAsia="sv-SE"/>
              </w:rPr>
              <w:t>1GHz</w:t>
            </w:r>
            <w:r>
              <w:rPr>
                <w:sz w:val="16"/>
                <w:szCs w:val="16"/>
                <w:lang w:eastAsia="ja-JP"/>
              </w:rPr>
              <w:t xml:space="preserve"> : </w:t>
            </w:r>
            <w:r>
              <w:rPr>
                <w:sz w:val="16"/>
                <w:szCs w:val="16"/>
                <w:lang w:eastAsia="sv-SE"/>
              </w:rPr>
              <w:t xml:space="preserve">47 dBuV/m                      </w:t>
            </w:r>
            <w:r>
              <w:rPr>
                <w:b/>
                <w:sz w:val="16"/>
                <w:szCs w:val="16"/>
                <w:lang w:eastAsia="sv-SE"/>
              </w:rPr>
              <w:t>classB</w:t>
            </w:r>
            <w:r>
              <w:rPr>
                <w:b/>
                <w:sz w:val="16"/>
                <w:szCs w:val="16"/>
                <w:lang w:eastAsia="ja-JP"/>
              </w:rPr>
              <w:t>(Q-peak)</w:t>
            </w:r>
            <w:r>
              <w:rPr>
                <w:b/>
                <w:sz w:val="16"/>
                <w:szCs w:val="16"/>
                <w:lang w:eastAsia="sv-SE"/>
              </w:rPr>
              <w:t xml:space="preserve">                                                                      </w:t>
            </w:r>
            <w:r>
              <w:rPr>
                <w:sz w:val="16"/>
                <w:szCs w:val="16"/>
                <w:lang w:eastAsia="sv-SE"/>
              </w:rPr>
              <w:t>30 MHz -230 MHz :</w:t>
            </w:r>
            <w:r>
              <w:rPr>
                <w:sz w:val="16"/>
                <w:szCs w:val="16"/>
                <w:lang w:eastAsia="ja-JP"/>
              </w:rPr>
              <w:t xml:space="preserve">              </w:t>
            </w:r>
            <w:r>
              <w:rPr>
                <w:sz w:val="16"/>
                <w:szCs w:val="16"/>
                <w:lang w:eastAsia="sv-SE"/>
              </w:rPr>
              <w:t xml:space="preserve"> 30 dBuV/m         230MHz-1GHz : 37 dBuV/m</w:t>
            </w:r>
          </w:p>
        </w:tc>
        <w:tc>
          <w:tcPr>
            <w:tcW w:w="1333"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 xml:space="preserve">ARIB T-57 2.2  reference from  CISPR22 *(measurement is under receiving condition) </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EN 300 607-1</w:t>
            </w:r>
          </w:p>
          <w:p>
            <w:pPr>
              <w:pStyle w:val="TAR"/>
              <w:rPr>
                <w:sz w:val="16"/>
                <w:szCs w:val="16"/>
                <w:lang w:val="fr-FR" w:eastAsia="sv-SE"/>
              </w:rPr>
            </w:pPr>
            <w:r>
              <w:rPr>
                <w:sz w:val="16"/>
                <w:szCs w:val="16"/>
                <w:lang w:val="fr-FR" w:eastAsia="sv-SE"/>
              </w:rPr>
              <w:t xml:space="preserve">Version 6 </w:t>
            </w:r>
          </w:p>
          <w:p>
            <w:pPr>
              <w:pStyle w:val="TAR"/>
              <w:rPr>
                <w:sz w:val="16"/>
                <w:szCs w:val="16"/>
                <w:lang w:val="fr-FR" w:eastAsia="sv-SE"/>
              </w:rPr>
            </w:pPr>
            <w:r>
              <w:rPr>
                <w:sz w:val="16"/>
                <w:szCs w:val="16"/>
                <w:lang w:val="fr-FR" w:eastAsia="sv-SE"/>
              </w:rPr>
              <w:t>release 1997</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pPr>
            <w:r>
              <w:rPr>
                <w:b/>
                <w:sz w:val="16"/>
                <w:szCs w:val="16"/>
                <w:lang w:val="fr-FR" w:eastAsia="sv-SE"/>
              </w:rPr>
              <w:t xml:space="preserve">class A (Q-peak)                                                                     </w:t>
            </w:r>
            <w:r>
              <w:rPr>
                <w:sz w:val="16"/>
                <w:szCs w:val="16"/>
                <w:lang w:val="fr-FR" w:eastAsia="sv-SE"/>
              </w:rPr>
              <w:t xml:space="preserve">30 MHz-230 MHz : 40dBuV/m                  230MHz-1GHz : 47 dBuV/m                      </w:t>
            </w:r>
            <w:r>
              <w:rPr>
                <w:b/>
                <w:sz w:val="16"/>
                <w:szCs w:val="16"/>
                <w:lang w:val="fr-FR" w:eastAsia="sv-SE"/>
              </w:rPr>
              <w:t xml:space="preserve">classB (Q-peak)                                                                       </w:t>
            </w:r>
            <w:r>
              <w:rPr>
                <w:sz w:val="16"/>
                <w:szCs w:val="16"/>
                <w:lang w:val="fr-FR" w:eastAsia="sv-SE"/>
              </w:rPr>
              <w:t>30 MHz -230 MHz : 30 dBuV/m         230MHz-1GHz : 37 dBuV/m</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CISPR22</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sz w:val="16"/>
                <w:szCs w:val="16"/>
                <w:lang w:eastAsia="sv-SE"/>
              </w:rPr>
            </w:pPr>
            <w:r>
              <w:rPr>
                <w:rFonts w:cs="Arial"/>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Transmit OFF power</w:t>
            </w:r>
          </w:p>
          <w:p>
            <w:pPr>
              <w:pStyle w:val="TAR"/>
              <w:rPr>
                <w:sz w:val="16"/>
                <w:szCs w:val="16"/>
                <w:lang w:eastAsia="sv-SE"/>
              </w:rPr>
            </w:pPr>
            <w:r>
              <w:rPr>
                <w:sz w:val="16"/>
                <w:szCs w:val="16"/>
                <w:lang w:eastAsia="sv-SE"/>
              </w:rPr>
              <w:t>(idle m ode)</w:t>
            </w:r>
          </w:p>
          <w:p>
            <w:pPr>
              <w:pStyle w:val="TAR"/>
              <w:rPr>
                <w:sz w:val="16"/>
                <w:szCs w:val="16"/>
                <w:lang w:eastAsia="sv-SE"/>
              </w:rPr>
            </w:pPr>
            <w:r>
              <w:rPr>
                <w:sz w:val="16"/>
                <w:szCs w:val="16"/>
                <w:lang w:eastAsia="sv-SE"/>
              </w:rPr>
            </w:r>
          </w:p>
          <w:p>
            <w:pPr>
              <w:pStyle w:val="TAR"/>
              <w:rPr>
                <w:sz w:val="16"/>
                <w:szCs w:val="16"/>
                <w:lang w:eastAsia="sv-SE"/>
              </w:rPr>
            </w:pPr>
            <w:r>
              <w:rPr>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-60 dBm for PDC terminal </w:t>
            </w:r>
          </w:p>
        </w:tc>
        <w:tc>
          <w:tcPr>
            <w:tcW w:w="1333"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RCR 27 (Standard for PDC)</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EN 300 607-1</w:t>
            </w:r>
          </w:p>
          <w:p>
            <w:pPr>
              <w:pStyle w:val="TAR"/>
              <w:rPr>
                <w:sz w:val="16"/>
                <w:szCs w:val="16"/>
                <w:lang w:val="fr-FR" w:eastAsia="sv-SE"/>
              </w:rPr>
            </w:pPr>
            <w:r>
              <w:rPr>
                <w:sz w:val="16"/>
                <w:szCs w:val="16"/>
                <w:lang w:val="fr-FR" w:eastAsia="sv-SE"/>
              </w:rPr>
              <w:t xml:space="preserve">Version 6 </w:t>
            </w:r>
          </w:p>
          <w:p>
            <w:pPr>
              <w:pStyle w:val="TAR"/>
              <w:rPr>
                <w:sz w:val="16"/>
                <w:szCs w:val="16"/>
                <w:lang w:val="fr-FR" w:eastAsia="sv-SE"/>
              </w:rPr>
            </w:pPr>
            <w:r>
              <w:rPr>
                <w:sz w:val="16"/>
                <w:szCs w:val="16"/>
                <w:lang w:val="fr-FR" w:eastAsia="sv-SE"/>
              </w:rPr>
              <w:t>release 1997</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sz w:val="16"/>
                <w:szCs w:val="16"/>
                <w:lang w:val="fr-FR" w:eastAsia="sv-SE"/>
              </w:rPr>
            </w:pPr>
            <w:r>
              <w:rPr>
                <w:rFonts w:cs="Arial"/>
                <w:sz w:val="16"/>
                <w:szCs w:val="16"/>
                <w:lang w:val="fr-FR"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Limits on Radiated Emissions</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Ancillary AC eqpt only</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CISPR 22</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EN 55022</w:t>
            </w:r>
          </w:p>
        </w:tc>
        <w:tc>
          <w:tcPr>
            <w:tcW w:w="1004"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Req for Part 24 devices. 500uV/m &gt;960 MHz or CISPR 22</w:t>
            </w:r>
          </w:p>
        </w:tc>
        <w:tc>
          <w:tcPr>
            <w:tcW w:w="1108"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CFR 47 Part 15.109(a),(e) needs further investigation</w:t>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sz w:val="16"/>
                <w:szCs w:val="16"/>
                <w:lang w:eastAsia="sv-SE"/>
              </w:rPr>
            </w:pPr>
            <w:r>
              <w:rPr>
                <w:rFonts w:cs="Arial"/>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246" w:type="dxa"/>
            <w:gridSpan w:val="14"/>
            <w:tcBorders>
              <w:top w:val="single" w:sz="6" w:space="0" w:color="000000"/>
              <w:left w:val="single" w:sz="6" w:space="0" w:color="000000"/>
              <w:bottom w:val="single" w:sz="6" w:space="0" w:color="000000"/>
              <w:right w:val="single" w:sz="6" w:space="0" w:color="000000"/>
            </w:tcBorders>
            <w:shd w:fill="FF0000" w:val="clear"/>
          </w:tcPr>
          <w:p>
            <w:pPr>
              <w:pStyle w:val="TAH"/>
              <w:rPr>
                <w:sz w:val="16"/>
                <w:szCs w:val="16"/>
                <w:lang w:eastAsia="sv-SE"/>
              </w:rPr>
            </w:pPr>
            <w:r>
              <w:rPr>
                <w:sz w:val="16"/>
                <w:szCs w:val="16"/>
                <w:lang w:eastAsia="sv-SE"/>
              </w:rPr>
              <w:t>CONDUCTED EMISSIONS</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A. Limits on Conducted Emission</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Ancillary equipment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Reqd for Part 24 devices.</w:t>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DC Power in/out</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Vehicular, Portable, Ancillary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0.15 - 0.5 MHz :                                               Q-Peak 79dBuV Average 66dBuV                            0.5 - 30 MHz :                                                  Q-Peak 73dBuV  Average 60dBuV</w:t>
            </w:r>
          </w:p>
        </w:tc>
        <w:tc>
          <w:tcPr>
            <w:tcW w:w="1333"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ARIB T-57  2.3  reference from CISPR 16-1 / 22</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CISPR 16-1, EN55022 </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0.15 - 0.5 MHz :                                               Q-Peak 79dBuV Average 66dBuV                            0.5 - 30 MHz :                                                  Q-Peak 73dBuV  Average 60dBuV</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CISPR22</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r-FR" w:eastAsia="sv-SE"/>
              </w:rPr>
              <w:t>AC Mains</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Portable, Ancillary</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Class A                                                          0.15 - 0.5 MHz :                                                          Q-Peak 79dBuV Average 66dBuV                                             0.5 - 30 MHz :                                                    Q-Peak 73dBuV Average 60dBuV                                            Class B                                                     0.15 - 0.5 MHz :                                           Q-Peak 66-56 dBuV / Average 56-46 dBuV                      0.5 - 5 MHz :                                                       Q-Peak 56 dBuV Average 46dBuV                                            5 -30 MHz :                                                 Q-Peak 60 dBuV Average 50dBuV</w:t>
            </w:r>
          </w:p>
        </w:tc>
        <w:tc>
          <w:tcPr>
            <w:tcW w:w="1333"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ARIB T-57  2.4  reference from CISPR 16-1 / 22</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CISPR 22, EN55022</w:t>
            </w:r>
          </w:p>
        </w:tc>
        <w:tc>
          <w:tcPr>
            <w:tcW w:w="1004"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250 uV &lt;30 MHz or CISPR 22</w:t>
            </w:r>
          </w:p>
        </w:tc>
        <w:tc>
          <w:tcPr>
            <w:tcW w:w="1108"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CFR part 15.107(a), (e)</w:t>
            </w:r>
          </w:p>
        </w:tc>
        <w:tc>
          <w:tcPr>
            <w:tcW w:w="201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r-FR" w:eastAsia="sv-SE"/>
              </w:rPr>
              <w:t>Class A                                                          0.15 - 0.5 MHz :                                                          Q-Peak 79dBuV Average 66dBuV                                             0.5 - 30 MHz :                                                    Q-Peak 73dBuV Average 60dBuV                                            Class B                                                     0.15 - 0.5 MHz :                                           Q-Peak 66-56 dBuV / Average 56-46 dBuV                      0.5 - 5 MHz :                                                       Q-Peak 56 dBuV Average 46dBuV                                            5 -30 MHz :                                                 Q-Peak 60 dBuV Average 50dBuV</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CISPR22</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Harmonic Current Emissions, AC Mains</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rFonts w:eastAsia="Arial"/>
                <w:sz w:val="16"/>
                <w:szCs w:val="16"/>
                <w:lang w:val="fr-FR" w:eastAsia="sv-SE"/>
              </w:rPr>
              <w:t xml:space="preserve"> </w:t>
            </w:r>
            <w:r>
              <w:rPr>
                <w:sz w:val="16"/>
                <w:szCs w:val="16"/>
                <w:lang w:val="fr-FR" w:eastAsia="sv-SE"/>
              </w:rPr>
              <w:t>Portable, Ancillary</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 xml:space="preserve">EN 61000-3-2 </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Not Applicable</w:t>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r-FR" w:eastAsia="sv-SE"/>
              </w:rPr>
              <w:t>Voltage Fluctuations/Flicker</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Portable, Ancillary</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EN 61000-3-3</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sz w:val="16"/>
                <w:szCs w:val="16"/>
                <w:lang w:eastAsia="sv-SE"/>
              </w:rPr>
            </w:pPr>
            <w:r>
              <w:rPr>
                <w:rFonts w:cs="Arial"/>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246" w:type="dxa"/>
            <w:gridSpan w:val="14"/>
            <w:tcBorders>
              <w:top w:val="single" w:sz="6" w:space="0" w:color="000000"/>
              <w:left w:val="single" w:sz="6" w:space="0" w:color="000000"/>
              <w:bottom w:val="single" w:sz="6" w:space="0" w:color="000000"/>
              <w:right w:val="single" w:sz="6" w:space="0" w:color="000000"/>
            </w:tcBorders>
            <w:shd w:fill="FF0000" w:val="clear"/>
          </w:tcPr>
          <w:p>
            <w:pPr>
              <w:pStyle w:val="TAH"/>
              <w:snapToGrid w:val="false"/>
              <w:rPr>
                <w:rFonts w:ascii="Arial" w:hAnsi="Arial" w:cs="Arial"/>
                <w:sz w:val="16"/>
                <w:szCs w:val="16"/>
                <w:lang w:eastAsia="sv-SE"/>
              </w:rPr>
            </w:pPr>
            <w:r>
              <w:rPr>
                <w:rFonts w:cs="Arial"/>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Immunity to RF EM Fields, 80-1000 MHz</w:t>
            </w:r>
          </w:p>
        </w:tc>
        <w:tc>
          <w:tcPr>
            <w:tcW w:w="90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 xml:space="preserve">Vehicular, 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RF EM Fields, 80-2000 MHz</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3 V/m</w:t>
            </w:r>
          </w:p>
        </w:tc>
        <w:tc>
          <w:tcPr>
            <w:tcW w:w="1333"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ARIB T-57  3.6 reference from </w:t>
            </w:r>
          </w:p>
          <w:p>
            <w:pPr>
              <w:pStyle w:val="TAR"/>
              <w:rPr>
                <w:sz w:val="16"/>
                <w:szCs w:val="16"/>
                <w:lang w:eastAsia="ja-JP"/>
              </w:rPr>
            </w:pPr>
            <w:r>
              <w:rPr>
                <w:sz w:val="16"/>
                <w:szCs w:val="16"/>
                <w:lang w:eastAsia="sv-SE"/>
              </w:rPr>
              <w:t>JIS 1000-4-3</w:t>
            </w:r>
          </w:p>
          <w:p>
            <w:pPr>
              <w:pStyle w:val="TAR"/>
              <w:rPr>
                <w:sz w:val="16"/>
                <w:szCs w:val="16"/>
                <w:lang w:eastAsia="ja-JP"/>
              </w:rPr>
            </w:pPr>
            <w:r>
              <w:rPr>
                <w:color w:val="0000FF"/>
                <w:sz w:val="16"/>
                <w:szCs w:val="16"/>
                <w:lang w:eastAsia="ja-JP"/>
              </w:rPr>
              <w:t>(</w:t>
            </w:r>
            <w:r>
              <w:rPr>
                <w:sz w:val="16"/>
                <w:szCs w:val="16"/>
                <w:lang w:eastAsia="sv-SE"/>
              </w:rPr>
              <w:t>IEC 61000-4-3</w:t>
            </w:r>
            <w:r>
              <w:rPr>
                <w:color w:val="0000FF"/>
                <w:sz w:val="16"/>
                <w:szCs w:val="16"/>
                <w:lang w:eastAsia="ja-JP"/>
              </w:rPr>
              <w:t>)</w:t>
            </w:r>
          </w:p>
        </w:tc>
        <w:tc>
          <w:tcPr>
            <w:tcW w:w="946"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3 V/m</w:t>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EN 61000-4-3</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3 V/m (80MHz~1GHz: No modulation)</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IEC 61000-4-3</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rFonts w:ascii="Arial" w:hAnsi="Arial" w:cs="Arial"/>
                <w:sz w:val="16"/>
                <w:szCs w:val="16"/>
                <w:lang w:eastAsia="sv-SE"/>
              </w:rPr>
            </w:pPr>
            <w:r>
              <w:rPr>
                <w:rFonts w:cs="Arial"/>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246" w:type="dxa"/>
            <w:gridSpan w:val="14"/>
            <w:tcBorders>
              <w:top w:val="single" w:sz="6" w:space="0" w:color="000000"/>
              <w:left w:val="single" w:sz="6" w:space="0" w:color="000000"/>
              <w:bottom w:val="single" w:sz="6" w:space="0" w:color="000000"/>
              <w:right w:val="single" w:sz="6" w:space="0" w:color="000000"/>
            </w:tcBorders>
            <w:shd w:fill="FF0000" w:val="clear"/>
          </w:tcPr>
          <w:p>
            <w:pPr>
              <w:pStyle w:val="TAH"/>
              <w:snapToGrid w:val="false"/>
              <w:rPr>
                <w:rFonts w:ascii="Arial" w:hAnsi="Arial" w:cs="Arial"/>
                <w:b/>
                <w:b/>
                <w:sz w:val="16"/>
                <w:szCs w:val="16"/>
                <w:lang w:eastAsia="sv-SE"/>
              </w:rPr>
            </w:pPr>
            <w:r>
              <w:rPr>
                <w:rFonts w:cs="Arial"/>
                <w:b/>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AC Mains - Voltage Dips and interruption</w:t>
            </w:r>
          </w:p>
        </w:tc>
        <w:tc>
          <w:tcPr>
            <w:tcW w:w="901" w:type="dxa"/>
            <w:tcBorders>
              <w:top w:val="single" w:sz="6" w:space="0" w:color="000000"/>
              <w:left w:val="single" w:sz="6" w:space="0" w:color="000000"/>
              <w:bottom w:val="single" w:sz="6" w:space="0" w:color="000000"/>
              <w:right w:val="single" w:sz="6" w:space="0" w:color="000000"/>
            </w:tcBorders>
          </w:tcPr>
          <w:p>
            <w:pPr>
              <w:pStyle w:val="TAR"/>
              <w:rPr/>
            </w:pPr>
            <w:r>
              <w:rPr>
                <w:rFonts w:eastAsia="Arial"/>
                <w:sz w:val="16"/>
                <w:szCs w:val="16"/>
                <w:lang w:eastAsia="sv-SE"/>
              </w:rPr>
              <w:t xml:space="preserve"> </w:t>
            </w:r>
            <w:r>
              <w:rPr>
                <w:sz w:val="16"/>
                <w:szCs w:val="16"/>
                <w:lang w:eastAsia="sv-SE"/>
              </w:rPr>
              <w:t xml:space="preserve">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EN 61000-4-11</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Under Consideration</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IEC 61000-4-11</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AC Mains - Surges, Common Mode and Differental mode</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i-FI" w:eastAsia="sv-SE"/>
              </w:rPr>
              <w:t>EN 61000-4-5</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i-FI" w:eastAsia="sv-SE"/>
              </w:rPr>
            </w:pPr>
            <w:r>
              <w:rPr>
                <w:sz w:val="16"/>
                <w:szCs w:val="16"/>
                <w:lang w:val="fi-FI"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i-FI" w:eastAsia="sv-SE"/>
              </w:rPr>
            </w:pPr>
            <w:r>
              <w:rPr>
                <w:sz w:val="16"/>
                <w:szCs w:val="16"/>
                <w:lang w:val="fi-FI"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1 kV</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IEC 61000-4-5</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DC Mains-Surges</w:t>
            </w:r>
          </w:p>
        </w:tc>
        <w:tc>
          <w:tcPr>
            <w:tcW w:w="90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Vehicular</w:t>
            </w:r>
            <w:r>
              <w:rPr>
                <w:color w:val="0000FF"/>
                <w:sz w:val="16"/>
                <w:szCs w:val="16"/>
                <w:lang w:eastAsia="sv-SE"/>
              </w:rPr>
              <w:t>,</w:t>
            </w:r>
            <w:r>
              <w:rPr>
                <w:sz w:val="16"/>
                <w:szCs w:val="16"/>
                <w:lang w:eastAsia="sv-SE"/>
              </w:rPr>
              <w:t xml:space="preserve"> 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Under Consideration</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IEC 61000-4-5</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Signal ports and Comm-unication ports-Surges</w:t>
            </w:r>
          </w:p>
        </w:tc>
        <w:tc>
          <w:tcPr>
            <w:tcW w:w="90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 xml:space="preserve">Vehicular, 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r-FR" w:eastAsia="sv-SE"/>
              </w:rPr>
              <w:t>DC Mains-Surges</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Vehicular,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50 V / -50 V  and  -5 V / -2.5 V / 0 V</w:t>
            </w:r>
          </w:p>
        </w:tc>
        <w:tc>
          <w:tcPr>
            <w:tcW w:w="1333"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ARIB T-57  3.10 reference from ISO 7637-1/2</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ISO 7637-1/2</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Under Consideration</w:t>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 xml:space="preserve">Fast Transients - AC/DC Power </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rFonts w:eastAsia="Arial"/>
                <w:sz w:val="16"/>
                <w:szCs w:val="16"/>
                <w:lang w:eastAsia="sv-SE"/>
              </w:rPr>
              <w:t xml:space="preserve"> </w:t>
            </w:r>
            <w:r>
              <w:rPr>
                <w:sz w:val="16"/>
                <w:szCs w:val="16"/>
                <w:lang w:eastAsia="sv-SE"/>
              </w:rPr>
              <w:t xml:space="preserve">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2/1 Kv</w:t>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EN 61000-4-4</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i-FI" w:eastAsia="sv-SE"/>
              </w:rPr>
            </w:pPr>
            <w:r>
              <w:rPr>
                <w:sz w:val="16"/>
                <w:szCs w:val="16"/>
                <w:lang w:val="fi-FI"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i-FI" w:eastAsia="sv-SE"/>
              </w:rPr>
            </w:pPr>
            <w:r>
              <w:rPr>
                <w:sz w:val="16"/>
                <w:szCs w:val="16"/>
                <w:lang w:val="fi-FI"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1kV</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IEC 61000-4-4</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Fast Transients - Signal/control ports</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rFonts w:eastAsia="Arial"/>
                <w:sz w:val="16"/>
                <w:szCs w:val="16"/>
                <w:lang w:eastAsia="sv-SE"/>
              </w:rPr>
              <w:t xml:space="preserve"> </w:t>
            </w:r>
            <w:r>
              <w:rPr>
                <w:sz w:val="16"/>
                <w:szCs w:val="16"/>
                <w:lang w:eastAsia="sv-SE"/>
              </w:rPr>
              <w:t xml:space="preserve">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Not applicable</w:t>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0.5 Kv</w:t>
            </w:r>
          </w:p>
        </w:tc>
        <w:tc>
          <w:tcPr>
            <w:tcW w:w="80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i-FI" w:eastAsia="sv-SE"/>
              </w:rPr>
              <w:t>EN 61000-4-4</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i-FI" w:eastAsia="sv-SE"/>
              </w:rPr>
            </w:pPr>
            <w:r>
              <w:rPr>
                <w:sz w:val="16"/>
                <w:szCs w:val="16"/>
                <w:lang w:val="fi-FI"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i-FI" w:eastAsia="sv-SE"/>
              </w:rPr>
            </w:pPr>
            <w:r>
              <w:rPr>
                <w:sz w:val="16"/>
                <w:szCs w:val="16"/>
                <w:lang w:val="fi-FI"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sz w:val="16"/>
                <w:szCs w:val="16"/>
                <w:lang w:val="fi-FI" w:eastAsia="sv-SE"/>
              </w:rPr>
            </w:pPr>
            <w:r>
              <w:rPr>
                <w:sz w:val="16"/>
                <w:szCs w:val="16"/>
                <w:lang w:val="fi-FI" w:eastAsia="sv-SE"/>
              </w:rPr>
              <w:t>0.5kV</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val="fr-FR" w:eastAsia="sv-SE"/>
              </w:rPr>
            </w:pPr>
            <w:r>
              <w:rPr>
                <w:sz w:val="16"/>
                <w:szCs w:val="16"/>
                <w:lang w:val="fr-FR" w:eastAsia="sv-SE"/>
              </w:rPr>
              <w:t>IEC 61000-4-4</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ja-JP"/>
              </w:rPr>
            </w:pPr>
            <w:r>
              <w:rPr>
                <w:sz w:val="16"/>
                <w:szCs w:val="16"/>
                <w:lang w:eastAsia="sv-SE"/>
              </w:rPr>
              <w:t>RF Conducted</w:t>
            </w:r>
          </w:p>
          <w:p>
            <w:pPr>
              <w:pStyle w:val="TAR"/>
              <w:rPr/>
            </w:pPr>
            <w:r>
              <w:rPr>
                <w:sz w:val="16"/>
                <w:szCs w:val="16"/>
                <w:lang w:eastAsia="ja-JP"/>
              </w:rPr>
              <w:t>0.15-80MHz</w:t>
            </w:r>
            <w:r>
              <w:rPr>
                <w:sz w:val="16"/>
                <w:szCs w:val="16"/>
                <w:lang w:eastAsia="sv-SE"/>
              </w:rPr>
              <w:t xml:space="preserve"> </w:t>
            </w:r>
          </w:p>
        </w:tc>
        <w:tc>
          <w:tcPr>
            <w:tcW w:w="9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 xml:space="preserve">Vehicular, Portable, Ancillary eqpt, </w:t>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color w:val="0000FF"/>
                <w:sz w:val="16"/>
                <w:szCs w:val="16"/>
                <w:lang w:eastAsia="sv-SE"/>
              </w:rPr>
            </w:pPr>
            <w:r>
              <w:rPr>
                <w:color w:val="0000FF"/>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3 Vrms</w:t>
            </w:r>
          </w:p>
        </w:tc>
        <w:tc>
          <w:tcPr>
            <w:tcW w:w="1333"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ARIB T-57  3.7 v. 2.0     reference from IEC 61000-4-6</w:t>
            </w:r>
          </w:p>
          <w:p>
            <w:pPr>
              <w:pStyle w:val="TAR"/>
              <w:rPr>
                <w:sz w:val="16"/>
                <w:szCs w:val="16"/>
                <w:lang w:eastAsia="sv-SE"/>
              </w:rPr>
            </w:pPr>
            <w:r>
              <w:rPr>
                <w:sz w:val="16"/>
                <w:szCs w:val="16"/>
                <w:lang w:eastAsia="sv-SE"/>
              </w:rPr>
              <w:t>(only Vehicular)</w:t>
            </w:r>
          </w:p>
        </w:tc>
        <w:tc>
          <w:tcPr>
            <w:tcW w:w="946"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3 V rms</w:t>
            </w:r>
          </w:p>
        </w:tc>
        <w:tc>
          <w:tcPr>
            <w:tcW w:w="80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EN 61000-4-6</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eastAsia="sv-SE"/>
              </w:rPr>
              <w:t>Under Consideration</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IEC 61000-4-6</w:t>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shd w:fill="FF0000" w:val="clear"/>
          </w:tcPr>
          <w:p>
            <w:pPr>
              <w:pStyle w:val="TAR"/>
              <w:rPr/>
            </w:pPr>
            <w:r>
              <w:rPr>
                <w:sz w:val="16"/>
                <w:szCs w:val="16"/>
                <w:lang w:eastAsia="sv-SE"/>
              </w:rPr>
              <w:t>ELECTRO-STATIC DISCHARGE</w:t>
            </w:r>
          </w:p>
        </w:tc>
        <w:tc>
          <w:tcPr>
            <w:tcW w:w="901" w:type="dxa"/>
            <w:tcBorders>
              <w:top w:val="single" w:sz="6" w:space="0" w:color="000000"/>
              <w:left w:val="single" w:sz="6" w:space="0" w:color="000000"/>
              <w:bottom w:val="single" w:sz="6" w:space="0" w:color="000000"/>
              <w:right w:val="single" w:sz="6" w:space="0" w:color="000000"/>
            </w:tcBorders>
            <w:shd w:fill="FF0000" w:val="clear"/>
          </w:tcPr>
          <w:p>
            <w:pPr>
              <w:pStyle w:val="TAR"/>
              <w:rPr>
                <w:sz w:val="16"/>
                <w:szCs w:val="16"/>
                <w:lang w:eastAsia="sv-SE"/>
              </w:rPr>
            </w:pPr>
            <w:r>
              <w:rPr>
                <w:sz w:val="16"/>
                <w:szCs w:val="16"/>
                <w:lang w:eastAsia="sv-SE"/>
              </w:rPr>
              <w:t xml:space="preserve">Vehicular, Portable, Ancillary eqpt, </w:t>
            </w:r>
          </w:p>
        </w:tc>
        <w:tc>
          <w:tcPr>
            <w:tcW w:w="909" w:type="dxa"/>
            <w:tcBorders>
              <w:top w:val="single" w:sz="6" w:space="0" w:color="000000"/>
              <w:left w:val="single" w:sz="6" w:space="0" w:color="000000"/>
              <w:bottom w:val="single" w:sz="6" w:space="0" w:color="000000"/>
              <w:right w:val="single" w:sz="6" w:space="0" w:color="000000"/>
            </w:tcBorders>
            <w:shd w:fill="FF0000" w:val="clear"/>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pPr>
            <w:r>
              <w:rPr>
                <w:rFonts w:eastAsia="?? ?????;Yu Gothic"/>
                <w:sz w:val="16"/>
                <w:szCs w:val="16"/>
                <w:lang w:eastAsia="sv-SE"/>
              </w:rPr>
              <w:t>±</w:t>
            </w:r>
            <w:r>
              <w:rPr>
                <w:rFonts w:eastAsia="?? ?????;Yu Gothic"/>
                <w:sz w:val="16"/>
                <w:szCs w:val="16"/>
                <w:lang w:eastAsia="sv-SE"/>
              </w:rPr>
              <w:t xml:space="preserve">8 kV (Air) / </w:t>
            </w:r>
            <w:r>
              <w:rPr>
                <w:rFonts w:eastAsia="?? ?????;Yu Gothic"/>
                <w:sz w:val="16"/>
                <w:szCs w:val="16"/>
                <w:lang w:eastAsia="sv-SE"/>
              </w:rPr>
              <w:t>±</w:t>
            </w:r>
            <w:r>
              <w:rPr>
                <w:rFonts w:eastAsia="?? ?????;Yu Gothic"/>
                <w:sz w:val="16"/>
                <w:szCs w:val="16"/>
                <w:lang w:eastAsia="sv-SE"/>
              </w:rPr>
              <w:t xml:space="preserve"> 4 kV (Contact)</w:t>
            </w:r>
          </w:p>
        </w:tc>
        <w:tc>
          <w:tcPr>
            <w:tcW w:w="1333"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ARIB T-57  3.4</w:t>
            </w:r>
          </w:p>
          <w:p>
            <w:pPr>
              <w:pStyle w:val="TAR"/>
              <w:rPr>
                <w:sz w:val="16"/>
                <w:szCs w:val="16"/>
                <w:lang w:eastAsia="sv-SE"/>
              </w:rPr>
            </w:pPr>
            <w:r>
              <w:rPr>
                <w:sz w:val="16"/>
                <w:szCs w:val="16"/>
                <w:lang w:eastAsia="sv-SE"/>
              </w:rPr>
              <w:t>v.2.0     reference from IEC 61000-4-2</w:t>
            </w:r>
          </w:p>
        </w:tc>
        <w:tc>
          <w:tcPr>
            <w:tcW w:w="946" w:type="dxa"/>
            <w:tcBorders>
              <w:top w:val="single" w:sz="6" w:space="0" w:color="000000"/>
              <w:left w:val="single" w:sz="6" w:space="0" w:color="000000"/>
              <w:bottom w:val="single" w:sz="6" w:space="0" w:color="000000"/>
              <w:right w:val="single" w:sz="6" w:space="0" w:color="000000"/>
            </w:tcBorders>
          </w:tcPr>
          <w:p>
            <w:pPr>
              <w:pStyle w:val="TAR"/>
              <w:rPr/>
            </w:pPr>
            <w:r>
              <w:rPr>
                <w:rFonts w:eastAsia="?? ?????;Yu Gothic"/>
                <w:sz w:val="16"/>
                <w:szCs w:val="16"/>
                <w:lang w:eastAsia="sv-SE"/>
              </w:rPr>
              <w:t>±</w:t>
            </w:r>
            <w:r>
              <w:rPr>
                <w:rFonts w:eastAsia="?? ?????;Yu Gothic"/>
                <w:sz w:val="16"/>
                <w:szCs w:val="16"/>
                <w:lang w:val="fr-FR" w:eastAsia="sv-SE"/>
              </w:rPr>
              <w:t xml:space="preserve">8 kV (Air) / </w:t>
            </w:r>
            <w:r>
              <w:rPr>
                <w:rFonts w:eastAsia="?? ?????;Yu Gothic"/>
                <w:sz w:val="16"/>
                <w:szCs w:val="16"/>
                <w:lang w:eastAsia="sv-SE"/>
              </w:rPr>
              <w:t>±</w:t>
            </w:r>
            <w:r>
              <w:rPr>
                <w:rFonts w:eastAsia="?? ?????;Yu Gothic"/>
                <w:sz w:val="16"/>
                <w:szCs w:val="16"/>
                <w:lang w:val="fr-FR" w:eastAsia="sv-SE"/>
              </w:rPr>
              <w:t xml:space="preserve"> 4 kV (Contact)</w:t>
            </w:r>
          </w:p>
        </w:tc>
        <w:tc>
          <w:tcPr>
            <w:tcW w:w="801" w:type="dxa"/>
            <w:tcBorders>
              <w:top w:val="single" w:sz="6" w:space="0" w:color="000000"/>
              <w:left w:val="single" w:sz="6" w:space="0" w:color="000000"/>
              <w:bottom w:val="single" w:sz="6" w:space="0" w:color="000000"/>
              <w:right w:val="single" w:sz="6" w:space="0" w:color="000000"/>
            </w:tcBorders>
          </w:tcPr>
          <w:p>
            <w:pPr>
              <w:pStyle w:val="TAR"/>
              <w:rPr/>
            </w:pPr>
            <w:r>
              <w:rPr>
                <w:sz w:val="16"/>
                <w:szCs w:val="16"/>
                <w:lang w:val="fr-FR" w:eastAsia="sv-SE"/>
              </w:rPr>
              <w:t>EN 61000-4-2</w:t>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val="fr-FR" w:eastAsia="sv-SE"/>
              </w:rPr>
            </w:pPr>
            <w:r>
              <w:rPr>
                <w:sz w:val="16"/>
                <w:szCs w:val="16"/>
                <w:lang w:val="fr-FR"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rPr/>
            </w:pPr>
            <w:r>
              <w:rPr>
                <w:rFonts w:eastAsia="?? ?????;Yu Gothic"/>
                <w:sz w:val="16"/>
                <w:szCs w:val="16"/>
                <w:lang w:eastAsia="sv-SE"/>
              </w:rPr>
              <w:t>±</w:t>
            </w:r>
            <w:r>
              <w:rPr>
                <w:rFonts w:eastAsia="?? ?????;Yu Gothic"/>
                <w:sz w:val="16"/>
                <w:szCs w:val="16"/>
                <w:lang w:eastAsia="sv-SE"/>
              </w:rPr>
              <w:t xml:space="preserve">8 kV (Air) / </w:t>
            </w:r>
            <w:r>
              <w:rPr>
                <w:rFonts w:eastAsia="?? ?????;Yu Gothic"/>
                <w:sz w:val="16"/>
                <w:szCs w:val="16"/>
                <w:lang w:eastAsia="sv-SE"/>
              </w:rPr>
              <w:t>±</w:t>
            </w:r>
            <w:r>
              <w:rPr>
                <w:rFonts w:eastAsia="?? ?????;Yu Gothic"/>
                <w:sz w:val="16"/>
                <w:szCs w:val="16"/>
                <w:lang w:eastAsia="sv-SE"/>
              </w:rPr>
              <w:t xml:space="preserve"> 4 kV (Contact)</w:t>
            </w:r>
          </w:p>
        </w:tc>
        <w:tc>
          <w:tcPr>
            <w:tcW w:w="787"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IEC 61000-4-2</w:t>
            </w:r>
          </w:p>
        </w:tc>
      </w:tr>
      <w:tr>
        <w:trPr>
          <w:cantSplit w:val="true"/>
        </w:trPr>
        <w:tc>
          <w:tcPr>
            <w:tcW w:w="1559" w:type="dxa"/>
            <w:tcBorders>
              <w:top w:val="single" w:sz="6" w:space="0" w:color="000000"/>
              <w:left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1" w:type="dxa"/>
            <w:tcBorders>
              <w:top w:val="single" w:sz="6" w:space="0" w:color="000000"/>
              <w:left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shd w:fill="FF0000" w:val="clear"/>
          </w:tcPr>
          <w:p>
            <w:pPr>
              <w:pStyle w:val="TAR"/>
              <w:snapToGrid w:val="false"/>
              <w:rPr>
                <w:sz w:val="16"/>
                <w:szCs w:val="16"/>
                <w:lang w:eastAsia="sv-SE"/>
              </w:rPr>
            </w:pPr>
            <w:r>
              <w:rPr>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shd w:fill="FF0000" w:val="clear"/>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shd w:fill="FF0000" w:val="clear"/>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  TS 25.113</w:t>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TS 34.124</w:t>
            </w:r>
          </w:p>
        </w:tc>
        <w:tc>
          <w:tcPr>
            <w:tcW w:w="1721" w:type="dxa"/>
            <w:tcBorders>
              <w:top w:val="single" w:sz="6" w:space="0" w:color="000000"/>
              <w:left w:val="single" w:sz="6" w:space="0" w:color="000000"/>
              <w:bottom w:val="single" w:sz="6" w:space="0" w:color="000000"/>
              <w:right w:val="single" w:sz="6" w:space="0" w:color="000000"/>
            </w:tcBorders>
          </w:tcPr>
          <w:p>
            <w:pPr>
              <w:pStyle w:val="TAR"/>
              <w:rPr>
                <w:sz w:val="16"/>
                <w:szCs w:val="16"/>
                <w:lang w:eastAsia="sv-SE"/>
              </w:rPr>
            </w:pPr>
            <w:r>
              <w:rPr>
                <w:sz w:val="16"/>
                <w:szCs w:val="16"/>
                <w:lang w:eastAsia="sv-SE"/>
              </w:rPr>
              <w:t>1 A/m (60 Hz or 50 Hz)</w:t>
            </w:r>
          </w:p>
        </w:tc>
        <w:tc>
          <w:tcPr>
            <w:tcW w:w="1333" w:type="dxa"/>
            <w:tcBorders>
              <w:top w:val="single" w:sz="6" w:space="0" w:color="000000"/>
              <w:left w:val="single" w:sz="6" w:space="0" w:color="000000"/>
              <w:bottom w:val="single" w:sz="6" w:space="0" w:color="000000"/>
              <w:right w:val="single" w:sz="6" w:space="0" w:color="000000"/>
            </w:tcBorders>
          </w:tcPr>
          <w:p>
            <w:pPr>
              <w:pStyle w:val="TAR"/>
              <w:rPr>
                <w:sz w:val="16"/>
                <w:szCs w:val="16"/>
              </w:rPr>
            </w:pPr>
            <w:r>
              <w:rPr>
                <w:sz w:val="16"/>
                <w:szCs w:val="16"/>
              </w:rPr>
              <w:t>ARIB T-57  3.8</w:t>
            </w:r>
          </w:p>
          <w:p>
            <w:pPr>
              <w:pStyle w:val="TAR"/>
              <w:rPr>
                <w:sz w:val="16"/>
                <w:szCs w:val="16"/>
                <w:lang w:eastAsia="sv-SE"/>
              </w:rPr>
            </w:pPr>
            <w:r>
              <w:rPr>
                <w:sz w:val="16"/>
                <w:szCs w:val="16"/>
                <w:lang w:eastAsia="sv-SE"/>
              </w:rPr>
              <w:t>v.2.0      reference from IEC 61000-4-8</w:t>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r>
        <w:trPr>
          <w:cantSplit w:val="true"/>
        </w:trPr>
        <w:tc>
          <w:tcPr>
            <w:tcW w:w="155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0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3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1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605"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72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333"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946"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801"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004"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1108"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2019"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c>
          <w:tcPr>
            <w:tcW w:w="787" w:type="dxa"/>
            <w:tcBorders>
              <w:top w:val="single" w:sz="6" w:space="0" w:color="000000"/>
              <w:left w:val="single" w:sz="6" w:space="0" w:color="000000"/>
              <w:bottom w:val="single" w:sz="6" w:space="0" w:color="000000"/>
              <w:right w:val="single" w:sz="6" w:space="0" w:color="000000"/>
            </w:tcBorders>
          </w:tcPr>
          <w:p>
            <w:pPr>
              <w:pStyle w:val="TAR"/>
              <w:snapToGrid w:val="false"/>
              <w:rPr>
                <w:sz w:val="16"/>
                <w:szCs w:val="16"/>
                <w:lang w:eastAsia="sv-SE"/>
              </w:rPr>
            </w:pPr>
            <w:r>
              <w:rPr>
                <w:sz w:val="16"/>
                <w:szCs w:val="16"/>
                <w:lang w:eastAsia="sv-SE"/>
              </w:rPr>
            </w:r>
          </w:p>
        </w:tc>
      </w:tr>
    </w:tbl>
    <w:p>
      <w:pPr>
        <w:sectPr>
          <w:headerReference w:type="default" r:id="rId11"/>
          <w:footerReference w:type="default" r:id="rId12"/>
          <w:type w:val="nextPage"/>
          <w:pgSz w:orient="landscape" w:w="16838" w:h="11906"/>
          <w:pgMar w:left="851" w:right="851" w:gutter="0" w:header="851" w:top="1134" w:footer="340" w:bottom="1134"/>
          <w:pgNumType w:fmt="decimal"/>
          <w:formProt w:val="false"/>
          <w:textDirection w:val="lrTb"/>
          <w:docGrid w:type="default" w:linePitch="360" w:charSpace="0"/>
        </w:sectPr>
      </w:pPr>
    </w:p>
    <w:p>
      <w:pPr>
        <w:pStyle w:val="Heading8"/>
        <w:ind w:left="0" w:hanging="0"/>
        <w:rPr>
          <w:rFonts w:eastAsia="Malgun Gothic"/>
          <w:lang w:eastAsia="ko-KR"/>
        </w:rPr>
      </w:pPr>
      <w:bookmarkStart w:id="11" w:name="__RefHeading___Toc518925634"/>
      <w:bookmarkEnd w:id="11"/>
      <w:r>
        <w:rPr/>
        <w:t>Annex A (informative):</w:t>
        <w:br/>
        <w:t>Change history</w:t>
      </w:r>
    </w:p>
    <w:p>
      <w:pPr>
        <w:pStyle w:val="TH"/>
        <w:rPr>
          <w:rFonts w:eastAsia="Malgun Gothic"/>
          <w:lang w:eastAsia="ko-KR"/>
        </w:rPr>
      </w:pPr>
      <w:r>
        <w:rPr>
          <w:rFonts w:eastAsia="Malgun Gothic"/>
          <w:lang w:eastAsia="ko-KR"/>
        </w:rPr>
      </w:r>
    </w:p>
    <w:tbl>
      <w:tblPr>
        <w:tblW w:w="5000" w:type="pct"/>
        <w:jc w:val="center"/>
        <w:tblInd w:w="0" w:type="dxa"/>
        <w:tblLayout w:type="fixed"/>
        <w:tblCellMar>
          <w:top w:w="0" w:type="dxa"/>
          <w:left w:w="28" w:type="dxa"/>
          <w:bottom w:w="0" w:type="dxa"/>
          <w:right w:w="28" w:type="dxa"/>
        </w:tblCellMar>
      </w:tblPr>
      <w:tblGrid>
        <w:gridCol w:w="751"/>
        <w:gridCol w:w="528"/>
        <w:gridCol w:w="424"/>
        <w:gridCol w:w="253"/>
        <w:gridCol w:w="386"/>
        <w:gridCol w:w="4396"/>
        <w:gridCol w:w="462"/>
        <w:gridCol w:w="607"/>
        <w:gridCol w:w="608"/>
        <w:gridCol w:w="1225"/>
      </w:tblGrid>
      <w:tr>
        <w:trPr>
          <w:trHeight w:val="57" w:hRule="atLeast"/>
          <w:cantSplit w:val="true"/>
        </w:trPr>
        <w:tc>
          <w:tcPr>
            <w:tcW w:w="9640" w:type="dxa"/>
            <w:gridSpan w:val="10"/>
            <w:tcBorders>
              <w:top w:val="single" w:sz="4" w:space="0" w:color="000000"/>
              <w:left w:val="single" w:sz="4" w:space="0" w:color="000000"/>
              <w:bottom w:val="single" w:sz="4" w:space="0" w:color="000000"/>
              <w:right w:val="single" w:sz="4" w:space="0" w:color="000000"/>
            </w:tcBorders>
          </w:tcPr>
          <w:p>
            <w:pPr>
              <w:pStyle w:val="TAH"/>
              <w:rPr>
                <w:lang w:val="en-US"/>
              </w:rPr>
            </w:pPr>
            <w:r>
              <w:rPr/>
              <w:t>Change history</w:t>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Time</w:t>
            </w:r>
          </w:p>
        </w:tc>
        <w:tc>
          <w:tcPr>
            <w:tcW w:w="528"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Doc</w:t>
            </w:r>
          </w:p>
        </w:tc>
        <w:tc>
          <w:tcPr>
            <w:tcW w:w="424"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CR</w:t>
            </w:r>
          </w:p>
        </w:tc>
        <w:tc>
          <w:tcPr>
            <w:tcW w:w="253"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R</w:t>
            </w:r>
          </w:p>
        </w:tc>
        <w:tc>
          <w:tcPr>
            <w:tcW w:w="386"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Ph</w:t>
            </w:r>
          </w:p>
        </w:tc>
        <w:tc>
          <w:tcPr>
            <w:tcW w:w="4396"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Title</w:t>
            </w:r>
          </w:p>
        </w:tc>
        <w:tc>
          <w:tcPr>
            <w:tcW w:w="462"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Cat</w:t>
            </w:r>
          </w:p>
        </w:tc>
        <w:tc>
          <w:tcPr>
            <w:tcW w:w="607"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Curr</w:t>
            </w:r>
          </w:p>
        </w:tc>
        <w:tc>
          <w:tcPr>
            <w:tcW w:w="608"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New</w:t>
            </w:r>
          </w:p>
        </w:tc>
        <w:tc>
          <w:tcPr>
            <w:tcW w:w="1225" w:type="dxa"/>
            <w:tcBorders>
              <w:top w:val="single" w:sz="4" w:space="0" w:color="000000"/>
              <w:left w:val="single" w:sz="4" w:space="0" w:color="000000"/>
              <w:bottom w:val="single" w:sz="4" w:space="0" w:color="000000"/>
              <w:right w:val="single" w:sz="4" w:space="0" w:color="000000"/>
            </w:tcBorders>
            <w:shd w:fill="C0C0C0" w:val="clear"/>
          </w:tcPr>
          <w:p>
            <w:pPr>
              <w:pStyle w:val="TAH"/>
              <w:rPr>
                <w:sz w:val="16"/>
                <w:szCs w:val="16"/>
                <w:lang w:val="en-US"/>
              </w:rPr>
            </w:pPr>
            <w:r>
              <w:rPr>
                <w:sz w:val="16"/>
                <w:szCs w:val="16"/>
                <w:lang w:val="en-US"/>
              </w:rPr>
              <w:t>Work Item</w:t>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RP-36</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Creation of v7.0.0 based on version 6.0.0</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6.0.0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RP-42</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Upgraded unchanged from Rel-7</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7.0.0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8.0.0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SP-46</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Upgraded unchanged from Rel-8</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8.0.0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9.0.0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SP-51</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lang w:val="en-AU"/>
              </w:rPr>
              <w:t>Upgraded unchanged from Rel-9</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SP-57</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sz w:val="16"/>
                <w:szCs w:val="16"/>
              </w:rPr>
              <w:t>Update to Rel-11 version (MCC)</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rPr>
            </w:pPr>
            <w:r>
              <w:rPr>
                <w:color w:val="000000"/>
                <w:sz w:val="16"/>
                <w:szCs w:val="16"/>
                <w:lang w:val="en-AU"/>
              </w:rPr>
              <w:t>-</w:t>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2012-11</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Correction of typo on cover page</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11.0.1</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2014-09</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Rel-12 version (MCC)</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11.0.1</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12.0.0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color w:val="000000"/>
                <w:sz w:val="16"/>
                <w:szCs w:val="16"/>
                <w:lang w:val="en-AU"/>
              </w:rPr>
            </w:pPr>
            <w:r>
              <w:rPr>
                <w:b/>
                <w:color w:val="000000"/>
                <w:sz w:val="16"/>
                <w:szCs w:val="16"/>
                <w:lang w:val="en-AU"/>
              </w:rPr>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2016-01</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Update to Rel-13 version (MCC)</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12.0.0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13.0.0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r>
      <w:tr>
        <w:trPr>
          <w:trHeight w:val="57" w:hRule="atLeast"/>
          <w:cantSplit w:val="true"/>
        </w:trPr>
        <w:tc>
          <w:tcPr>
            <w:tcW w:w="7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5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25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38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3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szCs w:val="16"/>
                <w:lang w:val="en-AU"/>
              </w:rPr>
              <w:t>Update to Rel-14 version (MCC)</w:t>
            </w:r>
          </w:p>
        </w:tc>
        <w:tc>
          <w:tcPr>
            <w:tcW w:w="4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60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13.0.0</w:t>
            </w:r>
          </w:p>
        </w:tc>
        <w:tc>
          <w:tcPr>
            <w:tcW w:w="60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14.0.0</w:t>
            </w:r>
          </w:p>
        </w:tc>
        <w:tc>
          <w:tcPr>
            <w:tcW w:w="12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w:t>
            </w:r>
            <w:r>
              <w:rPr>
                <w:sz w:val="16"/>
                <w:szCs w:val="16"/>
              </w:rPr>
              <w:t>5</w:t>
            </w:r>
            <w:r>
              <w:rPr>
                <w:sz w:val="16"/>
                <w:szCs w:val="16"/>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w:t>
            </w:r>
            <w:r>
              <w:rPr>
                <w:sz w:val="16"/>
                <w:szCs w:val="16"/>
              </w:rPr>
              <w:t>5</w:t>
            </w:r>
            <w:r>
              <w:rPr>
                <w:sz w:val="16"/>
                <w:szCs w:val="16"/>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rFonts w:eastAsia="Malgun Gothic"/>
          <w:lang w:eastAsia="ko-KR"/>
        </w:rPr>
      </w:pPr>
      <w:r>
        <w:rPr>
          <w:rFonts w:eastAsia="Malgun Gothic"/>
          <w:lang w:eastAsia="ko-K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0"/>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2499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64135"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
              <wp:simplePos x="0" y="0"/>
              <wp:positionH relativeFrom="margin">
                <wp:align>right</wp:align>
              </wp:positionH>
              <wp:positionV relativeFrom="paragraph">
                <wp:posOffset>635</wp:posOffset>
              </wp:positionV>
              <wp:extent cx="1824990" cy="131445"/>
              <wp:effectExtent l="0" t="0" r="0" b="0"/>
              <wp:wrapSquare wrapText="largest"/>
              <wp:docPr id="17" name="Frame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64135"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
              <wp:simplePos x="0" y="0"/>
              <wp:positionH relativeFrom="margin">
                <wp:align>left</wp:align>
              </wp:positionH>
              <wp:positionV relativeFrom="paragraph">
                <wp:posOffset>635</wp:posOffset>
              </wp:positionV>
              <wp:extent cx="591820"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2499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613.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7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1820" cy="131445"/>
              <wp:effectExtent l="0" t="0" r="0" b="0"/>
              <wp:wrapSquare wrapText="largest"/>
              <wp:docPr id="22" name="Frame1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24990" cy="131445"/>
              <wp:effectExtent l="0" t="0" r="0" b="0"/>
              <wp:wrapSquare wrapText="largest"/>
              <wp:docPr id="23" name="Frame18"/>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34.926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24" name="Frame1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25" name="Frame2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4z0">
    <w:name w:val="WW8Num1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6z0">
    <w:name w:val="WW8NumSt16z0"/>
    <w:qFormat/>
    <w:rPr>
      <w:rFonts w:ascii="Tms Rmn" w:hAnsi="Tms Rmn" w:cs="Tms Rm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TALChar">
    <w:name w:val="TAL Char"/>
    <w:qFormat/>
    <w:rPr>
      <w:rFonts w:ascii="Arial" w:hAnsi="Arial" w:eastAsia="MS Mincho;ＭＳ 明朝" w:cs="Arial"/>
      <w:sz w:val="18"/>
      <w:lang w:val="en-GB" w:bidi="ar-SA"/>
    </w:rPr>
  </w:style>
  <w:style w:type="character" w:styleId="THChar">
    <w:name w:val="TH Char"/>
    <w:qFormat/>
    <w:rPr>
      <w:rFonts w:ascii="Arial" w:hAnsi="Arial" w:cs="Arial"/>
      <w:b/>
      <w:lang w:val="en-GB"/>
    </w:rPr>
  </w:style>
  <w:style w:type="character" w:styleId="TACChar">
    <w:name w:val="TAC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US"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US" w:eastAsia="en-US" w:bidi="ar-SA"/>
    </w:rPr>
  </w:style>
  <w:style w:type="paragraph" w:styleId="ZD">
    <w:name w:val="ZD"/>
    <w:qFormat/>
    <w:pPr>
      <w:widowControl w:val="false"/>
      <w:bidi w:val="0"/>
    </w:pPr>
    <w:rPr>
      <w:rFonts w:ascii="Arial" w:hAnsi="Arial" w:eastAsia="MS Mincho;ＭＳ 明朝" w:cs="Arial"/>
      <w:color w:val="auto"/>
      <w:sz w:val="32"/>
      <w:szCs w:val="20"/>
      <w:lang w:val="en-US"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US"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US"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US"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US"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US"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US"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US"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Note">
    <w:name w:val="Note"/>
    <w:basedOn w:val="Normal"/>
    <w:next w:val="Normal"/>
    <w:qFormat/>
    <w:pPr>
      <w:spacing w:before="80" w:after="0"/>
      <w:jc w:val="both"/>
    </w:pPr>
    <w:rPr/>
  </w:style>
  <w:style w:type="paragraph" w:styleId="BodyText2">
    <w:name w:val="Body Text 2"/>
    <w:basedOn w:val="Normal"/>
    <w:qFormat/>
    <w:pPr>
      <w:widowControl w:val="false"/>
      <w:jc w:val="right"/>
    </w:pPr>
    <w:rPr>
      <w:sz w:val="16"/>
    </w:rPr>
  </w:style>
  <w:style w:type="paragraph" w:styleId="NormalWeb">
    <w:name w:val="Normal (Web)"/>
    <w:basedOn w:val="Normal"/>
    <w:qFormat/>
    <w:pPr>
      <w:spacing w:before="0" w:after="0"/>
    </w:pPr>
    <w:rPr>
      <w:sz w:val="24"/>
      <w:szCs w:val="24"/>
      <w:lang w:eastAsia="ja-JP"/>
    </w:rPr>
  </w:style>
  <w:style w:type="paragraph" w:styleId="ATAL">
    <w:name w:val="ATAL"/>
    <w:basedOn w:val="NormalWeb"/>
    <w:qFormat/>
    <w:pPr>
      <w:spacing w:lineRule="atLeast" w:line="360"/>
    </w:pPr>
    <w:rPr>
      <w:rFonts w:ascii="Arial" w:hAnsi="Arial" w:cs="Arial"/>
      <w:color w:val="493118"/>
      <w:sz w:val="15"/>
      <w:szCs w:val="15"/>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2020-07-16T14:46:00Z</dcterms:created>
  <dc:creator>MCC Support</dc:creator>
  <dc:description/>
  <cp:keywords/>
  <dc:language>en-US</dc:language>
  <cp:lastModifiedBy>MCC</cp:lastModifiedBy>
  <cp:lastPrinted>2000-04-10T18:35:00Z</cp:lastPrinted>
  <dcterms:modified xsi:type="dcterms:W3CDTF">2020-07-16T17:39:00Z</dcterms:modified>
  <cp:revision>3</cp:revision>
  <dc:subject>Electromagnetic compatibility (EMC); Table of international requirements for mobile terminals and ancillary equipment (Release 16)</dc:subject>
  <dc:title>3GPP TR 34.926</dc:title>
</cp:coreProperties>
</file>