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35.</w:t>
                            </w:r>
                            <w:r>
                              <w:rPr>
                                <w:sz w:val="64"/>
                                <w:lang w:val="en-US" w:eastAsia="en-US"/>
                              </w:rPr>
                              <w:t>223</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35.</w:t>
                      </w:r>
                      <w:r>
                        <w:rPr>
                          <w:sz w:val="64"/>
                          <w:lang w:val="en-US" w:eastAsia="en-US"/>
                        </w:rPr>
                        <w:t>223</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Document 3: Implementors' test data</w:t>
                              <w:br/>
                            </w: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Document 3: Implementors' test data</w:t>
                        <w:br/>
                      </w: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420"/>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Batang"/>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3889966">
            <w:r>
              <w:rPr>
                <w:rStyle w:val="IndexLink"/>
                <w:rFonts w:eastAsia="Times New Roman" w:cs="Times New Roman"/>
                <w:color w:val="auto"/>
                <w:sz w:val="22"/>
                <w:szCs w:val="20"/>
                <w:lang w:val="en-GB" w:eastAsia="en-US" w:bidi="ar-SA"/>
              </w:rPr>
              <w:t>4</w:t>
            </w:r>
          </w:hyperlink>
        </w:p>
        <w:p>
          <w:pPr>
            <w:pStyle w:val="Contents1"/>
            <w:rPr>
              <w:rFonts w:eastAsia="Batang;Batang"/>
              <w:sz w:val="24"/>
              <w:szCs w:val="24"/>
            </w:rPr>
          </w:pPr>
          <w:r>
            <w:rPr/>
            <w:t>1</w:t>
          </w:r>
          <w:r>
            <w:rPr>
              <w:rFonts w:eastAsia="Batang;Batang"/>
              <w:sz w:val="24"/>
              <w:szCs w:val="24"/>
            </w:rPr>
            <w:tab/>
          </w:r>
          <w:r>
            <w:rPr/>
            <w:t>Scope</w:t>
            <w:tab/>
          </w:r>
          <w:hyperlink w:anchor="__RefHeading___Toc313889967">
            <w:r>
              <w:rPr>
                <w:rStyle w:val="IndexLink"/>
              </w:rPr>
              <w:t>5</w:t>
            </w:r>
          </w:hyperlink>
        </w:p>
        <w:p>
          <w:pPr>
            <w:pStyle w:val="Contents1"/>
            <w:rPr>
              <w:rFonts w:eastAsia="Batang;Batang"/>
              <w:sz w:val="24"/>
              <w:szCs w:val="24"/>
            </w:rPr>
          </w:pPr>
          <w:r>
            <w:rPr/>
            <w:t>2</w:t>
          </w:r>
          <w:r>
            <w:rPr>
              <w:rFonts w:eastAsia="Batang;Batang"/>
              <w:sz w:val="24"/>
              <w:szCs w:val="24"/>
            </w:rPr>
            <w:tab/>
          </w:r>
          <w:r>
            <w:rPr/>
            <w:t>References</w:t>
            <w:tab/>
          </w:r>
          <w:hyperlink w:anchor="__RefHeading___Toc313889968">
            <w:r>
              <w:rPr>
                <w:rStyle w:val="IndexLink"/>
              </w:rPr>
              <w:t>5</w:t>
            </w:r>
          </w:hyperlink>
        </w:p>
        <w:p>
          <w:pPr>
            <w:pStyle w:val="Contents1"/>
            <w:rPr>
              <w:rFonts w:eastAsia="Batang;Batang"/>
              <w:sz w:val="24"/>
              <w:szCs w:val="24"/>
            </w:rPr>
          </w:pPr>
          <w:r>
            <w:rPr/>
            <w:t>3</w:t>
          </w:r>
          <w:r>
            <w:rPr>
              <w:rFonts w:eastAsia="Batang;Batang"/>
              <w:sz w:val="24"/>
              <w:szCs w:val="24"/>
            </w:rPr>
            <w:tab/>
          </w:r>
          <w:r>
            <w:rPr/>
            <w:t>Definitions, symbols and abbreviations</w:t>
            <w:tab/>
          </w:r>
          <w:hyperlink w:anchor="__RefHeading___Toc313889969">
            <w:r>
              <w:rPr>
                <w:rStyle w:val="IndexLink"/>
              </w:rPr>
              <w:t>5</w:t>
            </w:r>
          </w:hyperlink>
        </w:p>
        <w:p>
          <w:pPr>
            <w:pStyle w:val="Contents2"/>
            <w:rPr>
              <w:rFonts w:eastAsia="Batang;Batang"/>
              <w:sz w:val="24"/>
              <w:szCs w:val="24"/>
            </w:rPr>
          </w:pPr>
          <w:r>
            <w:rPr/>
            <w:t>3.1</w:t>
          </w:r>
          <w:r>
            <w:rPr>
              <w:rFonts w:eastAsia="Batang;Batang"/>
              <w:sz w:val="24"/>
              <w:szCs w:val="24"/>
            </w:rPr>
            <w:tab/>
          </w:r>
          <w:r>
            <w:rPr/>
            <w:t>Definitions</w:t>
            <w:tab/>
          </w:r>
          <w:hyperlink w:anchor="__RefHeading___Toc313889970">
            <w:r>
              <w:rPr>
                <w:rStyle w:val="IndexLink"/>
              </w:rPr>
              <w:t>5</w:t>
            </w:r>
          </w:hyperlink>
        </w:p>
        <w:p>
          <w:pPr>
            <w:pStyle w:val="Contents2"/>
            <w:rPr>
              <w:rFonts w:eastAsia="Batang;Batang"/>
              <w:sz w:val="24"/>
              <w:szCs w:val="24"/>
            </w:rPr>
          </w:pPr>
          <w:r>
            <w:rPr/>
            <w:t>3.2</w:t>
          </w:r>
          <w:r>
            <w:rPr>
              <w:rFonts w:eastAsia="Batang;Batang"/>
              <w:sz w:val="24"/>
              <w:szCs w:val="24"/>
            </w:rPr>
            <w:tab/>
          </w:r>
          <w:r>
            <w:rPr/>
            <w:t>Symbols</w:t>
            <w:tab/>
          </w:r>
          <w:hyperlink w:anchor="__RefHeading___Toc313889971">
            <w:r>
              <w:rPr>
                <w:rStyle w:val="IndexLink"/>
              </w:rPr>
              <w:t>5</w:t>
            </w:r>
          </w:hyperlink>
        </w:p>
        <w:p>
          <w:pPr>
            <w:pStyle w:val="Contents2"/>
            <w:rPr>
              <w:rFonts w:eastAsia="Batang;Batang"/>
              <w:sz w:val="24"/>
              <w:szCs w:val="24"/>
            </w:rPr>
          </w:pPr>
          <w:r>
            <w:rPr/>
            <w:t>3.3</w:t>
          </w:r>
          <w:r>
            <w:rPr>
              <w:rFonts w:eastAsia="Batang;Batang"/>
              <w:sz w:val="24"/>
              <w:szCs w:val="24"/>
            </w:rPr>
            <w:tab/>
          </w:r>
          <w:r>
            <w:rPr/>
            <w:t>Abbreviations</w:t>
            <w:tab/>
          </w:r>
          <w:hyperlink w:anchor="__RefHeading___Toc313889972">
            <w:r>
              <w:rPr>
                <w:rStyle w:val="IndexLink"/>
              </w:rPr>
              <w:t>5</w:t>
            </w:r>
          </w:hyperlink>
        </w:p>
        <w:p>
          <w:pPr>
            <w:pStyle w:val="Contents1"/>
            <w:rPr>
              <w:rFonts w:eastAsia="Batang;Batang"/>
              <w:sz w:val="24"/>
              <w:szCs w:val="24"/>
            </w:rPr>
          </w:pPr>
          <w:r>
            <w:rPr/>
            <w:t>4</w:t>
          </w:r>
          <w:r>
            <w:rPr>
              <w:rFonts w:eastAsia="Batang;Batang"/>
              <w:sz w:val="24"/>
              <w:szCs w:val="24"/>
            </w:rPr>
            <w:tab/>
          </w:r>
          <w:r>
            <w:rPr/>
            <w:t>Technical provisions</w:t>
            <w:tab/>
          </w:r>
          <w:hyperlink w:anchor="__RefHeading___Toc313889973">
            <w:r>
              <w:rPr>
                <w:rStyle w:val="IndexLink"/>
              </w:rPr>
              <w:t>5</w:t>
            </w:r>
          </w:hyperlink>
        </w:p>
        <w:p>
          <w:pPr>
            <w:pStyle w:val="Contents8"/>
            <w:rPr>
              <w:rFonts w:eastAsia="Batang;Batang"/>
              <w:sz w:val="24"/>
              <w:szCs w:val="24"/>
            </w:rPr>
          </w:pPr>
          <w:r>
            <w:rPr>
              <w:b w:val="false"/>
            </w:rPr>
            <w:t>Annex A (informative):</w:t>
            <w:tab/>
            <w:t>Change history</w:t>
            <w:tab/>
          </w:r>
          <w:hyperlink w:anchor="__RefHeading___Toc313889974">
            <w:r>
              <w:rPr>
                <w:rStyle w:val="IndexLink"/>
                <w:b w:val="false"/>
              </w:rPr>
              <w:t>6</w:t>
            </w:r>
          </w:hyperlink>
          <w:r>
            <w:rPr>
              <w:rStyle w:val="IndexLink"/>
              <w:b w:val="false"/>
            </w:rPr>
            <w:fldChar w:fldCharType="end"/>
          </w:r>
        </w:p>
      </w:sdtContent>
    </w:sdt>
    <w:p>
      <w:pPr>
        <w:pStyle w:val="Normal"/>
        <w:rPr>
          <w:rFonts w:eastAsia="Batang;Batang"/>
          <w:b/>
          <w:b/>
          <w:sz w:val="22"/>
          <w:szCs w:val="24"/>
          <w:lang w:val="en-US" w:eastAsia="en-US"/>
        </w:rPr>
      </w:pPr>
      <w:r>
        <w:rPr>
          <w:rFonts w:eastAsia="Batang;Batang"/>
          <w:b/>
          <w:sz w:val="22"/>
          <w:szCs w:val="24"/>
          <w:lang w:val="en-US" w:eastAsia="en-US"/>
        </w:rPr>
      </w:r>
      <w:r>
        <w:br w:type="page"/>
      </w:r>
    </w:p>
    <w:p>
      <w:pPr>
        <w:pStyle w:val="Heading1"/>
        <w:tabs>
          <w:tab w:val="clear" w:pos="420"/>
          <w:tab w:val="left" w:pos="3825" w:leader="none"/>
        </w:tabs>
        <w:ind w:left="1134" w:hanging="1134"/>
        <w:rPr/>
      </w:pPr>
      <w:bookmarkStart w:id="7" w:name="__RefHeading___Toc313889966"/>
      <w:r>
        <w:rPr/>
        <w:t>Foreword</w:t>
      </w:r>
      <w:bookmarkEnd w:id="7"/>
      <w:r>
        <w:rPr/>
        <w:tab/>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13889967"/>
      <w:bookmarkEnd w:id="8"/>
      <w:r>
        <w:rPr/>
        <w:t>1</w:t>
        <w:tab/>
        <w:t>Scope</w:t>
      </w:r>
    </w:p>
    <w:p>
      <w:pPr>
        <w:pStyle w:val="Normal"/>
        <w:rPr/>
      </w:pPr>
      <w:r>
        <w:rPr/>
        <w:t xml:space="preserve">The present document specifies the 3GPP confidentiality and integrity algorithms known as </w:t>
      </w:r>
      <w:r>
        <w:rPr>
          <w:lang w:eastAsia="zh-CN"/>
        </w:rPr>
        <w:t>E</w:t>
      </w:r>
      <w:r>
        <w:rPr/>
        <w:t>EA</w:t>
      </w:r>
      <w:r>
        <w:rPr>
          <w:lang w:eastAsia="zh-CN"/>
        </w:rPr>
        <w:t>3</w:t>
      </w:r>
      <w:r>
        <w:rPr/>
        <w:t xml:space="preserve"> and </w:t>
      </w:r>
      <w:r>
        <w:rPr>
          <w:lang w:eastAsia="zh-CN"/>
        </w:rPr>
        <w:t>E</w:t>
      </w:r>
      <w:r>
        <w:rPr/>
        <w:t>IA</w:t>
      </w:r>
      <w:r>
        <w:rPr>
          <w:lang w:eastAsia="zh-CN"/>
        </w:rPr>
        <w:t>3</w:t>
      </w:r>
      <w:r>
        <w:rPr/>
        <w:t>.</w:t>
      </w:r>
    </w:p>
    <w:p>
      <w:pPr>
        <w:pStyle w:val="Heading1"/>
        <w:ind w:left="1134" w:hanging="1134"/>
        <w:rPr/>
      </w:pPr>
      <w:bookmarkStart w:id="9" w:name="__RefHeading___Toc31388996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of the 3GPP Confidentiality and Integrity Algorithms 128-EEA3 &amp; 128-EIA3; Document 3: Implementor's Test Data " version 1.1.</w:t>
      </w:r>
    </w:p>
    <w:p>
      <w:pPr>
        <w:pStyle w:val="NO"/>
        <w:rPr/>
      </w:pPr>
      <w:bookmarkStart w:id="10" w:name="__RefHeading___Toc313889969"/>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Heading1"/>
        <w:ind w:left="1134" w:hanging="1134"/>
        <w:rPr/>
      </w:pPr>
      <w:bookmarkStart w:id="11" w:name="__RefHeading___Toc313889969"/>
      <w:r>
        <w:rPr/>
        <w:t>3</w:t>
        <w:tab/>
        <w:t>Definitions, symbols and abbreviations</w:t>
      </w:r>
      <w:bookmarkEnd w:id="11"/>
    </w:p>
    <w:p>
      <w:pPr>
        <w:pStyle w:val="Heading2"/>
        <w:rPr/>
      </w:pPr>
      <w:bookmarkStart w:id="12" w:name="__RefHeading___Toc313889970"/>
      <w:bookmarkEnd w:id="12"/>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3" w:name="__RefHeading___Toc313889971"/>
      <w:bookmarkEnd w:id="13"/>
      <w:r>
        <w:rPr/>
        <w:t>3.2</w:t>
        <w:tab/>
        <w:t>Symbols</w:t>
      </w:r>
    </w:p>
    <w:p>
      <w:pPr>
        <w:pStyle w:val="Normal"/>
        <w:keepNext w:val="true"/>
        <w:rPr/>
      </w:pPr>
      <w:r>
        <w:rPr/>
        <w:t>For the purposes of the present document, the symbols defined in the SAGE Specification [2] apply.</w:t>
      </w:r>
    </w:p>
    <w:p>
      <w:pPr>
        <w:pStyle w:val="Heading2"/>
        <w:rPr/>
      </w:pPr>
      <w:bookmarkStart w:id="14" w:name="__RefHeading___Toc313889972"/>
      <w:bookmarkEnd w:id="14"/>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5" w:name="__RefHeading___Toc313889973"/>
      <w:bookmarkEnd w:id="15"/>
      <w:r>
        <w:rPr/>
        <w:t>4</w:t>
        <w:tab/>
        <w:t>Technical provisions</w:t>
      </w:r>
    </w:p>
    <w:p>
      <w:pPr>
        <w:pStyle w:val="Normal"/>
        <w:rPr/>
      </w:pPr>
      <w:r>
        <w:rPr/>
        <w:t>The technical provisions of the current document are contained in the SAGE Specification [2].</w:t>
      </w:r>
      <w:r>
        <w:br w:type="page"/>
      </w:r>
    </w:p>
    <w:p>
      <w:pPr>
        <w:pStyle w:val="Heading8"/>
        <w:ind w:left="0" w:hanging="0"/>
        <w:rPr/>
      </w:pPr>
      <w:bookmarkStart w:id="16" w:name="__RefHeading___Toc313889974"/>
      <w:bookmarkStart w:id="17" w:name="historyclause"/>
      <w:bookmarkEnd w:id="16"/>
      <w:bookmarkEnd w:id="17"/>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20</w:t>
            </w:r>
            <w:r>
              <w:rPr>
                <w:rFonts w:cs="Arial" w:ascii="Arial" w:hAnsi="Arial"/>
                <w:color w:val="000000"/>
                <w:sz w:val="16"/>
                <w:lang w:val="en-AU" w:eastAsia="zh-CN"/>
              </w:rPr>
              <w:t>11</w:t>
            </w:r>
            <w:r>
              <w:rPr>
                <w:rFonts w:cs="Arial" w:ascii="Arial" w:hAnsi="Arial"/>
                <w:color w:val="000000"/>
                <w:sz w:val="16"/>
                <w:lang w:val="en-AU"/>
              </w:rPr>
              <w:t>-</w:t>
            </w:r>
            <w:r>
              <w:rPr>
                <w:rFonts w:cs="Arial" w:ascii="Arial" w:hAnsi="Arial"/>
                <w:color w:val="000000"/>
                <w:sz w:val="16"/>
                <w:lang w:val="en-AU" w:eastAsia="zh-CN"/>
              </w:rPr>
              <w:t>0</w:t>
            </w:r>
            <w:r>
              <w:rPr>
                <w:rFonts w:cs="Arial" w:ascii="Arial" w:hAnsi="Arial"/>
                <w:color w:val="000000"/>
                <w:sz w:val="16"/>
                <w:lang w:val="en-AU" w:eastAsia="zh-CN"/>
              </w:rPr>
              <w:t>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SP-110502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Submission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SP-110566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Submission for Information and Approval - correction of cover sheet and update of TSG Doc. field in Change History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Reference 2 now to specific version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left</wp:align>
              </wp:positionH>
              <wp:positionV relativeFrom="paragraph">
                <wp:posOffset>635</wp:posOffset>
              </wp:positionV>
              <wp:extent cx="6121400" cy="407670"/>
              <wp:effectExtent l="0" t="0" r="0" b="0"/>
              <wp:wrapSquare wrapText="largest"/>
              <wp:docPr id="15" name="Frame11"/>
              <a:graphic xmlns:a="http://schemas.openxmlformats.org/drawingml/2006/main">
                <a:graphicData uri="http://schemas.microsoft.com/office/word/2010/wordprocessingShape">
                  <wps:wsp>
                    <wps:cNvSpPr txBox="1"/>
                    <wps:spPr>
                      <a:xfrm>
                        <a:off x="0" y="0"/>
                        <a:ext cx="6121400" cy="407670"/>
                      </a:xfrm>
                      <a:prstGeom prst="rect"/>
                      <a:solidFill>
                        <a:srgbClr val="FFFFFF">
                          <a:alpha val="0"/>
                        </a:srgbClr>
                      </a:solidFill>
                    </wps:spPr>
                    <wps:txbx>
                      <w:txbxContent>
                        <w:p>
                          <w:pPr>
                            <w:pStyle w:val="Norma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p>
                        <w:p>
                          <w:pPr>
                            <w:pStyle w:val="Normal"/>
                            <w:spacing w:before="0" w:after="180"/>
                            <w:rPr>
                              <w:lang w:val="en-US" w:eastAsia="en-US"/>
                            </w:rPr>
                          </w:pP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82pt;height:32.1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p>
                  <w:p>
                    <w:pPr>
                      <w:pStyle w:val="Normal"/>
                      <w:spacing w:before="0" w:after="180"/>
                      <w:rPr>
                        <w:lang w:val="en-US" w:eastAsia="en-US"/>
                      </w:rPr>
                    </w:pP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StrongEmphasis">
    <w:name w:val="Strong Emphasis"/>
    <w:qFormat/>
    <w:rPr>
      <w:b/>
      <w:bCs/>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Contents1">
    <w:name w:val="TOC 1"/>
    <w:pPr>
      <w:keepNext w:val="true"/>
      <w:keepLines/>
      <w:widowControl w:val="false"/>
      <w:tabs>
        <w:tab w:val="clear" w:pos="4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EQ">
    <w:name w:val="EQ"/>
    <w:basedOn w:val="Normal"/>
    <w:next w:val="Normal"/>
    <w:qFormat/>
    <w:pPr>
      <w:keepLines/>
      <w:tabs>
        <w:tab w:val="clear" w:pos="420"/>
        <w:tab w:val="center" w:pos="4536" w:leader="none"/>
        <w:tab w:val="right" w:pos="9072" w:leader="none"/>
      </w:tabs>
    </w:pPr>
    <w:rPr>
      <w:lang w:val="en-US" w:eastAsia="en-US"/>
    </w:rPr>
  </w:style>
  <w:style w:type="paragraph" w:styleId="Contents2">
    <w:name w:val="TOC 2"/>
    <w:basedOn w:val="Contents1"/>
    <w:pPr>
      <w:keepNext w:val="false"/>
      <w:spacing w:before="0" w:after="0"/>
      <w:ind w:left="851" w:right="425" w:hanging="851"/>
    </w:pPr>
    <w:rPr>
      <w:sz w:val="20"/>
    </w:rPr>
  </w:style>
  <w:style w:type="paragraph" w:styleId="TT">
    <w:name w:val="TT"/>
    <w:basedOn w:val="Heading1"/>
    <w:next w:val="Normal"/>
    <w:qFormat/>
    <w:pPr>
      <w:numPr>
        <w:ilvl w:val="0"/>
        <w:numId w:val="0"/>
      </w:numPr>
      <w:ind w:left="1134" w:hanging="1134"/>
      <w:outlineLvl w:val="9"/>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FP">
    <w:name w:val="FP"/>
    <w:basedOn w:val="Normal"/>
    <w:qFormat/>
    <w:pPr>
      <w:spacing w:before="0" w:after="0"/>
    </w:pPr>
    <w:rPr/>
  </w:style>
  <w:style w:type="paragraph" w:styleId="B1">
    <w:name w:val="B1"/>
    <w:basedOn w:val="List"/>
    <w:qFormat/>
    <w:pPr/>
    <w:rPr/>
  </w:style>
  <w:style w:type="paragraph" w:styleId="ListBullet">
    <w:name w:val="List Bullet"/>
    <w:basedOn w:val="List"/>
    <w:qFormat/>
    <w:pPr>
      <w:numPr>
        <w:ilvl w:val="0"/>
        <w:numId w:val="2"/>
      </w:numPr>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B2">
    <w:name w:val="B2"/>
    <w:basedOn w:val="List2"/>
    <w:qFormat/>
    <w:pPr/>
    <w:rPr/>
  </w:style>
  <w:style w:type="paragraph" w:styleId="B3">
    <w:name w:val="B3"/>
    <w:basedOn w:val="List3"/>
    <w:qFormat/>
    <w:pPr/>
    <w:rPr/>
  </w:style>
  <w:style w:type="paragraph" w:styleId="ZV">
    <w:name w:val="ZV"/>
    <w:basedOn w:val="ZU"/>
    <w:qFormat/>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C">
    <w:name w:val="TAC"/>
    <w:basedOn w:val="TAL"/>
    <w:qFormat/>
    <w:pPr>
      <w:jc w:val="center"/>
    </w:pPr>
    <w:rPr/>
  </w:style>
  <w:style w:type="paragraph" w:styleId="TAH">
    <w:name w:val="TAH"/>
    <w:basedOn w:val="TAC"/>
    <w:qFormat/>
    <w:pPr/>
    <w:rPr>
      <w:b/>
    </w:rPr>
  </w:style>
  <w:style w:type="paragraph" w:styleId="TAN">
    <w:name w:val="TAN"/>
    <w:basedOn w:val="TAL"/>
    <w:qFormat/>
    <w:pPr>
      <w:ind w:left="851" w:hanging="851"/>
    </w:pPr>
    <w:rPr/>
  </w:style>
  <w:style w:type="paragraph" w:styleId="TAR">
    <w:name w:val="TAR"/>
    <w:basedOn w:val="TAL"/>
    <w:qFormat/>
    <w:pPr>
      <w:jc w:val="right"/>
    </w:pPr>
    <w:rPr/>
  </w:style>
  <w:style w:type="paragraph" w:styleId="TF">
    <w:name w:val="TF"/>
    <w:basedOn w:val="TH"/>
    <w:qFormat/>
    <w:pPr>
      <w:keepNext w:val="false"/>
      <w:spacing w:before="0" w:after="240"/>
    </w:pPr>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9">
    <w:name w:val="TOC 9"/>
    <w:basedOn w:val="Contents8"/>
    <w:pPr>
      <w:ind w:left="1418" w:right="425" w:hanging="1418"/>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agorithm</cp:keywords>
  <dc:language>en-US</dc:language>
  <cp:lastModifiedBy>28307-g00.</cp:lastModifiedBy>
  <dcterms:modified xsi:type="dcterms:W3CDTF">2020-07-09T12:54:00Z</dcterms:modified>
  <cp:revision>3</cp:revision>
  <dc:subject>Specification of the 3GPP confidentiality and integrity Algorithms EEA3 &amp; EIA3;Document 3: Implementors' test data(Release  16)</dc:subject>
  <dc:title>3GPP TS 35.223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1309750493</vt:lpwstr>
  </property>
</Properties>
</file>