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36.412 </w:t>
                            </w:r>
                            <w:r>
                              <w:rPr/>
                              <w:t xml:space="preserve">V16.0.0 </w:t>
                            </w:r>
                            <w:r>
                              <w:rPr>
                                <w:sz w:val="32"/>
                              </w:rPr>
                              <w:t>(2020-03)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36.412 </w:t>
                      </w:r>
                      <w:r>
                        <w:rPr/>
                        <w:t xml:space="preserve">V16.0.0 </w:t>
                      </w:r>
                      <w:r>
                        <w:rPr>
                          <w:sz w:val="32"/>
                        </w:rPr>
                        <w:t>(2020-03)</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 xml:space="preserve">Evolved Universal Terrestrial Radio Access Network </w:t>
                              <w:br/>
                              <w:t>(E-UTRAN);</w:t>
                            </w:r>
                          </w:p>
                          <w:p>
                            <w:pPr>
                              <w:pStyle w:val="ZT"/>
                              <w:rPr/>
                            </w:pPr>
                            <w:r>
                              <w:rPr/>
                              <w:t>S1 signalling transport</w:t>
                            </w:r>
                          </w:p>
                          <w:p>
                            <w:pPr>
                              <w:pStyle w:val="ZT"/>
                              <w:rPr/>
                            </w:pPr>
                            <w:r>
                              <w:rPr/>
                              <w:t>(</w:t>
                            </w:r>
                            <w:r>
                              <w:rPr>
                                <w:rStyle w:val="ZGSM"/>
                              </w:rPr>
                              <w:t>Release 16</w:t>
                            </w:r>
                            <w:r>
                              <w:rPr/>
                              <w:t>)</w:t>
                            </w:r>
                          </w:p>
                          <w:p>
                            <w:pPr>
                              <w:pStyle w:val="ZT"/>
                              <w:rPr/>
                            </w:pPr>
                            <w:r>
                              <w:rPr/>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 xml:space="preserve">Evolved Universal Terrestrial Radio Access Network </w:t>
                        <w:br/>
                        <w:t>(E-UTRAN);</w:t>
                      </w:r>
                    </w:p>
                    <w:p>
                      <w:pPr>
                        <w:pStyle w:val="ZT"/>
                        <w:rPr/>
                      </w:pPr>
                      <w:r>
                        <w:rPr/>
                        <w:t>S1 signalling transport</w:t>
                      </w:r>
                    </w:p>
                    <w:p>
                      <w:pPr>
                        <w:pStyle w:val="ZT"/>
                        <w:rPr/>
                      </w:pPr>
                      <w:r>
                        <w:rPr/>
                        <w:t>(</w:t>
                      </w:r>
                      <w:r>
                        <w:rPr>
                          <w:rStyle w:val="ZGSM"/>
                        </w:rPr>
                        <w:t>Release 16</w:t>
                      </w:r>
                      <w:r>
                        <w:rPr/>
                        <w:t>)</w:t>
                      </w:r>
                    </w:p>
                    <w:p>
                      <w:pPr>
                        <w:pStyle w:val="ZT"/>
                        <w:rPr/>
                      </w:pPr>
                      <w:r>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310005" cy="90551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310005" cy="905510"/>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310005" cy="90551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310005" cy="905510"/>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radio</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radio</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Normal"/>
        <w:rPr/>
      </w:pPr>
      <w:r>
        <w:rPr/>
      </w:r>
      <w:r>
        <w:br w:type="page"/>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6646826">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36646827">
            <w:r>
              <w:rPr>
                <w:rStyle w:val="IndexLink"/>
              </w:rPr>
              <w:t>5</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36646828">
            <w:r>
              <w:rPr>
                <w:rStyle w:val="IndexLink"/>
              </w:rPr>
              <w:t>5</w:t>
            </w:r>
          </w:hyperlink>
        </w:p>
        <w:p>
          <w:pPr>
            <w:pStyle w:val="Contents1"/>
            <w:rPr>
              <w:rFonts w:ascii="Calibri" w:hAnsi="Calibri" w:cs="Calibri"/>
              <w:szCs w:val="22"/>
            </w:rPr>
          </w:pPr>
          <w:r>
            <w:rPr/>
            <w:t>3</w:t>
          </w:r>
          <w:r>
            <w:rPr>
              <w:rFonts w:cs="Calibri" w:ascii="Calibri" w:hAnsi="Calibri"/>
              <w:szCs w:val="22"/>
            </w:rPr>
            <w:tab/>
          </w:r>
          <w:r>
            <w:rPr/>
            <w:t>Definitions and abbreviations</w:t>
            <w:tab/>
          </w:r>
          <w:hyperlink w:anchor="__RefHeading___Toc36646829">
            <w:r>
              <w:rPr>
                <w:rStyle w:val="IndexLink"/>
              </w:rPr>
              <w:t>5</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36646830">
            <w:r>
              <w:rPr>
                <w:rStyle w:val="IndexLink"/>
              </w:rPr>
              <w:t>5</w:t>
            </w:r>
          </w:hyperlink>
        </w:p>
        <w:p>
          <w:pPr>
            <w:pStyle w:val="Contents2"/>
            <w:rPr>
              <w:rFonts w:ascii="Calibri" w:hAnsi="Calibri" w:cs="Calibri"/>
              <w:sz w:val="22"/>
              <w:szCs w:val="22"/>
            </w:rPr>
          </w:pPr>
          <w:r>
            <w:rPr/>
            <w:t>3.</w:t>
          </w:r>
          <w:r>
            <w:rPr>
              <w:lang w:val="en-US" w:eastAsia="en-US"/>
            </w:rPr>
            <w:t>2</w:t>
          </w:r>
          <w:r>
            <w:rPr>
              <w:rFonts w:cs="Calibri" w:ascii="Calibri" w:hAnsi="Calibri"/>
              <w:sz w:val="22"/>
              <w:szCs w:val="22"/>
            </w:rPr>
            <w:tab/>
          </w:r>
          <w:r>
            <w:rPr/>
            <w:t>Abbreviations</w:t>
            <w:tab/>
          </w:r>
          <w:hyperlink w:anchor="__RefHeading___Toc36646831">
            <w:r>
              <w:rPr>
                <w:rStyle w:val="IndexLink"/>
              </w:rPr>
              <w:t>5</w:t>
            </w:r>
          </w:hyperlink>
        </w:p>
        <w:p>
          <w:pPr>
            <w:pStyle w:val="Contents1"/>
            <w:rPr>
              <w:rFonts w:ascii="Calibri" w:hAnsi="Calibri" w:cs="Calibri"/>
              <w:szCs w:val="22"/>
            </w:rPr>
          </w:pPr>
          <w:r>
            <w:rPr/>
            <w:t>4</w:t>
          </w:r>
          <w:r>
            <w:rPr>
              <w:rFonts w:cs="Calibri" w:ascii="Calibri" w:hAnsi="Calibri"/>
              <w:szCs w:val="22"/>
            </w:rPr>
            <w:tab/>
          </w:r>
          <w:r>
            <w:rPr/>
            <w:t>S1 signal</w:t>
          </w:r>
          <w:r>
            <w:rPr>
              <w:lang w:val="en-US" w:eastAsia="en-US"/>
            </w:rPr>
            <w:t>l</w:t>
          </w:r>
          <w:r>
            <w:rPr/>
            <w:t>ing bearer</w:t>
            <w:tab/>
          </w:r>
          <w:hyperlink w:anchor="__RefHeading___Toc36646832">
            <w:r>
              <w:rPr>
                <w:rStyle w:val="IndexLink"/>
              </w:rPr>
              <w:t>6</w:t>
            </w:r>
          </w:hyperlink>
        </w:p>
        <w:p>
          <w:pPr>
            <w:pStyle w:val="Contents2"/>
            <w:rPr>
              <w:rFonts w:ascii="Calibri" w:hAnsi="Calibri" w:cs="Calibri"/>
              <w:sz w:val="22"/>
              <w:szCs w:val="22"/>
            </w:rPr>
          </w:pPr>
          <w:r>
            <w:rPr>
              <w:lang w:val="en-US" w:eastAsia="en-US"/>
            </w:rPr>
            <w:t>4.1</w:t>
          </w:r>
          <w:r>
            <w:rPr>
              <w:rFonts w:cs="Calibri" w:ascii="Calibri" w:hAnsi="Calibri"/>
              <w:sz w:val="22"/>
              <w:szCs w:val="22"/>
            </w:rPr>
            <w:tab/>
          </w:r>
          <w:r>
            <w:rPr>
              <w:lang w:val="en-US" w:eastAsia="en-US"/>
            </w:rPr>
            <w:t>Functions and protocol stack</w:t>
          </w:r>
          <w:r>
            <w:rPr/>
            <w:tab/>
          </w:r>
          <w:hyperlink w:anchor="__RefHeading___Toc36646833">
            <w:r>
              <w:rPr>
                <w:rStyle w:val="IndexLink"/>
              </w:rPr>
              <w:t>6</w:t>
            </w:r>
          </w:hyperlink>
        </w:p>
        <w:p>
          <w:pPr>
            <w:pStyle w:val="Contents1"/>
            <w:rPr>
              <w:rFonts w:ascii="Calibri" w:hAnsi="Calibri" w:cs="Calibri"/>
              <w:szCs w:val="22"/>
            </w:rPr>
          </w:pPr>
          <w:r>
            <w:rPr>
              <w:lang w:val="en-US" w:eastAsia="en-US"/>
            </w:rPr>
            <w:t>5</w:t>
          </w:r>
          <w:r>
            <w:rPr>
              <w:rFonts w:cs="Calibri" w:ascii="Calibri" w:hAnsi="Calibri"/>
              <w:szCs w:val="22"/>
            </w:rPr>
            <w:tab/>
          </w:r>
          <w:r>
            <w:rPr>
              <w:lang w:val="en-US" w:eastAsia="en-US"/>
            </w:rPr>
            <w:t>Data link layer</w:t>
          </w:r>
          <w:r>
            <w:rPr/>
            <w:tab/>
          </w:r>
          <w:hyperlink w:anchor="__RefHeading___Toc36646834">
            <w:r>
              <w:rPr>
                <w:rStyle w:val="IndexLink"/>
              </w:rPr>
              <w:t>6</w:t>
            </w:r>
          </w:hyperlink>
        </w:p>
        <w:p>
          <w:pPr>
            <w:pStyle w:val="Contents1"/>
            <w:rPr>
              <w:rFonts w:ascii="Calibri" w:hAnsi="Calibri" w:cs="Calibri"/>
              <w:szCs w:val="22"/>
            </w:rPr>
          </w:pPr>
          <w:r>
            <w:rPr>
              <w:lang w:val="en-US" w:eastAsia="en-US"/>
            </w:rPr>
            <w:t>6</w:t>
          </w:r>
          <w:r>
            <w:rPr>
              <w:rFonts w:cs="Calibri" w:ascii="Calibri" w:hAnsi="Calibri"/>
              <w:szCs w:val="22"/>
            </w:rPr>
            <w:tab/>
          </w:r>
          <w:r>
            <w:rPr>
              <w:lang w:val="en-US" w:eastAsia="en-US"/>
            </w:rPr>
            <w:t>IP layer</w:t>
          </w:r>
          <w:r>
            <w:rPr/>
            <w:tab/>
          </w:r>
          <w:hyperlink w:anchor="__RefHeading___Toc36646835">
            <w:r>
              <w:rPr>
                <w:rStyle w:val="IndexLink"/>
              </w:rPr>
              <w:t>6</w:t>
            </w:r>
          </w:hyperlink>
        </w:p>
        <w:p>
          <w:pPr>
            <w:pStyle w:val="Contents1"/>
            <w:rPr>
              <w:rFonts w:ascii="Calibri" w:hAnsi="Calibri" w:cs="Calibri"/>
              <w:szCs w:val="22"/>
            </w:rPr>
          </w:pPr>
          <w:r>
            <w:rPr>
              <w:lang w:val="en-US" w:eastAsia="en-US"/>
            </w:rPr>
            <w:t>7</w:t>
          </w:r>
          <w:r>
            <w:rPr>
              <w:rFonts w:cs="Calibri" w:ascii="Calibri" w:hAnsi="Calibri"/>
              <w:szCs w:val="22"/>
            </w:rPr>
            <w:tab/>
          </w:r>
          <w:r>
            <w:rPr>
              <w:lang w:val="en-US" w:eastAsia="en-US"/>
            </w:rPr>
            <w:t>Transport layer</w:t>
          </w:r>
          <w:r>
            <w:rPr/>
            <w:tab/>
          </w:r>
          <w:hyperlink w:anchor="__RefHeading___Toc36646836">
            <w:r>
              <w:rPr>
                <w:rStyle w:val="IndexLink"/>
              </w:rPr>
              <w:t>6</w:t>
            </w:r>
          </w:hyperlink>
        </w:p>
        <w:p>
          <w:pPr>
            <w:pStyle w:val="Contents8"/>
            <w:rPr>
              <w:rFonts w:ascii="Calibri" w:hAnsi="Calibri" w:cs="Calibri"/>
              <w:szCs w:val="22"/>
            </w:rPr>
          </w:pPr>
          <w:r>
            <w:rPr>
              <w:b w:val="false"/>
            </w:rPr>
            <w:t xml:space="preserve">Annex </w:t>
          </w:r>
          <w:r>
            <w:rPr>
              <w:b w:val="false"/>
              <w:lang w:val="en-US" w:eastAsia="en-US"/>
            </w:rPr>
            <w:t>A</w:t>
          </w:r>
          <w:r>
            <w:rPr>
              <w:b w:val="false"/>
            </w:rPr>
            <w:t xml:space="preserve"> (informative): Change History</w:t>
            <w:tab/>
          </w:r>
          <w:hyperlink w:anchor="__RefHeading___Toc36646837">
            <w:r>
              <w:rPr>
                <w:rStyle w:val="IndexLink"/>
                <w:b w:val="false"/>
              </w:rPr>
              <w:t>8</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36646826"/>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lang w:eastAsia="ja-JP"/>
        </w:rPr>
      </w:pPr>
      <w:bookmarkStart w:id="8" w:name="__RefHeading___Toc36646827"/>
      <w:bookmarkEnd w:id="8"/>
      <w:r>
        <w:rPr/>
        <w:t>1</w:t>
        <w:tab/>
        <w:t>Scope</w:t>
      </w:r>
    </w:p>
    <w:p>
      <w:pPr>
        <w:pStyle w:val="Normal"/>
        <w:rPr/>
      </w:pPr>
      <w:r>
        <w:rPr/>
        <w:t>The present document</w:t>
      </w:r>
      <w:r>
        <w:rPr>
          <w:lang w:eastAsia="ja-JP"/>
        </w:rPr>
        <w:t xml:space="preserve"> specifies the standards for </w:t>
      </w:r>
      <w:r>
        <w:rPr>
          <w:lang w:eastAsia="ja-JP"/>
        </w:rPr>
        <w:t>s</w:t>
      </w:r>
      <w:r>
        <w:rPr>
          <w:lang w:eastAsia="ja-JP"/>
        </w:rPr>
        <w:t xml:space="preserve">ignalling </w:t>
      </w:r>
      <w:r>
        <w:rPr>
          <w:lang w:eastAsia="ja-JP"/>
        </w:rPr>
        <w:t>t</w:t>
      </w:r>
      <w:r>
        <w:rPr>
          <w:lang w:eastAsia="ja-JP"/>
        </w:rPr>
        <w:t xml:space="preserve">ransport to be used across S1 interface. S1 interface is a logical interface between the eNB and the E-UTRAN </w:t>
      </w:r>
      <w:r>
        <w:rPr>
          <w:lang w:eastAsia="ja-JP"/>
        </w:rPr>
        <w:t>c</w:t>
      </w:r>
      <w:r>
        <w:rPr>
          <w:lang w:eastAsia="ja-JP"/>
        </w:rPr>
        <w:t xml:space="preserve">ore </w:t>
      </w:r>
      <w:r>
        <w:rPr>
          <w:lang w:eastAsia="ja-JP"/>
        </w:rPr>
        <w:t>n</w:t>
      </w:r>
      <w:r>
        <w:rPr>
          <w:lang w:eastAsia="ja-JP"/>
        </w:rPr>
        <w:t>etwork. The present document describes how the S1-AP signalling messages are transported over S1.</w:t>
      </w:r>
    </w:p>
    <w:p>
      <w:pPr>
        <w:pStyle w:val="Heading1"/>
        <w:ind w:left="1134" w:hanging="1134"/>
        <w:rPr/>
      </w:pPr>
      <w:bookmarkStart w:id="9" w:name="__RefHeading___Toc36646828"/>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lang w:eastAsia="ja-JP"/>
        </w:rPr>
        <w:t>[</w:t>
      </w:r>
      <w:r>
        <w:rPr>
          <w:lang w:eastAsia="ja-JP"/>
        </w:rPr>
        <w:t>1</w:t>
      </w:r>
      <w:r>
        <w:rPr>
          <w:lang w:eastAsia="ja-JP"/>
        </w:rPr>
        <w:t>]</w:t>
      </w:r>
      <w:r>
        <w:rPr/>
        <w:tab/>
        <w:t>3GPP TR 21.905: "Vocabulary for 3GPP Specifications".</w:t>
      </w:r>
    </w:p>
    <w:p>
      <w:pPr>
        <w:pStyle w:val="EX"/>
        <w:rPr/>
      </w:pPr>
      <w:r>
        <w:rPr/>
        <w:t>[2]</w:t>
        <w:tab/>
      </w:r>
      <w:r>
        <w:rPr>
          <w:lang w:eastAsia="ja-JP"/>
        </w:rPr>
        <w:t>IETF RFC 2460</w:t>
      </w:r>
      <w:r>
        <w:rPr>
          <w:lang w:eastAsia="ja-JP"/>
        </w:rPr>
        <w:t xml:space="preserve"> (1998-12)</w:t>
      </w:r>
      <w:r>
        <w:rPr>
          <w:lang w:eastAsia="ja-JP"/>
        </w:rPr>
        <w:t xml:space="preserve">: </w:t>
      </w:r>
      <w:r>
        <w:rPr/>
        <w:t>"</w:t>
      </w:r>
      <w:r>
        <w:rPr>
          <w:lang w:eastAsia="ja-JP"/>
        </w:rPr>
        <w:t>Internet Protocol, Version 6 (IPv6) Specification</w:t>
      </w:r>
      <w:r>
        <w:rPr/>
        <w:t>"</w:t>
      </w:r>
      <w:r>
        <w:rPr>
          <w:lang w:eastAsia="ja-JP"/>
        </w:rPr>
        <w:t>.</w:t>
      </w:r>
    </w:p>
    <w:p>
      <w:pPr>
        <w:pStyle w:val="EX"/>
        <w:rPr/>
      </w:pPr>
      <w:r>
        <w:rPr>
          <w:lang w:eastAsia="ja-JP"/>
        </w:rPr>
        <w:t>[3]</w:t>
        <w:tab/>
        <w:t>IETF RFC 791(1981</w:t>
      </w:r>
      <w:r>
        <w:rPr>
          <w:lang w:eastAsia="ja-JP"/>
        </w:rPr>
        <w:t>-09</w:t>
      </w:r>
      <w:r>
        <w:rPr>
          <w:lang w:eastAsia="ja-JP"/>
        </w:rPr>
        <w:t xml:space="preserve">): </w:t>
      </w:r>
      <w:r>
        <w:rPr/>
        <w:t>"</w:t>
      </w:r>
      <w:r>
        <w:rPr>
          <w:lang w:eastAsia="ja-JP"/>
        </w:rPr>
        <w:t>Internet Protocol</w:t>
      </w:r>
      <w:r>
        <w:rPr/>
        <w:t>"</w:t>
      </w:r>
      <w:r>
        <w:rPr>
          <w:lang w:eastAsia="ja-JP"/>
        </w:rPr>
        <w:t>.</w:t>
      </w:r>
    </w:p>
    <w:p>
      <w:pPr>
        <w:pStyle w:val="EX"/>
        <w:rPr>
          <w:lang w:eastAsia="ja-JP"/>
        </w:rPr>
      </w:pPr>
      <w:r>
        <w:rPr>
          <w:lang w:eastAsia="ja-JP"/>
        </w:rPr>
        <w:t>[4]</w:t>
        <w:tab/>
        <w:t xml:space="preserve">IETF </w:t>
      </w:r>
      <w:r>
        <w:rPr/>
        <w:t>RFC 2474 (1998-12): "Definition of the Differentiated Services Field (DS Field) in the I</w:t>
      </w:r>
      <w:r>
        <w:rPr>
          <w:lang w:eastAsia="ja-JP"/>
        </w:rPr>
        <w:t>P</w:t>
      </w:r>
      <w:r>
        <w:rPr/>
        <w:t>v4 and I</w:t>
      </w:r>
      <w:r>
        <w:rPr>
          <w:lang w:eastAsia="ja-JP"/>
        </w:rPr>
        <w:t>P</w:t>
      </w:r>
      <w:r>
        <w:rPr/>
        <w:t>v6 Headers".</w:t>
      </w:r>
    </w:p>
    <w:p>
      <w:pPr>
        <w:pStyle w:val="EX"/>
        <w:rPr/>
      </w:pPr>
      <w:r>
        <w:rPr>
          <w:lang w:eastAsia="ja-JP"/>
        </w:rPr>
        <w:t>[5]</w:t>
        <w:tab/>
        <w:t>IETF RFC 4960 (2007</w:t>
      </w:r>
      <w:r>
        <w:rPr>
          <w:lang w:eastAsia="ja-JP"/>
        </w:rPr>
        <w:t>-09</w:t>
      </w:r>
      <w:r>
        <w:rPr>
          <w:lang w:eastAsia="ja-JP"/>
        </w:rPr>
        <w:t xml:space="preserve">): </w:t>
      </w:r>
      <w:r>
        <w:rPr/>
        <w:t>"</w:t>
      </w:r>
      <w:r>
        <w:rPr>
          <w:lang w:eastAsia="ja-JP"/>
        </w:rPr>
        <w:t>Stream Control Transmission Protocol</w:t>
      </w:r>
      <w:r>
        <w:rPr/>
        <w:t>"</w:t>
      </w:r>
      <w:r>
        <w:rPr>
          <w:lang w:eastAsia="ja-JP"/>
        </w:rPr>
        <w:t>.</w:t>
      </w:r>
    </w:p>
    <w:p>
      <w:pPr>
        <w:pStyle w:val="Heading1"/>
        <w:ind w:left="1134" w:hanging="1134"/>
        <w:rPr>
          <w:lang w:eastAsia="ja-JP"/>
        </w:rPr>
      </w:pPr>
      <w:bookmarkStart w:id="10" w:name="__RefHeading___Toc36646829"/>
      <w:bookmarkEnd w:id="10"/>
      <w:r>
        <w:rPr/>
        <w:t>3</w:t>
        <w:tab/>
        <w:t>Definitions and abbreviations</w:t>
      </w:r>
    </w:p>
    <w:p>
      <w:pPr>
        <w:pStyle w:val="Heading2"/>
        <w:rPr/>
      </w:pPr>
      <w:bookmarkStart w:id="11" w:name="__RefHeading___Toc36646830"/>
      <w:bookmarkEnd w:id="11"/>
      <w:r>
        <w:rPr/>
        <w:t>3.1</w:t>
        <w:tab/>
        <w:t>Definitions</w:t>
      </w:r>
    </w:p>
    <w:p>
      <w:pPr>
        <w:pStyle w:val="Normal"/>
        <w:rPr/>
      </w:pPr>
      <w:r>
        <w:rPr/>
        <w:t>For the purposes of the present document, the terms and definitions given in TR</w:t>
      </w:r>
      <w:r>
        <w:rPr>
          <w:lang w:eastAsia="ja-JP"/>
        </w:rPr>
        <w:t xml:space="preserve"> </w:t>
      </w:r>
      <w:r>
        <w:rPr/>
        <w:t>21.905</w:t>
      </w:r>
      <w:r>
        <w:rPr>
          <w:lang w:eastAsia="ja-JP"/>
        </w:rPr>
        <w:t xml:space="preserve"> </w:t>
      </w:r>
      <w:r>
        <w:rPr/>
        <w:t>[1] and the following apply. A term defined in the present document takes precedence over the definition of the same term, if any, in TR 21.905 [1].</w:t>
      </w:r>
    </w:p>
    <w:p>
      <w:pPr>
        <w:pStyle w:val="Normal"/>
        <w:rPr>
          <w:lang w:eastAsia="ja-JP"/>
        </w:rPr>
      </w:pPr>
      <w:r>
        <w:rPr>
          <w:b/>
          <w:lang w:eastAsia="ja-JP"/>
        </w:rPr>
        <w:t>S1:</w:t>
      </w:r>
      <w:r>
        <w:rPr/>
        <w:t xml:space="preserve"> interface between an </w:t>
      </w:r>
      <w:r>
        <w:rPr>
          <w:lang w:eastAsia="ja-JP"/>
        </w:rPr>
        <w:t>eNB</w:t>
      </w:r>
      <w:r>
        <w:rPr/>
        <w:t xml:space="preserve"> and an </w:t>
      </w:r>
      <w:r>
        <w:rPr>
          <w:lang w:eastAsia="ja-JP"/>
        </w:rPr>
        <w:t>EPC,</w:t>
      </w:r>
      <w:r>
        <w:rPr/>
        <w:t xml:space="preserve"> providing an interconnection point between the </w:t>
      </w:r>
      <w:r>
        <w:rPr>
          <w:lang w:eastAsia="ja-JP"/>
        </w:rPr>
        <w:t xml:space="preserve">EUTRAN </w:t>
      </w:r>
      <w:r>
        <w:rPr/>
        <w:t xml:space="preserve">and the </w:t>
      </w:r>
      <w:r>
        <w:rPr>
          <w:lang w:eastAsia="ja-JP"/>
        </w:rPr>
        <w:t>EPC</w:t>
      </w:r>
      <w:r>
        <w:rPr/>
        <w:t>. It is also considered as a reference point.</w:t>
      </w:r>
    </w:p>
    <w:p>
      <w:pPr>
        <w:pStyle w:val="Normal"/>
        <w:rPr>
          <w:lang w:eastAsia="ja-JP"/>
        </w:rPr>
      </w:pPr>
      <w:r>
        <w:rPr>
          <w:b/>
        </w:rPr>
        <w:t>S1-MME</w:t>
      </w:r>
      <w:r>
        <w:rPr/>
        <w:t>:</w:t>
      </w:r>
      <w:r>
        <w:rPr>
          <w:lang w:eastAsia="ja-JP"/>
        </w:rPr>
        <w:t xml:space="preserve"> </w:t>
      </w:r>
      <w:r>
        <w:rPr/>
        <w:t>Reference point for the control plane protocol between E-UTRAN and MME.</w:t>
      </w:r>
    </w:p>
    <w:p>
      <w:pPr>
        <w:pStyle w:val="Heading2"/>
        <w:rPr/>
      </w:pPr>
      <w:bookmarkStart w:id="12" w:name="__RefHeading___Toc36646831"/>
      <w:bookmarkEnd w:id="12"/>
      <w:r>
        <w:rPr/>
        <w:t>3.</w:t>
      </w:r>
      <w:r>
        <w:rPr>
          <w:lang w:eastAsia="ja-JP"/>
        </w:rPr>
        <w:t>2</w:t>
      </w:r>
      <w:r>
        <w:rPr/>
        <w:tab/>
        <w:t>Abbreviations</w:t>
      </w:r>
    </w:p>
    <w:p>
      <w:pPr>
        <w:pStyle w:val="Normal"/>
        <w:keepNext w:val="true"/>
        <w:rPr/>
      </w:pPr>
      <w:r>
        <w:rPr/>
        <w:t>For the purposes of the present document,</w:t>
      </w:r>
      <w:r>
        <w:rPr>
          <w:lang w:eastAsia="ja-JP"/>
        </w:rPr>
        <w:t xml:space="preserve"> the following abbreviations apply.</w:t>
      </w:r>
    </w:p>
    <w:p>
      <w:pPr>
        <w:pStyle w:val="EW"/>
        <w:rPr>
          <w:lang w:val="fr-FR" w:eastAsia="ja-JP"/>
        </w:rPr>
      </w:pPr>
      <w:r>
        <w:rPr>
          <w:lang w:val="fr-FR" w:eastAsia="ja-JP"/>
        </w:rPr>
        <w:t>eNB</w:t>
        <w:tab/>
        <w:t>E-UTRAN Node B</w:t>
      </w:r>
    </w:p>
    <w:p>
      <w:pPr>
        <w:pStyle w:val="EW"/>
        <w:rPr>
          <w:lang w:val="fr-FR" w:eastAsia="ja-JP"/>
        </w:rPr>
      </w:pPr>
      <w:r>
        <w:rPr>
          <w:lang w:val="fr-FR" w:eastAsia="ja-JP"/>
        </w:rPr>
        <w:t>EPC</w:t>
        <w:tab/>
      </w:r>
    </w:p>
    <w:p>
      <w:pPr>
        <w:pStyle w:val="EW"/>
        <w:rPr>
          <w:lang w:val="fr-FR" w:eastAsia="ja-JP"/>
        </w:rPr>
      </w:pPr>
      <w:r>
        <w:rPr>
          <w:lang w:val="fr-FR" w:eastAsia="ja-JP"/>
        </w:rPr>
        <w:t>DiffServ</w:t>
        <w:tab/>
        <w:t>Differentiated Service</w:t>
      </w:r>
    </w:p>
    <w:p>
      <w:pPr>
        <w:pStyle w:val="EW"/>
        <w:rPr>
          <w:lang w:val="fr-FR" w:eastAsia="ja-JP"/>
        </w:rPr>
      </w:pPr>
      <w:r>
        <w:rPr>
          <w:lang w:val="fr-FR" w:eastAsia="ja-JP"/>
        </w:rPr>
        <w:t>IP</w:t>
        <w:tab/>
        <w:t>Internet Protocol</w:t>
      </w:r>
    </w:p>
    <w:p>
      <w:pPr>
        <w:pStyle w:val="EW"/>
        <w:rPr/>
      </w:pPr>
      <w:r>
        <w:rPr>
          <w:lang w:val="fr-FR" w:eastAsia="ja-JP"/>
        </w:rPr>
        <w:t>MME</w:t>
        <w:tab/>
        <w:t>Mobility Management Entity</w:t>
      </w:r>
    </w:p>
    <w:p>
      <w:pPr>
        <w:pStyle w:val="EW"/>
        <w:rPr/>
      </w:pPr>
      <w:r>
        <w:rPr>
          <w:lang w:val="fr-FR" w:eastAsia="ja-JP"/>
        </w:rPr>
        <w:t>PPP</w:t>
        <w:tab/>
        <w:t>Point to Point Protocol</w:t>
      </w:r>
    </w:p>
    <w:p>
      <w:pPr>
        <w:pStyle w:val="EX"/>
        <w:rPr>
          <w:lang w:val="fr-FR" w:eastAsia="ja-JP"/>
        </w:rPr>
      </w:pPr>
      <w:r>
        <w:rPr>
          <w:lang w:val="fr-FR" w:eastAsia="ja-JP"/>
        </w:rPr>
        <w:t>SCTP</w:t>
        <w:tab/>
        <w:t>Stream Control Transmission Protocol</w:t>
      </w:r>
    </w:p>
    <w:p>
      <w:pPr>
        <w:pStyle w:val="Heading1"/>
        <w:ind w:left="1134" w:hanging="1134"/>
        <w:rPr>
          <w:lang w:eastAsia="ja-JP"/>
        </w:rPr>
      </w:pPr>
      <w:bookmarkStart w:id="13" w:name="__RefHeading___Toc36646832"/>
      <w:bookmarkEnd w:id="13"/>
      <w:r>
        <w:rPr/>
        <w:t>4</w:t>
        <w:tab/>
      </w:r>
      <w:r>
        <w:rPr/>
        <w:t xml:space="preserve">S1 </w:t>
      </w:r>
      <w:r>
        <w:rPr/>
        <w:t>s</w:t>
      </w:r>
      <w:r>
        <w:rPr/>
        <w:t>ignal</w:t>
      </w:r>
      <w:r>
        <w:rPr>
          <w:lang w:eastAsia="ja-JP"/>
        </w:rPr>
        <w:t>l</w:t>
      </w:r>
      <w:r>
        <w:rPr/>
        <w:t xml:space="preserve">ing </w:t>
      </w:r>
      <w:r>
        <w:rPr/>
        <w:t>b</w:t>
      </w:r>
      <w:r>
        <w:rPr/>
        <w:t>earer</w:t>
      </w:r>
    </w:p>
    <w:p>
      <w:pPr>
        <w:pStyle w:val="Heading2"/>
        <w:rPr/>
      </w:pPr>
      <w:bookmarkStart w:id="14" w:name="__RefHeading___Toc36646833"/>
      <w:bookmarkEnd w:id="14"/>
      <w:r>
        <w:rPr>
          <w:lang w:eastAsia="ja-JP"/>
        </w:rPr>
        <w:t>4.1</w:t>
        <w:tab/>
      </w:r>
      <w:r>
        <w:rPr>
          <w:lang w:eastAsia="ja-JP"/>
        </w:rPr>
        <w:t>Functions and protocol stack</w:t>
      </w:r>
    </w:p>
    <w:p>
      <w:pPr>
        <w:pStyle w:val="Normal"/>
        <w:rPr>
          <w:lang w:eastAsia="ja-JP"/>
        </w:rPr>
      </w:pPr>
      <w:r>
        <w:rPr/>
        <w:t xml:space="preserve">S1 </w:t>
      </w:r>
      <w:r>
        <w:rPr/>
        <w:t>s</w:t>
      </w:r>
      <w:r>
        <w:rPr/>
        <w:t xml:space="preserve">ignalling </w:t>
      </w:r>
      <w:r>
        <w:rPr/>
        <w:t>b</w:t>
      </w:r>
      <w:r>
        <w:rPr/>
        <w:t>earer provide</w:t>
      </w:r>
      <w:r>
        <w:rPr>
          <w:lang w:eastAsia="ja-JP"/>
        </w:rPr>
        <w:t>s</w:t>
      </w:r>
      <w:r>
        <w:rPr/>
        <w:t xml:space="preserve"> the following functions:</w:t>
      </w:r>
    </w:p>
    <w:p>
      <w:pPr>
        <w:pStyle w:val="B1"/>
        <w:rPr>
          <w:lang w:eastAsia="ja-JP"/>
        </w:rPr>
      </w:pPr>
      <w:r>
        <w:rPr/>
        <w:t>-</w:t>
        <w:tab/>
        <w:t>P</w:t>
      </w:r>
      <w:r>
        <w:rPr/>
        <w:t xml:space="preserve">rovision of reliable transfer of S1-AP </w:t>
      </w:r>
      <w:r>
        <w:rPr>
          <w:lang w:eastAsia="ja-JP"/>
        </w:rPr>
        <w:t>message</w:t>
      </w:r>
      <w:r>
        <w:rPr/>
        <w:t xml:space="preserve"> over S1-MME interface.</w:t>
      </w:r>
    </w:p>
    <w:p>
      <w:pPr>
        <w:pStyle w:val="B1"/>
        <w:rPr>
          <w:lang w:eastAsia="ja-JP"/>
        </w:rPr>
      </w:pPr>
      <w:r>
        <w:rPr/>
        <w:t>-</w:t>
        <w:tab/>
        <w:t>P</w:t>
      </w:r>
      <w:r>
        <w:rPr/>
        <w:t xml:space="preserve">rovision of </w:t>
      </w:r>
      <w:r>
        <w:rPr/>
        <w:t>networking</w:t>
      </w:r>
      <w:r>
        <w:rPr/>
        <w:t xml:space="preserve"> and rout</w:t>
      </w:r>
      <w:r>
        <w:rPr/>
        <w:t>e</w:t>
      </w:r>
      <w:r>
        <w:rPr/>
        <w:t>ing function</w:t>
      </w:r>
    </w:p>
    <w:p>
      <w:pPr>
        <w:pStyle w:val="B1"/>
        <w:rPr>
          <w:lang w:eastAsia="ja-JP"/>
        </w:rPr>
      </w:pPr>
      <w:r>
        <w:rPr/>
        <w:t>-</w:t>
        <w:tab/>
        <w:t>P</w:t>
      </w:r>
      <w:r>
        <w:rPr/>
        <w:t>rovision of redundancy in the signalling network</w:t>
      </w:r>
    </w:p>
    <w:p>
      <w:pPr>
        <w:pStyle w:val="B1"/>
        <w:rPr/>
      </w:pPr>
      <w:r>
        <w:rPr>
          <w:lang w:eastAsia="ja-JP"/>
        </w:rPr>
        <w:t>-</w:t>
        <w:tab/>
        <w:t xml:space="preserve">Support for flow control and </w:t>
      </w:r>
      <w:r>
        <w:rPr>
          <w:lang w:eastAsia="ja-JP"/>
        </w:rPr>
        <w:t>congestion control</w:t>
      </w:r>
    </w:p>
    <w:p>
      <w:pPr>
        <w:pStyle w:val="Normal"/>
        <w:rPr/>
      </w:pPr>
      <w:r>
        <w:rPr>
          <w:lang w:eastAsia="ja-JP"/>
        </w:rPr>
        <w:t xml:space="preserve">The protocol stack for S1 </w:t>
      </w:r>
      <w:r>
        <w:rPr>
          <w:lang w:eastAsia="ja-JP"/>
        </w:rPr>
        <w:t>s</w:t>
      </w:r>
      <w:r>
        <w:rPr>
          <w:lang w:eastAsia="ja-JP"/>
        </w:rPr>
        <w:t xml:space="preserve">ignalling </w:t>
      </w:r>
      <w:r>
        <w:rPr>
          <w:lang w:eastAsia="ja-JP"/>
        </w:rPr>
        <w:t>b</w:t>
      </w:r>
      <w:r>
        <w:rPr>
          <w:lang w:eastAsia="ja-JP"/>
        </w:rPr>
        <w:t xml:space="preserve">earer is shown in figure 4.1 and details on each protocol are described in the following </w:t>
      </w:r>
      <w:r>
        <w:rPr>
          <w:lang w:eastAsia="ja-JP"/>
        </w:rPr>
        <w:t>clauses</w:t>
      </w:r>
      <w:r>
        <w:rPr>
          <w:lang w:eastAsia="ja-JP"/>
        </w:rPr>
        <w:t xml:space="preserve">. </w:t>
      </w:r>
    </w:p>
    <w:p>
      <w:pPr>
        <w:pStyle w:val="TH"/>
        <w:rPr>
          <w:lang w:eastAsia="ja-JP"/>
        </w:rPr>
      </w:pPr>
      <w:bookmarkStart w:id="15" w:name="_1239489410"/>
      <w:bookmarkStart w:id="16" w:name="_1239036830"/>
      <w:bookmarkEnd w:id="15"/>
      <w:bookmarkEnd w:id="16"/>
      <w:r>
        <w:rPr/>
        <w:object w:dxaOrig="5985" w:dyaOrig="3404">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299.25pt;height:170.2pt" filled="f" o:ole="">
            <v:imagedata r:id="rId7" o:title=""/>
          </v:shape>
          <o:OLEObject Type="Embed" ProgID="" ShapeID="ole_rId6" DrawAspect="Content" ObjectID="_2081831643" r:id="rId6"/>
        </w:object>
      </w:r>
    </w:p>
    <w:p>
      <w:pPr>
        <w:pStyle w:val="TF"/>
        <w:rPr>
          <w:lang w:eastAsia="ja-JP"/>
        </w:rPr>
      </w:pPr>
      <w:r>
        <w:rPr>
          <w:lang w:eastAsia="ja-JP"/>
        </w:rPr>
        <w:t>Figure 4.1: S1-MME signalling bearer protocol stack</w:t>
      </w:r>
    </w:p>
    <w:p>
      <w:pPr>
        <w:pStyle w:val="Normal"/>
        <w:rPr/>
      </w:pPr>
      <w:r>
        <w:rPr>
          <w:lang w:eastAsia="ja-JP"/>
        </w:rPr>
        <w:t xml:space="preserve">The </w:t>
      </w:r>
      <w:r>
        <w:rPr>
          <w:lang w:eastAsia="ja-JP"/>
        </w:rPr>
        <w:t>t</w:t>
      </w:r>
      <w:r>
        <w:rPr>
          <w:lang w:eastAsia="ja-JP"/>
        </w:rPr>
        <w:t xml:space="preserve">ransport </w:t>
      </w:r>
      <w:r>
        <w:rPr>
          <w:lang w:eastAsia="ja-JP"/>
        </w:rPr>
        <w:t>n</w:t>
      </w:r>
      <w:r>
        <w:rPr>
          <w:lang w:eastAsia="ja-JP"/>
        </w:rPr>
        <w:t xml:space="preserve">etwork </w:t>
      </w:r>
      <w:r>
        <w:rPr>
          <w:lang w:eastAsia="ja-JP"/>
        </w:rPr>
        <w:t>l</w:t>
      </w:r>
      <w:r>
        <w:rPr>
          <w:lang w:eastAsia="ja-JP"/>
        </w:rPr>
        <w:t>ayer is based on IP transport, comprising SCTP on top of IP.</w:t>
      </w:r>
    </w:p>
    <w:p>
      <w:pPr>
        <w:pStyle w:val="Heading1"/>
        <w:ind w:left="1134" w:hanging="1134"/>
        <w:rPr/>
      </w:pPr>
      <w:bookmarkStart w:id="17" w:name="__RefHeading___Toc36646834"/>
      <w:bookmarkEnd w:id="17"/>
      <w:r>
        <w:rPr>
          <w:lang w:eastAsia="ja-JP"/>
        </w:rPr>
        <w:t>5</w:t>
        <w:tab/>
      </w:r>
      <w:r>
        <w:rPr>
          <w:lang w:eastAsia="ja-JP"/>
        </w:rPr>
        <w:t xml:space="preserve">Data </w:t>
      </w:r>
      <w:r>
        <w:rPr>
          <w:lang w:eastAsia="ja-JP"/>
        </w:rPr>
        <w:t>l</w:t>
      </w:r>
      <w:r>
        <w:rPr>
          <w:lang w:eastAsia="ja-JP"/>
        </w:rPr>
        <w:t xml:space="preserve">ink </w:t>
      </w:r>
      <w:r>
        <w:rPr>
          <w:lang w:eastAsia="ja-JP"/>
        </w:rPr>
        <w:t>l</w:t>
      </w:r>
      <w:r>
        <w:rPr>
          <w:lang w:eastAsia="ja-JP"/>
        </w:rPr>
        <w:t>ayer</w:t>
      </w:r>
    </w:p>
    <w:p>
      <w:pPr>
        <w:pStyle w:val="Normal"/>
        <w:rPr/>
      </w:pPr>
      <w:r>
        <w:rPr>
          <w:lang w:eastAsia="ja-JP"/>
        </w:rPr>
        <w:t xml:space="preserve">The support of any suitable </w:t>
      </w:r>
      <w:r>
        <w:rPr>
          <w:lang w:eastAsia="ja-JP"/>
        </w:rPr>
        <w:t>d</w:t>
      </w:r>
      <w:r>
        <w:rPr>
          <w:lang w:eastAsia="ja-JP"/>
        </w:rPr>
        <w:t xml:space="preserve">ata </w:t>
      </w:r>
      <w:r>
        <w:rPr>
          <w:lang w:eastAsia="ja-JP"/>
        </w:rPr>
        <w:t>l</w:t>
      </w:r>
      <w:r>
        <w:rPr>
          <w:lang w:eastAsia="ja-JP"/>
        </w:rPr>
        <w:t xml:space="preserve">ink </w:t>
      </w:r>
      <w:r>
        <w:rPr>
          <w:lang w:eastAsia="ja-JP"/>
        </w:rPr>
        <w:t>l</w:t>
      </w:r>
      <w:r>
        <w:rPr>
          <w:lang w:eastAsia="ja-JP"/>
        </w:rPr>
        <w:t>ayer protocol, e.g. PPP, Ethernet, etc. , shall not be prevented.</w:t>
      </w:r>
    </w:p>
    <w:p>
      <w:pPr>
        <w:pStyle w:val="Heading1"/>
        <w:ind w:left="1134" w:hanging="1134"/>
        <w:rPr/>
      </w:pPr>
      <w:bookmarkStart w:id="18" w:name="__RefHeading___Toc36646835"/>
      <w:bookmarkEnd w:id="18"/>
      <w:r>
        <w:rPr>
          <w:lang w:eastAsia="ja-JP"/>
        </w:rPr>
        <w:t>6</w:t>
        <w:tab/>
      </w:r>
      <w:r>
        <w:rPr>
          <w:lang w:eastAsia="ja-JP"/>
        </w:rPr>
        <w:t xml:space="preserve">IP </w:t>
      </w:r>
      <w:r>
        <w:rPr>
          <w:lang w:eastAsia="ja-JP"/>
        </w:rPr>
        <w:t>l</w:t>
      </w:r>
      <w:r>
        <w:rPr>
          <w:lang w:eastAsia="ja-JP"/>
        </w:rPr>
        <w:t>ayer</w:t>
      </w:r>
    </w:p>
    <w:p>
      <w:pPr>
        <w:pStyle w:val="Normal"/>
        <w:rPr/>
      </w:pPr>
      <w:r>
        <w:rPr>
          <w:lang w:eastAsia="ja-JP"/>
        </w:rPr>
        <w:t>The eNB and MME shall support IPv6 (IETF RFC 2460 [2]) and/or IPv4 (IETF RFC 791 [3]).</w:t>
      </w:r>
    </w:p>
    <w:p>
      <w:pPr>
        <w:pStyle w:val="Normal"/>
        <w:rPr/>
      </w:pPr>
      <w:r>
        <w:rPr>
          <w:lang w:eastAsia="ja-JP"/>
        </w:rPr>
        <w:t>The IP layer of S1-MME only supports point-to-point transmission for delivering S1-AP message.</w:t>
      </w:r>
    </w:p>
    <w:p>
      <w:pPr>
        <w:pStyle w:val="Normal"/>
        <w:rPr/>
      </w:pPr>
      <w:r>
        <w:rPr>
          <w:lang w:eastAsia="ja-JP"/>
        </w:rPr>
        <w:t xml:space="preserve">The eNB and MME shall support the Diffserv Code Point marking as described in IETF RFC 2474 [4]. </w:t>
      </w:r>
    </w:p>
    <w:p>
      <w:pPr>
        <w:pStyle w:val="Heading1"/>
        <w:ind w:left="1134" w:hanging="1134"/>
        <w:rPr/>
      </w:pPr>
      <w:bookmarkStart w:id="19" w:name="__RefHeading___Toc36646836"/>
      <w:bookmarkEnd w:id="19"/>
      <w:r>
        <w:rPr>
          <w:lang w:eastAsia="ja-JP"/>
        </w:rPr>
        <w:t>7</w:t>
        <w:tab/>
      </w:r>
      <w:r>
        <w:rPr>
          <w:lang w:eastAsia="ja-JP"/>
        </w:rPr>
        <w:t xml:space="preserve">Transport </w:t>
      </w:r>
      <w:r>
        <w:rPr>
          <w:lang w:eastAsia="ja-JP"/>
        </w:rPr>
        <w:t>l</w:t>
      </w:r>
      <w:r>
        <w:rPr>
          <w:lang w:eastAsia="ja-JP"/>
        </w:rPr>
        <w:t>ayer</w:t>
      </w:r>
    </w:p>
    <w:p>
      <w:pPr>
        <w:pStyle w:val="Normal"/>
        <w:rPr>
          <w:lang w:eastAsia="ja-JP"/>
        </w:rPr>
      </w:pPr>
      <w:r>
        <w:rPr>
          <w:lang w:eastAsia="ja-JP"/>
        </w:rPr>
        <w:t>SCTP (IETF RFC 4960 [5]) shall be supported as the transport layer of S1-MME signalling bearer.</w:t>
      </w:r>
      <w:r>
        <w:rPr/>
        <w:t xml:space="preserve"> The Payload Protocol Identifier (ppid) assigned by IANA to be used by SCTP for the application layer protocol S1AP is 18. The byte order of the ppid shall be big-endian.</w:t>
      </w:r>
    </w:p>
    <w:p>
      <w:pPr>
        <w:pStyle w:val="Normal"/>
        <w:rPr>
          <w:lang w:eastAsia="ja-JP"/>
        </w:rPr>
      </w:pPr>
      <w:r>
        <w:rPr>
          <w:lang w:eastAsia="ja-JP"/>
        </w:rPr>
        <w:t>SCTP refers to the Stream Control Transmission Protocol developed by the Sigtran working group of the IETF for the purpose of transporting various signalling protocols over IP network.</w:t>
      </w:r>
    </w:p>
    <w:p>
      <w:pPr>
        <w:pStyle w:val="Normal"/>
        <w:rPr>
          <w:lang w:eastAsia="ja-JP"/>
        </w:rPr>
      </w:pPr>
      <w:r>
        <w:rPr>
          <w:lang w:eastAsia="ja-JP"/>
        </w:rPr>
        <w:t>There shall be only one SCTP association established between one MME and eNB pair.</w:t>
      </w:r>
    </w:p>
    <w:p>
      <w:pPr>
        <w:pStyle w:val="Normal"/>
        <w:rPr>
          <w:lang w:eastAsia="ja-JP"/>
        </w:rPr>
      </w:pPr>
      <w:r>
        <w:rPr>
          <w:lang w:eastAsia="ja-JP"/>
        </w:rPr>
        <w:t>The</w:t>
      </w:r>
      <w:r>
        <w:rPr>
          <w:lang w:eastAsia="ja-JP"/>
        </w:rPr>
        <w:t xml:space="preserve"> eNB shall </w:t>
      </w:r>
      <w:r>
        <w:rPr>
          <w:lang w:eastAsia="ja-JP"/>
        </w:rPr>
        <w:t>establish the</w:t>
      </w:r>
      <w:r>
        <w:rPr>
          <w:lang w:eastAsia="ja-JP"/>
        </w:rPr>
        <w:t xml:space="preserve"> SCTP association.</w:t>
      </w:r>
      <w:r>
        <w:rPr/>
        <w:t xml:space="preserve"> The SCTP Destination Port number value assigned by IANA to be used for S1AP is 36412.</w:t>
      </w:r>
    </w:p>
    <w:p>
      <w:pPr>
        <w:pStyle w:val="Normal"/>
        <w:rPr>
          <w:lang w:eastAsia="ja-JP"/>
        </w:rPr>
      </w:pPr>
      <w:r>
        <w:rPr>
          <w:lang w:eastAsia="ja-JP"/>
        </w:rPr>
        <w:t>Within the SCTP association established between one MME and eNB pair</w:t>
      </w:r>
      <w:r>
        <w:rPr>
          <w:lang w:eastAsia="ja-JP"/>
        </w:rPr>
        <w:t>:</w:t>
      </w:r>
    </w:p>
    <w:p>
      <w:pPr>
        <w:pStyle w:val="B1"/>
        <w:rPr/>
      </w:pPr>
      <w:r>
        <w:rPr>
          <w:lang w:eastAsia="ja-JP"/>
        </w:rPr>
        <w:t>-</w:t>
        <w:tab/>
      </w:r>
      <w:r>
        <w:rPr>
          <w:lang w:eastAsia="ja-JP"/>
        </w:rPr>
        <w:t>a single</w:t>
      </w:r>
      <w:r>
        <w:rPr/>
        <w:t xml:space="preserve"> pair of stream identifiers </w:t>
      </w:r>
      <w:r>
        <w:rPr>
          <w:lang w:eastAsia="ja-JP"/>
        </w:rPr>
        <w:t xml:space="preserve">shall be </w:t>
      </w:r>
      <w:r>
        <w:rPr>
          <w:lang w:eastAsia="ja-JP"/>
        </w:rPr>
        <w:t xml:space="preserve">reserved for the sole </w:t>
      </w:r>
      <w:r>
        <w:rPr>
          <w:lang w:eastAsia="ja-JP"/>
        </w:rPr>
        <w:t xml:space="preserve">use </w:t>
      </w:r>
      <w:r>
        <w:rPr>
          <w:lang w:eastAsia="ja-JP"/>
        </w:rPr>
        <w:t>of</w:t>
      </w:r>
      <w:r>
        <w:rPr>
          <w:lang w:eastAsia="ja-JP"/>
        </w:rPr>
        <w:t xml:space="preserve"> S1AP elementary procedures that utilize non UE-associated signalling.</w:t>
      </w:r>
    </w:p>
    <w:p>
      <w:pPr>
        <w:pStyle w:val="B1"/>
        <w:rPr>
          <w:lang w:eastAsia="ja-JP"/>
        </w:rPr>
      </w:pPr>
      <w:r>
        <w:rPr/>
        <w:t>-</w:t>
        <w:tab/>
        <w:t>At least one pair</w:t>
      </w:r>
      <w:r>
        <w:rPr>
          <w:lang w:eastAsia="ja-JP"/>
        </w:rPr>
        <w:t xml:space="preserve"> </w:t>
      </w:r>
      <w:r>
        <w:rPr/>
        <w:t xml:space="preserve">of stream identifiers </w:t>
      </w:r>
      <w:r>
        <w:rPr>
          <w:lang w:eastAsia="ja-JP"/>
        </w:rPr>
        <w:t xml:space="preserve">shall </w:t>
      </w:r>
      <w:r>
        <w:rPr>
          <w:lang w:eastAsia="ja-JP"/>
        </w:rPr>
        <w:t xml:space="preserve">be </w:t>
      </w:r>
      <w:r>
        <w:rPr>
          <w:lang w:eastAsia="ja-JP"/>
        </w:rPr>
        <w:t xml:space="preserve">reserved for the sole </w:t>
      </w:r>
      <w:r>
        <w:rPr>
          <w:lang w:eastAsia="ja-JP"/>
        </w:rPr>
        <w:t xml:space="preserve">use </w:t>
      </w:r>
      <w:r>
        <w:rPr>
          <w:lang w:eastAsia="ja-JP"/>
        </w:rPr>
        <w:t>of</w:t>
      </w:r>
      <w:r>
        <w:rPr>
          <w:lang w:eastAsia="ja-JP"/>
        </w:rPr>
        <w:t xml:space="preserve"> S1AP elementary procedures that utilize UE-associated signalling</w:t>
      </w:r>
      <w:r>
        <w:rPr>
          <w:lang w:eastAsia="ja-JP"/>
        </w:rPr>
        <w:t>s</w:t>
      </w:r>
      <w:r>
        <w:rPr>
          <w:lang w:eastAsia="ja-JP"/>
        </w:rPr>
        <w:t xml:space="preserve">. </w:t>
      </w:r>
      <w:r>
        <w:rPr>
          <w:lang w:eastAsia="ja-JP"/>
        </w:rPr>
        <w:t>However a few pairs (i.e. more than one) should be reserved.</w:t>
      </w:r>
    </w:p>
    <w:p>
      <w:pPr>
        <w:pStyle w:val="B1"/>
        <w:rPr/>
      </w:pPr>
      <w:r>
        <w:rPr>
          <w:lang w:eastAsia="ja-JP"/>
        </w:rPr>
        <w:t>-</w:t>
        <w:tab/>
        <w:t xml:space="preserve">A single UE-associated signalling </w:t>
      </w:r>
      <w:r>
        <w:rPr>
          <w:lang w:eastAsia="ja-JP"/>
        </w:rPr>
        <w:t>shall use</w:t>
      </w:r>
      <w:r>
        <w:rPr/>
        <w:t xml:space="preserve"> one SCTP stream</w:t>
      </w:r>
      <w:r>
        <w:rPr>
          <w:rFonts w:eastAsia="MS PGothic"/>
          <w:lang w:val="en-US" w:eastAsia="ja-JP"/>
        </w:rPr>
        <w:t xml:space="preserve"> </w:t>
      </w:r>
      <w:r>
        <w:rPr>
          <w:rFonts w:eastAsia="MS PGothic"/>
          <w:lang w:val="en-US" w:eastAsia="ja-JP"/>
        </w:rPr>
        <w:t>and the s</w:t>
      </w:r>
      <w:r>
        <w:rPr>
          <w:rFonts w:eastAsia="MS PGothic"/>
          <w:lang w:val="en-US" w:eastAsia="ja-JP"/>
        </w:rPr>
        <w:t xml:space="preserve">tream </w:t>
      </w:r>
      <w:r>
        <w:rPr>
          <w:rFonts w:eastAsia="MS PGothic"/>
          <w:lang w:val="en-US" w:eastAsia="ja-JP"/>
        </w:rPr>
        <w:t xml:space="preserve">should </w:t>
      </w:r>
      <w:r>
        <w:rPr>
          <w:rFonts w:eastAsia="MS PGothic"/>
          <w:lang w:val="en-US" w:eastAsia="ja-JP"/>
        </w:rPr>
        <w:t xml:space="preserve">not </w:t>
      </w:r>
      <w:r>
        <w:rPr>
          <w:rFonts w:eastAsia="MS PGothic"/>
          <w:lang w:val="en-US" w:eastAsia="ja-JP"/>
        </w:rPr>
        <w:t xml:space="preserve">be </w:t>
      </w:r>
      <w:r>
        <w:rPr>
          <w:rFonts w:eastAsia="MS PGothic"/>
          <w:lang w:val="en-US" w:eastAsia="ja-JP"/>
        </w:rPr>
        <w:t>changed during the communication</w:t>
      </w:r>
      <w:r>
        <w:rPr>
          <w:rFonts w:eastAsia="MS PGothic"/>
          <w:lang w:val="en-US" w:eastAsia="ja-JP"/>
        </w:rPr>
        <w:t xml:space="preserve"> of the UE-associated signalling</w:t>
      </w:r>
      <w:r>
        <w:rPr>
          <w:lang w:eastAsia="ja-JP"/>
        </w:rPr>
        <w:t>.</w:t>
      </w:r>
    </w:p>
    <w:p>
      <w:pPr>
        <w:pStyle w:val="Normal"/>
        <w:rPr>
          <w:lang w:eastAsia="ja-JP"/>
        </w:rPr>
      </w:pPr>
      <w:r>
        <w:rPr>
          <w:lang w:eastAsia="ja-JP"/>
        </w:rPr>
        <w:t xml:space="preserve">Transport </w:t>
      </w:r>
      <w:r>
        <w:rPr>
          <w:lang w:eastAsia="ja-JP"/>
        </w:rPr>
        <w:t>network</w:t>
      </w:r>
      <w:r>
        <w:rPr>
          <w:lang w:eastAsia="ja-JP"/>
        </w:rPr>
        <w:t xml:space="preserve"> r</w:t>
      </w:r>
      <w:r>
        <w:rPr/>
        <w:t xml:space="preserve">edundancy </w:t>
      </w:r>
      <w:r>
        <w:rPr>
          <w:lang w:eastAsia="ja-JP"/>
        </w:rPr>
        <w:t>may be</w:t>
      </w:r>
      <w:r>
        <w:rPr/>
        <w:t xml:space="preserve"> achieved by SCTP multi-homing between two end-points, of which one or both is assigned with multiple IP addresses. SCTP end-points shall support a multi-homed remote SCTP end-point. </w:t>
      </w:r>
      <w:r>
        <w:rPr>
          <w:rFonts w:eastAsia="Batang;바탕"/>
          <w:bCs/>
          <w:lang w:eastAsia="ko-KR"/>
        </w:rPr>
        <w:t xml:space="preserve">For SCTP endpoint redundancy an INIT may be sent from MME or eNB, at any time for an already established SCTP association, which shall be handled as defined in IETF RFC 4960 [5] in </w:t>
      </w:r>
      <w:r>
        <w:rPr>
          <w:bCs/>
          <w:lang w:eastAsia="ja-JP"/>
        </w:rPr>
        <w:t>subclause</w:t>
      </w:r>
      <w:r>
        <w:rPr>
          <w:rFonts w:eastAsia="Batang;바탕"/>
          <w:bCs/>
          <w:lang w:eastAsia="ko-KR"/>
        </w:rPr>
        <w:t xml:space="preserve"> 5.2.</w:t>
      </w:r>
    </w:p>
    <w:p>
      <w:pPr>
        <w:pStyle w:val="Normal"/>
        <w:rPr>
          <w:lang w:eastAsia="ja-JP"/>
        </w:rPr>
      </w:pPr>
      <w:bookmarkStart w:id="20" w:name="historyclause"/>
      <w:bookmarkEnd w:id="20"/>
      <w:r>
        <w:rPr>
          <w:lang w:eastAsia="ja-JP"/>
        </w:rPr>
        <w:t xml:space="preserve">The </w:t>
      </w:r>
      <w:r>
        <w:rPr/>
        <w:t xml:space="preserve">SCTP </w:t>
      </w:r>
      <w:r>
        <w:rPr>
          <w:lang w:eastAsia="ja-JP"/>
        </w:rPr>
        <w:t>congestion</w:t>
      </w:r>
      <w:r>
        <w:rPr/>
        <w:t xml:space="preserve"> control may, using an implementation specific mechanism, initiate higher layer protocols to reduce the </w:t>
      </w:r>
      <w:r>
        <w:rPr>
          <w:lang w:eastAsia="ja-JP"/>
        </w:rPr>
        <w:t xml:space="preserve">signalling </w:t>
      </w:r>
      <w:r>
        <w:rPr/>
        <w:t>traffic at the source and prioritise certain messages.</w:t>
      </w:r>
      <w:r>
        <w:br w:type="page"/>
      </w:r>
    </w:p>
    <w:p>
      <w:pPr>
        <w:pStyle w:val="Heading8"/>
        <w:ind w:left="0" w:hanging="0"/>
        <w:rPr/>
      </w:pPr>
      <w:bookmarkStart w:id="21" w:name="__RefHeading___Toc36646837"/>
      <w:bookmarkEnd w:id="21"/>
      <w:r>
        <w:rPr/>
        <w:t xml:space="preserve">Annex </w:t>
      </w:r>
      <w:r>
        <w:rPr>
          <w:lang w:eastAsia="ja-JP"/>
        </w:rPr>
        <w:t>A</w:t>
      </w:r>
      <w:r>
        <w:rPr/>
        <w:t xml:space="preserve"> (informative):</w:t>
        <w:br/>
        <w:t>Change History</w:t>
      </w:r>
    </w:p>
    <w:tbl>
      <w:tblPr>
        <w:tblW w:w="9639" w:type="dxa"/>
        <w:jc w:val="left"/>
        <w:tblInd w:w="-7" w:type="dxa"/>
        <w:tblLayout w:type="fixed"/>
        <w:tblCellMar>
          <w:top w:w="0" w:type="dxa"/>
          <w:left w:w="40" w:type="dxa"/>
          <w:bottom w:w="0" w:type="dxa"/>
          <w:right w:w="40" w:type="dxa"/>
        </w:tblCellMar>
      </w:tblPr>
      <w:tblGrid>
        <w:gridCol w:w="851"/>
        <w:gridCol w:w="992"/>
        <w:gridCol w:w="567"/>
        <w:gridCol w:w="425"/>
        <w:gridCol w:w="6096"/>
        <w:gridCol w:w="708"/>
      </w:tblGrid>
      <w:tr>
        <w:trPr/>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6096"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51" w:type="dxa"/>
            <w:tcBorders>
              <w:top w:val="single" w:sz="6" w:space="0" w:color="000000"/>
              <w:left w:val="single" w:sz="6" w:space="0" w:color="000000"/>
              <w:right w:val="single" w:sz="6" w:space="0" w:color="000000"/>
            </w:tcBorders>
            <w:shd w:fill="FFFFFF" w:val="clear"/>
          </w:tcPr>
          <w:p>
            <w:pPr>
              <w:pStyle w:val="TAL"/>
              <w:rPr/>
            </w:pPr>
            <w:r>
              <w:rPr/>
              <w:t>38</w:t>
            </w:r>
          </w:p>
        </w:tc>
        <w:tc>
          <w:tcPr>
            <w:tcW w:w="992"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567"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6096" w:type="dxa"/>
            <w:tcBorders>
              <w:top w:val="single" w:sz="6" w:space="0" w:color="000000"/>
              <w:left w:val="single" w:sz="6" w:space="0" w:color="000000"/>
              <w:right w:val="single" w:sz="6" w:space="0" w:color="000000"/>
            </w:tcBorders>
            <w:shd w:fill="FFFFFF" w:val="clear"/>
          </w:tcPr>
          <w:p>
            <w:pPr>
              <w:pStyle w:val="TAL"/>
              <w:rPr/>
            </w:pPr>
            <w:r>
              <w:rPr/>
              <w:t>Specification approved at TSG-RAN and placed under change control</w:t>
            </w:r>
          </w:p>
        </w:tc>
        <w:tc>
          <w:tcPr>
            <w:tcW w:w="708" w:type="dxa"/>
            <w:tcBorders>
              <w:top w:val="single" w:sz="6" w:space="0" w:color="000000"/>
              <w:left w:val="single" w:sz="6" w:space="0" w:color="000000"/>
              <w:right w:val="single" w:sz="6" w:space="0" w:color="000000"/>
            </w:tcBorders>
            <w:shd w:fill="FFFFFF" w:val="clear"/>
          </w:tcPr>
          <w:p>
            <w:pPr>
              <w:pStyle w:val="TAL"/>
              <w:rPr/>
            </w:pPr>
            <w:r>
              <w:rPr/>
              <w:t>8.0.0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lang w:val="en-AU"/>
              </w:rPr>
            </w:pPr>
            <w:r>
              <w:rPr>
                <w:rFonts w:cs="Arial"/>
                <w:iCs/>
                <w:lang w:val="en-AU"/>
              </w:rPr>
              <w:t>39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lang w:val="en-AU"/>
              </w:rPr>
            </w:pPr>
            <w:r>
              <w:rPr>
                <w:rFonts w:cs="Arial"/>
                <w:iCs/>
                <w:lang w:val="en-AU"/>
              </w:rPr>
              <w:t>RP-080077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lang w:val="en-AU"/>
              </w:rPr>
            </w:pPr>
            <w:r>
              <w:rPr>
                <w:rFonts w:cs="Arial"/>
                <w:iCs/>
                <w:lang w:val="en-AU"/>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lang w:val="en-AU"/>
              </w:rPr>
            </w:pPr>
            <w:r>
              <w:rPr>
                <w:rFonts w:cs="Arial"/>
                <w:iCs/>
                <w:lang w:val="en-AU"/>
              </w:rPr>
              <w:t>-</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lang w:val="en-AU"/>
              </w:rPr>
            </w:pPr>
            <w:r>
              <w:rPr>
                <w:rFonts w:cs="Arial"/>
                <w:iCs/>
                <w:lang w:val="en-AU"/>
              </w:rPr>
              <w:t>Dedication of common streams over S1-MME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lang w:val="en-AU"/>
              </w:rPr>
            </w:pPr>
            <w:r>
              <w:rPr>
                <w:rFonts w:cs="Arial"/>
                <w:iCs/>
                <w:lang w:val="en-AU"/>
              </w:rPr>
              <w:t>8.1.0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lang w:val="en-AU"/>
              </w:rPr>
            </w:pPr>
            <w:r>
              <w:rPr>
                <w:rFonts w:cs="Arial"/>
                <w:iCs/>
                <w:lang w:val="en-AU"/>
              </w:rPr>
              <w:t>40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lang w:val="en-AU"/>
              </w:rPr>
            </w:pPr>
            <w:r>
              <w:rPr>
                <w:rFonts w:cs="Arial"/>
                <w:iCs/>
                <w:lang w:val="en-AU"/>
              </w:rPr>
              <w:t>RP-080301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0004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lang w:val="en-AU"/>
              </w:rPr>
            </w:pPr>
            <w:r>
              <w:rPr>
                <w:rFonts w:cs="Arial"/>
                <w:iCs/>
                <w:lang w:val="en-AU"/>
              </w:rPr>
              <w:t>-</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SCTP flow control and overload protection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lang w:val="en-AU"/>
              </w:rPr>
            </w:pPr>
            <w:r>
              <w:rPr>
                <w:rFonts w:cs="Arial"/>
                <w:iCs/>
                <w:lang w:val="en-AU"/>
              </w:rPr>
              <w:t>8.2.0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lang w:val="en-AU"/>
              </w:rPr>
            </w:pPr>
            <w:r>
              <w:rPr>
                <w:rFonts w:cs="Arial"/>
                <w:iCs/>
                <w:lang w:val="en-AU"/>
              </w:rPr>
              <w:t>40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lang w:val="en-AU"/>
              </w:rPr>
            </w:pPr>
            <w:r>
              <w:rPr>
                <w:rFonts w:cs="Arial"/>
                <w:iCs/>
                <w:lang w:val="en-AU"/>
              </w:rPr>
              <w:t>RP-080301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0005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lang w:val="en-AU"/>
              </w:rPr>
            </w:pPr>
            <w:r>
              <w:rPr>
                <w:rFonts w:cs="Arial"/>
                <w:iCs/>
                <w:lang w:val="en-AU"/>
              </w:rPr>
              <w:t>-</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rPr>
              <w:t>Redundancy of the SCTP endpoint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lang w:val="en-AU"/>
              </w:rPr>
            </w:pPr>
            <w:r>
              <w:rPr>
                <w:rFonts w:cs="Arial"/>
                <w:iCs/>
                <w:lang w:val="en-AU"/>
              </w:rPr>
              <w:t>8.2.0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41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RP-080583</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0007</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1</w:t>
            </w:r>
          </w:p>
        </w:tc>
        <w:tc>
          <w:tcPr>
            <w:tcW w:w="609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Correct the wording of common and dedicated procedures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8.3.0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41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RP-080583</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0008</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pPr>
            <w:r>
              <w:rPr/>
            </w:r>
          </w:p>
        </w:tc>
        <w:tc>
          <w:tcPr>
            <w:tcW w:w="609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Enhancing the understandability of section 7 TS 36.412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8.3.0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41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RP-080583</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0009</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pPr>
            <w:r>
              <w:rPr/>
            </w:r>
          </w:p>
        </w:tc>
        <w:tc>
          <w:tcPr>
            <w:tcW w:w="609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Clarification of SCTP Congestion Indication over S1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8.3.0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val="en-AU"/>
              </w:rPr>
            </w:pPr>
            <w:r>
              <w:rPr>
                <w:rFonts w:cs="Arial"/>
                <w:szCs w:val="18"/>
                <w:lang w:val="en-AU"/>
              </w:rPr>
              <w:t>42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val="en-AU"/>
              </w:rPr>
            </w:pPr>
            <w:r>
              <w:rPr>
                <w:rFonts w:cs="Arial"/>
                <w:szCs w:val="18"/>
                <w:lang w:val="en-AU"/>
              </w:rPr>
              <w:t>RP-080845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val="en-AU"/>
              </w:rPr>
            </w:pPr>
            <w:r>
              <w:rPr>
                <w:rFonts w:cs="Arial"/>
                <w:szCs w:val="18"/>
                <w:lang w:val="en-AU"/>
              </w:rPr>
              <w:t>0010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lang w:val="en-AU"/>
              </w:rPr>
            </w:pPr>
            <w:r>
              <w:rPr>
                <w:rFonts w:cs="Arial"/>
                <w:szCs w:val="18"/>
                <w:lang w:val="en-AU"/>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val="en-AU"/>
              </w:rPr>
            </w:pPr>
            <w:r>
              <w:rPr>
                <w:rFonts w:cs="Arial"/>
                <w:szCs w:val="18"/>
                <w:lang w:val="en-AU"/>
              </w:rPr>
              <w:t>Removal of chapter 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lang w:val="en-AU"/>
              </w:rPr>
            </w:pPr>
            <w:r>
              <w:rPr>
                <w:rFonts w:cs="Arial"/>
                <w:iCs/>
                <w:szCs w:val="18"/>
                <w:lang w:val="en-AU"/>
              </w:rPr>
              <w:t>8.4.0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val="en-AU"/>
              </w:rPr>
            </w:pPr>
            <w:r>
              <w:rPr>
                <w:rFonts w:cs="Arial"/>
                <w:szCs w:val="18"/>
                <w:lang w:val="en-AU"/>
              </w:rPr>
              <w:t>43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val="en-AU"/>
              </w:rPr>
            </w:pPr>
            <w:r>
              <w:rPr>
                <w:rFonts w:cs="Arial"/>
                <w:szCs w:val="18"/>
                <w:lang w:val="en-AU"/>
              </w:rPr>
              <w:t>RP-090090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val="en-AU"/>
              </w:rPr>
            </w:pPr>
            <w:r>
              <w:rPr>
                <w:rFonts w:cs="Arial"/>
                <w:szCs w:val="18"/>
                <w:lang w:val="en-AU"/>
              </w:rPr>
              <w:t>0011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val="en-AU"/>
              </w:rPr>
            </w:pPr>
            <w:r>
              <w:rPr>
                <w:rFonts w:cs="Arial"/>
                <w:szCs w:val="18"/>
                <w:lang w:val="en-AU"/>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val="en-AU"/>
              </w:rPr>
            </w:pPr>
            <w:r>
              <w:rPr>
                <w:rFonts w:cs="Arial"/>
                <w:szCs w:val="18"/>
                <w:lang w:val="en-AU"/>
              </w:rPr>
              <w:t>The use of the number of stream ID for a UE-associated signalling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lang w:val="en-AU"/>
              </w:rPr>
            </w:pPr>
            <w:r>
              <w:rPr>
                <w:rFonts w:cs="Arial"/>
                <w:iCs/>
                <w:szCs w:val="18"/>
                <w:lang w:val="en-AU"/>
              </w:rPr>
              <w:t>8.5.0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val="en-AU"/>
              </w:rPr>
            </w:pPr>
            <w:r>
              <w:rPr>
                <w:rFonts w:cs="Arial"/>
                <w:szCs w:val="18"/>
                <w:lang w:val="en-AU"/>
              </w:rPr>
              <w:t>43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val="en-AU"/>
              </w:rPr>
            </w:pPr>
            <w:r>
              <w:rPr>
                <w:rFonts w:cs="Arial"/>
                <w:szCs w:val="18"/>
                <w:lang w:val="en-AU"/>
              </w:rPr>
              <w:t>RP-090085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val="en-AU"/>
              </w:rPr>
            </w:pPr>
            <w:r>
              <w:rPr>
                <w:rFonts w:cs="Arial"/>
                <w:szCs w:val="18"/>
                <w:lang w:val="en-AU"/>
              </w:rPr>
              <w:t>0012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val="en-AU"/>
              </w:rPr>
            </w:pPr>
            <w:r>
              <w:rPr>
                <w:rFonts w:cs="Arial"/>
                <w:szCs w:val="18"/>
                <w:lang w:val="en-AU"/>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val="en-AU"/>
              </w:rPr>
            </w:pPr>
            <w:r>
              <w:rPr>
                <w:rFonts w:cs="Arial"/>
                <w:szCs w:val="18"/>
                <w:lang w:val="en-AU"/>
              </w:rPr>
              <w:t>Clarification of SCTP streams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lang w:val="en-AU"/>
              </w:rPr>
            </w:pPr>
            <w:r>
              <w:rPr>
                <w:rFonts w:cs="Arial"/>
                <w:iCs/>
                <w:szCs w:val="18"/>
                <w:lang w:val="en-AU"/>
              </w:rPr>
              <w:t>8.5.0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val="en-AU"/>
              </w:rPr>
            </w:pPr>
            <w:r>
              <w:rPr>
                <w:rFonts w:cs="Arial"/>
                <w:szCs w:val="18"/>
                <w:lang w:val="en-AU"/>
              </w:rPr>
              <w:t>43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val="en-AU"/>
              </w:rPr>
            </w:pPr>
            <w:r>
              <w:rPr>
                <w:rFonts w:cs="Arial"/>
                <w:szCs w:val="18"/>
                <w:lang w:val="en-AU"/>
              </w:rPr>
              <w:t>RP-090083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val="en-AU"/>
              </w:rPr>
            </w:pPr>
            <w:r>
              <w:rPr>
                <w:rFonts w:cs="Arial"/>
                <w:szCs w:val="18"/>
                <w:lang w:val="en-AU"/>
              </w:rPr>
              <w:t>0013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lang w:val="en-AU"/>
              </w:rPr>
            </w:pPr>
            <w:r>
              <w:rPr>
                <w:rFonts w:cs="Arial"/>
                <w:szCs w:val="18"/>
                <w:lang w:val="en-AU"/>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Cs w:val="18"/>
                <w:lang w:val="en-AU"/>
              </w:rPr>
              <w:t>CR for FFS(es) on signalling bearer function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lang w:val="en-AU"/>
              </w:rPr>
            </w:pPr>
            <w:r>
              <w:rPr>
                <w:rFonts w:cs="Arial"/>
                <w:iCs/>
                <w:szCs w:val="18"/>
                <w:lang w:val="en-AU"/>
              </w:rPr>
              <w:t>8.5.0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val="en-AU"/>
              </w:rPr>
            </w:pPr>
            <w:r>
              <w:rPr>
                <w:rFonts w:cs="Arial"/>
                <w:szCs w:val="18"/>
                <w:lang w:val="en-AU"/>
              </w:rPr>
              <w:t>43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val="en-AU"/>
              </w:rPr>
            </w:pPr>
            <w:r>
              <w:rPr>
                <w:rFonts w:cs="Arial"/>
                <w:szCs w:val="18"/>
                <w:lang w:val="en-AU"/>
              </w:rPr>
              <w:t>RP-090085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val="en-AU"/>
              </w:rPr>
            </w:pPr>
            <w:r>
              <w:rPr>
                <w:rFonts w:cs="Arial"/>
                <w:szCs w:val="18"/>
                <w:lang w:val="en-AU"/>
              </w:rPr>
              <w:t>0015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val="en-AU"/>
              </w:rPr>
            </w:pPr>
            <w:r>
              <w:rPr>
                <w:rFonts w:cs="Arial"/>
                <w:szCs w:val="18"/>
                <w:lang w:val="en-AU"/>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Cs w:val="18"/>
                <w:lang w:val="en-AU"/>
              </w:rPr>
              <w:t>Clarification the overload protection function support in SCTP</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lang w:val="en-AU"/>
              </w:rPr>
            </w:pPr>
            <w:r>
              <w:rPr>
                <w:rFonts w:cs="Arial"/>
                <w:iCs/>
                <w:szCs w:val="18"/>
                <w:lang w:val="en-AU"/>
              </w:rPr>
              <w:t>8.5.0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val="en-AU"/>
              </w:rPr>
            </w:pPr>
            <w:r>
              <w:rPr>
                <w:rFonts w:cs="Arial"/>
                <w:szCs w:val="18"/>
                <w:lang w:val="en-AU"/>
              </w:rPr>
              <w:t>46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val="en-AU"/>
              </w:rPr>
            </w:pPr>
            <w:r>
              <w:rPr>
                <w:rFonts w:cs="Arial"/>
                <w:szCs w:val="18"/>
                <w:lang w:val="en-AU"/>
              </w:rPr>
              <w:t>RP-091183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val="en-AU"/>
              </w:rPr>
            </w:pPr>
            <w:r>
              <w:rPr>
                <w:rFonts w:cs="Arial"/>
                <w:szCs w:val="18"/>
                <w:lang w:val="en-AU"/>
              </w:rPr>
              <w:t>0016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val="en-AU"/>
              </w:rPr>
            </w:pPr>
            <w:r>
              <w:rPr>
                <w:rFonts w:cs="Arial"/>
                <w:szCs w:val="18"/>
                <w:lang w:val="en-AU"/>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val="en-AU"/>
              </w:rPr>
            </w:pPr>
            <w:r>
              <w:rPr>
                <w:lang w:val="en-US" w:eastAsia="en-US"/>
              </w:rPr>
              <w:t>Specification of SCTP destination port number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lang w:val="en-AU"/>
              </w:rPr>
            </w:pPr>
            <w:r>
              <w:rPr>
                <w:rFonts w:cs="Arial"/>
                <w:iCs/>
                <w:szCs w:val="18"/>
                <w:lang w:val="en-AU"/>
              </w:rPr>
              <w:t>8.6.0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Cs w:val="18"/>
                <w:lang w:val="en-AU"/>
              </w:rPr>
              <w:t>12/2009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lang w:val="en-AU"/>
              </w:rPr>
            </w:pPr>
            <w:r>
              <w:rPr>
                <w:rFonts w:cs="Arial"/>
                <w:szCs w:val="18"/>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lang w:val="en-AU"/>
              </w:rPr>
            </w:pPr>
            <w:r>
              <w:rPr>
                <w:rFonts w:cs="Arial"/>
                <w:szCs w:val="18"/>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lang w:val="en-AU"/>
              </w:rPr>
            </w:pPr>
            <w:r>
              <w:rPr>
                <w:rFonts w:cs="Arial"/>
                <w:szCs w:val="18"/>
                <w:lang w:val="en-AU"/>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Creation of Rel-9 version based on v8.6.0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lang w:val="en-AU"/>
              </w:rPr>
            </w:pPr>
            <w:r>
              <w:rPr>
                <w:rFonts w:cs="Arial"/>
                <w:iCs/>
                <w:szCs w:val="18"/>
                <w:lang w:val="en-AU"/>
              </w:rPr>
              <w:t>9.0.0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val="en-AU"/>
              </w:rPr>
            </w:pPr>
            <w:r>
              <w:rPr>
                <w:rFonts w:cs="Arial"/>
                <w:szCs w:val="18"/>
                <w:lang w:val="en-AU"/>
              </w:rPr>
              <w:t>47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val="en-AU"/>
              </w:rPr>
            </w:pPr>
            <w:r>
              <w:rPr>
                <w:rFonts w:cs="Arial"/>
                <w:szCs w:val="18"/>
                <w:lang w:val="en-AU"/>
              </w:rPr>
              <w:t>RP-100213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val="en-AU"/>
              </w:rPr>
            </w:pPr>
            <w:r>
              <w:rPr>
                <w:rFonts w:cs="Arial"/>
                <w:szCs w:val="18"/>
                <w:lang w:val="en-AU"/>
              </w:rPr>
              <w:t>0018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lang w:val="en-AU"/>
              </w:rPr>
            </w:pPr>
            <w:r>
              <w:rPr>
                <w:rFonts w:cs="Arial"/>
                <w:szCs w:val="18"/>
                <w:lang w:val="en-AU"/>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rFonts w:cs="Arial"/>
                <w:szCs w:val="18"/>
              </w:rPr>
              <w:t>Specification of Payload Identifier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lang w:val="en-AU"/>
              </w:rPr>
            </w:pPr>
            <w:r>
              <w:rPr>
                <w:rFonts w:cs="Arial"/>
                <w:iCs/>
                <w:szCs w:val="18"/>
                <w:lang w:val="en-AU"/>
              </w:rPr>
              <w:t>9.1.0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Cs w:val="18"/>
                <w:lang w:val="en-AU"/>
              </w:rPr>
              <w:t>12/2010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lang w:val="en-AU"/>
              </w:rPr>
            </w:pPr>
            <w:r>
              <w:rPr>
                <w:rFonts w:cs="Arial"/>
                <w:szCs w:val="18"/>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lang w:val="en-AU"/>
              </w:rPr>
            </w:pPr>
            <w:r>
              <w:rPr>
                <w:rFonts w:cs="Arial"/>
                <w:szCs w:val="18"/>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lang w:val="en-AU"/>
              </w:rPr>
            </w:pPr>
            <w:r>
              <w:rPr>
                <w:rFonts w:cs="Arial"/>
                <w:szCs w:val="18"/>
                <w:lang w:val="en-AU"/>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Creation of Rel-10 version based on v9.1.0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lang w:val="en-AU"/>
              </w:rPr>
            </w:pPr>
            <w:r>
              <w:rPr>
                <w:rFonts w:cs="Arial"/>
                <w:iCs/>
                <w:szCs w:val="18"/>
                <w:lang w:val="en-AU"/>
              </w:rPr>
              <w:t>10.0.0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val="en-AU"/>
              </w:rPr>
            </w:pPr>
            <w:r>
              <w:rPr>
                <w:rFonts w:cs="Arial"/>
                <w:szCs w:val="18"/>
                <w:lang w:val="en-AU"/>
              </w:rPr>
              <w:t>SP-49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val="en-AU"/>
              </w:rPr>
            </w:pPr>
            <w:r>
              <w:rPr>
                <w:rFonts w:cs="Arial"/>
                <w:szCs w:val="18"/>
                <w:lang w:val="en-AU"/>
              </w:rPr>
              <w:t>SP-100629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lang w:val="en-AU"/>
              </w:rPr>
            </w:pPr>
            <w:r>
              <w:rPr>
                <w:rFonts w:cs="Arial"/>
                <w:szCs w:val="18"/>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lang w:val="en-AU"/>
              </w:rPr>
            </w:pPr>
            <w:r>
              <w:rPr>
                <w:rFonts w:cs="Arial"/>
                <w:szCs w:val="18"/>
                <w:lang w:val="en-AU"/>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szCs w:val="18"/>
                <w:lang w:val="en-US" w:eastAsia="en-US"/>
              </w:rPr>
              <w:t>Clarification on the use of References (TS 21.801 CR#0030)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lang w:val="en-AU"/>
              </w:rPr>
            </w:pPr>
            <w:r>
              <w:rPr>
                <w:rFonts w:cs="Arial"/>
                <w:iCs/>
                <w:szCs w:val="18"/>
                <w:lang w:val="en-AU"/>
              </w:rPr>
              <w:t>10.0.1</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val="en-AU"/>
              </w:rPr>
            </w:pPr>
            <w:r>
              <w:rPr>
                <w:rFonts w:cs="Arial"/>
                <w:szCs w:val="18"/>
                <w:lang w:val="en-AU"/>
              </w:rPr>
              <w:t>52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val="en-AU"/>
              </w:rPr>
            </w:pPr>
            <w:r>
              <w:rPr>
                <w:rFonts w:cs="Arial"/>
                <w:szCs w:val="18"/>
                <w:lang w:val="en-AU"/>
              </w:rPr>
              <w:t>RP-110685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val="en-AU"/>
              </w:rPr>
            </w:pPr>
            <w:r>
              <w:rPr>
                <w:rFonts w:cs="Arial"/>
                <w:szCs w:val="18"/>
                <w:lang w:val="en-AU"/>
              </w:rPr>
              <w:t>0020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lang w:val="en-AU"/>
              </w:rPr>
            </w:pPr>
            <w:r>
              <w:rPr>
                <w:rFonts w:cs="Arial"/>
                <w:szCs w:val="18"/>
                <w:lang w:val="en-AU"/>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US" w:eastAsia="en-US"/>
              </w:rPr>
            </w:pPr>
            <w:r>
              <w:rPr>
                <w:lang w:val="en-US" w:eastAsia="en-US"/>
              </w:rPr>
              <w:t>Correction to the References in 36.412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lang w:val="en-AU"/>
              </w:rPr>
            </w:pPr>
            <w:r>
              <w:rPr>
                <w:rFonts w:cs="Arial"/>
                <w:iCs/>
                <w:szCs w:val="18"/>
                <w:lang w:val="en-AU"/>
              </w:rPr>
              <w:t>10.1.0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val="en-AU"/>
              </w:rPr>
            </w:pPr>
            <w:r>
              <w:rPr>
                <w:rFonts w:cs="Arial"/>
                <w:szCs w:val="18"/>
                <w:lang w:val="en-AU"/>
              </w:rPr>
              <w:t>09/2012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lang w:val="en-AU"/>
              </w:rPr>
            </w:pPr>
            <w:r>
              <w:rPr>
                <w:rFonts w:cs="Arial"/>
                <w:szCs w:val="18"/>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lang w:val="en-AU"/>
              </w:rPr>
            </w:pPr>
            <w:r>
              <w:rPr>
                <w:rFonts w:cs="Arial"/>
                <w:szCs w:val="18"/>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lang w:val="en-AU"/>
              </w:rPr>
            </w:pPr>
            <w:r>
              <w:rPr>
                <w:rFonts w:cs="Arial"/>
                <w:szCs w:val="18"/>
                <w:lang w:val="en-AU"/>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rFonts w:cs="Arial"/>
                <w:szCs w:val="18"/>
                <w:lang w:val="en-AU"/>
              </w:rPr>
              <w:t>Update to Rel-11 version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iCs/>
                <w:szCs w:val="18"/>
                <w:lang w:val="en-AU"/>
              </w:rPr>
              <w:t>11.0.0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val="en-AU"/>
              </w:rPr>
            </w:pPr>
            <w:r>
              <w:rPr>
                <w:rFonts w:cs="Arial"/>
                <w:szCs w:val="18"/>
                <w:lang w:val="en-AU"/>
              </w:rPr>
              <w:t>09/2014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lang w:val="en-AU"/>
              </w:rPr>
            </w:pPr>
            <w:r>
              <w:rPr>
                <w:rFonts w:cs="Arial"/>
                <w:szCs w:val="18"/>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lang w:val="en-AU"/>
              </w:rPr>
            </w:pPr>
            <w:r>
              <w:rPr>
                <w:rFonts w:cs="Arial"/>
                <w:szCs w:val="18"/>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lang w:val="en-AU"/>
              </w:rPr>
            </w:pPr>
            <w:r>
              <w:rPr>
                <w:rFonts w:cs="Arial"/>
                <w:szCs w:val="18"/>
                <w:lang w:val="en-AU"/>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val="en-AU"/>
              </w:rPr>
            </w:pPr>
            <w:r>
              <w:rPr>
                <w:rFonts w:cs="Arial"/>
                <w:szCs w:val="18"/>
                <w:lang w:val="en-AU"/>
              </w:rPr>
              <w:t>Update to Rel-12 version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iCs/>
                <w:szCs w:val="18"/>
                <w:lang w:val="en-AU"/>
              </w:rPr>
              <w:t>12.0.0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val="en-AU"/>
              </w:rPr>
            </w:pPr>
            <w:r>
              <w:rPr>
                <w:rFonts w:cs="Arial"/>
                <w:szCs w:val="18"/>
                <w:lang w:val="en-AU"/>
              </w:rPr>
              <w:t>12/2015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lang w:val="en-AU"/>
              </w:rPr>
            </w:pPr>
            <w:r>
              <w:rPr>
                <w:rFonts w:cs="Arial"/>
                <w:szCs w:val="18"/>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lang w:val="en-AU"/>
              </w:rPr>
            </w:pPr>
            <w:r>
              <w:rPr>
                <w:rFonts w:cs="Arial"/>
                <w:szCs w:val="18"/>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lang w:val="en-AU"/>
              </w:rPr>
            </w:pPr>
            <w:r>
              <w:rPr>
                <w:rFonts w:cs="Arial"/>
                <w:szCs w:val="18"/>
                <w:lang w:val="en-AU"/>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val="en-AU"/>
              </w:rPr>
            </w:pPr>
            <w:r>
              <w:rPr>
                <w:rFonts w:cs="Arial"/>
                <w:szCs w:val="18"/>
                <w:lang w:val="en-AU"/>
              </w:rPr>
              <w:t>Update to Rel-13 version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iCs/>
                <w:szCs w:val="18"/>
                <w:lang w:val="en-AU"/>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SA#75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rFonts w:ascii="Segoe UI" w:hAnsi="Segoe UI" w:cs="Segoe UI"/>
                <w:sz w:val="16"/>
                <w:szCs w:val="16"/>
                <w:shd w:fill="FFFFFF" w:val="clear"/>
              </w:rPr>
            </w:pPr>
            <w:r>
              <w:rPr>
                <w:rFonts w:cs="Segoe UI" w:ascii="Segoe UI" w:hAnsi="Segoe UI"/>
                <w:sz w:val="16"/>
                <w:szCs w:val="16"/>
                <w:shd w:fill="FFFFFF" w:val="clear"/>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shd w:fill="FFFFFF" w:val="clear"/>
              </w:rPr>
            </w:pPr>
            <w:r>
              <w:rPr>
                <w:sz w:val="16"/>
                <w:szCs w:val="16"/>
                <w:shd w:fill="FFFFFF" w:val="clear"/>
              </w:rPr>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rFonts w:ascii="Segoe UI" w:hAnsi="Segoe UI" w:cs="Segoe UI"/>
              </w:rPr>
            </w:pPr>
            <w:r>
              <w:rPr/>
              <w:t>Promotion to Release 14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pPr>
            <w:r>
              <w:rPr/>
              <w:t>Promotion to Release 15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2020-03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RP#87-e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RP-200425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0023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F</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pPr>
            <w:r>
              <w:rPr/>
              <w:t>Rapporteur’s Update for 36.412</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16.0.0</w:t>
            </w:r>
          </w:p>
        </w:tc>
      </w:tr>
    </w:tbl>
    <w:p>
      <w:pPr>
        <w:pStyle w:val="Normal"/>
        <w:spacing w:before="0" w:after="180"/>
        <w:rPr/>
      </w:pPr>
      <w:r>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Segoe U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overflowPunct w:val="false"/>
      <w:autoSpaceDE w:val="false"/>
      <w:bidi w:val="0"/>
      <w:spacing w:before="0" w:after="180"/>
      <w:textAlignment w:val="baseline"/>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overflowPunct w:val="false"/>
      <w:autoSpaceDE w:val="false"/>
      <w:bidi w:val="0"/>
      <w:spacing w:before="0" w:after="180"/>
      <w:textAlignment w:val="baseline"/>
      <w:rPr/>
    </w:pPr>
    <w:r>
      <w:rPr/>
    </w:r>
    <w:r>
      <mc:AlternateContent>
        <mc:Choice Requires="wps">
          <w:drawing>
            <wp:anchor behindDoc="0" distT="0" distB="0" distL="0" distR="0" simplePos="0" locked="0" layoutInCell="0" allowOverlap="1" relativeHeight="20">
              <wp:simplePos x="0" y="0"/>
              <wp:positionH relativeFrom="margin">
                <wp:align>right</wp:align>
              </wp:positionH>
              <wp:positionV relativeFrom="paragraph">
                <wp:posOffset>635</wp:posOffset>
              </wp:positionV>
              <wp:extent cx="1838960" cy="146685"/>
              <wp:effectExtent l="0" t="0" r="0" b="0"/>
              <wp:wrapSquare wrapText="largest"/>
              <wp:docPr id="14" name="Frame10"/>
              <a:graphic xmlns:a="http://schemas.openxmlformats.org/drawingml/2006/main">
                <a:graphicData uri="http://schemas.microsoft.com/office/word/2010/wordprocessingShape">
                  <wps:wsp>
                    <wps:cNvSpPr txBox="1"/>
                    <wps:spPr>
                      <a:xfrm>
                        <a:off x="0" y="0"/>
                        <a:ext cx="1838960" cy="146685"/>
                      </a:xfrm>
                      <a:prstGeom prst="rect"/>
                      <a:solidFill>
                        <a:srgbClr val="FFFFFF">
                          <a:alpha val="0"/>
                        </a:srgbClr>
                      </a:solidFill>
                    </wps:spPr>
                    <wps:txbx>
                      <w:txbxContent>
                        <w:p>
                          <w:pPr>
                            <w:pStyle w:val="Normal"/>
                            <w:spacing w:before="0" w:after="180"/>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36.412 V16.0.0 (2020-03)</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4.8pt;height:11.55pt;mso-wrap-distance-left:0pt;mso-wrap-distance-right:0pt;mso-wrap-distance-top:0pt;mso-wrap-distance-bottom:0pt;margin-top:0.05pt;mso-position-vertical-relative:text;margin-left:337.2pt;mso-position-horizontal:right;mso-position-horizontal-relative:margin">
              <v:fill opacity="0f"/>
              <v:textbox inset="0in,0in,0in,0in">
                <w:txbxContent>
                  <w:p>
                    <w:pPr>
                      <w:pStyle w:val="Normal"/>
                      <w:spacing w:before="0" w:after="180"/>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36.412 V16.0.0 (2020-03)</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7">
              <wp:simplePos x="0" y="0"/>
              <wp:positionH relativeFrom="margin">
                <wp:align>center</wp:align>
              </wp:positionH>
              <wp:positionV relativeFrom="paragraph">
                <wp:posOffset>635</wp:posOffset>
              </wp:positionV>
              <wp:extent cx="64135" cy="14668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4668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fldChar w:fldCharType="begin"/>
                          </w:r>
                          <w:r>
                            <w:rPr/>
                            <w:instrText xml:space="preserve"> PAGE </w:instrText>
                          </w:r>
                          <w:r>
                            <w:rPr/>
                            <w:fldChar w:fldCharType="separate"/>
                          </w:r>
                          <w:r>
                            <w:rPr/>
                            <w:t>8</w:t>
                          </w:r>
                          <w:r>
                            <w:rPr/>
                            <w:fldChar w:fldCharType="end"/>
                          </w:r>
                        </w:p>
                      </w:txbxContent>
                    </wps:txbx>
                    <wps:bodyPr anchor="t" lIns="0" tIns="0" rIns="0" bIns="0">
                      <a:noAutofit/>
                    </wps:bodyPr>
                  </wps:wsp>
                </a:graphicData>
              </a:graphic>
            </wp:anchor>
          </w:drawing>
        </mc:Choice>
        <mc:Fallback>
          <w:pict>
            <v:rect fillcolor="#FFFFFF" style="position:absolute;rotation:-0;width:5.05pt;height:11.5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Normal"/>
                      <w:widowControl/>
                      <w:overflowPunct w:val="false"/>
                      <w:autoSpaceDE w:val="false"/>
                      <w:bidi w:val="0"/>
                      <w:spacing w:before="0" w:after="180"/>
                      <w:textAlignment w:val="baseline"/>
                      <w:rPr/>
                    </w:pPr>
                    <w:r>
                      <w:rPr/>
                      <w:fldChar w:fldCharType="begin"/>
                    </w:r>
                    <w:r>
                      <w:rPr/>
                      <w:instrText xml:space="preserve"> PAGE </w:instrText>
                    </w:r>
                    <w:r>
                      <w:rPr/>
                      <w:fldChar w:fldCharType="separate"/>
                    </w:r>
                    <w:r>
                      <w:rPr/>
                      <w:t>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4">
              <wp:simplePos x="0" y="0"/>
              <wp:positionH relativeFrom="margin">
                <wp:align>left</wp:align>
              </wp:positionH>
              <wp:positionV relativeFrom="paragraph">
                <wp:posOffset>635</wp:posOffset>
              </wp:positionV>
              <wp:extent cx="554355" cy="146685"/>
              <wp:effectExtent l="0" t="0" r="0" b="0"/>
              <wp:wrapSquare wrapText="largest"/>
              <wp:docPr id="16" name="Frame12"/>
              <a:graphic xmlns:a="http://schemas.openxmlformats.org/drawingml/2006/main">
                <a:graphicData uri="http://schemas.microsoft.com/office/word/2010/wordprocessingShape">
                  <wps:wsp>
                    <wps:cNvSpPr txBox="1"/>
                    <wps:spPr>
                      <a:xfrm>
                        <a:off x="0" y="0"/>
                        <a:ext cx="554355" cy="146685"/>
                      </a:xfrm>
                      <a:prstGeom prst="rect"/>
                      <a:solidFill>
                        <a:srgbClr val="FFFFFF">
                          <a:alpha val="0"/>
                        </a:srgbClr>
                      </a:solidFill>
                    </wps:spPr>
                    <wps:txbx>
                      <w:txbxContent>
                        <w:p>
                          <w:pPr>
                            <w:pStyle w:val="Normal"/>
                            <w:spacing w:before="0" w:after="180"/>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3.65pt;height:11.5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Normal"/>
                      <w:spacing w:before="0" w:after="180"/>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Times New Roman" w:hAnsi="Times New Roman" w:eastAsia="MS Mincho;MS Mincho" w:cs="Times New Roman"/>
    </w:rPr>
  </w:style>
  <w:style w:type="character" w:styleId="WW8Num5z1">
    <w:name w:val="WW8Num5z1"/>
    <w:qFormat/>
    <w:rPr>
      <w:rFonts w:ascii="Wingdings" w:hAnsi="Wingdings" w:cs="Wingdings"/>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9z0">
    <w:name w:val="WW8Num9z0"/>
    <w:qFormat/>
    <w:rPr>
      <w:rFonts w:ascii="Symbol" w:hAnsi="Symbol" w:cs="Symbol"/>
      <w:color w:val="000000"/>
    </w:rPr>
  </w:style>
  <w:style w:type="character" w:styleId="WW8Num9z1">
    <w:name w:val="WW8Num9z1"/>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InternetLink">
    <w:name w:val="Hyperlink"/>
    <w:rPr>
      <w:color w:val="0000FF"/>
      <w:u w:val="single"/>
    </w:rPr>
  </w:style>
  <w:style w:type="character" w:styleId="FootnoteCharacters">
    <w:name w:val="Footnote Characters"/>
    <w:qFormat/>
    <w:rPr>
      <w:b/>
      <w:sz w:val="16"/>
      <w:vertAlign w:val="superscrip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TAJ">
    <w:name w:val="TAJ"/>
    <w:basedOn w:val="TH"/>
    <w:qFormat/>
    <w:pPr/>
    <w:rPr/>
  </w:style>
  <w:style w:type="paragraph" w:styleId="BalloonText">
    <w:name w:val="Balloon Text"/>
    <w:basedOn w:val="Normal"/>
    <w:qFormat/>
    <w:pPr/>
    <w:rPr>
      <w:rFonts w:ascii="Tahoma" w:hAnsi="Tahoma" w:cs="Tahoma"/>
      <w:sz w:val="16"/>
      <w:szCs w:val="16"/>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TAC8pt">
    <w:name w:val="TAC + 8 pt"/>
    <w:basedOn w:val="TAC"/>
    <w:qFormat/>
    <w:pPr/>
    <w:rPr>
      <w:rFonts w:cs="Arial"/>
      <w:sz w:val="16"/>
      <w:szCs w:val="16"/>
      <w:shd w:fill="FFFFFF" w:val="clear"/>
    </w:rPr>
  </w:style>
  <w:style w:type="paragraph" w:styleId="TAL8pt">
    <w:name w:val="TAL + 8 pt"/>
    <w:basedOn w:val="TAL"/>
    <w:qFormat/>
    <w:pPr/>
    <w:rPr>
      <w:rFonts w:cs="Arial"/>
      <w:sz w:val="16"/>
      <w:szCs w:val="16"/>
      <w:shd w:fill="FFFFFF" w:val="clea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19</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2015-12-22T12:45:00Z</dcterms:created>
  <dc:creator>MCC Support</dc:creator>
  <dc:description/>
  <cp:keywords>LTE radio</cp:keywords>
  <dc:language>en-US</dc:language>
  <cp:lastModifiedBy>Rapporteur</cp:lastModifiedBy>
  <cp:lastPrinted>2007-02-01T17:21:00Z</cp:lastPrinted>
  <dcterms:modified xsi:type="dcterms:W3CDTF">2020-04-01T13:22:00Z</dcterms:modified>
  <cp:revision>18</cp:revision>
  <dc:subject>Evolved Universal Terrestrial Radio Access Network (E-UTRAN); S1 signalling transport (Release 16)</dc:subject>
  <dc:title>3GPP TS 36.412</dc:title>
</cp:coreProperties>
</file>