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36.457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36.457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Radio Access Network; </w:t>
                            </w:r>
                          </w:p>
                          <w:p>
                            <w:pPr>
                              <w:pStyle w:val="ZT"/>
                              <w:rPr/>
                            </w:pPr>
                            <w:r>
                              <w:rPr/>
                              <w:t xml:space="preserve">Evolved Universal Terrestrial Radio Access Network </w:t>
                              <w:br/>
                              <w:t xml:space="preserve">(E-UTRAN); </w:t>
                              <w:br/>
                              <w:t>SLm interface layer 1</w:t>
                            </w:r>
                          </w:p>
                          <w:p>
                            <w:pPr>
                              <w:pStyle w:val="ZT"/>
                              <w:rPr/>
                            </w:pPr>
                            <w:r>
                              <w:rPr/>
                              <w:t>(</w:t>
                            </w:r>
                            <w:r>
                              <w:rPr>
                                <w:rStyle w:val="ZGSM"/>
                              </w:rPr>
                              <w:t>Release 16</w:t>
                            </w:r>
                            <w:r>
                              <w:rPr/>
                              <w:t>)</w:t>
                            </w:r>
                          </w:p>
                          <w:p>
                            <w:pPr>
                              <w:pStyle w:val="ZT"/>
                              <w:rPr/>
                            </w:pPr>
                            <w:r>
                              <w:rPr/>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Radio Access Network; </w:t>
                      </w:r>
                    </w:p>
                    <w:p>
                      <w:pPr>
                        <w:pStyle w:val="ZT"/>
                        <w:rPr/>
                      </w:pPr>
                      <w:r>
                        <w:rPr/>
                        <w:t xml:space="preserve">Evolved Universal Terrestrial Radio Access Network </w:t>
                        <w:br/>
                        <w:t xml:space="preserve">(E-UTRAN); </w:t>
                        <w:br/>
                        <w:t>SLm interface layer 1</w:t>
                      </w:r>
                    </w:p>
                    <w:p>
                      <w:pPr>
                        <w:pStyle w:val="ZT"/>
                        <w:rPr/>
                      </w:pPr>
                      <w:r>
                        <w:rPr/>
                        <w:t>(</w:t>
                      </w:r>
                      <w:r>
                        <w:rPr>
                          <w:rStyle w:val="ZGSM"/>
                        </w:rPr>
                        <w:t>Release 16</w:t>
                      </w:r>
                      <w:r>
                        <w:rPr/>
                        <w:t>)</w:t>
                      </w:r>
                    </w:p>
                    <w:p>
                      <w:pPr>
                        <w:pStyle w:val="ZT"/>
                        <w:rPr/>
                      </w:pPr>
                      <w:r>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03935"/>
                <wp:effectExtent l="0" t="0" r="0" b="0"/>
                <wp:wrapTopAndBottom/>
                <wp:docPr id="4" name="Frame4"/>
                <a:graphic xmlns:a="http://schemas.openxmlformats.org/drawingml/2006/main">
                  <a:graphicData uri="http://schemas.microsoft.com/office/word/2010/wordprocessingShape">
                    <wps:wsp>
                      <wps:cNvSpPr txBox="1"/>
                      <wps:spPr>
                        <a:xfrm>
                          <a:off x="0" y="0"/>
                          <a:ext cx="6480810" cy="1003935"/>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6660" cy="844550"/>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40435"/>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0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6660" cy="844550"/>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6660" cy="844550"/>
                                    </a:xfrm>
                                    <a:prstGeom prst="rect">
                                      <a:avLst/>
                                    </a:prstGeom>
                                  </pic:spPr>
                                </pic:pic>
                              </a:graphicData>
                            </a:graphic>
                          </wp:inline>
                        </w:drawing>
                      </w:r>
                      <w:r>
                        <w:rPr>
                          <w:i/>
                        </w:rPr>
                        <w:tab/>
                      </w:r>
                      <w:r>
                        <w:rPr>
                          <w:i/>
                        </w:rPr>
                        <w:drawing>
                          <wp:inline distT="0" distB="0" distL="0" distR="0">
                            <wp:extent cx="1622425" cy="940435"/>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40435"/>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43015" cy="1038860"/>
                <wp:effectExtent l="0" t="0" r="0" b="0"/>
                <wp:wrapTopAndBottom/>
                <wp:docPr id="9" name="Frame5"/>
                <a:graphic xmlns:a="http://schemas.openxmlformats.org/drawingml/2006/main">
                  <a:graphicData uri="http://schemas.microsoft.com/office/word/2010/wordprocessingShape">
                    <wps:wsp>
                      <wps:cNvSpPr txBox="1"/>
                      <wps:spPr>
                        <a:xfrm>
                          <a:off x="0" y="0"/>
                          <a:ext cx="63430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xml:space="preserve">) and may be further elaborated for the purposes of 3GPP. </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1981200</wp:posOffset>
                </wp:positionV>
                <wp:extent cx="6120130" cy="452755"/>
                <wp:effectExtent l="0" t="0" r="0" b="0"/>
                <wp:wrapTopAndBottom/>
                <wp:docPr id="11" name="Frame7"/>
                <a:graphic xmlns:a="http://schemas.openxmlformats.org/drawingml/2006/main">
                  <a:graphicData uri="http://schemas.microsoft.com/office/word/2010/wordprocessingShape">
                    <wps:wsp>
                      <wps:cNvSpPr txBox="1"/>
                      <wps:spPr>
                        <a:xfrm>
                          <a:off x="0" y="0"/>
                          <a:ext cx="612013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layer 1</w:t>
                            </w:r>
                          </w:p>
                        </w:txbxContent>
                      </wps:txbx>
                      <wps:bodyPr anchor="t" lIns="0" tIns="0" rIns="0" bIns="12700">
                        <a:noAutofit/>
                      </wps:bodyPr>
                    </wps:wsp>
                  </a:graphicData>
                </a:graphic>
              </wp:anchor>
            </w:drawing>
          </mc:Choice>
          <mc:Fallback>
            <w:pict>
              <v:rect fillcolor="#FFFFFF" style="position:absolute;rotation:-0;width:481.9pt;height:35.65pt;mso-wrap-distance-left:0pt;mso-wrap-distance-right:0pt;mso-wrap-distance-top:0pt;mso-wrap-distance-bottom:0pt;margin-top:156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LTE, radio, layer 1</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0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0130" cy="1941195"/>
                <wp:effectExtent l="0" t="0" r="0" b="0"/>
                <wp:wrapTopAndBottom/>
                <wp:docPr id="13" name="Frame9"/>
                <a:graphic xmlns:a="http://schemas.openxmlformats.org/drawingml/2006/main">
                  <a:graphicData uri="http://schemas.microsoft.com/office/word/2010/wordprocessingShape">
                    <wps:wsp>
                      <wps:cNvSpPr txBox="1"/>
                      <wps:spPr>
                        <a:xfrm>
                          <a:off x="0" y="0"/>
                          <a:ext cx="612013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Normal"/>
        <w:rPr/>
      </w:pPr>
      <w:r>
        <w:rPr/>
      </w:r>
      <w:r>
        <w:br w:type="page"/>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overflowPunct w:val="false"/>
            <w:autoSpaceDE w:val="false"/>
            <w:bidi w:val="0"/>
            <w:spacing w:before="120" w:after="0"/>
            <w:ind w:left="567" w:right="425" w:hanging="567"/>
            <w:textAlignment w:val="baseline"/>
            <w:rPr>
              <w:rFonts w:ascii="Calibri" w:hAnsi="Calibri" w:cs="Arial"/>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478159448">
            <w:r>
              <w:rPr>
                <w:rStyle w:val="IndexLink"/>
                <w:rFonts w:eastAsia="Times New Roman" w:cs="Times New Roman"/>
                <w:color w:val="auto"/>
                <w:sz w:val="22"/>
                <w:szCs w:val="20"/>
                <w:lang w:val="en-GB" w:eastAsia="en-US" w:bidi="ar-SA"/>
              </w:rPr>
              <w:t>4</w:t>
            </w:r>
          </w:hyperlink>
        </w:p>
        <w:p>
          <w:pPr>
            <w:pStyle w:val="Contents1"/>
            <w:rPr>
              <w:rFonts w:ascii="Calibri" w:hAnsi="Calibri" w:cs="Arial"/>
              <w:szCs w:val="22"/>
              <w:lang w:val="en-US" w:eastAsia="en-US"/>
            </w:rPr>
          </w:pPr>
          <w:r>
            <w:rPr/>
            <w:t>1</w:t>
          </w:r>
          <w:r>
            <w:rPr>
              <w:rFonts w:cs="Arial" w:ascii="Calibri" w:hAnsi="Calibri"/>
              <w:szCs w:val="22"/>
              <w:lang w:val="en-US" w:eastAsia="en-US"/>
            </w:rPr>
            <w:tab/>
          </w:r>
          <w:r>
            <w:rPr/>
            <w:t>Scope</w:t>
            <w:tab/>
          </w:r>
          <w:hyperlink w:anchor="__RefHeading___Toc478159449">
            <w:r>
              <w:rPr>
                <w:rStyle w:val="IndexLink"/>
              </w:rPr>
              <w:t>5</w:t>
            </w:r>
          </w:hyperlink>
        </w:p>
        <w:p>
          <w:pPr>
            <w:pStyle w:val="Contents1"/>
            <w:rPr>
              <w:rFonts w:ascii="Calibri" w:hAnsi="Calibri" w:cs="Arial"/>
              <w:szCs w:val="22"/>
              <w:lang w:val="en-US" w:eastAsia="en-US"/>
            </w:rPr>
          </w:pPr>
          <w:r>
            <w:rPr/>
            <w:t>2</w:t>
          </w:r>
          <w:r>
            <w:rPr>
              <w:rFonts w:cs="Arial" w:ascii="Calibri" w:hAnsi="Calibri"/>
              <w:szCs w:val="22"/>
              <w:lang w:val="en-US" w:eastAsia="en-US"/>
            </w:rPr>
            <w:tab/>
          </w:r>
          <w:r>
            <w:rPr/>
            <w:t>References</w:t>
            <w:tab/>
          </w:r>
          <w:hyperlink w:anchor="__RefHeading___Toc478159450">
            <w:r>
              <w:rPr>
                <w:rStyle w:val="IndexLink"/>
              </w:rPr>
              <w:t>5</w:t>
            </w:r>
          </w:hyperlink>
        </w:p>
        <w:p>
          <w:pPr>
            <w:pStyle w:val="Contents1"/>
            <w:rPr>
              <w:rFonts w:ascii="Calibri" w:hAnsi="Calibri" w:cs="Arial"/>
              <w:szCs w:val="22"/>
              <w:lang w:val="en-US" w:eastAsia="en-US"/>
            </w:rPr>
          </w:pPr>
          <w:r>
            <w:rPr/>
            <w:t>3</w:t>
          </w:r>
          <w:r>
            <w:rPr>
              <w:rFonts w:cs="Arial" w:ascii="Calibri" w:hAnsi="Calibri"/>
              <w:szCs w:val="22"/>
              <w:lang w:val="en-US" w:eastAsia="en-US"/>
            </w:rPr>
            <w:tab/>
          </w:r>
          <w:r>
            <w:rPr/>
            <w:t>Definitions, symbols and abbreviations</w:t>
            <w:tab/>
          </w:r>
          <w:hyperlink w:anchor="__RefHeading___Toc478159451">
            <w:r>
              <w:rPr>
                <w:rStyle w:val="IndexLink"/>
              </w:rPr>
              <w:t>5</w:t>
            </w:r>
          </w:hyperlink>
        </w:p>
        <w:p>
          <w:pPr>
            <w:pStyle w:val="Contents2"/>
            <w:rPr>
              <w:rFonts w:ascii="Calibri" w:hAnsi="Calibri" w:cs="Arial"/>
              <w:sz w:val="22"/>
              <w:szCs w:val="22"/>
              <w:lang w:val="en-US" w:eastAsia="en-US"/>
            </w:rPr>
          </w:pPr>
          <w:r>
            <w:rPr/>
            <w:t>3.1</w:t>
          </w:r>
          <w:r>
            <w:rPr>
              <w:rFonts w:cs="Arial" w:ascii="Calibri" w:hAnsi="Calibri"/>
              <w:sz w:val="22"/>
              <w:szCs w:val="22"/>
              <w:lang w:val="en-US" w:eastAsia="en-US"/>
            </w:rPr>
            <w:tab/>
          </w:r>
          <w:r>
            <w:rPr/>
            <w:t>Definitions</w:t>
            <w:tab/>
          </w:r>
          <w:hyperlink w:anchor="__RefHeading___Toc478159452">
            <w:r>
              <w:rPr>
                <w:rStyle w:val="IndexLink"/>
              </w:rPr>
              <w:t>5</w:t>
            </w:r>
          </w:hyperlink>
        </w:p>
        <w:p>
          <w:pPr>
            <w:pStyle w:val="Contents2"/>
            <w:rPr>
              <w:rFonts w:ascii="Calibri" w:hAnsi="Calibri" w:cs="Arial"/>
              <w:sz w:val="22"/>
              <w:szCs w:val="22"/>
              <w:lang w:val="en-US" w:eastAsia="en-US"/>
            </w:rPr>
          </w:pPr>
          <w:r>
            <w:rPr/>
            <w:t>3.2</w:t>
          </w:r>
          <w:r>
            <w:rPr>
              <w:rFonts w:cs="Arial" w:ascii="Calibri" w:hAnsi="Calibri"/>
              <w:sz w:val="22"/>
              <w:szCs w:val="22"/>
              <w:lang w:val="en-US" w:eastAsia="en-US"/>
            </w:rPr>
            <w:tab/>
          </w:r>
          <w:r>
            <w:rPr/>
            <w:t>Symbols</w:t>
            <w:tab/>
          </w:r>
          <w:hyperlink w:anchor="__RefHeading___Toc478159453">
            <w:r>
              <w:rPr>
                <w:rStyle w:val="IndexLink"/>
              </w:rPr>
              <w:t>5</w:t>
            </w:r>
          </w:hyperlink>
        </w:p>
        <w:p>
          <w:pPr>
            <w:pStyle w:val="Contents2"/>
            <w:rPr>
              <w:rFonts w:ascii="Calibri" w:hAnsi="Calibri" w:cs="Arial"/>
              <w:sz w:val="22"/>
              <w:szCs w:val="22"/>
              <w:lang w:val="en-US" w:eastAsia="en-US"/>
            </w:rPr>
          </w:pPr>
          <w:r>
            <w:rPr/>
            <w:t>3.3</w:t>
          </w:r>
          <w:r>
            <w:rPr>
              <w:rFonts w:cs="Arial" w:ascii="Calibri" w:hAnsi="Calibri"/>
              <w:sz w:val="22"/>
              <w:szCs w:val="22"/>
              <w:lang w:val="en-US" w:eastAsia="en-US"/>
            </w:rPr>
            <w:tab/>
          </w:r>
          <w:r>
            <w:rPr/>
            <w:t>Abbreviations</w:t>
            <w:tab/>
          </w:r>
          <w:hyperlink w:anchor="__RefHeading___Toc478159454">
            <w:r>
              <w:rPr>
                <w:rStyle w:val="IndexLink"/>
              </w:rPr>
              <w:t>5</w:t>
            </w:r>
          </w:hyperlink>
        </w:p>
        <w:p>
          <w:pPr>
            <w:pStyle w:val="Contents1"/>
            <w:rPr>
              <w:rFonts w:ascii="Calibri" w:hAnsi="Calibri" w:cs="Arial"/>
              <w:szCs w:val="22"/>
              <w:lang w:val="en-US" w:eastAsia="en-US"/>
            </w:rPr>
          </w:pPr>
          <w:r>
            <w:rPr/>
            <w:t>4</w:t>
          </w:r>
          <w:r>
            <w:rPr>
              <w:rFonts w:cs="Arial" w:ascii="Calibri" w:hAnsi="Calibri"/>
              <w:szCs w:val="22"/>
              <w:lang w:val="en-US" w:eastAsia="en-US"/>
            </w:rPr>
            <w:tab/>
          </w:r>
          <w:r>
            <w:rPr/>
            <w:t>Introduction</w:t>
            <w:tab/>
          </w:r>
          <w:hyperlink w:anchor="__RefHeading___Toc478159455">
            <w:r>
              <w:rPr>
                <w:rStyle w:val="IndexLink"/>
              </w:rPr>
              <w:t>6</w:t>
            </w:r>
          </w:hyperlink>
        </w:p>
        <w:p>
          <w:pPr>
            <w:pStyle w:val="Contents1"/>
            <w:rPr>
              <w:rFonts w:ascii="Calibri" w:hAnsi="Calibri" w:cs="Arial"/>
              <w:szCs w:val="22"/>
              <w:lang w:val="en-US" w:eastAsia="en-US"/>
            </w:rPr>
          </w:pPr>
          <w:r>
            <w:rPr/>
            <w:t>5</w:t>
          </w:r>
          <w:r>
            <w:rPr>
              <w:rFonts w:cs="Arial" w:ascii="Calibri" w:hAnsi="Calibri"/>
              <w:szCs w:val="22"/>
              <w:lang w:val="en-US" w:eastAsia="en-US"/>
            </w:rPr>
            <w:tab/>
          </w:r>
          <w:r>
            <w:rPr/>
            <w:t>Layer 1 specifications</w:t>
            <w:tab/>
          </w:r>
          <w:hyperlink w:anchor="__RefHeading___Toc478159456">
            <w:r>
              <w:rPr>
                <w:rStyle w:val="IndexLink"/>
              </w:rPr>
              <w:t>6</w:t>
            </w:r>
          </w:hyperlink>
        </w:p>
        <w:p>
          <w:pPr>
            <w:pStyle w:val="Contents1"/>
            <w:rPr>
              <w:rFonts w:ascii="Calibri" w:hAnsi="Calibri" w:cs="Arial"/>
              <w:szCs w:val="22"/>
              <w:lang w:val="en-US" w:eastAsia="en-US"/>
            </w:rPr>
          </w:pPr>
          <w:r>
            <w:rPr/>
            <w:t>6</w:t>
          </w:r>
          <w:r>
            <w:rPr>
              <w:rFonts w:cs="Arial" w:ascii="Calibri" w:hAnsi="Calibri"/>
              <w:szCs w:val="22"/>
              <w:lang w:val="en-US" w:eastAsia="en-US"/>
            </w:rPr>
            <w:tab/>
          </w:r>
          <w:r>
            <w:rPr/>
            <w:t>Interface to management plane</w:t>
            <w:tab/>
          </w:r>
          <w:hyperlink w:anchor="__RefHeading___Toc478159457">
            <w:r>
              <w:rPr>
                <w:rStyle w:val="IndexLink"/>
              </w:rPr>
              <w:t>6</w:t>
            </w:r>
          </w:hyperlink>
        </w:p>
        <w:p>
          <w:pPr>
            <w:pStyle w:val="Contents8"/>
            <w:rPr>
              <w:rFonts w:ascii="Calibri" w:hAnsi="Calibri" w:cs="Arial"/>
              <w:szCs w:val="22"/>
              <w:lang w:val="en-US" w:eastAsia="en-US"/>
            </w:rPr>
          </w:pPr>
          <w:r>
            <w:rPr>
              <w:b w:val="false"/>
            </w:rPr>
            <w:t>Annex A (informative):</w:t>
            <w:tab/>
            <w:t>Change history</w:t>
            <w:tab/>
          </w:r>
          <w:hyperlink w:anchor="__RefHeading___Toc478159458">
            <w:r>
              <w:rPr>
                <w:rStyle w:val="IndexLink"/>
                <w:b w:val="false"/>
              </w:rPr>
              <w:t>7</w:t>
            </w:r>
          </w:hyperlink>
          <w:r>
            <w:rPr>
              <w:rStyle w:val="IndexLink"/>
              <w:b w:val="false"/>
            </w:rPr>
            <w:fldChar w:fldCharType="end"/>
          </w:r>
        </w:p>
      </w:sdtContent>
    </w:sdt>
    <w:p>
      <w:pPr>
        <w:pStyle w:val="Normal"/>
        <w:rPr>
          <w:rFonts w:ascii="Calibri" w:hAnsi="Calibri" w:cs="Arial"/>
          <w:b/>
          <w:b/>
          <w:sz w:val="22"/>
          <w:szCs w:val="22"/>
          <w:lang w:val="en-US" w:eastAsia="en-US"/>
        </w:rPr>
      </w:pPr>
      <w:r>
        <w:rPr>
          <w:rFonts w:cs="Arial" w:ascii="Calibri" w:hAnsi="Calibri"/>
          <w:b/>
          <w:sz w:val="22"/>
          <w:szCs w:val="22"/>
          <w:lang w:val="en-US" w:eastAsia="en-US"/>
        </w:rPr>
      </w:r>
      <w:r>
        <w:br w:type="page"/>
      </w:r>
    </w:p>
    <w:p>
      <w:pPr>
        <w:pStyle w:val="Heading1"/>
        <w:ind w:left="1134" w:hanging="1134"/>
        <w:rPr/>
      </w:pPr>
      <w:bookmarkStart w:id="7" w:name="__RefHeading___Toc47815944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478159449"/>
      <w:bookmarkEnd w:id="8"/>
      <w:r>
        <w:rPr/>
        <w:t>1</w:t>
        <w:tab/>
        <w:t>Scope</w:t>
      </w:r>
    </w:p>
    <w:p>
      <w:pPr>
        <w:pStyle w:val="Normal"/>
        <w:rPr/>
      </w:pPr>
      <w:r>
        <w:rPr/>
        <w:t>The present document specifies the standards allowed to implement layer 1 on the SLm interface.</w:t>
      </w:r>
    </w:p>
    <w:p>
      <w:pPr>
        <w:pStyle w:val="Normal"/>
        <w:rPr/>
      </w:pPr>
      <w:r>
        <w:rPr/>
        <w:t>The specification of transmission delay requirements and O&amp;M requirements are not in the scope of the present document.</w:t>
      </w:r>
    </w:p>
    <w:p>
      <w:pPr>
        <w:pStyle w:val="Normal"/>
        <w:rPr/>
      </w:pPr>
      <w:r>
        <w:rPr/>
        <w:t>In the following, 'layer 1' and 'physical layer' are assumed to be synonymous.</w:t>
      </w:r>
    </w:p>
    <w:p>
      <w:pPr>
        <w:pStyle w:val="Heading1"/>
        <w:ind w:left="1134" w:hanging="1134"/>
        <w:rPr/>
      </w:pPr>
      <w:bookmarkStart w:id="9" w:name="__RefHeading___Toc478159450"/>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"Vocabulary for 3GPP Specifications".</w:t>
      </w:r>
    </w:p>
    <w:p>
      <w:pPr>
        <w:pStyle w:val="Heading1"/>
        <w:ind w:left="1134" w:hanging="1134"/>
        <w:rPr/>
      </w:pPr>
      <w:bookmarkStart w:id="10" w:name="__RefHeading___Toc478159451"/>
      <w:bookmarkEnd w:id="10"/>
      <w:r>
        <w:rPr/>
        <w:t>3</w:t>
        <w:tab/>
        <w:t>Definitions, symbols and abbreviations</w:t>
      </w:r>
    </w:p>
    <w:p>
      <w:pPr>
        <w:pStyle w:val="Heading2"/>
        <w:rPr/>
      </w:pPr>
      <w:bookmarkStart w:id="11" w:name="__RefHeading___Toc478159452"/>
      <w:bookmarkEnd w:id="11"/>
      <w:r>
        <w:rPr/>
        <w:t>3.1</w:t>
        <w:tab/>
        <w:t>Definitions</w:t>
      </w:r>
    </w:p>
    <w:p>
      <w:pPr>
        <w:pStyle w:val="Normal"/>
        <w:rPr/>
      </w:pPr>
      <w:r>
        <w:rPr/>
        <w:t>For the purposes of the present document, the terms and definitions given in TR 21.905 [1] and the following apply. A term defined in the present document takes precedence over the definition of the same term, if any, in TR 21.905 [1].</w:t>
      </w:r>
    </w:p>
    <w:p>
      <w:pPr>
        <w:pStyle w:val="Heading2"/>
        <w:rPr/>
      </w:pPr>
      <w:bookmarkStart w:id="12" w:name="__RefHeading___Toc478159453"/>
      <w:bookmarkEnd w:id="12"/>
      <w:r>
        <w:rPr/>
        <w:t>3.2</w:t>
        <w:tab/>
        <w:t>Symbols</w:t>
      </w:r>
    </w:p>
    <w:p>
      <w:pPr>
        <w:pStyle w:val="Normal"/>
        <w:keepNext w:val="true"/>
        <w:rPr/>
      </w:pPr>
      <w:r>
        <w:rPr/>
        <w:t>For the purposes of the present document, the following symbols apply:</w:t>
      </w:r>
    </w:p>
    <w:p>
      <w:pPr>
        <w:pStyle w:val="Heading2"/>
        <w:rPr/>
      </w:pPr>
      <w:bookmarkStart w:id="13" w:name="__RefHeading___Toc478159454"/>
      <w:bookmarkEnd w:id="13"/>
      <w:r>
        <w:rPr/>
        <w:t>3.3</w:t>
        <w:tab/>
        <w:t>Abbreviations</w:t>
      </w:r>
    </w:p>
    <w:p>
      <w:pPr>
        <w:pStyle w:val="Normal"/>
        <w:keepNext w:val="true"/>
        <w:rPr/>
      </w:pPr>
      <w:r>
        <w:rPr/>
        <w:t>For the purposes of the present document, the abbreviations given in TR 21.905 [1] and the following apply. An abbreviation defined in the present document takes precedence over the definition of the same abbreviation, if any, in TR 21.905 [1].</w:t>
      </w:r>
    </w:p>
    <w:p>
      <w:pPr>
        <w:pStyle w:val="EW"/>
        <w:rPr/>
      </w:pPr>
      <w:r>
        <w:rPr/>
        <w:t>E-UTRAN</w:t>
        <w:tab/>
        <w:t>Evolved UTRAN</w:t>
      </w:r>
    </w:p>
    <w:p>
      <w:pPr>
        <w:pStyle w:val="EX"/>
        <w:rPr/>
      </w:pPr>
      <w:r>
        <w:rPr/>
        <w:t>O&amp;M</w:t>
        <w:tab/>
        <w:t>Operation and Maintenance</w:t>
      </w:r>
      <w:r>
        <w:br w:type="page"/>
      </w:r>
    </w:p>
    <w:p>
      <w:pPr>
        <w:pStyle w:val="Heading1"/>
        <w:ind w:left="1134" w:hanging="1134"/>
        <w:rPr/>
      </w:pPr>
      <w:bookmarkStart w:id="14" w:name="__RefHeading___Toc478159455"/>
      <w:bookmarkEnd w:id="14"/>
      <w:r>
        <w:rPr/>
        <w:t>4</w:t>
        <w:tab/>
        <w:t>Introduction</w:t>
      </w:r>
    </w:p>
    <w:p>
      <w:pPr>
        <w:pStyle w:val="Normal"/>
        <w:rPr/>
      </w:pPr>
      <w:r>
        <w:rPr/>
        <w:t>The main functions of layer 1 are summarized in the following:</w:t>
      </w:r>
    </w:p>
    <w:p>
      <w:pPr>
        <w:pStyle w:val="B1"/>
        <w:rPr/>
      </w:pPr>
      <w:r>
        <w:rPr/>
        <w:t>-</w:t>
        <w:tab/>
        <w:t>Interface to physical medium;</w:t>
      </w:r>
    </w:p>
    <w:p>
      <w:pPr>
        <w:pStyle w:val="B1"/>
        <w:rPr/>
      </w:pPr>
      <w:r>
        <w:rPr/>
        <w:t>-</w:t>
        <w:tab/>
        <w:t>Frame delineation;</w:t>
      </w:r>
    </w:p>
    <w:p>
      <w:pPr>
        <w:pStyle w:val="B1"/>
        <w:rPr/>
      </w:pPr>
      <w:r>
        <w:rPr/>
        <w:t>-</w:t>
        <w:tab/>
        <w:t>Line clock extraction capability;</w:t>
      </w:r>
    </w:p>
    <w:p>
      <w:pPr>
        <w:pStyle w:val="B1"/>
        <w:rPr/>
      </w:pPr>
      <w:r>
        <w:rPr/>
        <w:t>-</w:t>
        <w:tab/>
        <w:t>Layer 1 alarms extraction and generation;</w:t>
      </w:r>
    </w:p>
    <w:p>
      <w:pPr>
        <w:pStyle w:val="B1"/>
        <w:rPr/>
      </w:pPr>
      <w:r>
        <w:rPr/>
        <w:t>-</w:t>
        <w:tab/>
        <w:t>Transmission quality control.</w:t>
      </w:r>
    </w:p>
    <w:p>
      <w:pPr>
        <w:pStyle w:val="Heading1"/>
        <w:ind w:left="1134" w:hanging="1134"/>
        <w:rPr/>
      </w:pPr>
      <w:bookmarkStart w:id="15" w:name="__RefHeading___Toc478159456"/>
      <w:bookmarkEnd w:id="15"/>
      <w:r>
        <w:rPr/>
        <w:t>5</w:t>
        <w:tab/>
        <w:t>Layer 1 specifications</w:t>
      </w:r>
    </w:p>
    <w:p>
      <w:pPr>
        <w:pStyle w:val="Normal"/>
        <w:rPr/>
      </w:pPr>
      <w:r>
        <w:rPr/>
        <w:t>The support of any suitable layer 1 technique - like point-to-point or point-to-multipoint techniques - shall not be prevented.</w:t>
      </w:r>
    </w:p>
    <w:p>
      <w:pPr>
        <w:pStyle w:val="Heading1"/>
        <w:ind w:left="1134" w:hanging="1134"/>
        <w:rPr/>
      </w:pPr>
      <w:bookmarkStart w:id="16" w:name="__RefHeading___Toc478159457"/>
      <w:bookmarkEnd w:id="16"/>
      <w:r>
        <w:rPr/>
        <w:t>6</w:t>
        <w:tab/>
        <w:t>Interface to management plane</w:t>
      </w:r>
    </w:p>
    <w:p>
      <w:pPr>
        <w:pStyle w:val="Normal"/>
        <w:rPr/>
      </w:pPr>
      <w:r>
        <w:rPr/>
        <w:t>The description of the interface towards the management plane is out of scope of this document, but at least the following O&amp;M functions should be foreseen:</w:t>
      </w:r>
    </w:p>
    <w:p>
      <w:pPr>
        <w:pStyle w:val="B1"/>
        <w:rPr/>
      </w:pPr>
      <w:r>
        <w:rPr/>
        <w:t>-</w:t>
        <w:tab/>
        <w:t>Performance monitoring functions;</w:t>
      </w:r>
    </w:p>
    <w:p>
      <w:pPr>
        <w:pStyle w:val="B1"/>
        <w:rPr/>
      </w:pPr>
      <w:r>
        <w:rPr/>
        <w:t>-</w:t>
        <w:tab/>
        <w:t>Alarm status reporting functions;</w:t>
      </w:r>
    </w:p>
    <w:p>
      <w:pPr>
        <w:pStyle w:val="B1"/>
        <w:rPr/>
      </w:pPr>
      <w:r>
        <w:rPr/>
        <w:t>-</w:t>
        <w:tab/>
        <w:t>Synchronisation source management.</w:t>
      </w:r>
      <w:r>
        <w:br w:type="page"/>
      </w:r>
    </w:p>
    <w:p>
      <w:pPr>
        <w:pStyle w:val="Heading8"/>
        <w:ind w:left="0" w:hanging="0"/>
        <w:rPr/>
      </w:pPr>
      <w:bookmarkStart w:id="17" w:name="__RefHeading___Toc478159458"/>
      <w:bookmarkStart w:id="18" w:name="historyclause"/>
      <w:bookmarkEnd w:id="17"/>
      <w:bookmarkEnd w:id="18"/>
      <w:r>
        <w:rPr/>
        <w:t>Annex A (informative):</w:t>
        <w:br/>
        <w:t>Change history</w:t>
      </w:r>
    </w:p>
    <w:tbl>
      <w:tblPr>
        <w:tblW w:w="9356" w:type="dxa"/>
        <w:jc w:val="left"/>
        <w:tblInd w:w="-7" w:type="dxa"/>
        <w:tblLayout w:type="fixed"/>
        <w:tblCellMar>
          <w:top w:w="0" w:type="dxa"/>
          <w:left w:w="40" w:type="dxa"/>
          <w:bottom w:w="0" w:type="dxa"/>
          <w:right w:w="40" w:type="dxa"/>
        </w:tblCellMar>
      </w:tblPr>
      <w:tblGrid>
        <w:gridCol w:w="800"/>
        <w:gridCol w:w="618"/>
        <w:gridCol w:w="1083"/>
        <w:gridCol w:w="426"/>
        <w:gridCol w:w="428"/>
        <w:gridCol w:w="5292"/>
        <w:gridCol w:w="709"/>
      </w:tblGrid>
      <w:tr>
        <w:trPr>
          <w:cantSplit w:val="true"/>
        </w:trPr>
        <w:tc>
          <w:tcPr>
            <w:tcW w:w="9356" w:type="dxa"/>
            <w:gridSpan w:val="7"/>
            <w:tcBorders>
              <w:top w:val="single" w:sz="6" w:space="0" w:color="000000"/>
              <w:left w:val="single" w:sz="6" w:space="0" w:color="000000"/>
              <w:right w:val="single" w:sz="6" w:space="0" w:color="000000"/>
            </w:tcBorders>
            <w:shd w:fill="FFFFFF" w:val="clear"/>
          </w:tcPr>
          <w:p>
            <w:pPr>
              <w:pStyle w:val="TAH"/>
              <w:rPr>
                <w:sz w:val="16"/>
              </w:rPr>
            </w:pPr>
            <w:r>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TSG Doc.</w:t>
            </w:r>
          </w:p>
        </w:tc>
        <w:tc>
          <w:tcPr>
            <w:tcW w:w="426"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CR</w:t>
            </w:r>
          </w:p>
        </w:tc>
        <w:tc>
          <w:tcPr>
            <w:tcW w:w="428"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Rev</w:t>
            </w:r>
          </w:p>
        </w:tc>
        <w:tc>
          <w:tcPr>
            <w:tcW w:w="5292"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H"/>
              <w:rPr/>
            </w:pPr>
            <w:r>
              <w:rPr/>
              <w:t>New</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2012-12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right"/>
              <w:rPr/>
            </w:pPr>
            <w:r>
              <w:rPr/>
              <w:t>58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RP-121767</w:t>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pPr>
            <w:r>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Approved in RAN#58 and put under change control</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11.0.0</w:t>
            </w:r>
          </w:p>
        </w:tc>
      </w:tr>
      <w:tr>
        <w:trPr/>
        <w:tc>
          <w:tcPr>
            <w:tcW w:w="800" w:type="dxa"/>
            <w:tcBorders>
              <w:top w:val="single" w:sz="6" w:space="0" w:color="000000"/>
              <w:left w:val="single" w:sz="6" w:space="0" w:color="000000"/>
              <w:right w:val="single" w:sz="6" w:space="0" w:color="000000"/>
            </w:tcBorders>
            <w:shd w:fill="FFFFFF" w:val="clear"/>
          </w:tcPr>
          <w:p>
            <w:pPr>
              <w:pStyle w:val="TAL"/>
              <w:rPr>
                <w:szCs w:val="18"/>
              </w:rPr>
            </w:pPr>
            <w:r>
              <w:rPr>
                <w:szCs w:val="18"/>
              </w:rPr>
              <w:t>2014-09</w:t>
            </w:r>
          </w:p>
        </w:tc>
        <w:tc>
          <w:tcPr>
            <w:tcW w:w="61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1083"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right w:val="single" w:sz="6" w:space="0" w:color="000000"/>
            </w:tcBorders>
            <w:shd w:fill="FFFFFF" w:val="clear"/>
          </w:tcPr>
          <w:p>
            <w:pPr>
              <w:pStyle w:val="TAL"/>
              <w:snapToGrid w:val="false"/>
              <w:rPr>
                <w:szCs w:val="18"/>
              </w:rPr>
            </w:pPr>
            <w:r>
              <w:rPr>
                <w:szCs w:val="18"/>
              </w:rPr>
            </w:r>
          </w:p>
        </w:tc>
        <w:tc>
          <w:tcPr>
            <w:tcW w:w="5292" w:type="dxa"/>
            <w:tcBorders>
              <w:top w:val="single" w:sz="6" w:space="0" w:color="000000"/>
              <w:left w:val="single" w:sz="6" w:space="0" w:color="000000"/>
              <w:right w:val="single" w:sz="6" w:space="0" w:color="000000"/>
            </w:tcBorders>
            <w:shd w:fill="FFFFFF" w:val="clear"/>
          </w:tcPr>
          <w:p>
            <w:pPr>
              <w:pStyle w:val="TAL"/>
              <w:rPr>
                <w:szCs w:val="18"/>
              </w:rPr>
            </w:pPr>
            <w:r>
              <w:rPr>
                <w:rFonts w:cs="Arial"/>
                <w:color w:val="000000"/>
                <w:szCs w:val="18"/>
                <w:lang w:val="en-AU"/>
              </w:rPr>
              <w:t>Update to Rel-12 version (MCC)</w:t>
            </w:r>
          </w:p>
        </w:tc>
        <w:tc>
          <w:tcPr>
            <w:tcW w:w="709" w:type="dxa"/>
            <w:tcBorders>
              <w:top w:val="single" w:sz="6" w:space="0" w:color="000000"/>
              <w:left w:val="single" w:sz="6" w:space="0" w:color="000000"/>
              <w:right w:val="single" w:sz="6" w:space="0" w:color="000000"/>
            </w:tcBorders>
            <w:shd w:fill="FFFFFF" w:val="clear"/>
          </w:tcPr>
          <w:p>
            <w:pPr>
              <w:pStyle w:val="TAL"/>
              <w:rPr>
                <w:szCs w:val="18"/>
              </w:rPr>
            </w:pPr>
            <w:r>
              <w:rPr>
                <w:szCs w:val="18"/>
              </w:rPr>
              <w:t>12.0.0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2015-12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6"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42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Cs w:val="18"/>
              </w:rPr>
            </w:pPr>
            <w:r>
              <w:rPr>
                <w:szCs w:val="18"/>
              </w:rPr>
            </w:r>
          </w:p>
        </w:tc>
        <w:tc>
          <w:tcPr>
            <w:tcW w:w="5292"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rFonts w:cs="Arial"/>
                <w:color w:val="000000"/>
                <w:szCs w:val="18"/>
                <w:lang w:val="en-AU"/>
              </w:rPr>
              <w:t>Update to Rel-13 version (MCC)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szCs w:val="18"/>
              </w:rPr>
            </w:pPr>
            <w:r>
              <w:rPr>
                <w:szCs w:val="18"/>
              </w:rPr>
              <w:t>13.0.0</w:t>
            </w:r>
          </w:p>
        </w:tc>
      </w:tr>
    </w:tbl>
    <w:p>
      <w:pPr>
        <w:pStyle w:val="TH"/>
        <w:rPr/>
      </w:pPr>
      <w:r>
        <w:rPr/>
      </w:r>
    </w:p>
    <w:tbl>
      <w:tblPr>
        <w:tblW w:w="9639" w:type="dxa"/>
        <w:jc w:val="left"/>
        <w:tblInd w:w="-7" w:type="dxa"/>
        <w:tblLayout w:type="fixed"/>
        <w:tblCellMar>
          <w:top w:w="0" w:type="dxa"/>
          <w:left w:w="40" w:type="dxa"/>
          <w:bottom w:w="0" w:type="dxa"/>
          <w:right w:w="40" w:type="dxa"/>
        </w:tblCellMar>
      </w:tblPr>
      <w:tblGrid>
        <w:gridCol w:w="800"/>
        <w:gridCol w:w="800"/>
        <w:gridCol w:w="952"/>
        <w:gridCol w:w="567"/>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Meeting</w:t>
            </w:r>
          </w:p>
        </w:tc>
        <w:tc>
          <w:tcPr>
            <w:tcW w:w="95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2017-03</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SA#75</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snapToGrid w:val="false"/>
              <w:rPr>
                <w:sz w:val="16"/>
                <w:szCs w:val="16"/>
              </w:rPr>
            </w:pPr>
            <w:r>
              <w:rPr>
                <w:sz w:val="16"/>
                <w:szCs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snapToGrid w:val="false"/>
              <w:rPr>
                <w:sz w:val="16"/>
                <w:szCs w:val="16"/>
              </w:rPr>
            </w:pPr>
            <w:r>
              <w:rPr>
                <w:sz w:val="16"/>
                <w:szCs w:val="16"/>
              </w:rPr>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szCs w:val="16"/>
              </w:rPr>
              <w:t>Promotion to Release 14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rPr>
            </w:pPr>
            <w:r>
              <w:rPr>
                <w:sz w:val="16"/>
                <w:szCs w:val="16"/>
              </w:rPr>
              <w:t>14.0.0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2018-06</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SA#80</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Promotion to Release 15 without technical change</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15.0.0</w:t>
            </w:r>
          </w:p>
        </w:tc>
      </w:tr>
      <w:tr>
        <w:trPr/>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2020-07</w:t>
            </w:r>
          </w:p>
        </w:tc>
        <w:tc>
          <w:tcPr>
            <w:tcW w:w="800" w:type="dxa"/>
            <w:tcBorders>
              <w:top w:val="single" w:sz="4" w:space="0" w:color="000000"/>
              <w:left w:val="single" w:sz="4" w:space="0" w:color="000000"/>
              <w:bottom w:val="single" w:sz="4" w:space="0" w:color="000000"/>
              <w:right w:val="single" w:sz="4" w:space="0" w:color="000000"/>
            </w:tcBorders>
            <w:shd w:fill="FFFFFF" w:val="clear"/>
          </w:tcPr>
          <w:p>
            <w:pPr>
              <w:pStyle w:val="TAC8pt"/>
              <w:rPr/>
            </w:pPr>
            <w:r>
              <w:rPr/>
              <w:t>SA#88-e</w:t>
            </w:r>
          </w:p>
        </w:tc>
        <w:tc>
          <w:tcPr>
            <w:tcW w:w="952"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R"/>
              <w:rPr>
                <w:sz w:val="16"/>
                <w:szCs w:val="16"/>
                <w:shd w:fill="FFFFFF" w:val="clear"/>
              </w:rPr>
            </w:pPr>
            <w:r>
              <w:rPr>
                <w:sz w:val="16"/>
                <w:szCs w:val="16"/>
                <w:shd w:fill="FFFFFF" w:val="clear"/>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C"/>
              <w:rPr>
                <w:sz w:val="16"/>
                <w:szCs w:val="16"/>
                <w:shd w:fill="FFFFFF" w:val="clear"/>
              </w:rPr>
            </w:pPr>
            <w:r>
              <w:rPr>
                <w:sz w:val="16"/>
                <w:szCs w:val="16"/>
                <w:shd w:fill="FFFFFF" w:val="clear"/>
              </w:rPr>
              <w:t>-</w:t>
            </w:r>
          </w:p>
        </w:tc>
        <w:tc>
          <w:tcPr>
            <w:tcW w:w="4962" w:type="dxa"/>
            <w:tcBorders>
              <w:top w:val="single" w:sz="4" w:space="0" w:color="000000"/>
              <w:left w:val="single" w:sz="4" w:space="0" w:color="000000"/>
              <w:bottom w:val="single" w:sz="4" w:space="0" w:color="000000"/>
              <w:right w:val="single" w:sz="4" w:space="0" w:color="000000"/>
            </w:tcBorders>
            <w:shd w:fill="FFFFFF" w:val="clear"/>
          </w:tcPr>
          <w:p>
            <w:pPr>
              <w:pStyle w:val="TAL8pt"/>
              <w:rPr/>
            </w:pPr>
            <w:r>
              <w:rPr/>
              <w:t>Update to Rel-16 version (MCC)</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C8pt"/>
              <w:rPr>
                <w:bCs/>
              </w:rPr>
            </w:pPr>
            <w:r>
              <w:rPr>
                <w:bCs/>
              </w:rPr>
              <w:t>16.0.0</w:t>
            </w:r>
          </w:p>
        </w:tc>
      </w:tr>
    </w:tbl>
    <w:p>
      <w:pPr>
        <w:pStyle w:val="Normal"/>
        <w:spacing w:before="0" w:after="180"/>
        <w:rPr/>
      </w:pPr>
      <w:r>
        <w:rPr/>
      </w:r>
    </w:p>
    <w:sectPr>
      <w:headerReference w:type="default" r:id="rId6"/>
      <w:footerReference w:type="default" r:id="rId7"/>
      <w:type w:val="nextPage"/>
      <w:pgSz w:w="11906" w:h="16838"/>
      <w:pgMar w:left="1134" w:right="1134" w:gutter="0" w:header="851" w:top="1701"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36.457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36.457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635</wp:posOffset>
              </wp:positionV>
              <wp:extent cx="641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5.05pt;height:10.35pt;mso-wrap-distance-left:0pt;mso-wrap-distance-right:0pt;mso-wrap-distance-top:0pt;mso-wrap-distance-bottom:0pt;margin-top:0.05pt;mso-position-vertical-relative:text;margin-left:238.4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50"/>
  <w:defaultTabStop w:val="284"/>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lef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overflowPunct w:val="false"/>
      <w:autoSpaceDE w:val="false"/>
      <w:bidi w:val="0"/>
      <w:spacing w:before="120" w:after="0"/>
      <w:ind w:left="567" w:right="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overflowPunct w:val="false"/>
      <w:autoSpaceDE w:val="false"/>
      <w:bidi w:val="0"/>
      <w:jc w:val="right"/>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right="28" w:hanging="0"/>
      <w:jc w:val="right"/>
      <w:textAlignment w:val="baseline"/>
    </w:pPr>
    <w:rPr>
      <w:rFonts w:ascii="Arial" w:hAnsi="Arial" w:eastAsia="Times New Roman" w:cs="Arial"/>
      <w:i/>
      <w:color w:val="auto"/>
      <w:sz w:val="20"/>
      <w:szCs w:val="20"/>
      <w:lang w:val="en-GB" w:eastAsia="en-US" w:bidi="ar-SA"/>
    </w:rPr>
  </w:style>
  <w:style w:type="paragraph" w:styleId="ZT">
    <w:name w:val="ZT"/>
    <w:qFormat/>
    <w:pPr>
      <w:widowControl w:val="false"/>
      <w:overflowPunct w:val="false"/>
      <w:autoSpaceDE w:val="false"/>
      <w:bidi w:val="0"/>
      <w:spacing w:lineRule="atLeast" w:line="240"/>
      <w:jc w:val="right"/>
      <w:textAlignment w:val="baseline"/>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overflowPunct w:val="false"/>
      <w:autoSpaceDE w:val="false"/>
      <w:bidi w:val="0"/>
      <w:jc w:val="right"/>
      <w:textAlignment w:val="baseline"/>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TAC8pt">
    <w:name w:val="TAC + 8 pt"/>
    <w:basedOn w:val="TAC"/>
    <w:qFormat/>
    <w:pPr/>
    <w:rPr>
      <w:rFonts w:cs="Arial"/>
      <w:sz w:val="16"/>
      <w:szCs w:val="16"/>
      <w:shd w:fill="FFFFFF" w:val="clear"/>
    </w:rPr>
  </w:style>
  <w:style w:type="paragraph" w:styleId="TAL8pt">
    <w:name w:val="TAL + 8 pt"/>
    <w:basedOn w:val="TAL"/>
    <w:qFormat/>
    <w:pPr/>
    <w:rPr>
      <w:rFonts w:cs="Arial"/>
      <w:sz w:val="16"/>
      <w:szCs w:val="16"/>
      <w:shd w:fill="FFFFFF" w:val="clea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2020-07-13T11:25:00Z</dcterms:created>
  <dc:creator>MCC Support</dc:creator>
  <dc:description/>
  <cp:keywords>LTE radio layer 1</cp:keywords>
  <dc:language>en-US</dc:language>
  <cp:lastModifiedBy>MCC</cp:lastModifiedBy>
  <dcterms:modified xsi:type="dcterms:W3CDTF">2020-07-13T20:24:00Z</dcterms:modified>
  <cp:revision>3</cp:revision>
  <dc:subject>Evolved Universal Terrestrial Radio Access Network (E-UTRAN); SLm interface layer 1 (Release 16)</dc:subject>
  <dc:title>3GPP TS 36.457</dc:title>
</cp:coreProperties>
</file>