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543560</wp:posOffset>
                </wp:positionH>
                <wp:positionV relativeFrom="page">
                  <wp:posOffset>1677035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 and Wireless LAN (WLAN);</w:t>
                            </w:r>
                          </w:p>
                          <w:p>
                            <w:pPr>
                              <w:pStyle w:val="ZT"/>
                              <w:rPr/>
                            </w:pPr>
                            <w:r>
                              <w:rPr/>
                              <w:t>Xw layer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32.05pt;mso-position-vertical-relative:page;margin-left:42.8pt;mso-position-horizontal-relative:page">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 and Wireless LAN (WLAN);</w:t>
                      </w:r>
                    </w:p>
                    <w:p>
                      <w:pPr>
                        <w:pStyle w:val="ZT"/>
                        <w:rPr/>
                      </w:pPr>
                      <w:r>
                        <w:rPr/>
                        <w:t>Xw layer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1981200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v:textbox>
                <w10:wrap type="topAndBottom"/>
              </v:rect>
            </w:pict>
          </mc:Fallback>
        </mc:AlternateContent>
      </w:r>
    </w:p>
    <w:p>
      <w:pPr>
        <w:pStyle w:val="Normal"/>
        <w:rPr/>
      </w:pPr>
      <w:r>
        <w:rPr/>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9887">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9888">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9889">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59890">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9891">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Symbols</w:t>
            <w:tab/>
          </w:r>
          <w:hyperlink w:anchor="__RefHeading___Toc478159892">
            <w:r>
              <w:rPr>
                <w:rStyle w:val="IndexLink"/>
              </w:rPr>
              <w:t>5</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Abbreviations</w:t>
            <w:tab/>
          </w:r>
          <w:hyperlink w:anchor="__RefHeading___Toc478159893">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Introduction</w:t>
            <w:tab/>
          </w:r>
          <w:hyperlink w:anchor="__RefHeading___Toc478159894">
            <w:r>
              <w:rPr>
                <w:rStyle w:val="IndexLink"/>
              </w:rPr>
              <w:t>5</w:t>
            </w:r>
          </w:hyperlink>
        </w:p>
        <w:p>
          <w:pPr>
            <w:pStyle w:val="Contents8"/>
            <w:rPr>
              <w:rFonts w:ascii="Calibri" w:hAnsi="Calibri" w:cs="Arial"/>
              <w:szCs w:val="22"/>
              <w:lang w:val="en-US" w:eastAsia="en-US"/>
            </w:rPr>
          </w:pPr>
          <w:r>
            <w:rPr>
              <w:b w:val="false"/>
            </w:rPr>
            <w:t>Annex A (informative):</w:t>
            <w:tab/>
            <w:t>Change history</w:t>
            <w:tab/>
          </w:r>
          <w:hyperlink w:anchor="__RefHeading___Toc478159895">
            <w:r>
              <w:rPr>
                <w:rStyle w:val="IndexLink"/>
                <w:b w:val="false"/>
              </w:rPr>
              <w:t>6</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5988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59888"/>
      <w:bookmarkEnd w:id="7"/>
      <w:r>
        <w:rPr/>
        <w:t>1</w:t>
        <w:tab/>
        <w:t>Scope</w:t>
      </w:r>
    </w:p>
    <w:p>
      <w:pPr>
        <w:pStyle w:val="Normal"/>
        <w:rPr/>
      </w:pPr>
      <w:r>
        <w:rPr/>
        <w:t>The present document specifies the standards allowed to implement Layer 1 on the Xw interface.</w:t>
      </w:r>
    </w:p>
    <w:p>
      <w:pPr>
        <w:pStyle w:val="Normal"/>
        <w:rPr/>
      </w:pPr>
      <w:r>
        <w:rPr/>
        <w:t>The specification of transmission delay requirements and O&amp;M requirements are not in the scope of the present document.</w:t>
      </w:r>
    </w:p>
    <w:p>
      <w:pPr>
        <w:pStyle w:val="Normal"/>
        <w:rPr>
          <w:lang w:eastAsia="zh-CN"/>
        </w:rPr>
      </w:pPr>
      <w:r>
        <w:rPr/>
        <w:t>In the following ‘Layer 1’ and ‘Physical Layer’ are assumed to be synonymous.</w:t>
      </w:r>
    </w:p>
    <w:p>
      <w:pPr>
        <w:pStyle w:val="Heading1"/>
        <w:ind w:left="1134" w:hanging="1134"/>
        <w:rPr/>
      </w:pPr>
      <w:bookmarkStart w:id="8" w:name="__RefHeading___Toc478159889"/>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 </w:t>
      </w:r>
      <w:r>
        <w:rPr/>
        <w:t>[1]</w:t>
        <w:tab/>
        <w:t>3GPP TS 36.411:  "Evolved Universal Terrestrial Radio Access Network (E-UTRAN); S1 layer 1".</w:t>
      </w:r>
    </w:p>
    <w:p>
      <w:pPr>
        <w:pStyle w:val="Heading1"/>
        <w:ind w:left="1134" w:hanging="1134"/>
        <w:rPr/>
      </w:pPr>
      <w:bookmarkStart w:id="9" w:name="__RefHeading___Toc478159890"/>
      <w:bookmarkEnd w:id="9"/>
      <w:r>
        <w:rPr/>
        <w:t>3</w:t>
        <w:tab/>
        <w:t>Definitions, symbols and abbreviations</w:t>
      </w:r>
    </w:p>
    <w:p>
      <w:pPr>
        <w:pStyle w:val="Heading2"/>
        <w:rPr>
          <w:lang w:eastAsia="zh-CN"/>
        </w:rPr>
      </w:pPr>
      <w:bookmarkStart w:id="10" w:name="__RefHeading___Toc478159891"/>
      <w:bookmarkEnd w:id="10"/>
      <w:r>
        <w:rPr/>
        <w:t>3.1</w:t>
        <w:tab/>
        <w:t>Definitions</w:t>
      </w:r>
    </w:p>
    <w:p>
      <w:pPr>
        <w:pStyle w:val="Normal"/>
        <w:rPr>
          <w:lang w:eastAsia="zh-CN"/>
        </w:rPr>
      </w:pPr>
      <w:r>
        <w:rPr/>
        <w:t>For the purposes of the present document, the definitions given in TS 36.411 [1] apply.</w:t>
      </w:r>
    </w:p>
    <w:p>
      <w:pPr>
        <w:pStyle w:val="Heading2"/>
        <w:rPr>
          <w:lang w:eastAsia="zh-CN"/>
        </w:rPr>
      </w:pPr>
      <w:bookmarkStart w:id="11" w:name="__RefHeading___Toc478159892"/>
      <w:bookmarkEnd w:id="11"/>
      <w:r>
        <w:rPr/>
        <w:t>3.2</w:t>
        <w:tab/>
        <w:t>Symbols</w:t>
      </w:r>
    </w:p>
    <w:p>
      <w:pPr>
        <w:pStyle w:val="Normal"/>
        <w:rPr>
          <w:lang w:eastAsia="zh-CN"/>
        </w:rPr>
      </w:pPr>
      <w:r>
        <w:rPr/>
        <w:t>For the purposes of the present document, the symbols given in TS 36.411 [1] apply.</w:t>
      </w:r>
    </w:p>
    <w:p>
      <w:pPr>
        <w:pStyle w:val="Heading2"/>
        <w:rPr>
          <w:lang w:eastAsia="zh-CN"/>
        </w:rPr>
      </w:pPr>
      <w:bookmarkStart w:id="12" w:name="__RefHeading___Toc478159893"/>
      <w:bookmarkEnd w:id="12"/>
      <w:r>
        <w:rPr/>
        <w:t>3.3</w:t>
        <w:tab/>
        <w:t>Abbreviations</w:t>
      </w:r>
    </w:p>
    <w:p>
      <w:pPr>
        <w:pStyle w:val="Normal"/>
        <w:rPr>
          <w:lang w:eastAsia="zh-CN"/>
        </w:rPr>
      </w:pPr>
      <w:r>
        <w:rPr/>
        <w:t>For the purposes of the present document, the abbreviations given in TS 36.411 [1] apply.</w:t>
      </w:r>
    </w:p>
    <w:p>
      <w:pPr>
        <w:pStyle w:val="Heading1"/>
        <w:ind w:left="1134" w:hanging="1134"/>
        <w:rPr/>
      </w:pPr>
      <w:bookmarkStart w:id="13" w:name="__RefHeading___Toc478159894"/>
      <w:bookmarkEnd w:id="13"/>
      <w:r>
        <w:rPr/>
        <w:t>4</w:t>
        <w:tab/>
        <w:t>Introduction</w:t>
      </w:r>
    </w:p>
    <w:p>
      <w:pPr>
        <w:pStyle w:val="Normal"/>
        <w:rPr/>
      </w:pPr>
      <w:r>
        <w:rPr/>
        <w:t>The Xw Layer 1 shall comply with the requirements of clauses 4 through 6 in TS 36.411 [1].</w:t>
      </w:r>
      <w:bookmarkStart w:id="14" w:name="historyclause"/>
      <w:r>
        <w:br w:type="page"/>
      </w:r>
    </w:p>
    <w:p>
      <w:pPr>
        <w:pStyle w:val="Heading8"/>
        <w:ind w:left="0" w:hanging="0"/>
        <w:rPr/>
      </w:pPr>
      <w:bookmarkStart w:id="15" w:name="__RefHeading___Toc478159895"/>
      <w:bookmarkEnd w:id="14"/>
      <w:bookmarkEnd w:id="15"/>
      <w:r>
        <w:rPr/>
        <w:t>Annex A (informative):</w:t>
        <w:br/>
        <w:t>Change history</w:t>
      </w:r>
    </w:p>
    <w:tbl>
      <w:tblPr>
        <w:tblW w:w="10065" w:type="dxa"/>
        <w:jc w:val="left"/>
        <w:tblInd w:w="-7" w:type="dxa"/>
        <w:tblLayout w:type="fixed"/>
        <w:tblCellMar>
          <w:top w:w="0" w:type="dxa"/>
          <w:left w:w="40" w:type="dxa"/>
          <w:bottom w:w="0" w:type="dxa"/>
          <w:right w:w="40" w:type="dxa"/>
        </w:tblCellMar>
      </w:tblPr>
      <w:tblGrid>
        <w:gridCol w:w="800"/>
        <w:gridCol w:w="1185"/>
        <w:gridCol w:w="1039"/>
        <w:gridCol w:w="426"/>
        <w:gridCol w:w="428"/>
        <w:gridCol w:w="375"/>
        <w:gridCol w:w="5103"/>
        <w:gridCol w:w="709"/>
      </w:tblGrid>
      <w:tr>
        <w:trPr>
          <w:cantSplit w:val="true"/>
        </w:trPr>
        <w:tc>
          <w:tcPr>
            <w:tcW w:w="10065"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2015-08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w:t>
            </w:r>
          </w:p>
        </w:tc>
        <w:tc>
          <w:tcPr>
            <w:tcW w:w="10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R3-151</w:t>
            </w:r>
            <w:r>
              <w:rPr>
                <w:sz w:val="16"/>
                <w:szCs w:val="16"/>
              </w:rPr>
              <w:t>685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Initial Skeleton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2015-10</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RAN3#89bis</w:t>
            </w:r>
          </w:p>
        </w:tc>
        <w:tc>
          <w:tcPr>
            <w:tcW w:w="10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w:t>
            </w:r>
            <w:r>
              <w:rPr>
                <w:sz w:val="16"/>
                <w:szCs w:val="16"/>
              </w:rPr>
              <w:t>2200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Initial Skeleton</w:t>
            </w:r>
            <w:r>
              <w:rPr>
                <w:sz w:val="16"/>
                <w:szCs w:val="16"/>
                <w:lang w:eastAsia="zh-CN"/>
              </w:rPr>
              <w:t xml:space="preserve">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2015-10</w:t>
            </w:r>
          </w:p>
        </w:tc>
        <w:tc>
          <w:tcPr>
            <w:tcW w:w="118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RAN3#89bis</w:t>
            </w:r>
          </w:p>
        </w:tc>
        <w:tc>
          <w:tcPr>
            <w:tcW w:w="103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R3-152192</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103"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Layer 1 aspects of the Xw interface</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2015-11</w:t>
            </w:r>
          </w:p>
        </w:tc>
        <w:tc>
          <w:tcPr>
            <w:tcW w:w="1185"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RAN3#90</w:t>
            </w:r>
          </w:p>
        </w:tc>
        <w:tc>
          <w:tcPr>
            <w:tcW w:w="1039"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R3-</w:t>
            </w:r>
            <w:r>
              <w:rPr>
                <w:sz w:val="16"/>
                <w:szCs w:val="16"/>
                <w:lang w:eastAsia="zh-CN"/>
              </w:rPr>
              <w:t>152416</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103"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Clean up</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zh-CN"/>
              </w:rPr>
            </w:pPr>
            <w:r>
              <w:rPr>
                <w:iCs/>
                <w:sz w:val="16"/>
                <w:szCs w:val="16"/>
                <w:lang w:eastAsia="zh-CN"/>
              </w:rPr>
              <w:t>RAN#70</w:t>
            </w:r>
          </w:p>
        </w:tc>
        <w:tc>
          <w:tcPr>
            <w:tcW w:w="103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zh-CN"/>
              </w:rPr>
            </w:pPr>
            <w:r>
              <w:rPr>
                <w:iCs/>
                <w:sz w:val="16"/>
                <w:szCs w:val="16"/>
                <w:lang w:eastAsia="zh-CN"/>
              </w:rPr>
              <w:t>RP-</w:t>
            </w:r>
            <w:r>
              <w:rPr>
                <w:iCs/>
                <w:sz w:val="16"/>
                <w:szCs w:val="16"/>
                <w:lang w:eastAsia="zh-CN"/>
              </w:rPr>
              <w:t>151742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zh-CN"/>
              </w:rPr>
            </w:pPr>
            <w:r>
              <w:rPr>
                <w:iCs/>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RAN3#AH</w:t>
            </w:r>
          </w:p>
        </w:tc>
        <w:tc>
          <w:tcPr>
            <w:tcW w:w="10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iCs/>
                <w:sz w:val="16"/>
                <w:szCs w:val="16"/>
                <w:lang w:eastAsia="zh-CN"/>
              </w:rPr>
              <w:t>RP-</w:t>
            </w:r>
            <w:r>
              <w:rPr>
                <w:iCs/>
                <w:sz w:val="16"/>
                <w:szCs w:val="16"/>
                <w:lang w:eastAsia="zh-CN"/>
              </w:rPr>
              <w:t>160003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Cover sheet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w:t>
            </w:r>
            <w:r>
              <w:rPr>
                <w:sz w:val="16"/>
                <w:szCs w:val="16"/>
                <w:lang w:eastAsia="zh-CN"/>
              </w:rPr>
              <w:t>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RAN3#</w:t>
            </w:r>
            <w:r>
              <w:rPr>
                <w:sz w:val="16"/>
                <w:szCs w:val="16"/>
                <w:lang w:eastAsia="zh-CN"/>
              </w:rPr>
              <w:t>91</w:t>
            </w:r>
          </w:p>
        </w:tc>
        <w:tc>
          <w:tcPr>
            <w:tcW w:w="10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iCs/>
                <w:sz w:val="16"/>
                <w:szCs w:val="16"/>
                <w:lang w:eastAsia="zh-CN"/>
              </w:rPr>
              <w:t>RP-</w:t>
            </w:r>
            <w:r>
              <w:rPr>
                <w:iCs/>
                <w:sz w:val="16"/>
                <w:szCs w:val="16"/>
                <w:lang w:eastAsia="zh-CN"/>
              </w:rPr>
              <w:t>160154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Editorials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2016-03</w:t>
            </w:r>
          </w:p>
        </w:tc>
        <w:tc>
          <w:tcPr>
            <w:tcW w:w="118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iCs/>
                <w:sz w:val="16"/>
                <w:szCs w:val="16"/>
                <w:lang w:eastAsia="zh-CN"/>
              </w:rPr>
              <w:t>RAN#7</w:t>
            </w:r>
            <w:r>
              <w:rPr>
                <w:iCs/>
                <w:sz w:val="16"/>
                <w:szCs w:val="16"/>
                <w:lang w:eastAsia="zh-CN"/>
              </w:rPr>
              <w:t>1</w:t>
            </w:r>
          </w:p>
        </w:tc>
        <w:tc>
          <w:tcPr>
            <w:tcW w:w="103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iCs/>
                <w:sz w:val="16"/>
                <w:szCs w:val="16"/>
                <w:lang w:eastAsia="zh-CN"/>
              </w:rPr>
              <w:t>RP-160224</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37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5103"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rPr>
              <w:t>Submitted for approval</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rPr>
                <w:iCs/>
                <w:sz w:val="16"/>
                <w:szCs w:val="16"/>
                <w:lang w:eastAsia="zh-CN"/>
              </w:rPr>
            </w:pPr>
            <w:r>
              <w:rPr>
                <w:iCs/>
                <w:sz w:val="16"/>
                <w:szCs w:val="16"/>
                <w:lang w:eastAsia="zh-CN"/>
              </w:rPr>
              <w:t>RAN#71</w:t>
            </w:r>
          </w:p>
        </w:tc>
        <w:tc>
          <w:tcPr>
            <w:tcW w:w="103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Cs/>
                <w:sz w:val="16"/>
                <w:szCs w:val="16"/>
                <w:lang w:eastAsia="zh-CN"/>
              </w:rPr>
            </w:pPr>
            <w:r>
              <w:rPr>
                <w:iCs/>
                <w:sz w:val="16"/>
                <w:szCs w:val="16"/>
                <w:lang w:eastAsia="zh-CN"/>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Cs/>
                <w:sz w:val="16"/>
                <w:szCs w:val="16"/>
                <w:lang w:eastAsia="zh-CN"/>
              </w:rPr>
            </w:pPr>
            <w:r>
              <w:rPr>
                <w:iCs/>
                <w:sz w:val="16"/>
                <w:szCs w:val="16"/>
                <w:lang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7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Upgraded to Rel-13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SA#75</w:t>
            </w:r>
          </w:p>
        </w:tc>
        <w:tc>
          <w:tcPr>
            <w:tcW w:w="1039"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37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pPr>
            <w:r>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pPr>
            <w:r>
              <w:rPr/>
              <w:t>SA#80</w:t>
            </w:r>
          </w:p>
        </w:tc>
        <w:tc>
          <w:tcPr>
            <w:tcW w:w="103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37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pPr>
            <w:r>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pPr>
            <w:r>
              <w:rPr/>
              <w:t>SA#88-e</w:t>
            </w:r>
          </w:p>
        </w:tc>
        <w:tc>
          <w:tcPr>
            <w:tcW w:w="103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37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8pt"/>
              <w:jc w:val="lef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2020-07-16T20:59:00Z</dcterms:created>
  <dc:creator>MCC Support</dc:creator>
  <dc:description/>
  <cp:keywords>LTE radio LAN</cp:keywords>
  <dc:language>en-US</dc:language>
  <cp:lastModifiedBy>MCC</cp:lastModifiedBy>
  <dcterms:modified xsi:type="dcterms:W3CDTF">2020-07-16T21:03:00Z</dcterms:modified>
  <cp:revision>3</cp:revision>
  <dc:subject>Evolved Universal Terrestrial Radio Access Network (E-UTRAN) and Wireless LAN (WLAN); Xw layer 1 (Release 16)</dc:subject>
  <dc:title>3GPP TS 36.461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1444126876</vt:lpwstr>
  </property>
</Properties>
</file>