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TR 36.904 </w:t>
                            </w:r>
                            <w:r>
                              <w:rPr>
                                <w:lang w:val="en-GB" w:eastAsia="en-GB"/>
                              </w:rPr>
                              <w:t xml:space="preserve">V16.1.0 </w:t>
                            </w:r>
                            <w:r>
                              <w:rPr>
                                <w:sz w:val="32"/>
                                <w:lang w:val="en-GB" w:eastAsia="en-GB"/>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TR 36.904 </w:t>
                      </w:r>
                      <w:r>
                        <w:rPr>
                          <w:lang w:val="en-GB" w:eastAsia="en-GB"/>
                        </w:rPr>
                        <w:t xml:space="preserve">V16.1.0 </w:t>
                      </w:r>
                      <w:r>
                        <w:rPr>
                          <w:sz w:val="32"/>
                          <w:lang w:val="en-GB" w:eastAsia="en-GB"/>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2115"/>
                <wp:effectExtent l="0" t="0" r="0" b="0"/>
                <wp:wrapTopAndBottom/>
                <wp:docPr id="3" name="Frame3"/>
                <a:graphic xmlns:a="http://schemas.openxmlformats.org/drawingml/2006/main">
                  <a:graphicData uri="http://schemas.microsoft.com/office/word/2010/wordprocessingShape">
                    <wps:wsp>
                      <wps:cNvSpPr txBox="1"/>
                      <wps:spPr>
                        <a:xfrm>
                          <a:off x="0" y="0"/>
                          <a:ext cx="6479540" cy="168211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sz w:val="32"/>
                                <w:szCs w:val="32"/>
                              </w:rPr>
                              <w:t>Radio Access Network;</w:t>
                            </w:r>
                          </w:p>
                          <w:p>
                            <w:pPr>
                              <w:pStyle w:val="ZT"/>
                              <w:rPr>
                                <w:sz w:val="32"/>
                                <w:szCs w:val="32"/>
                              </w:rPr>
                            </w:pPr>
                            <w:r>
                              <w:rPr>
                                <w:sz w:val="32"/>
                                <w:szCs w:val="32"/>
                              </w:rPr>
                              <w:t>Evolved Universal Terrestrial Radio Access (E-UTRA) and</w:t>
                            </w:r>
                          </w:p>
                          <w:p>
                            <w:pPr>
                              <w:pStyle w:val="ZT"/>
                              <w:rPr>
                                <w:sz w:val="32"/>
                                <w:szCs w:val="32"/>
                              </w:rPr>
                            </w:pPr>
                            <w:r>
                              <w:rPr>
                                <w:sz w:val="32"/>
                                <w:szCs w:val="32"/>
                              </w:rPr>
                              <w:t>Evolved Universal Terrestrial Radio Access Network (E-UTRAN);</w:t>
                            </w:r>
                          </w:p>
                          <w:p>
                            <w:pPr>
                              <w:pStyle w:val="ZT"/>
                              <w:rPr>
                                <w:sz w:val="32"/>
                                <w:szCs w:val="32"/>
                              </w:rPr>
                            </w:pPr>
                            <w:r>
                              <w:rPr>
                                <w:sz w:val="32"/>
                                <w:szCs w:val="32"/>
                              </w:rPr>
                              <w:t>Derivation of test tolerances for User Equipment (UE) radio reception conformance tests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2.45pt;mso-wrap-distance-left:0pt;mso-wrap-distance-right:0pt;mso-wrap-distance-top:0pt;mso-wrap-distance-bottom:0pt;margin-top:28.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sz w:val="32"/>
                          <w:szCs w:val="32"/>
                        </w:rPr>
                        <w:t>Radio Access Network;</w:t>
                      </w:r>
                    </w:p>
                    <w:p>
                      <w:pPr>
                        <w:pStyle w:val="ZT"/>
                        <w:rPr>
                          <w:sz w:val="32"/>
                          <w:szCs w:val="32"/>
                        </w:rPr>
                      </w:pPr>
                      <w:r>
                        <w:rPr>
                          <w:sz w:val="32"/>
                          <w:szCs w:val="32"/>
                        </w:rPr>
                        <w:t>Evolved Universal Terrestrial Radio Access (E-UTRA) and</w:t>
                      </w:r>
                    </w:p>
                    <w:p>
                      <w:pPr>
                        <w:pStyle w:val="ZT"/>
                        <w:rPr>
                          <w:sz w:val="32"/>
                          <w:szCs w:val="32"/>
                        </w:rPr>
                      </w:pPr>
                      <w:r>
                        <w:rPr>
                          <w:sz w:val="32"/>
                          <w:szCs w:val="32"/>
                        </w:rPr>
                        <w:t>Evolved Universal Terrestrial Radio Access Network (E-UTRAN);</w:t>
                      </w:r>
                    </w:p>
                    <w:p>
                      <w:pPr>
                        <w:pStyle w:val="ZT"/>
                        <w:rPr>
                          <w:sz w:val="32"/>
                          <w:szCs w:val="32"/>
                        </w:rPr>
                      </w:pPr>
                      <w:r>
                        <w:rPr>
                          <w:sz w:val="32"/>
                          <w:szCs w:val="32"/>
                        </w:rPr>
                        <w:t>Derivation of test tolerances for User Equipment (UE) radio reception conformance tests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GB"/>
                              </w:rPr>
                            </w:pPr>
                            <w:r>
                              <w:rPr>
                                <w:i/>
                                <w:lang w:val="en-GB" w:eastAsia="en-GB"/>
                              </w:rPr>
                              <w:drawing>
                                <wp:inline distT="0" distB="0" distL="0" distR="0">
                                  <wp:extent cx="1195070" cy="9550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195070" cy="955040"/>
                                          </a:xfrm>
                                          <a:prstGeom prst="rect">
                                            <a:avLst/>
                                          </a:prstGeom>
                                        </pic:spPr>
                                      </pic:pic>
                                    </a:graphicData>
                                  </a:graphic>
                                </wp:inline>
                              </w:drawing>
                            </w:r>
                            <w:r>
                              <w:rPr>
                                <w:color w:val="0000FF"/>
                                <w:lang w:val="en-GB" w:eastAsia="en-GB"/>
                              </w:rPr>
                              <w:tab/>
                            </w:r>
                            <w:r>
                              <w:rPr>
                                <w:lang w:val="en-GB" w:eastAsia="en-GB"/>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i/>
                          <w:lang w:val="en-GB" w:eastAsia="en-GB"/>
                        </w:rPr>
                        <w:drawing>
                          <wp:inline distT="0" distB="0" distL="0" distR="0">
                            <wp:extent cx="1195070" cy="955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195070" cy="955040"/>
                                    </a:xfrm>
                                    <a:prstGeom prst="rect">
                                      <a:avLst/>
                                    </a:prstGeom>
                                  </pic:spPr>
                                </pic:pic>
                              </a:graphicData>
                            </a:graphic>
                          </wp:inline>
                        </w:drawing>
                      </w:r>
                      <w:r>
                        <w:rPr>
                          <w:color w:val="0000FF"/>
                          <w:lang w:val="en-GB" w:eastAsia="en-GB"/>
                        </w:rPr>
                        <w:tab/>
                      </w:r>
                      <w:r>
                        <w:rPr>
                          <w:lang w:val="en-GB" w:eastAsia="en-GB"/>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tabs>
          <w:tab w:val="clear" w:pos="284"/>
          <w:tab w:val="left" w:pos="3480" w:leader="none"/>
        </w:tabs>
        <w:rPr/>
      </w:pPr>
      <w:bookmarkStart w:id="2" w:name="page2"/>
      <w:bookmarkEnd w:id="2"/>
      <w:r>
        <w:rPr/>
        <w:tab/>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4038893">
            <w:r>
              <w:rPr>
                <w:rStyle w:val="IndexLink"/>
                <w:rFonts w:eastAsia="Times New Roman" w:cs="Times New Roman"/>
                <w:color w:val="auto"/>
                <w:sz w:val="22"/>
                <w:szCs w:val="20"/>
                <w:lang w:val="en-US" w:eastAsia="en-US" w:bidi="ar-SA"/>
              </w:rPr>
              <w:t>4</w:t>
            </w:r>
          </w:hyperlink>
        </w:p>
        <w:p>
          <w:pPr>
            <w:pStyle w:val="Contents1"/>
            <w:rPr>
              <w:rFonts w:ascii="Calibri" w:hAnsi="Calibri" w:cs="Calibri"/>
              <w:szCs w:val="22"/>
              <w:lang w:val="en-US" w:eastAsia="en-US"/>
            </w:rPr>
          </w:pPr>
          <w:r>
            <w:rPr>
              <w:lang w:val="en-US" w:eastAsia="en-US"/>
            </w:rPr>
            <w:t>Introduction</w:t>
            <w:tab/>
          </w:r>
          <w:hyperlink w:anchor="__RefHeading___Toc134038894">
            <w:r>
              <w:rPr>
                <w:rStyle w:val="IndexLink"/>
                <w:lang w:val="en-US" w:eastAsia="en-US"/>
              </w:rPr>
              <w:t>4</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34038895">
            <w:r>
              <w:rPr>
                <w:rStyle w:val="IndexLink"/>
                <w:lang w:val="en-US" w:eastAsia="en-US"/>
              </w:rPr>
              <w:t>5</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4038896">
            <w:r>
              <w:rPr>
                <w:rStyle w:val="IndexLink"/>
                <w:lang w:val="en-US" w:eastAsia="en-US"/>
              </w:rPr>
              <w:t>5</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symbols and abbreviations</w:t>
            <w:tab/>
          </w:r>
          <w:hyperlink w:anchor="__RefHeading___Toc134038898">
            <w:r>
              <w:rPr>
                <w:rStyle w:val="IndexLink"/>
                <w:lang w:val="en-US" w:eastAsia="en-US"/>
              </w:rPr>
              <w:t>5</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General Principles</w:t>
            <w:tab/>
          </w:r>
          <w:hyperlink w:anchor="__RefHeading___Toc134038899">
            <w:r>
              <w:rPr>
                <w:rStyle w:val="IndexLink"/>
                <w:lang w:val="en-US" w:eastAsia="en-US"/>
              </w:rPr>
              <w:t>5</w:t>
            </w:r>
          </w:hyperlink>
        </w:p>
        <w:p>
          <w:pPr>
            <w:pStyle w:val="Contents1"/>
            <w:rPr>
              <w:rFonts w:ascii="Calibri" w:hAnsi="Calibri" w:cs="Calibri"/>
              <w:szCs w:val="22"/>
              <w:lang w:val="en-US" w:eastAsia="en-US"/>
            </w:rPr>
          </w:pPr>
          <w:r>
            <w:rPr>
              <w:lang w:val="en-US" w:eastAsia="en-US"/>
            </w:rPr>
            <w:t>5 to 7</w:t>
          </w:r>
          <w:r>
            <w:rPr>
              <w:rFonts w:cs="Calibri" w:ascii="Calibri" w:hAnsi="Calibri"/>
              <w:szCs w:val="22"/>
              <w:lang w:val="en-US" w:eastAsia="en-US"/>
            </w:rPr>
            <w:tab/>
          </w:r>
          <w:r>
            <w:rPr>
              <w:lang w:val="en-US" w:eastAsia="en-US"/>
            </w:rPr>
            <w:t>Void</w:t>
            <w:tab/>
          </w:r>
          <w:hyperlink w:anchor="__RefHeading___Toc134038900">
            <w:r>
              <w:rPr>
                <w:rStyle w:val="IndexLink"/>
                <w:lang w:val="en-US" w:eastAsia="en-US"/>
              </w:rPr>
              <w:t>5</w:t>
            </w:r>
          </w:hyperlink>
        </w:p>
        <w:p>
          <w:pPr>
            <w:pStyle w:val="Contents8"/>
            <w:rPr>
              <w:rFonts w:ascii="Calibri" w:hAnsi="Calibri" w:cs="Calibri"/>
              <w:b w:val="false"/>
              <w:b w:val="false"/>
              <w:szCs w:val="22"/>
              <w:lang w:val="en-US" w:eastAsia="en-US"/>
            </w:rPr>
          </w:pPr>
          <w:r>
            <w:rPr>
              <w:lang w:val="en-US" w:eastAsia="en-US"/>
            </w:rPr>
            <w:t>Annex A: Void</w:t>
            <w:tab/>
            <w:tab/>
          </w:r>
          <w:hyperlink w:anchor="__RefHeading___Toc134038901">
            <w:r>
              <w:rPr>
                <w:rStyle w:val="IndexLink"/>
                <w:lang w:val="en-US" w:eastAsia="en-US"/>
              </w:rPr>
              <w:t>5</w:t>
            </w:r>
          </w:hyperlink>
        </w:p>
        <w:p>
          <w:pPr>
            <w:pStyle w:val="Contents8"/>
            <w:rPr>
              <w:rFonts w:ascii="Calibri" w:hAnsi="Calibri" w:cs="Calibri"/>
              <w:szCs w:val="22"/>
              <w:lang w:val="en-US" w:eastAsia="en-US"/>
            </w:rPr>
          </w:pPr>
          <w:r>
            <w:rPr>
              <w:b w:val="false"/>
              <w:lang w:val="en-US" w:eastAsia="en-US"/>
            </w:rPr>
            <w:t>Annex B: Change History</w:t>
            <w:tab/>
            <w:tab/>
          </w:r>
          <w:hyperlink w:anchor="__RefHeading___Toc134038902">
            <w:r>
              <w:rPr>
                <w:rStyle w:val="IndexLink"/>
                <w:b w:val="false"/>
                <w:lang w:val="en-US" w:eastAsia="en-US"/>
              </w:rPr>
              <w:t>6</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134038893"/>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34038894"/>
      <w:bookmarkEnd w:id="7"/>
      <w:r>
        <w:rPr/>
        <w:t>Introduction</w:t>
      </w:r>
      <w:r>
        <w:br w:type="page"/>
      </w:r>
    </w:p>
    <w:p>
      <w:pPr>
        <w:pStyle w:val="Heading1"/>
        <w:ind w:left="1134" w:hanging="1134"/>
        <w:rPr/>
      </w:pPr>
      <w:bookmarkStart w:id="8" w:name="__RefHeading___Toc134038895"/>
      <w:bookmarkEnd w:id="8"/>
      <w:r>
        <w:rPr/>
        <w:t>1</w:t>
        <w:tab/>
        <w:t>Scope</w:t>
      </w:r>
    </w:p>
    <w:p>
      <w:pPr>
        <w:pStyle w:val="Normal"/>
        <w:rPr/>
      </w:pPr>
      <w:r>
        <w:rPr/>
        <w:t>The present document specifies a general method used to derive Test Tolerances for UE radio reception conformance tests in 3GPP TS 36.521-1 [2], and establishes a system for relating the Test Tolerances to the measurement uncertainties of the Test System.</w:t>
      </w:r>
    </w:p>
    <w:p>
      <w:pPr>
        <w:pStyle w:val="Normal"/>
        <w:rPr/>
      </w:pPr>
      <w:r>
        <w:rPr/>
        <w:t>The test cases which have been analysed to determine Test Tolerances are included as .zip files.</w:t>
      </w:r>
    </w:p>
    <w:p>
      <w:pPr>
        <w:pStyle w:val="Normal"/>
        <w:rPr/>
      </w:pPr>
      <w:r>
        <w:rPr/>
        <w:t>The present document is applicable from Release 10 up to the release indicated on the front page of the present Terminal conformance specifications.</w:t>
      </w:r>
    </w:p>
    <w:p>
      <w:pPr>
        <w:pStyle w:val="Heading1"/>
        <w:ind w:left="1134" w:hanging="1134"/>
        <w:rPr/>
      </w:pPr>
      <w:bookmarkStart w:id="9" w:name="__RefHeading___Toc134038896"/>
      <w:bookmarkEnd w:id="9"/>
      <w:r>
        <w:rPr/>
        <w:t>2</w:t>
        <w:tab/>
        <w:t>References</w:t>
      </w:r>
    </w:p>
    <w:p>
      <w:pPr>
        <w:pStyle w:val="Normal"/>
        <w:rPr/>
      </w:pPr>
      <w:bookmarkStart w:id="10" w:name="_Hlk86330313"/>
      <w:bookmarkStart w:id="11" w:name="historyclause"/>
      <w:bookmarkEnd w:id="10"/>
      <w:bookmarkEnd w:id="11"/>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 to [3]</w:t>
        <w:tab/>
        <w:t>(void)</w:t>
      </w:r>
    </w:p>
    <w:p>
      <w:pPr>
        <w:pStyle w:val="Normal"/>
        <w:keepLines/>
        <w:ind w:left="1702" w:hanging="1418"/>
        <w:rPr/>
      </w:pPr>
      <w:r>
        <w:rPr/>
        <w:t>[4]</w:t>
        <w:tab/>
        <w:t>3GPP TR 36.904 Release 17: "Evolved Universal Terrestrial Radio Access (E-UTRA) and Evolved Universal Terrestrial Radio Access Network (E-UTRAN); Derivation of test tolerances for User Equipment (UE) radio reception conformance tests"</w:t>
      </w:r>
    </w:p>
    <w:p>
      <w:pPr>
        <w:pStyle w:val="Heading1"/>
        <w:ind w:left="1134" w:hanging="1134"/>
        <w:rPr/>
      </w:pPr>
      <w:bookmarkStart w:id="12" w:name="__RefHeading___Toc134038898"/>
      <w:bookmarkEnd w:id="12"/>
      <w:r>
        <w:rPr/>
        <w:t>3</w:t>
        <w:tab/>
        <w:t>Definitions, symbols and abbreviations</w:t>
      </w:r>
    </w:p>
    <w:p>
      <w:pPr>
        <w:pStyle w:val="Normal"/>
        <w:rPr/>
      </w:pPr>
      <w:r>
        <w:rPr/>
        <w:t>Void</w:t>
      </w:r>
    </w:p>
    <w:p>
      <w:pPr>
        <w:pStyle w:val="Heading1"/>
        <w:ind w:left="1134" w:hanging="1134"/>
        <w:rPr/>
      </w:pPr>
      <w:bookmarkStart w:id="13" w:name="__RefHeading___Toc134038899"/>
      <w:bookmarkEnd w:id="13"/>
      <w:r>
        <w:rPr/>
        <w:t>4</w:t>
        <w:tab/>
        <w:t>General Principles</w:t>
      </w:r>
    </w:p>
    <w:p>
      <w:pPr>
        <w:pStyle w:val="Normal"/>
        <w:rPr/>
      </w:pPr>
      <w:r>
        <w:rPr/>
        <w:t>The requirements of the present document are provided in 3GPP TR 36.904 Release 17 [4].</w:t>
      </w:r>
    </w:p>
    <w:p>
      <w:pPr>
        <w:pStyle w:val="Heading1"/>
        <w:ind w:left="1134" w:hanging="1134"/>
        <w:rPr/>
      </w:pPr>
      <w:bookmarkStart w:id="14" w:name="__RefHeading___Toc134038900"/>
      <w:bookmarkEnd w:id="14"/>
      <w:r>
        <w:rPr/>
        <w:t>5 to 7</w:t>
        <w:tab/>
        <w:t>Void</w:t>
      </w:r>
    </w:p>
    <w:p>
      <w:pPr>
        <w:pStyle w:val="Normal"/>
        <w:rPr/>
      </w:pPr>
      <w:r>
        <w:rPr/>
      </w:r>
    </w:p>
    <w:p>
      <w:pPr>
        <w:pStyle w:val="Heading8"/>
        <w:ind w:left="0" w:hanging="0"/>
        <w:rPr/>
      </w:pPr>
      <w:bookmarkStart w:id="15" w:name="__RefHeading___Toc134038901"/>
      <w:bookmarkEnd w:id="15"/>
      <w:r>
        <w:rPr/>
        <w:t>Annex A: Void</w:t>
      </w:r>
    </w:p>
    <w:p>
      <w:pPr>
        <w:pStyle w:val="Normal"/>
        <w:rPr>
          <w:lang w:val="en-US" w:eastAsia="en-US"/>
        </w:rPr>
      </w:pPr>
      <w:r>
        <w:rPr>
          <w:lang w:val="en-US" w:eastAsia="en-US"/>
        </w:rPr>
      </w:r>
      <w:r>
        <w:br w:type="page"/>
      </w:r>
    </w:p>
    <w:p>
      <w:pPr>
        <w:pStyle w:val="Heading8"/>
        <w:ind w:left="0" w:hanging="0"/>
        <w:rPr/>
      </w:pPr>
      <w:bookmarkStart w:id="16" w:name="_Hlk86330313"/>
      <w:bookmarkStart w:id="17" w:name="__RefHeading___Toc134038902"/>
      <w:bookmarkEnd w:id="16"/>
      <w:bookmarkEnd w:id="17"/>
      <w:r>
        <w:rPr/>
        <w:t>Annex B:</w:t>
        <w:br/>
        <w:t>Change History</w:t>
      </w:r>
    </w:p>
    <w:tbl>
      <w:tblPr>
        <w:tblW w:w="9356" w:type="dxa"/>
        <w:jc w:val="left"/>
        <w:tblInd w:w="-7" w:type="dxa"/>
        <w:tblLayout w:type="fixed"/>
        <w:tblCellMar>
          <w:top w:w="0" w:type="dxa"/>
          <w:left w:w="40" w:type="dxa"/>
          <w:bottom w:w="0" w:type="dxa"/>
          <w:right w:w="40" w:type="dxa"/>
        </w:tblCellMar>
      </w:tblPr>
      <w:tblGrid>
        <w:gridCol w:w="800"/>
        <w:gridCol w:w="1000"/>
        <w:gridCol w:w="990"/>
        <w:gridCol w:w="612"/>
        <w:gridCol w:w="288"/>
        <w:gridCol w:w="4532"/>
        <w:gridCol w:w="5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TSG #</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TSG Doc.</w:t>
            </w:r>
          </w:p>
        </w:tc>
        <w:tc>
          <w:tcPr>
            <w:tcW w:w="612"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CR</w:t>
            </w:r>
          </w:p>
        </w:tc>
        <w:tc>
          <w:tcPr>
            <w:tcW w:w="28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Rev</w:t>
            </w:r>
          </w:p>
        </w:tc>
        <w:tc>
          <w:tcPr>
            <w:tcW w:w="4532"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2014-04</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R5-142065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TR 36.904 Skeleton proposed for RAN5#63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2014-05</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R5-142066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TR 36.904 update proposed including all technically endorsed TT analyses on RAN5#63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2014-05</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RP-140610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TR 36.904 presented as 2.0.0 for approval at RAN#64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Upgraded to v11.0.0 with no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R5-144067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analyses for TS 36.521-1 Test case 8.2.2.2.4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R5-144069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analyses for TS 36.521-1 Test case 8.2.2.4.3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R5-144071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analyses for TS 36.521-1 Test case 8.3.1.1.3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R5-144073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analyses for TS 36.521-1 Test case 8.3.2.1.4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R5-144078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analysis for TS 36.521-1 Test cases 8.2.1.3.3_E.1 and 8.2.2.3.3_E.1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Test Tolerance Analysis for TS 36.521-1 TC 8.2.1.4.1_E.1+8.2.2.4.1_E.1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Test Tolerance Analysis for TS 36.521-1 TC 8.4.1.2.3_E.2+8.4.2.2.3_E.2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to TR 36.904 for feICIC Group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R5-144113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Test Tolerance Analysis for TS 36.521-1 TC 9.2.1.5_E.1+9.2.1.6_E.1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R5-144116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Test Tolerance Analysis for TS 36.521-1 TC 9.3.1.3.1_E.1+9.3.1.3.2_E.1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R5-144119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Test Tolerance Analysis for TS 36.521-1 TC 9.5.4.1_E.1+9.5.4.2_E.1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R5-144285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analysis for TS 36.521-1 Test cases 8.2.1.2.3_C.1 and 8.2.2.2.3_C.1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R5-144288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analysis for TS 36.521-1 Test cases 8.2.1.2.3_E.1 and 8.2.2.2.3_E.1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R5-144296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Editorial update of eICIC CSI Test Tolerance analyses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R5-144816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analysis for TS 36.521-1 Test cases 9.3.6.1_F and 9.3.6.2_F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R5-144823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Test Tolerance analyses for TS 36.521-1 Test cases 9.3.5.2.1 and 9.3.5.2.2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R5-145826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0017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Test Tolerance Analysis for TS 36.521-1 TC 8.5.1.2.3_E.1+8.5.2.2.3_E.1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R5-145834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0018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Update Test Tolerance analyses for TS 36.521-1 Test cases 9.5.3.x and 9.5.4.x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R5-150217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0019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Test Tolerance Analysis for TS 36.521-1 TC 8.3.1.2.1_D_1+8.3.2.2.1_D_1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R5-155883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FDD multi-cell SU-MIMO test case (8.2.1.3.1C)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R5-155884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TDD multi-cell SU-MIMO test case (8.2.2.3.1C)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R5-155885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LTE Type C group into 36.904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R5-160032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0024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FDD PDSCH Transmit Diversity 2x2 with TM9 Interference Model - Enhanced Perrformance Requirement Type B (8.2.1.2.6)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R5-160033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TDD PDSCH Transmit Diversity 2x2 with TM2 Interference Model - Enhanced Perrformance Requirement Type B (8.2.2.2.6)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R5-160034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TDD PDSCH Transmit Diversity 2x2 with TM9 Interference Model - Enhanced Perrformance Requirement Type B (8.2.2.2.7)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R5-160035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Add Test Tolerance analysis for FDD and TDD CQI reporting under fading conditions (PUCCH) TM4 - Enhanced Receiver Type B (9.3.8.1.1 and 9.3.8.1.2)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R5-160036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0028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LTE Type B groups into TR 36.904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R5-160040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FDD PDSCH Transmit Diversity 2x2 with TM2 Interference Model - Enhanced Performance Requirement Type B (8.2.1.2.5)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R5-160157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Test Tolerance Analysis for TS 36.521-1 TC 9.3.7.1+9.3.7.2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R5-160160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Test Tolerance Analysis for TS 36.521-1 TC 9.4.1.4.1+9.4.1.4.2+9.4.2.3.3+9.4.2.3.4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R5-161124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Test Tolerance Analysis for TS 36.521-1 TC 9.6.1.3.1+9.6.1.3.2+9.6.1.4.1+9.6.1.4.2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R5-162173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Power Control Relative power tolerance for CA (intra-band contiguous DL CA and UL CA) test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R5-162899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of NAICS demod TT analyses to clarify handling of flatness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R5-162950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FDD PDSCH Closed Loop Single Layer Spatial Multiplexing 2x2 with TM4 Interference Model - Enhanced Performance Requirement Type B (8.2.1.4.4)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R5-162951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0035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TDD PDSCH Closed Loop Single Layer Spatial Multiplexing 2x2 with TM4 Interference Model - Enhanced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R5-168690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FDD PDSCH Closed Loop Single-layer Spatial Multiplexing on antenna ports 7 or 8 with TM9 Interference Model - Enhanced Performance Requirement Type B (8.3.1.1.4)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R5-168691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FDD PDSCH Closed Loop Single-layer Spatial Multiplexing on antenna ports 7 or 8 with TM3 interference Model - Enhanced Performance Requirement Type B (8.3.1.1.6)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R5-168692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TDD PDSCH Closed Loop Single-layer Spatial Multiplexing on antenna ports 7 or 8 with TM9 Interference Model - Enhanced Performance Requirement Type B (8.3.2.1.5)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R5-168693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TDD PDSCH Closed Loop Single-layer Spatial Multiplexing on antenna ports 7 or 8 with TM3 interference Model - Enhanced Performance Requirement Type B (8.3.2.1.7)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R5-168694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0045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FDD and TDD CQI Reporting under fading conditions - PUCCH 1-1 (CSI Reference Symbol) TM9 - Enhanced  Receiver Type B (9.3.8.2.1 and 9.3.8.2.2)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R5-169739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0046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Add Test Tolerance analysis for FDD PDSCH Closed Loop Single Layer Spatial Multiplexing 2x4 with TM4 Interference Model – Enhanced Performance Requirement Type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R5-169740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Add Test Tolerance analysis for FDD PDSCH Single-layer Spatial Multiplexing 2x4 on antenna ports 7 or 8 with TM9 interference model – Enhanced Performance Requirement Type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R5-171044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Test Tolerance analysis for CQI reporting enhanced receiver typeB test cases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R5-171045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TDD PDSCH Single-layer Spatial Multiplexing 2x4 on antenna ports 7 or 8 with TM9 interference model – Enhanced Performance Requirement Type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R5-171747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Test Tolerance analysis for NAICS demod test cases with CRS interference (8.3.1.1.5, 8.3.2.1.6)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R5-171749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Test Tolerance analysis for TS36.521-1 TC 9.9.2.1.1 and 9.9.2.1.2.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R5-171750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Addition of Test Tolerance analysis for TS36.521-1 TC 9.9.2.2.1 and 9.9.2.2.2.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R5-171751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Add Test Tolerance analysis for TDD PDSCH Closed Loop Single Layer Spatial Multiplexing 2x4 with TM4 Interference Model – Enhanced Performance Requirement Type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R5-175034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Test Tolerance analysis for FDD and TDD Dual-Layer Spatial Multiplexing 2x4 (User-Specific Reference Symbols)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R5-184314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Update of Test Tolerance analyses for TDD-FDD CA PDSCH Closed Loop Single Layer Spatial Multiplexing 2x4 with TM4 Interference Model-Enhanced Performance Requirement Type A (2DL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R5-184315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Update of Test Tolerance analyses for TDD-FDD CA PDSCH Single-layer Spatial Multiplexing 2x4 on antenna ports 7 or 8 with TM9 Interference Model-Enhanced Performance Requirement Type A (2DL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R5-192104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0058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Test tolerance analysis for Interference Mitigation for Downlink Control Channels Demod TCs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RAN#99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Upgrade to Rel-14 with no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RAN#99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Upgrade to Rel-15 with no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RAN#99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Upgrade to Rel-16 with no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RAN#100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R5-232145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0063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Removal of technical content in TR 36.904 v16.0.0 and substitution with pointer to the next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36.904 V16.1.0 (2023-06)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36.904 V16.1.0 (2023-06)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HCar">
    <w:name w:val="TAH Car"/>
    <w:qFormat/>
    <w:rPr>
      <w:rFonts w:ascii="Arial" w:hAnsi="Arial" w:cs="Arial"/>
      <w:b/>
      <w:sz w:val="18"/>
    </w:rPr>
  </w:style>
  <w:style w:type="character" w:styleId="THChar">
    <w:name w:val="TH Char"/>
    <w:qFormat/>
    <w:rPr>
      <w:rFonts w:ascii="Arial" w:hAnsi="Arial" w:cs="Arial"/>
      <w:b/>
    </w:rPr>
  </w:style>
  <w:style w:type="character" w:styleId="TALChar">
    <w:name w:val="TAL Char"/>
    <w:qFormat/>
    <w:rPr>
      <w:rFonts w:ascii="Arial" w:hAnsi="Arial" w:cs="Arial"/>
      <w:sz w:val="18"/>
    </w:rPr>
  </w:style>
  <w:style w:type="character" w:styleId="Heading2Char">
    <w:name w:val="Heading 2 Char"/>
    <w:qFormat/>
    <w:rPr>
      <w:rFonts w:ascii="Arial" w:hAnsi="Arial" w:cs="Arial"/>
      <w:sz w:val="32"/>
    </w:rPr>
  </w:style>
  <w:style w:type="character" w:styleId="BalloonTextChar">
    <w:name w:val="Balloon Text Char"/>
    <w:qFormat/>
    <w:rPr>
      <w:rFonts w:ascii="Tahoma" w:hAnsi="Tahoma" w:cs="Tahoma"/>
      <w:sz w:val="16"/>
      <w:szCs w:val="16"/>
    </w:rPr>
  </w:style>
  <w:style w:type="character" w:styleId="BodyText2Char">
    <w:name w:val="Body Text 2 Char"/>
    <w:basedOn w:val="DefaultParagraphFont"/>
    <w:qFormat/>
    <w:rPr/>
  </w:style>
  <w:style w:type="character" w:styleId="BodyText3Char">
    <w:name w:val="Body Text 3 Char"/>
    <w:qFormat/>
    <w:rPr>
      <w:sz w:val="16"/>
      <w:szCs w:val="16"/>
    </w:rPr>
  </w:style>
  <w:style w:type="character" w:styleId="BodyTextChar">
    <w:name w:val="Body Text Char"/>
    <w:basedOn w:val="DefaultParagraphFont"/>
    <w:qFormat/>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ClosingChar">
    <w:name w:val="Closing Char"/>
    <w:basedOn w:val="DefaultParagraphFont"/>
    <w:qFormat/>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DateChar">
    <w:name w:val="Date Char"/>
    <w:basedOn w:val="DefaultParagraphFont"/>
    <w:qFormat/>
    <w:rPr/>
  </w:style>
  <w:style w:type="character" w:styleId="EmailSignatureChar">
    <w:name w:val="E-mail Signature Char"/>
    <w:basedOn w:val="DefaultParagraphFont"/>
    <w:qFormat/>
    <w:rPr/>
  </w:style>
  <w:style w:type="character" w:styleId="EndnoteTextChar">
    <w:name w:val="Endnote Text Char"/>
    <w:basedOn w:val="DefaultParagraphFont"/>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basedOn w:val="DefaultParagraphFont"/>
    <w:qFormat/>
    <w:rPr/>
  </w:style>
  <w:style w:type="character" w:styleId="QuoteChar">
    <w:name w:val="Quote Char"/>
    <w:qFormat/>
    <w:rPr>
      <w:i/>
      <w:iCs/>
      <w:color w:val="404040"/>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EXChar">
    <w:name w:val="EX Char"/>
    <w:qFormat/>
    <w:rPr/>
  </w:style>
  <w:style w:type="character" w:styleId="H6Char">
    <w:name w:val="H6 Char"/>
    <w:qFormat/>
    <w:rPr>
      <w:rFonts w:ascii="Arial" w:hAnsi="Arial" w:cs="Arial"/>
    </w:rPr>
  </w:style>
  <w:style w:type="character" w:styleId="B1Char1">
    <w:name w:val="B1 Char1"/>
    <w:qFormat/>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style>
  <w:style w:type="paragraph" w:styleId="CouvRecTitle">
    <w:name w:val="Couv Rec Title"/>
    <w:basedOn w:val="Normal"/>
    <w:qFormat/>
    <w:pPr>
      <w:keepNext w:val="true"/>
      <w:keepLines/>
      <w:spacing w:before="240" w:after="180"/>
      <w:ind w:left="1418" w:hanging="0"/>
    </w:pPr>
    <w:rPr>
      <w:rFonts w:ascii="Arial" w:hAnsi="Arial" w:cs="Arial"/>
      <w:b/>
      <w:sz w:val="3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2023-03-22T09:10:00Z</dcterms:created>
  <dc:creator>MCC Support</dc:creator>
  <dc:description/>
  <cp:keywords>UMTS LTE</cp:keywords>
  <dc:language>en-US</dc:language>
  <cp:lastModifiedBy>2200</cp:lastModifiedBy>
  <cp:lastPrinted>2014-04-28T13:58:00Z</cp:lastPrinted>
  <dcterms:modified xsi:type="dcterms:W3CDTF">2023-06-30T23:01:00Z</dcterms:modified>
  <cp:revision>6</cp:revision>
  <dc:subject>Evolved Universal Terrestrial Radio Access (E-UTRA) and Evolved Universal Terrestrial Radio Access Network (E-UTRAN); Derivation of test tolerances for User Equipment (UE) radio reception conformance tests (Release 11)</dc:subject>
  <dc:title>3GPP TR 36.904</dc:title>
</cp:coreProperties>
</file>