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23" w:type="dxa"/>
        <w:jc w:val="left"/>
        <w:tblInd w:w="-108" w:type="dxa"/>
        <w:tblLayout w:type="fixed"/>
        <w:tblCellMar>
          <w:top w:w="0" w:type="dxa"/>
          <w:left w:w="108" w:type="dxa"/>
          <w:bottom w:w="0" w:type="dxa"/>
          <w:right w:w="108" w:type="dxa"/>
        </w:tblCellMar>
      </w:tblPr>
      <w:tblGrid>
        <w:gridCol w:w="4883"/>
        <w:gridCol w:w="5540"/>
      </w:tblGrid>
      <w:tr>
        <w:trPr/>
        <w:tc>
          <w:tcPr>
            <w:tcW w:w="10423" w:type="dxa"/>
            <w:gridSpan w:val="2"/>
            <w:tcBorders/>
          </w:tcPr>
          <w:p>
            <w:pPr>
              <w:pStyle w:val="ZA"/>
              <w:rPr/>
            </w:pPr>
            <w:bookmarkStart w:id="0" w:name="page1"/>
            <w:bookmarkEnd w:id="0"/>
            <w:r>
              <w:rPr>
                <w:sz w:val="64"/>
              </w:rPr>
              <w:t xml:space="preserve">3GPP </w:t>
            </w:r>
            <w:bookmarkStart w:id="1" w:name="specType1"/>
            <w:r>
              <w:rPr>
                <w:sz w:val="64"/>
              </w:rPr>
              <w:t>TS</w:t>
            </w:r>
            <w:bookmarkEnd w:id="1"/>
            <w:r>
              <w:rPr>
                <w:sz w:val="64"/>
              </w:rPr>
              <w:t xml:space="preserve"> 37.471 </w:t>
            </w:r>
            <w:r>
              <w:rPr/>
              <w:t>V</w:t>
            </w:r>
            <w:bookmarkStart w:id="2" w:name="specVersion"/>
            <w:r>
              <w:rPr/>
              <w:t>16.1.</w:t>
            </w:r>
            <w:bookmarkEnd w:id="2"/>
            <w:r>
              <w:rPr/>
              <w:t xml:space="preserve">0 </w:t>
            </w:r>
            <w:r>
              <w:rPr>
                <w:sz w:val="32"/>
              </w:rPr>
              <w:t>(</w:t>
            </w:r>
            <w:bookmarkStart w:id="3" w:name="issueDate"/>
            <w:r>
              <w:rPr>
                <w:sz w:val="32"/>
              </w:rPr>
              <w:t>2020-</w:t>
            </w:r>
            <w:bookmarkEnd w:id="3"/>
            <w:r>
              <w:rPr>
                <w:sz w:val="32"/>
              </w:rPr>
              <w:t>03)</w:t>
            </w:r>
          </w:p>
        </w:tc>
      </w:tr>
      <w:tr>
        <w:trPr>
          <w:trHeight w:val="1134" w:hRule="exact"/>
        </w:trPr>
        <w:tc>
          <w:tcPr>
            <w:tcW w:w="10423" w:type="dxa"/>
            <w:gridSpan w:val="2"/>
            <w:tcBorders/>
          </w:tcPr>
          <w:p>
            <w:pPr>
              <w:pStyle w:val="ZB"/>
              <w:rPr/>
            </w:pPr>
            <w:r>
              <w:rPr/>
              <w:t xml:space="preserve">Technical </w:t>
            </w:r>
            <w:bookmarkStart w:id="4" w:name="spectype2"/>
            <w:r>
              <w:rPr/>
              <w:t>Specification</w:t>
            </w:r>
            <w:bookmarkEnd w:id="4"/>
          </w:p>
          <w:p>
            <w:pPr>
              <w:pStyle w:val="Guidance"/>
              <w:spacing w:before="0" w:after="180"/>
              <w:rPr/>
            </w:pPr>
            <w:r>
              <w:rPr/>
            </w:r>
          </w:p>
        </w:tc>
      </w:tr>
      <w:tr>
        <w:trPr>
          <w:trHeight w:val="3686" w:hRule="exact"/>
        </w:trPr>
        <w:tc>
          <w:tcPr>
            <w:tcW w:w="10423" w:type="dxa"/>
            <w:gridSpan w:val="2"/>
            <w:tcBorders/>
          </w:tcPr>
          <w:p>
            <w:pPr>
              <w:pStyle w:val="ZT"/>
              <w:rPr/>
            </w:pPr>
            <w:r>
              <w:rPr/>
              <w:t>3rd Generation Partnership Project;</w:t>
            </w:r>
          </w:p>
          <w:p>
            <w:pPr>
              <w:pStyle w:val="ZT"/>
              <w:rPr/>
            </w:pPr>
            <w:r>
              <w:rPr/>
              <w:t xml:space="preserve">Technical Specification Group </w:t>
            </w:r>
            <w:bookmarkStart w:id="5" w:name="specTitle"/>
            <w:r>
              <w:rPr/>
              <w:t>Radio Access Network;</w:t>
            </w:r>
          </w:p>
          <w:p>
            <w:pPr>
              <w:pStyle w:val="ZT"/>
              <w:rPr/>
            </w:pPr>
            <w:r>
              <w:rPr/>
              <w:t>W1 interface;</w:t>
            </w:r>
          </w:p>
          <w:p>
            <w:pPr>
              <w:pStyle w:val="ZT"/>
              <w:rPr/>
            </w:pPr>
            <w:r>
              <w:rPr/>
              <w:t>Layer 1</w:t>
            </w:r>
            <w:bookmarkEnd w:id="5"/>
          </w:p>
          <w:p>
            <w:pPr>
              <w:pStyle w:val="ZT"/>
              <w:rPr>
                <w:i/>
                <w:i/>
                <w:sz w:val="28"/>
              </w:rPr>
            </w:pPr>
            <w:r>
              <w:rPr/>
              <w:t>(</w:t>
            </w:r>
            <w:r>
              <w:rPr>
                <w:rStyle w:val="ZGSM"/>
              </w:rPr>
              <w:t xml:space="preserve">Release </w:t>
            </w:r>
            <w:bookmarkStart w:id="6" w:name="specRelease"/>
            <w:r>
              <w:rPr>
                <w:rStyle w:val="ZGSM"/>
              </w:rPr>
              <w:t>16</w:t>
            </w:r>
            <w:bookmarkEnd w:id="6"/>
            <w:r>
              <w:rPr/>
              <w:t>)</w:t>
            </w:r>
          </w:p>
        </w:tc>
      </w:tr>
      <w:tr>
        <w:trPr/>
        <w:tc>
          <w:tcPr>
            <w:tcW w:w="10423" w:type="dxa"/>
            <w:gridSpan w:val="2"/>
            <w:tcBorders/>
          </w:tcPr>
          <w:p>
            <w:pPr>
              <w:pStyle w:val="ZU"/>
              <w:tabs>
                <w:tab w:val="clear" w:pos="284"/>
                <w:tab w:val="right" w:pos="10206" w:leader="none"/>
              </w:tabs>
              <w:jc w:val="left"/>
              <w:rPr>
                <w:color w:val="0000FF"/>
              </w:rPr>
            </w:pPr>
            <w:r>
              <w:rPr>
                <w:color w:val="0000FF"/>
              </w:rPr>
              <w:tab/>
            </w:r>
          </w:p>
        </w:tc>
      </w:tr>
      <w:tr>
        <w:trPr>
          <w:trHeight w:val="1531" w:hRule="exact"/>
        </w:trPr>
        <w:tc>
          <w:tcPr>
            <w:tcW w:w="4883" w:type="dxa"/>
            <w:tcBorders/>
          </w:tcPr>
          <w:p>
            <w:pPr>
              <w:pStyle w:val="Normal"/>
              <w:spacing w:before="0" w:after="180"/>
              <w:rPr>
                <w:i/>
                <w:i/>
              </w:rPr>
            </w:pPr>
            <w:r>
              <w:rPr>
                <w:i/>
              </w:rPr>
              <w:drawing>
                <wp:inline distT="0" distB="0" distL="0" distR="0">
                  <wp:extent cx="1209675" cy="837565"/>
                  <wp:effectExtent l="0" t="0" r="0" b="0"/>
                  <wp:docPr id="1"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G-logo_175px" descr=""/>
                          <pic:cNvPicPr>
                            <a:picLocks noChangeAspect="1" noChangeArrowheads="1"/>
                          </pic:cNvPicPr>
                        </pic:nvPicPr>
                        <pic:blipFill>
                          <a:blip r:embed="rId2"/>
                          <a:srcRect l="-22" t="-31" r="-22" b="-31"/>
                          <a:stretch>
                            <a:fillRect/>
                          </a:stretch>
                        </pic:blipFill>
                        <pic:spPr bwMode="auto">
                          <a:xfrm>
                            <a:off x="0" y="0"/>
                            <a:ext cx="1209675" cy="837565"/>
                          </a:xfrm>
                          <a:prstGeom prst="rect">
                            <a:avLst/>
                          </a:prstGeom>
                        </pic:spPr>
                      </pic:pic>
                    </a:graphicData>
                  </a:graphic>
                </wp:inline>
              </w:drawing>
            </w:r>
          </w:p>
        </w:tc>
        <w:tc>
          <w:tcPr>
            <w:tcW w:w="5540" w:type="dxa"/>
            <w:tcBorders/>
          </w:tcPr>
          <w:p>
            <w:pPr>
              <w:pStyle w:val="Normal"/>
              <w:spacing w:before="0" w:after="180"/>
              <w:jc w:val="right"/>
              <w:rPr/>
            </w:pPr>
            <w:bookmarkStart w:id="7" w:name="logos"/>
            <w:r>
              <w:rPr/>
              <w:drawing>
                <wp:inline distT="0" distB="0" distL="0" distR="0">
                  <wp:extent cx="1619885" cy="948690"/>
                  <wp:effectExtent l="0" t="0" r="0" b="0"/>
                  <wp:docPr id="2"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GPP-logo_web" descr=""/>
                          <pic:cNvPicPr>
                            <a:picLocks noChangeAspect="1" noChangeArrowheads="1"/>
                          </pic:cNvPicPr>
                        </pic:nvPicPr>
                        <pic:blipFill>
                          <a:blip r:embed="rId3"/>
                          <a:srcRect l="-13" t="-23" r="-13" b="-23"/>
                          <a:stretch>
                            <a:fillRect/>
                          </a:stretch>
                        </pic:blipFill>
                        <pic:spPr bwMode="auto">
                          <a:xfrm>
                            <a:off x="0" y="0"/>
                            <a:ext cx="1619885" cy="948690"/>
                          </a:xfrm>
                          <a:prstGeom prst="rect">
                            <a:avLst/>
                          </a:prstGeom>
                        </pic:spPr>
                      </pic:pic>
                    </a:graphicData>
                  </a:graphic>
                </wp:inline>
              </w:drawing>
            </w:r>
            <w:bookmarkEnd w:id="7"/>
          </w:p>
        </w:tc>
      </w:tr>
      <w:tr>
        <w:trPr>
          <w:trHeight w:val="5783" w:hRule="exact"/>
        </w:trPr>
        <w:tc>
          <w:tcPr>
            <w:tcW w:w="10423" w:type="dxa"/>
            <w:gridSpan w:val="2"/>
            <w:tcBorders/>
          </w:tcPr>
          <w:p>
            <w:pPr>
              <w:pStyle w:val="Guidance"/>
              <w:snapToGrid w:val="false"/>
              <w:spacing w:before="0" w:after="180"/>
              <w:rPr>
                <w:b/>
                <w:b/>
              </w:rPr>
            </w:pPr>
            <w:r>
              <w:rPr>
                <w:b/>
              </w:rPr>
            </w:r>
          </w:p>
        </w:tc>
      </w:tr>
      <w:tr>
        <w:trPr>
          <w:trHeight w:val="964" w:hRule="exact"/>
          <w:cantSplit w:val="true"/>
        </w:trPr>
        <w:tc>
          <w:tcPr>
            <w:tcW w:w="10423" w:type="dxa"/>
            <w:gridSpan w:val="2"/>
            <w:tcBorders/>
          </w:tcPr>
          <w:p>
            <w:pPr>
              <w:pStyle w:val="Normal"/>
              <w:rPr>
                <w:sz w:val="16"/>
              </w:rPr>
            </w:pPr>
            <w:bookmarkStart w:id="8"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8"/>
          </w:p>
          <w:p>
            <w:pPr>
              <w:pStyle w:val="ZV"/>
              <w:rPr>
                <w:sz w:val="16"/>
              </w:rPr>
            </w:pPr>
            <w:r>
              <w:rPr>
                <w:sz w:val="16"/>
              </w:rPr>
            </w:r>
          </w:p>
          <w:p>
            <w:pPr>
              <w:pStyle w:val="Normal"/>
              <w:spacing w:before="0" w:after="180"/>
              <w:rPr>
                <w:sz w:val="16"/>
              </w:rPr>
            </w:pPr>
            <w:r>
              <w:rPr>
                <w:sz w:val="16"/>
              </w:rPr>
            </w:r>
          </w:p>
        </w:tc>
      </w:tr>
    </w:tbl>
    <w:p>
      <w:pPr>
        <w:sectPr>
          <w:type w:val="nextPage"/>
          <w:pgSz w:w="11906" w:h="16838"/>
          <w:pgMar w:left="851" w:right="851" w:gutter="0" w:header="0" w:top="1134" w:footer="0" w:bottom="397"/>
          <w:pgNumType w:fmt="decimal"/>
          <w:formProt w:val="false"/>
          <w:textDirection w:val="lrTb"/>
          <w:docGrid w:type="default" w:linePitch="360"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Guidance"/>
              <w:snapToGrid w:val="false"/>
              <w:spacing w:before="0" w:after="180"/>
              <w:rPr/>
            </w:pPr>
            <w:r>
              <w:rPr/>
            </w:r>
            <w:bookmarkStart w:id="9" w:name="page2"/>
            <w:bookmarkStart w:id="10" w:name="page2"/>
            <w:bookmarkEnd w:id="10"/>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11"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bookmarkStart w:id="12" w:name="coords3gpp"/>
            <w:r>
              <w:rPr>
                <w:rFonts w:cs="Arial" w:ascii="Arial" w:hAnsi="Arial"/>
                <w:sz w:val="18"/>
              </w:rPr>
              <w:t>http://www.3gpp.org</w:t>
            </w:r>
            <w:bookmarkEnd w:id="12"/>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lang w:val="en-US" w:eastAsia="en-US"/>
              </w:rPr>
            </w:pPr>
            <w:bookmarkStart w:id="13"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14" w:name="copyrightDate"/>
            <w:r>
              <w:rPr>
                <w:sz w:val="18"/>
                <w:lang w:val="en-US" w:eastAsia="en-US"/>
              </w:rPr>
              <w:t>2019</w:t>
            </w:r>
            <w:bookmarkEnd w:id="14"/>
            <w:r>
              <w:rPr>
                <w:sz w:val="18"/>
                <w:lang w:val="en-US" w:eastAsia="en-US"/>
              </w:rPr>
              <w:t>, 3GPP Organizational Partners (ARIB, ATIS, CCSA, ETSI, TSDSI, TTA, TTC).</w:t>
            </w:r>
            <w:bookmarkStart w:id="15" w:name="copyrightaddon"/>
            <w:bookmarkEnd w:id="1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16" w:name="copyrightNotification"/>
            <w:r>
              <w:rPr>
                <w:sz w:val="18"/>
                <w:lang w:val="en-US" w:eastAsia="en-US"/>
              </w:rPr>
              <w:t>GSM® and the GSM logo are registered and owned by the GSM Association</w:t>
            </w:r>
            <w:bookmarkEnd w:id="16"/>
          </w:p>
          <w:p>
            <w:pPr>
              <w:pStyle w:val="Normal"/>
              <w:spacing w:before="0" w:after="180"/>
              <w:rPr>
                <w:sz w:val="18"/>
                <w:lang w:val="en-US" w:eastAsia="en-US"/>
              </w:rPr>
            </w:pPr>
            <w:r>
              <w:rPr>
                <w:sz w:val="18"/>
                <w:lang w:val="en-US" w:eastAsia="en-US"/>
              </w:rPr>
            </w:r>
          </w:p>
        </w:tc>
      </w:tr>
    </w:tbl>
    <w:p>
      <w:pPr>
        <w:pStyle w:val="TT"/>
        <w:rPr/>
      </w:pPr>
      <w:r>
        <w:br w:type="page"/>
      </w:r>
      <w:bookmarkStart w:id="17" w:name="tableOfContents"/>
      <w:bookmarkEnd w:id="17"/>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55222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36552226">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36552227">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of terms, symbols and abbreviations</w:t>
            <w:tab/>
          </w:r>
          <w:hyperlink w:anchor="__RefHeading___Toc36552228">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Terms</w:t>
            <w:tab/>
          </w:r>
          <w:hyperlink w:anchor="__RefHeading___Toc36552229">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36552230">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36552231">
            <w:r>
              <w:rPr>
                <w:rStyle w:val="IndexLink"/>
              </w:rPr>
              <w:t>6</w:t>
            </w:r>
          </w:hyperlink>
        </w:p>
        <w:p>
          <w:pPr>
            <w:pStyle w:val="Contents1"/>
            <w:rPr>
              <w:rFonts w:ascii="Calibri" w:hAnsi="Calibri" w:cs="Calibri"/>
              <w:szCs w:val="22"/>
            </w:rPr>
          </w:pPr>
          <w:r>
            <w:rPr/>
            <w:t>4</w:t>
          </w:r>
          <w:r>
            <w:rPr>
              <w:rFonts w:cs="Calibri" w:ascii="Calibri" w:hAnsi="Calibri"/>
              <w:szCs w:val="22"/>
            </w:rPr>
            <w:tab/>
          </w:r>
          <w:r>
            <w:rPr/>
            <w:t>Introduction</w:t>
            <w:tab/>
          </w:r>
          <w:hyperlink w:anchor="__RefHeading___Toc36552232">
            <w:r>
              <w:rPr>
                <w:rStyle w:val="IndexLink"/>
              </w:rPr>
              <w:t>6</w:t>
            </w:r>
          </w:hyperlink>
        </w:p>
        <w:p>
          <w:pPr>
            <w:pStyle w:val="Contents8"/>
            <w:rPr>
              <w:rFonts w:ascii="Calibri" w:hAnsi="Calibri" w:cs="Calibri"/>
              <w:szCs w:val="22"/>
            </w:rPr>
          </w:pPr>
          <w:r>
            <w:rPr>
              <w:b w:val="false"/>
            </w:rPr>
            <w:t>Annex A (informative): Change history</w:t>
            <w:tab/>
          </w:r>
          <w:hyperlink w:anchor="__RefHeading___Toc36552233">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8" w:name="__RefHeading___Toc36552225"/>
      <w:bookmarkStart w:id="19" w:name="foreword"/>
      <w:bookmarkEnd w:id="18"/>
      <w:bookmarkEnd w:id="19"/>
      <w:r>
        <w:rPr/>
        <w:t>Foreword</w:t>
      </w:r>
    </w:p>
    <w:p>
      <w:pPr>
        <w:pStyle w:val="Normal"/>
        <w:rPr/>
      </w:pPr>
      <w:r>
        <w:rPr/>
        <w:t xml:space="preserve">This Technical </w:t>
      </w:r>
      <w:bookmarkStart w:id="20" w:name="spectype3"/>
      <w:r>
        <w:rPr/>
        <w:t>Specification</w:t>
      </w:r>
      <w:bookmarkEnd w:id="20"/>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r>
        <w:br w:type="page"/>
      </w:r>
    </w:p>
    <w:p>
      <w:pPr>
        <w:pStyle w:val="Heading1"/>
        <w:ind w:left="1134" w:hanging="1134"/>
        <w:rPr/>
      </w:pPr>
      <w:bookmarkStart w:id="21" w:name="__RefHeading___Toc36552226"/>
      <w:bookmarkEnd w:id="21"/>
      <w:r>
        <w:rPr/>
        <w:t>1</w:t>
        <w:tab/>
        <w:t>Scope</w:t>
      </w:r>
    </w:p>
    <w:p>
      <w:pPr>
        <w:pStyle w:val="Normal"/>
        <w:rPr/>
      </w:pPr>
      <w:r>
        <w:rPr/>
        <w:t>The present document specifies the standards allowed to implement Layer 1 on the W1 interface. The W1 interface provides means for interconnecting an ng-eNB-CU and an ng-eNB-DU of an ng-eNB within NG-RAN.</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22" w:name="__RefHeading___Toc36552227"/>
      <w:bookmarkEnd w:id="22"/>
      <w:r>
        <w:rPr/>
        <w:t>2</w:t>
        <w:tab/>
        <w:t>References</w:t>
      </w:r>
    </w:p>
    <w:p>
      <w:pPr>
        <w:pStyle w:val="Normal"/>
        <w:rPr/>
      </w:pPr>
      <w:r>
        <w:rPr/>
        <w:t>The following documents contain provisions which, through reference in this text, constitute provisions of the present document.</w:t>
      </w:r>
    </w:p>
    <w:p>
      <w:pPr>
        <w:pStyle w:val="Normal"/>
        <w:ind w:left="568" w:hanging="284"/>
        <w:rPr/>
      </w:pPr>
      <w:r>
        <w:rPr/>
        <w:t>-</w:t>
        <w:tab/>
        <w:t>References are either specific (identified by date of publication, edition number, version number, etc.) or non</w:t>
        <w:noBreakHyphen/>
        <w:t>specific.</w:t>
      </w:r>
    </w:p>
    <w:p>
      <w:pPr>
        <w:pStyle w:val="Normal"/>
        <w:ind w:left="568" w:hanging="284"/>
        <w:rPr/>
      </w:pPr>
      <w:r>
        <w:rPr/>
        <w:t>-</w:t>
        <w:tab/>
        <w:t>For a specific reference, subsequent revisions do not apply.</w:t>
      </w:r>
    </w:p>
    <w:p>
      <w:pPr>
        <w:pStyle w:val="Normal"/>
        <w:ind w:left="568" w:hanging="284"/>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38.300: "NR; Overall description; Stage-2".</w:t>
      </w:r>
    </w:p>
    <w:p>
      <w:pPr>
        <w:pStyle w:val="EX"/>
        <w:rPr/>
      </w:pPr>
      <w:r>
        <w:rPr/>
        <w:t>[3]</w:t>
        <w:tab/>
        <w:t>3GPP TS 38.411: "NG-RAN; NG layer 1".</w:t>
      </w:r>
    </w:p>
    <w:p>
      <w:pPr>
        <w:pStyle w:val="Heading1"/>
        <w:ind w:left="1134" w:hanging="1134"/>
        <w:rPr/>
      </w:pPr>
      <w:bookmarkStart w:id="23" w:name="__RefHeading___Toc36552228"/>
      <w:bookmarkEnd w:id="23"/>
      <w:r>
        <w:rPr/>
        <w:t>3</w:t>
        <w:tab/>
        <w:t>Definitions of terms, symbols and abbreviations</w:t>
      </w:r>
    </w:p>
    <w:p>
      <w:pPr>
        <w:pStyle w:val="Heading2"/>
        <w:rPr/>
      </w:pPr>
      <w:bookmarkStart w:id="24" w:name="__RefHeading___Toc36552229"/>
      <w:bookmarkEnd w:id="24"/>
      <w:r>
        <w:rPr/>
        <w:t>3.1</w:t>
        <w:tab/>
        <w:t>Terms</w:t>
      </w:r>
    </w:p>
    <w:p>
      <w:pPr>
        <w:pStyle w:val="Normal"/>
        <w:rPr/>
      </w:pPr>
      <w:r>
        <w:rPr/>
        <w:t>For the purposes of the present document, the terms given in 3GPP TR 21.905 [1] and the following apply. A term defined in the present document takes precedence over the definition of the same term, if any, in 3GPP TR 21.905 [1].</w:t>
      </w:r>
    </w:p>
    <w:p>
      <w:pPr>
        <w:pStyle w:val="Normal"/>
        <w:rPr/>
      </w:pPr>
      <w:r>
        <w:rPr/>
        <w:t>ng-eNB: as defined in 3GPP TS 38.300 [2].</w:t>
      </w:r>
    </w:p>
    <w:p>
      <w:pPr>
        <w:pStyle w:val="Heading2"/>
        <w:rPr/>
      </w:pPr>
      <w:bookmarkStart w:id="25" w:name="__RefHeading___Toc36552230"/>
      <w:bookmarkEnd w:id="25"/>
      <w:r>
        <w:rPr/>
        <w:t>3.2</w:t>
        <w:tab/>
        <w:t>Symbols</w:t>
      </w:r>
    </w:p>
    <w:p>
      <w:pPr>
        <w:pStyle w:val="Normal"/>
        <w:rPr/>
      </w:pPr>
      <w:r>
        <w:rPr/>
        <w:t>Void.</w:t>
      </w:r>
    </w:p>
    <w:p>
      <w:pPr>
        <w:pStyle w:val="Heading2"/>
        <w:rPr/>
      </w:pPr>
      <w:bookmarkStart w:id="26" w:name="__RefHeading___Toc36552231"/>
      <w:bookmarkEnd w:id="26"/>
      <w:r>
        <w:rPr/>
        <w:t>3.3</w:t>
        <w:tab/>
        <w:t>Abbreviations</w:t>
      </w:r>
    </w:p>
    <w:p>
      <w:pPr>
        <w:pStyle w:val="Normal"/>
        <w:rPr/>
      </w:pPr>
      <w:r>
        <w:rPr/>
        <w:t>For the purposes of the present document, the terms given in 3GPP TR 21.905 [1], in TS 38.411 [2] and the following apply. A term defined in the present document takes precedence over the definition of the same term, if any, in 3GPP TR 21.905 [1].</w:t>
      </w:r>
    </w:p>
    <w:p>
      <w:pPr>
        <w:pStyle w:val="Heading1"/>
        <w:ind w:left="1134" w:hanging="1134"/>
        <w:rPr/>
      </w:pPr>
      <w:bookmarkStart w:id="27" w:name="__RefHeading___Toc36552232"/>
      <w:bookmarkEnd w:id="27"/>
      <w:r>
        <w:rPr/>
        <w:t>4</w:t>
        <w:tab/>
        <w:t>Introduction</w:t>
      </w:r>
    </w:p>
    <w:p>
      <w:pPr>
        <w:pStyle w:val="Normal"/>
        <w:rPr>
          <w:rFonts w:eastAsia="Yu Mincho"/>
        </w:rPr>
      </w:pPr>
      <w:r>
        <w:rPr>
          <w:rFonts w:eastAsia="Yu Mincho"/>
        </w:rPr>
        <w:t xml:space="preserve">The W1 Layer 1 shall comply with the requirements of clauses 4 through 6 in </w:t>
      </w:r>
      <w:r>
        <w:rPr/>
        <w:t xml:space="preserve">3GPP </w:t>
      </w:r>
      <w:r>
        <w:rPr>
          <w:rFonts w:eastAsia="Yu Mincho"/>
        </w:rPr>
        <w:t>TS 38.411 [3].</w:t>
      </w:r>
    </w:p>
    <w:p>
      <w:pPr>
        <w:pStyle w:val="Heading8"/>
        <w:ind w:left="0" w:hanging="0"/>
        <w:rPr/>
      </w:pPr>
      <w:bookmarkStart w:id="28" w:name="__RefHeading___Toc36552233"/>
      <w:bookmarkStart w:id="29" w:name="historyclause"/>
      <w:bookmarkEnd w:id="28"/>
      <w:bookmarkEnd w:id="29"/>
      <w:r>
        <w:rPr/>
        <w:t>Annex A (informative):</w:t>
        <w:br/>
        <w:t>Change history</w:t>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r>
              <w:rPr>
                <w:sz w:val="16"/>
                <w:szCs w:val="16"/>
                <w:lang w:eastAsia="zh-CN"/>
              </w:rPr>
              <w:t>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RAN3#100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w:t>
            </w:r>
            <w:r>
              <w:rPr>
                <w:sz w:val="16"/>
                <w:szCs w:val="16"/>
                <w:lang w:eastAsia="zh-CN"/>
              </w:rPr>
              <w:t>3-183553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 xml:space="preserve">BL TS </w:t>
            </w:r>
            <w:r>
              <w:rPr>
                <w:sz w:val="16"/>
                <w:szCs w:val="16"/>
                <w:lang w:eastAsia="zh-CN"/>
              </w:rPr>
              <w:t>submission</w:t>
            </w:r>
            <w:r>
              <w:rPr>
                <w:sz w:val="16"/>
                <w:szCs w:val="16"/>
                <w:lang w:eastAsia="zh-CN"/>
              </w:rPr>
              <w:t xml:space="preserve">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r>
              <w:rPr>
                <w:sz w:val="16"/>
                <w:szCs w:val="16"/>
                <w:lang w:eastAsia="zh-CN"/>
              </w:rPr>
              <w:t>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RAN3#100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w:t>
            </w:r>
            <w:r>
              <w:rPr>
                <w:sz w:val="16"/>
                <w:szCs w:val="16"/>
                <w:lang w:eastAsia="zh-CN"/>
              </w:rPr>
              <w:t>3-183603</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w:t>
            </w:r>
            <w:r>
              <w:rPr>
                <w:sz w:val="16"/>
                <w:szCs w:val="16"/>
                <w:lang w:eastAsia="zh-CN"/>
              </w:rPr>
              <w:t>gree to add editor's note in scope in R3-183603.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w:t>
            </w:r>
            <w:r>
              <w:rPr>
                <w:sz w:val="16"/>
                <w:szCs w:val="16"/>
                <w:lang w:eastAsia="zh-CN"/>
              </w:rPr>
              <w:t>.1.0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w:t>
            </w:r>
            <w:r>
              <w:rPr>
                <w:sz w:val="16"/>
                <w:szCs w:val="16"/>
                <w:lang w:eastAsia="zh-CN"/>
              </w:rPr>
              <w:t>019-11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RAN3#10</w:t>
            </w:r>
            <w:r>
              <w:rPr>
                <w:sz w:val="16"/>
                <w:szCs w:val="16"/>
                <w:lang w:eastAsia="zh-CN"/>
              </w:rPr>
              <w:t>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w:t>
            </w:r>
            <w:r>
              <w:rPr>
                <w:sz w:val="16"/>
                <w:szCs w:val="16"/>
                <w:lang w:eastAsia="zh-CN"/>
              </w:rPr>
              <w:t>3-197488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 xml:space="preserve">Submission to RAN3 in in </w:t>
            </w:r>
            <w:r>
              <w:rPr>
                <w:sz w:val="16"/>
                <w:szCs w:val="16"/>
                <w:lang w:eastAsia="zh-CN"/>
              </w:rPr>
              <w:t>R</w:t>
            </w:r>
            <w:r>
              <w:rPr>
                <w:sz w:val="16"/>
                <w:szCs w:val="16"/>
                <w:lang w:eastAsia="zh-CN"/>
              </w:rPr>
              <w:t>3-197488:</w:t>
            </w:r>
            <w:r>
              <w:rPr>
                <w:sz w:val="16"/>
                <w:szCs w:val="16"/>
                <w:lang w:eastAsia="zh-CN"/>
              </w:rPr>
              <w:t xml:space="preserve"> C</w:t>
            </w:r>
            <w:r>
              <w:rPr>
                <w:sz w:val="16"/>
                <w:szCs w:val="16"/>
                <w:lang w:eastAsia="zh-CN"/>
              </w:rPr>
              <w:t>hange S1 to NG stead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2</w:t>
            </w:r>
            <w:r>
              <w:rPr>
                <w:sz w:val="16"/>
                <w:szCs w:val="16"/>
                <w:lang w:eastAsia="zh-CN"/>
              </w:rPr>
              <w:t>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RP-192954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submitted to TSG RAN plenary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2</w:t>
            </w:r>
            <w:r>
              <w:rPr>
                <w:sz w:val="16"/>
                <w:szCs w:val="16"/>
                <w:lang w:eastAsia="zh-CN"/>
              </w:rPr>
              <w:t>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approved by TSG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RP-200429</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Miscellaneous corrections to 37.471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1818640" cy="180340"/>
              <wp:effectExtent l="0" t="0" r="0" b="0"/>
              <wp:wrapSquare wrapText="largest"/>
              <wp:docPr id="3"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37.471 V16.1.0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37.471 V16.1.0 (2020-03)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4445</wp:posOffset>
              </wp:positionV>
              <wp:extent cx="64135" cy="180340"/>
              <wp:effectExtent l="0" t="0" r="0" b="0"/>
              <wp:wrapSquare wrapText="largest"/>
              <wp:docPr id="4" name="Frame2"/>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
              <wp:simplePos x="0" y="0"/>
              <wp:positionH relativeFrom="margin">
                <wp:align>left</wp:align>
              </wp:positionH>
              <wp:positionV relativeFrom="paragraph">
                <wp:posOffset>4445</wp:posOffset>
              </wp:positionV>
              <wp:extent cx="591820" cy="180340"/>
              <wp:effectExtent l="0" t="0" r="0" b="0"/>
              <wp:wrapSquare wrapText="largest"/>
              <wp:docPr id="5"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THChar">
    <w:name w:val="TH Char"/>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InternetLink">
    <w:name w:val="Hyperlink"/>
    <w:rPr>
      <w:color w:val="0563C1"/>
      <w:u w:val="single"/>
    </w:rPr>
  </w:style>
  <w:style w:type="character" w:styleId="CommentReference">
    <w:name w:val="Comment Reference"/>
    <w:qFormat/>
    <w:rPr>
      <w:sz w:val="16"/>
      <w:szCs w:val="16"/>
    </w:rPr>
  </w:style>
  <w:style w:type="character" w:styleId="CommentTextChar">
    <w:name w:val="Comment Text Char"/>
    <w:qFormat/>
    <w:rPr>
      <w:rFonts w:eastAsia="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Segoe UI" w:hAnsi="Segoe UI" w:cs="Segoe UI"/>
      <w:sz w:val="18"/>
      <w:szCs w:val="18"/>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ommentText">
    <w:name w:val="Comment Text"/>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2019-12-03T00:27:00Z</dcterms:created>
  <dc:creator>MCC Support</dc:creator>
  <dc:description/>
  <cp:keywords/>
  <dc:language>en-US</dc:language>
  <cp:lastModifiedBy>Rapporteur</cp:lastModifiedBy>
  <cp:lastPrinted>2017-05-02T10:45:00Z</cp:lastPrinted>
  <dcterms:modified xsi:type="dcterms:W3CDTF">2020-03-31T10:52:00Z</dcterms:modified>
  <cp:revision>10</cp:revision>
  <dc:subject>W1 interface; Layer 1 (Release 16)</dc:subject>
  <dc:title>3GPP TS 37.471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(2)YVtocPi1th5d/Az8Q011ISn8n/cqitnyILlNjUhJxNEn7eVIRFaItTkS50bIuxE8S9DwxN0n
vHpNmidKDXkCGBXxoEY3djIYmTI9//DPW2vEGJ2yDvAvA+7ZzSqDQFDMirxLF3xQLKoPDDyn
p51VEKh6tpWjRLpwxbc0eCNc3aU6oMXnF7U6WCIkR52mobZ8UEh3S0WPE4pGoq/G56WwcULK
fu1U1agq+ki8PFBnGt</vt:lpwstr>
  </property>
  <property fmtid="{D5CDD505-2E9C-101B-9397-08002B2CF9AE}" pid="3" name="_2015_ms_pID_7253431">
    <vt:lpwstr>W3aZXNRMvCPCeqxk0ahy7nxiyMxOwVecoi4n/Ww0hAb7EvRjVxfEl0
fYsVZzl8lLCHb5Qgu4YgZYIyKgmPaJUf+j9kRBludVtY/bKEW8saY7W9J9tSY7uAUIQDDRyL
lNOccX//oSSgFvrxKVDVyzlfF4XfD5rXzIEknQgTibz52RSWZiFREVwPAxpzoLSl24Y=</vt:lpwstr>
  </property>
  <property fmtid="{D5CDD505-2E9C-101B-9397-08002B2CF9AE}" pid="4" name="_change">
    <vt:lpwstr/>
  </property>
  <property fmtid="{D5CDD505-2E9C-101B-9397-08002B2CF9AE}" pid="5" name="_full-control">
    <vt:lpwstr/>
  </property>
  <property fmtid="{D5CDD505-2E9C-101B-9397-08002B2CF9AE}" pid="6" name="_readonly">
    <vt:lpwstr/>
  </property>
  <property fmtid="{D5CDD505-2E9C-101B-9397-08002B2CF9AE}" pid="7" name="sflag">
    <vt:lpwstr>1574179166</vt:lpwstr>
  </property>
</Properties>
</file>