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23" w:type="dxa"/>
        <w:jc w:val="left"/>
        <w:tblInd w:w="-108" w:type="dxa"/>
        <w:tblLayout w:type="fixed"/>
        <w:tblCellMar>
          <w:top w:w="0" w:type="dxa"/>
          <w:left w:w="108" w:type="dxa"/>
          <w:bottom w:w="0" w:type="dxa"/>
          <w:right w:w="108" w:type="dxa"/>
        </w:tblCellMar>
      </w:tblPr>
      <w:tblGrid>
        <w:gridCol w:w="4883"/>
        <w:gridCol w:w="5540"/>
      </w:tblGrid>
      <w:tr>
        <w:trPr/>
        <w:tc>
          <w:tcPr>
            <w:tcW w:w="10423" w:type="dxa"/>
            <w:gridSpan w:val="2"/>
            <w:tcBorders/>
          </w:tcPr>
          <w:p>
            <w:pPr>
              <w:pStyle w:val="ZA"/>
              <w:rPr/>
            </w:pPr>
            <w:bookmarkStart w:id="0" w:name="_Hlk29978664"/>
            <w:bookmarkStart w:id="1" w:name="page1"/>
            <w:bookmarkEnd w:id="0"/>
            <w:bookmarkEnd w:id="1"/>
            <w:r>
              <w:rPr>
                <w:sz w:val="64"/>
              </w:rPr>
              <w:t xml:space="preserve">3GPP </w:t>
            </w:r>
            <w:bookmarkStart w:id="2" w:name="specType1"/>
            <w:r>
              <w:rPr>
                <w:sz w:val="64"/>
              </w:rPr>
              <w:t>TS</w:t>
            </w:r>
            <w:bookmarkEnd w:id="2"/>
            <w:r>
              <w:rPr>
                <w:sz w:val="64"/>
              </w:rPr>
              <w:t xml:space="preserve"> </w:t>
            </w:r>
            <w:r>
              <w:rPr>
                <w:sz w:val="64"/>
                <w:lang w:val="en-GB" w:eastAsia="en-GB"/>
              </w:rPr>
              <w:t>37.472</w:t>
            </w:r>
            <w:r>
              <w:rPr>
                <w:sz w:val="64"/>
              </w:rPr>
              <w:t xml:space="preserve"> </w:t>
            </w:r>
            <w:r>
              <w:rPr/>
              <w:t>V</w:t>
            </w:r>
            <w:bookmarkStart w:id="3" w:name="specVersion"/>
            <w:r>
              <w:rPr/>
              <w:t>16.2.</w:t>
            </w:r>
            <w:bookmarkEnd w:id="3"/>
            <w:r>
              <w:rPr/>
              <w:t xml:space="preserve">0 </w:t>
            </w:r>
            <w:r>
              <w:rPr>
                <w:sz w:val="32"/>
              </w:rPr>
              <w:t>(</w:t>
            </w:r>
            <w:bookmarkStart w:id="4" w:name="issueDate"/>
            <w:r>
              <w:rPr>
                <w:sz w:val="32"/>
              </w:rPr>
              <w:t>2020-</w:t>
            </w:r>
            <w:bookmarkEnd w:id="4"/>
            <w:r>
              <w:rPr>
                <w:sz w:val="32"/>
              </w:rPr>
              <w:t>09)</w:t>
            </w:r>
          </w:p>
        </w:tc>
      </w:tr>
      <w:tr>
        <w:trPr>
          <w:trHeight w:val="1134" w:hRule="exact"/>
        </w:trPr>
        <w:tc>
          <w:tcPr>
            <w:tcW w:w="10423" w:type="dxa"/>
            <w:gridSpan w:val="2"/>
            <w:tcBorders/>
          </w:tcPr>
          <w:p>
            <w:pPr>
              <w:pStyle w:val="ZB"/>
              <w:rPr/>
            </w:pPr>
            <w:r>
              <w:rPr/>
              <w:t xml:space="preserve">Technical </w:t>
            </w:r>
            <w:bookmarkStart w:id="5" w:name="spectype2"/>
            <w:r>
              <w:rPr/>
              <w:t>Specification</w:t>
            </w:r>
            <w:bookmarkEnd w:id="5"/>
          </w:p>
          <w:p>
            <w:pPr>
              <w:pStyle w:val="Guidance"/>
              <w:overflowPunct w:val="true"/>
              <w:autoSpaceDE w:val="true"/>
              <w:spacing w:before="0" w:after="180"/>
              <w:textAlignment w:val="auto"/>
              <w:rPr/>
            </w:pPr>
            <w:r>
              <w:rPr/>
            </w:r>
          </w:p>
        </w:tc>
      </w:tr>
      <w:tr>
        <w:trPr>
          <w:trHeight w:val="3686" w:hRule="exact"/>
        </w:trPr>
        <w:tc>
          <w:tcPr>
            <w:tcW w:w="10423" w:type="dxa"/>
            <w:gridSpan w:val="2"/>
            <w:tcBorders/>
          </w:tcPr>
          <w:p>
            <w:pPr>
              <w:pStyle w:val="ZT"/>
              <w:rPr/>
            </w:pPr>
            <w:r>
              <w:rPr/>
              <w:t>3rd Generation Partnership Project;</w:t>
            </w:r>
          </w:p>
          <w:p>
            <w:pPr>
              <w:pStyle w:val="ZT"/>
              <w:rPr/>
            </w:pPr>
            <w:r>
              <w:rPr/>
              <w:t xml:space="preserve">Technical Specification Group </w:t>
            </w:r>
            <w:bookmarkStart w:id="6" w:name="specTitle"/>
            <w:r>
              <w:rPr/>
              <w:t>Radio Access Network;</w:t>
            </w:r>
          </w:p>
          <w:p>
            <w:pPr>
              <w:pStyle w:val="ZT"/>
              <w:rPr/>
            </w:pPr>
            <w:r>
              <w:rPr/>
              <w:t>W1 interface; Signalling transport</w:t>
            </w:r>
            <w:bookmarkEnd w:id="6"/>
          </w:p>
          <w:p>
            <w:pPr>
              <w:pStyle w:val="ZT"/>
              <w:rPr>
                <w:i/>
                <w:i/>
                <w:sz w:val="28"/>
              </w:rPr>
            </w:pPr>
            <w:r>
              <w:rPr/>
              <w:t>(</w:t>
            </w:r>
            <w:r>
              <w:rPr>
                <w:rStyle w:val="ZGSM"/>
              </w:rPr>
              <w:t xml:space="preserve">Release </w:t>
            </w:r>
            <w:bookmarkStart w:id="7" w:name="specRelease"/>
            <w:r>
              <w:rPr>
                <w:rStyle w:val="ZGSM"/>
              </w:rPr>
              <w:t>16</w:t>
            </w:r>
            <w:bookmarkEnd w:id="7"/>
            <w:r>
              <w:rPr/>
              <w:t>)</w:t>
            </w:r>
          </w:p>
        </w:tc>
      </w:tr>
      <w:tr>
        <w:trPr/>
        <w:tc>
          <w:tcPr>
            <w:tcW w:w="10423" w:type="dxa"/>
            <w:gridSpan w:val="2"/>
            <w:tcBorders/>
          </w:tcPr>
          <w:p>
            <w:pPr>
              <w:pStyle w:val="ZU"/>
              <w:tabs>
                <w:tab w:val="clear" w:pos="284"/>
                <w:tab w:val="right" w:pos="10206" w:leader="none"/>
              </w:tabs>
              <w:jc w:val="left"/>
              <w:rPr>
                <w:color w:val="0000FF"/>
              </w:rPr>
            </w:pPr>
            <w:r>
              <w:rPr>
                <w:color w:val="0000FF"/>
              </w:rPr>
              <w:tab/>
            </w:r>
          </w:p>
        </w:tc>
      </w:tr>
      <w:tr>
        <w:trPr>
          <w:trHeight w:val="1531" w:hRule="exact"/>
        </w:trPr>
        <w:tc>
          <w:tcPr>
            <w:tcW w:w="4883" w:type="dxa"/>
            <w:tcBorders/>
          </w:tcPr>
          <w:p>
            <w:pPr>
              <w:pStyle w:val="Normal"/>
              <w:spacing w:before="0" w:after="180"/>
              <w:rPr>
                <w:i/>
                <w:i/>
              </w:rPr>
            </w:pPr>
            <w:r>
              <w:rPr>
                <w:i/>
              </w:rPr>
              <w:drawing>
                <wp:inline distT="0" distB="0" distL="0" distR="0">
                  <wp:extent cx="1209675" cy="837565"/>
                  <wp:effectExtent l="0" t="0" r="0" b="0"/>
                  <wp:docPr id="1"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G-logo_175px" descr=""/>
                          <pic:cNvPicPr>
                            <a:picLocks noChangeAspect="1" noChangeArrowheads="1"/>
                          </pic:cNvPicPr>
                        </pic:nvPicPr>
                        <pic:blipFill>
                          <a:blip r:embed="rId2"/>
                          <a:srcRect l="-22" t="-31" r="-22" b="-31"/>
                          <a:stretch>
                            <a:fillRect/>
                          </a:stretch>
                        </pic:blipFill>
                        <pic:spPr bwMode="auto">
                          <a:xfrm>
                            <a:off x="0" y="0"/>
                            <a:ext cx="1209675" cy="837565"/>
                          </a:xfrm>
                          <a:prstGeom prst="rect">
                            <a:avLst/>
                          </a:prstGeom>
                        </pic:spPr>
                      </pic:pic>
                    </a:graphicData>
                  </a:graphic>
                </wp:inline>
              </w:drawing>
            </w:r>
          </w:p>
        </w:tc>
        <w:tc>
          <w:tcPr>
            <w:tcW w:w="5540" w:type="dxa"/>
            <w:tcBorders/>
          </w:tcPr>
          <w:p>
            <w:pPr>
              <w:pStyle w:val="Normal"/>
              <w:spacing w:before="0" w:after="180"/>
              <w:jc w:val="right"/>
              <w:rPr/>
            </w:pPr>
            <w:bookmarkStart w:id="8" w:name="logos"/>
            <w:r>
              <w:rPr/>
              <w:drawing>
                <wp:inline distT="0" distB="0" distL="0" distR="0">
                  <wp:extent cx="1619885" cy="948690"/>
                  <wp:effectExtent l="0" t="0" r="0" b="0"/>
                  <wp:docPr id="2"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GPP-logo_web" descr=""/>
                          <pic:cNvPicPr>
                            <a:picLocks noChangeAspect="1" noChangeArrowheads="1"/>
                          </pic:cNvPicPr>
                        </pic:nvPicPr>
                        <pic:blipFill>
                          <a:blip r:embed="rId3"/>
                          <a:srcRect l="-13" t="-23" r="-13" b="-23"/>
                          <a:stretch>
                            <a:fillRect/>
                          </a:stretch>
                        </pic:blipFill>
                        <pic:spPr bwMode="auto">
                          <a:xfrm>
                            <a:off x="0" y="0"/>
                            <a:ext cx="1619885" cy="948690"/>
                          </a:xfrm>
                          <a:prstGeom prst="rect">
                            <a:avLst/>
                          </a:prstGeom>
                        </pic:spPr>
                      </pic:pic>
                    </a:graphicData>
                  </a:graphic>
                </wp:inline>
              </w:drawing>
            </w:r>
            <w:bookmarkEnd w:id="8"/>
          </w:p>
        </w:tc>
      </w:tr>
      <w:tr>
        <w:trPr>
          <w:trHeight w:val="5783" w:hRule="exact"/>
        </w:trPr>
        <w:tc>
          <w:tcPr>
            <w:tcW w:w="10423" w:type="dxa"/>
            <w:gridSpan w:val="2"/>
            <w:tcBorders/>
          </w:tcPr>
          <w:p>
            <w:pPr>
              <w:pStyle w:val="Guidance"/>
              <w:snapToGrid w:val="false"/>
              <w:spacing w:before="0" w:after="180"/>
              <w:rPr>
                <w:b/>
                <w:b/>
              </w:rPr>
            </w:pPr>
            <w:r>
              <w:rPr>
                <w:b/>
              </w:rPr>
            </w:r>
          </w:p>
        </w:tc>
      </w:tr>
      <w:tr>
        <w:trPr>
          <w:trHeight w:val="964" w:hRule="exact"/>
          <w:cantSplit w:val="true"/>
        </w:trPr>
        <w:tc>
          <w:tcPr>
            <w:tcW w:w="10423" w:type="dxa"/>
            <w:gridSpan w:val="2"/>
            <w:tcBorders/>
          </w:tcPr>
          <w:p>
            <w:pPr>
              <w:pStyle w:val="Normal"/>
              <w:rPr>
                <w:sz w:val="16"/>
              </w:rPr>
            </w:pPr>
            <w:bookmarkStart w:id="9"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9"/>
          </w:p>
          <w:p>
            <w:pPr>
              <w:pStyle w:val="ZV"/>
              <w:rPr>
                <w:sz w:val="16"/>
              </w:rPr>
            </w:pPr>
            <w:r>
              <w:rPr>
                <w:sz w:val="16"/>
              </w:rPr>
            </w:r>
          </w:p>
          <w:p>
            <w:pPr>
              <w:pStyle w:val="Normal"/>
              <w:spacing w:before="0" w:after="180"/>
              <w:rPr>
                <w:sz w:val="16"/>
              </w:rPr>
            </w:pPr>
            <w:r>
              <w:rPr>
                <w:sz w:val="16"/>
              </w:rPr>
            </w:r>
          </w:p>
        </w:tc>
      </w:tr>
    </w:tbl>
    <w:p>
      <w:pPr>
        <w:sectPr>
          <w:type w:val="nextPage"/>
          <w:pgSz w:w="11906" w:h="16838"/>
          <w:pgMar w:left="851" w:right="851" w:gutter="0" w:header="0" w:top="1134" w:footer="0" w:bottom="397"/>
          <w:pgNumType w:fmt="decimal"/>
          <w:formProt w:val="false"/>
          <w:textDirection w:val="lrTb"/>
          <w:docGrid w:type="default" w:linePitch="360" w:charSpace="0"/>
        </w:sectPr>
      </w:pPr>
    </w:p>
    <w:tbl>
      <w:tblPr>
        <w:tblW w:w="10423" w:type="dxa"/>
        <w:jc w:val="left"/>
        <w:tblInd w:w="-108" w:type="dxa"/>
        <w:tblLayout w:type="fixed"/>
        <w:tblCellMar>
          <w:top w:w="0" w:type="dxa"/>
          <w:left w:w="108" w:type="dxa"/>
          <w:bottom w:w="0" w:type="dxa"/>
          <w:right w:w="108" w:type="dxa"/>
        </w:tblCellMar>
      </w:tblPr>
      <w:tblGrid>
        <w:gridCol w:w="10423"/>
      </w:tblGrid>
      <w:tr>
        <w:trPr>
          <w:trHeight w:val="5670" w:hRule="exact"/>
        </w:trPr>
        <w:tc>
          <w:tcPr>
            <w:tcW w:w="10423" w:type="dxa"/>
            <w:tcBorders/>
          </w:tcPr>
          <w:p>
            <w:pPr>
              <w:pStyle w:val="Guidance"/>
              <w:snapToGrid w:val="false"/>
              <w:spacing w:before="0" w:after="180"/>
              <w:rPr/>
            </w:pPr>
            <w:r>
              <w:rPr/>
            </w:r>
            <w:bookmarkStart w:id="10" w:name="page2"/>
            <w:bookmarkStart w:id="11" w:name="page2"/>
            <w:bookmarkEnd w:id="11"/>
          </w:p>
        </w:tc>
      </w:tr>
      <w:tr>
        <w:trPr>
          <w:trHeight w:val="5387" w:hRule="exact"/>
        </w:trPr>
        <w:tc>
          <w:tcPr>
            <w:tcW w:w="10423" w:type="dxa"/>
            <w:tcBorders/>
          </w:tcPr>
          <w:p>
            <w:pPr>
              <w:pStyle w:val="FP"/>
              <w:spacing w:before="0" w:after="240"/>
              <w:ind w:left="2835" w:right="2835" w:hanging="0"/>
              <w:jc w:val="center"/>
              <w:rPr>
                <w:rFonts w:ascii="Arial" w:hAnsi="Arial" w:cs="Arial"/>
                <w:b/>
                <w:b/>
                <w:i/>
                <w:i/>
              </w:rPr>
            </w:pPr>
            <w:bookmarkStart w:id="12" w:name="coords3gpp"/>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bookmarkStart w:id="13" w:name="coords3gpp"/>
            <w:r>
              <w:rPr>
                <w:rFonts w:cs="Arial" w:ascii="Arial" w:hAnsi="Arial"/>
                <w:sz w:val="18"/>
              </w:rPr>
              <w:t>http://www.3gpp.org</w:t>
            </w:r>
            <w:bookmarkEnd w:id="13"/>
          </w:p>
          <w:p>
            <w:pPr>
              <w:pStyle w:val="Normal"/>
              <w:spacing w:before="0" w:after="180"/>
              <w:rPr>
                <w:rFonts w:ascii="Arial" w:hAnsi="Arial" w:cs="Arial"/>
                <w:sz w:val="18"/>
              </w:rPr>
            </w:pPr>
            <w:r>
              <w:rPr>
                <w:rFonts w:cs="Arial" w:ascii="Arial" w:hAnsi="Arial"/>
                <w:sz w:val="18"/>
              </w:rPr>
            </w:r>
          </w:p>
        </w:tc>
      </w:tr>
      <w:tr>
        <w:trPr/>
        <w:tc>
          <w:tcPr>
            <w:tcW w:w="10423" w:type="dxa"/>
            <w:tcBorders/>
            <w:vAlign w:val="bottom"/>
          </w:tcPr>
          <w:p>
            <w:pPr>
              <w:pStyle w:val="FP"/>
              <w:pBdr>
                <w:bottom w:val="single" w:sz="6" w:space="1" w:color="000000"/>
              </w:pBdr>
              <w:spacing w:before="0" w:after="240"/>
              <w:jc w:val="center"/>
              <w:rPr>
                <w:rFonts w:ascii="Arial" w:hAnsi="Arial" w:cs="Arial"/>
                <w:b/>
                <w:b/>
                <w:i/>
                <w:i/>
                <w:lang w:val="en-US" w:eastAsia="en-US"/>
              </w:rPr>
            </w:pPr>
            <w:bookmarkStart w:id="14" w:name="copyrightNotification"/>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xml:space="preserve">© </w:t>
            </w:r>
            <w:bookmarkStart w:id="15" w:name="copyrightDate"/>
            <w:r>
              <w:rPr>
                <w:sz w:val="18"/>
                <w:lang w:val="en-US" w:eastAsia="en-US"/>
              </w:rPr>
              <w:t>2020</w:t>
            </w:r>
            <w:bookmarkEnd w:id="15"/>
            <w:r>
              <w:rPr>
                <w:sz w:val="18"/>
                <w:lang w:val="en-US" w:eastAsia="en-US"/>
              </w:rPr>
              <w:t>, 3GPP Organizational Partners (ARIB, ATIS, CCSA, ETSI, TSDSI, TTA, TTC).</w:t>
            </w:r>
            <w:bookmarkStart w:id="16" w:name="copyrightaddon"/>
            <w:bookmarkEnd w:id="1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bookmarkStart w:id="17" w:name="copyrightNotification"/>
            <w:r>
              <w:rPr>
                <w:sz w:val="18"/>
                <w:lang w:val="en-US" w:eastAsia="en-US"/>
              </w:rPr>
              <w:t>GSM® and the GSM logo are registered and owned by the GSM Association</w:t>
            </w:r>
            <w:bookmarkEnd w:id="17"/>
          </w:p>
          <w:p>
            <w:pPr>
              <w:pStyle w:val="Normal"/>
              <w:spacing w:before="0" w:after="180"/>
              <w:rPr>
                <w:sz w:val="18"/>
                <w:lang w:val="en-US" w:eastAsia="en-US"/>
              </w:rPr>
            </w:pPr>
            <w:r>
              <w:rPr>
                <w:sz w:val="18"/>
                <w:lang w:val="en-US" w:eastAsia="en-US"/>
              </w:rPr>
            </w:r>
          </w:p>
        </w:tc>
      </w:tr>
    </w:tbl>
    <w:p>
      <w:pPr>
        <w:pStyle w:val="TT"/>
        <w:rPr/>
      </w:pPr>
      <w:r>
        <w:br w:type="page"/>
      </w:r>
      <w:bookmarkStart w:id="18" w:name="tableOfContents"/>
      <w:bookmarkEnd w:id="18"/>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맑은 고딕"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62599">
            <w:r>
              <w:rPr>
                <w:rStyle w:val="IndexLink"/>
                <w:rFonts w:eastAsia="Times New Roman" w:cs="Times New Roman"/>
                <w:color w:val="auto"/>
                <w:sz w:val="22"/>
                <w:szCs w:val="20"/>
                <w:lang w:val="en-GB" w:eastAsia="en-US" w:bidi="ar-SA"/>
              </w:rPr>
              <w:t>4</w:t>
            </w:r>
          </w:hyperlink>
        </w:p>
        <w:p>
          <w:pPr>
            <w:pStyle w:val="Contents1"/>
            <w:rPr>
              <w:rFonts w:ascii="Calibri" w:hAnsi="Calibri" w:eastAsia="Malgun Gothic;맑은 고딕" w:cs="Calibri"/>
              <w:szCs w:val="22"/>
              <w:lang w:val="en-US" w:eastAsia="en-US"/>
            </w:rPr>
          </w:pPr>
          <w:r>
            <w:rPr/>
            <w:t>1</w:t>
          </w:r>
          <w:r>
            <w:rPr>
              <w:rFonts w:eastAsia="Malgun Gothic;맑은 고딕" w:cs="Calibri" w:ascii="Calibri" w:hAnsi="Calibri"/>
              <w:szCs w:val="22"/>
              <w:lang w:val="en-US" w:eastAsia="en-US"/>
            </w:rPr>
            <w:tab/>
          </w:r>
          <w:r>
            <w:rPr/>
            <w:t>Scope</w:t>
            <w:tab/>
          </w:r>
          <w:hyperlink w:anchor="__RefHeading___Toc51762600">
            <w:r>
              <w:rPr>
                <w:rStyle w:val="IndexLink"/>
              </w:rPr>
              <w:t>6</w:t>
            </w:r>
          </w:hyperlink>
        </w:p>
        <w:p>
          <w:pPr>
            <w:pStyle w:val="Contents1"/>
            <w:rPr>
              <w:rFonts w:ascii="Calibri" w:hAnsi="Calibri" w:eastAsia="Malgun Gothic;맑은 고딕" w:cs="Calibri"/>
              <w:szCs w:val="22"/>
              <w:lang w:val="en-US" w:eastAsia="en-US"/>
            </w:rPr>
          </w:pPr>
          <w:r>
            <w:rPr/>
            <w:t>2</w:t>
          </w:r>
          <w:r>
            <w:rPr>
              <w:rFonts w:eastAsia="Malgun Gothic;맑은 고딕" w:cs="Calibri" w:ascii="Calibri" w:hAnsi="Calibri"/>
              <w:szCs w:val="22"/>
              <w:lang w:val="en-US" w:eastAsia="en-US"/>
            </w:rPr>
            <w:tab/>
          </w:r>
          <w:r>
            <w:rPr/>
            <w:t>References</w:t>
            <w:tab/>
          </w:r>
          <w:hyperlink w:anchor="__RefHeading___Toc51762601">
            <w:r>
              <w:rPr>
                <w:rStyle w:val="IndexLink"/>
              </w:rPr>
              <w:t>6</w:t>
            </w:r>
          </w:hyperlink>
        </w:p>
        <w:p>
          <w:pPr>
            <w:pStyle w:val="Contents1"/>
            <w:rPr>
              <w:rFonts w:ascii="Calibri" w:hAnsi="Calibri" w:eastAsia="Malgun Gothic;맑은 고딕" w:cs="Calibri"/>
              <w:szCs w:val="22"/>
              <w:lang w:val="en-US" w:eastAsia="en-US"/>
            </w:rPr>
          </w:pPr>
          <w:r>
            <w:rPr/>
            <w:t>3</w:t>
          </w:r>
          <w:r>
            <w:rPr>
              <w:rFonts w:eastAsia="Malgun Gothic;맑은 고딕" w:cs="Calibri" w:ascii="Calibri" w:hAnsi="Calibri"/>
              <w:szCs w:val="22"/>
              <w:lang w:val="en-US" w:eastAsia="en-US"/>
            </w:rPr>
            <w:tab/>
          </w:r>
          <w:r>
            <w:rPr/>
            <w:t>Definitions of terms, symbols and abbreviations</w:t>
            <w:tab/>
          </w:r>
          <w:hyperlink w:anchor="__RefHeading___Toc51762602">
            <w:r>
              <w:rPr>
                <w:rStyle w:val="IndexLink"/>
              </w:rPr>
              <w:t>6</w:t>
            </w:r>
          </w:hyperlink>
        </w:p>
        <w:p>
          <w:pPr>
            <w:pStyle w:val="Contents2"/>
            <w:rPr>
              <w:rFonts w:ascii="Calibri" w:hAnsi="Calibri" w:eastAsia="Malgun Gothic;맑은 고딕" w:cs="Calibri"/>
              <w:sz w:val="22"/>
              <w:szCs w:val="22"/>
              <w:lang w:val="en-US" w:eastAsia="en-US"/>
            </w:rPr>
          </w:pPr>
          <w:r>
            <w:rPr/>
            <w:t>3.1</w:t>
          </w:r>
          <w:r>
            <w:rPr>
              <w:rFonts w:eastAsia="Malgun Gothic;맑은 고딕" w:cs="Calibri" w:ascii="Calibri" w:hAnsi="Calibri"/>
              <w:sz w:val="22"/>
              <w:szCs w:val="22"/>
              <w:lang w:val="en-US" w:eastAsia="en-US"/>
            </w:rPr>
            <w:tab/>
          </w:r>
          <w:r>
            <w:rPr/>
            <w:t>Terms</w:t>
            <w:tab/>
          </w:r>
          <w:hyperlink w:anchor="__RefHeading___Toc51762603">
            <w:r>
              <w:rPr>
                <w:rStyle w:val="IndexLink"/>
              </w:rPr>
              <w:t>6</w:t>
            </w:r>
          </w:hyperlink>
        </w:p>
        <w:p>
          <w:pPr>
            <w:pStyle w:val="Contents2"/>
            <w:rPr>
              <w:rFonts w:ascii="Calibri" w:hAnsi="Calibri" w:eastAsia="Malgun Gothic;맑은 고딕" w:cs="Calibri"/>
              <w:sz w:val="22"/>
              <w:szCs w:val="22"/>
              <w:lang w:val="en-US" w:eastAsia="en-US"/>
            </w:rPr>
          </w:pPr>
          <w:r>
            <w:rPr/>
            <w:t>3.2</w:t>
          </w:r>
          <w:r>
            <w:rPr>
              <w:rFonts w:eastAsia="Malgun Gothic;맑은 고딕" w:cs="Calibri" w:ascii="Calibri" w:hAnsi="Calibri"/>
              <w:sz w:val="22"/>
              <w:szCs w:val="22"/>
              <w:lang w:val="en-US" w:eastAsia="en-US"/>
            </w:rPr>
            <w:tab/>
          </w:r>
          <w:r>
            <w:rPr/>
            <w:t>Symbols</w:t>
            <w:tab/>
          </w:r>
          <w:hyperlink w:anchor="__RefHeading___Toc51762604">
            <w:r>
              <w:rPr>
                <w:rStyle w:val="IndexLink"/>
              </w:rPr>
              <w:t>6</w:t>
            </w:r>
          </w:hyperlink>
        </w:p>
        <w:p>
          <w:pPr>
            <w:pStyle w:val="Contents2"/>
            <w:rPr>
              <w:rFonts w:ascii="Calibri" w:hAnsi="Calibri" w:eastAsia="Malgun Gothic;맑은 고딕" w:cs="Calibri"/>
              <w:sz w:val="22"/>
              <w:szCs w:val="22"/>
              <w:lang w:val="en-US" w:eastAsia="en-US"/>
            </w:rPr>
          </w:pPr>
          <w:r>
            <w:rPr/>
            <w:t>3.3</w:t>
          </w:r>
          <w:r>
            <w:rPr>
              <w:rFonts w:eastAsia="Malgun Gothic;맑은 고딕" w:cs="Calibri" w:ascii="Calibri" w:hAnsi="Calibri"/>
              <w:sz w:val="22"/>
              <w:szCs w:val="22"/>
              <w:lang w:val="en-US" w:eastAsia="en-US"/>
            </w:rPr>
            <w:tab/>
          </w:r>
          <w:r>
            <w:rPr/>
            <w:t>Abbreviations</w:t>
            <w:tab/>
          </w:r>
          <w:hyperlink w:anchor="__RefHeading___Toc51762605">
            <w:r>
              <w:rPr>
                <w:rStyle w:val="IndexLink"/>
              </w:rPr>
              <w:t>7</w:t>
            </w:r>
          </w:hyperlink>
        </w:p>
        <w:p>
          <w:pPr>
            <w:pStyle w:val="Contents2"/>
            <w:rPr>
              <w:rFonts w:ascii="Calibri" w:hAnsi="Calibri" w:eastAsia="Malgun Gothic;맑은 고딕" w:cs="Calibri"/>
              <w:sz w:val="22"/>
              <w:szCs w:val="22"/>
              <w:lang w:val="en-US" w:eastAsia="en-US"/>
            </w:rPr>
          </w:pPr>
          <w:r>
            <w:rPr>
              <w:lang w:val="en-US" w:eastAsia="en-US"/>
            </w:rPr>
            <w:t>4.</w:t>
          </w:r>
          <w:r>
            <w:rPr>
              <w:rFonts w:eastAsia="Malgun Gothic;맑은 고딕" w:cs="Calibri" w:ascii="Calibri" w:hAnsi="Calibri"/>
              <w:sz w:val="22"/>
              <w:szCs w:val="22"/>
              <w:lang w:val="en-US" w:eastAsia="en-US"/>
            </w:rPr>
            <w:tab/>
          </w:r>
          <w:r>
            <w:rPr>
              <w:lang w:val="en-US" w:eastAsia="en-US"/>
            </w:rPr>
            <w:t>W1-C</w:t>
          </w:r>
          <w:r>
            <w:rPr/>
            <w:t xml:space="preserve"> signal</w:t>
          </w:r>
          <w:r>
            <w:rPr>
              <w:lang w:val="en-US" w:eastAsia="en-US"/>
            </w:rPr>
            <w:t>l</w:t>
          </w:r>
          <w:r>
            <w:rPr/>
            <w:t>ing bearer</w:t>
            <w:tab/>
          </w:r>
          <w:hyperlink w:anchor="__RefHeading___Toc51762606">
            <w:r>
              <w:rPr>
                <w:rStyle w:val="IndexLink"/>
              </w:rPr>
              <w:t>7</w:t>
            </w:r>
          </w:hyperlink>
        </w:p>
        <w:p>
          <w:pPr>
            <w:pStyle w:val="Contents2"/>
            <w:rPr>
              <w:rFonts w:ascii="Calibri" w:hAnsi="Calibri" w:eastAsia="Malgun Gothic;맑은 고딕" w:cs="Calibri"/>
              <w:sz w:val="22"/>
              <w:szCs w:val="22"/>
              <w:lang w:val="en-US" w:eastAsia="en-US"/>
            </w:rPr>
          </w:pPr>
          <w:r>
            <w:rPr>
              <w:lang w:val="en-US" w:eastAsia="en-US"/>
            </w:rPr>
            <w:t>4.1</w:t>
          </w:r>
          <w:r>
            <w:rPr>
              <w:rFonts w:eastAsia="Malgun Gothic;맑은 고딕" w:cs="Calibri" w:ascii="Calibri" w:hAnsi="Calibri"/>
              <w:sz w:val="22"/>
              <w:szCs w:val="22"/>
              <w:lang w:val="en-US" w:eastAsia="en-US"/>
            </w:rPr>
            <w:tab/>
          </w:r>
          <w:r>
            <w:rPr>
              <w:lang w:val="en-US" w:eastAsia="en-US"/>
            </w:rPr>
            <w:t>Function and protocol stack</w:t>
          </w:r>
          <w:r>
            <w:rPr/>
            <w:tab/>
          </w:r>
          <w:hyperlink w:anchor="__RefHeading___Toc51762607">
            <w:r>
              <w:rPr>
                <w:rStyle w:val="IndexLink"/>
              </w:rPr>
              <w:t>7</w:t>
            </w:r>
          </w:hyperlink>
        </w:p>
        <w:p>
          <w:pPr>
            <w:pStyle w:val="Contents1"/>
            <w:rPr>
              <w:rFonts w:ascii="Calibri" w:hAnsi="Calibri" w:eastAsia="Malgun Gothic;맑은 고딕" w:cs="Calibri"/>
              <w:szCs w:val="22"/>
              <w:lang w:val="en-US" w:eastAsia="en-US"/>
            </w:rPr>
          </w:pPr>
          <w:r>
            <w:rPr>
              <w:lang w:val="en-US" w:eastAsia="en-US"/>
            </w:rPr>
            <w:t>5</w:t>
          </w:r>
          <w:r>
            <w:rPr>
              <w:rFonts w:eastAsia="Malgun Gothic;맑은 고딕" w:cs="Calibri" w:ascii="Calibri" w:hAnsi="Calibri"/>
              <w:szCs w:val="22"/>
              <w:lang w:val="en-US" w:eastAsia="en-US"/>
            </w:rPr>
            <w:tab/>
          </w:r>
          <w:r>
            <w:rPr>
              <w:lang w:val="en-US" w:eastAsia="en-US"/>
            </w:rPr>
            <w:t>Data link layer</w:t>
          </w:r>
          <w:r>
            <w:rPr/>
            <w:tab/>
          </w:r>
          <w:hyperlink w:anchor="__RefHeading___Toc51762608">
            <w:r>
              <w:rPr>
                <w:rStyle w:val="IndexLink"/>
              </w:rPr>
              <w:t>7</w:t>
            </w:r>
          </w:hyperlink>
        </w:p>
        <w:p>
          <w:pPr>
            <w:pStyle w:val="Contents1"/>
            <w:rPr>
              <w:rFonts w:ascii="Calibri" w:hAnsi="Calibri" w:eastAsia="Malgun Gothic;맑은 고딕" w:cs="Calibri"/>
              <w:szCs w:val="22"/>
              <w:lang w:val="en-US" w:eastAsia="en-US"/>
            </w:rPr>
          </w:pPr>
          <w:r>
            <w:rPr>
              <w:lang w:val="en-US" w:eastAsia="en-US"/>
            </w:rPr>
            <w:t>6</w:t>
          </w:r>
          <w:r>
            <w:rPr>
              <w:rFonts w:eastAsia="Malgun Gothic;맑은 고딕" w:cs="Calibri" w:ascii="Calibri" w:hAnsi="Calibri"/>
              <w:szCs w:val="22"/>
              <w:lang w:val="en-US" w:eastAsia="en-US"/>
            </w:rPr>
            <w:tab/>
          </w:r>
          <w:r>
            <w:rPr>
              <w:lang w:val="en-US" w:eastAsia="en-US"/>
            </w:rPr>
            <w:t>IP layer</w:t>
          </w:r>
          <w:r>
            <w:rPr/>
            <w:tab/>
          </w:r>
          <w:hyperlink w:anchor="__RefHeading___Toc51762609">
            <w:r>
              <w:rPr>
                <w:rStyle w:val="IndexLink"/>
              </w:rPr>
              <w:t>7</w:t>
            </w:r>
          </w:hyperlink>
        </w:p>
        <w:p>
          <w:pPr>
            <w:pStyle w:val="Contents1"/>
            <w:rPr>
              <w:rFonts w:ascii="Calibri" w:hAnsi="Calibri" w:eastAsia="Malgun Gothic;맑은 고딕" w:cs="Calibri"/>
              <w:szCs w:val="22"/>
              <w:lang w:val="en-US" w:eastAsia="en-US"/>
            </w:rPr>
          </w:pPr>
          <w:r>
            <w:rPr>
              <w:lang w:val="en-US" w:eastAsia="en-US"/>
            </w:rPr>
            <w:t>7</w:t>
          </w:r>
          <w:r>
            <w:rPr>
              <w:rFonts w:eastAsia="Malgun Gothic;맑은 고딕" w:cs="Calibri" w:ascii="Calibri" w:hAnsi="Calibri"/>
              <w:szCs w:val="22"/>
              <w:lang w:val="en-US" w:eastAsia="en-US"/>
            </w:rPr>
            <w:tab/>
          </w:r>
          <w:r>
            <w:rPr>
              <w:lang w:val="en-US" w:eastAsia="en-US"/>
            </w:rPr>
            <w:t>Transport layer</w:t>
          </w:r>
          <w:r>
            <w:rPr/>
            <w:tab/>
          </w:r>
          <w:hyperlink w:anchor="__RefHeading___Toc51762610">
            <w:r>
              <w:rPr>
                <w:rStyle w:val="IndexLink"/>
              </w:rPr>
              <w:t>8</w:t>
            </w:r>
          </w:hyperlink>
        </w:p>
        <w:p>
          <w:pPr>
            <w:pStyle w:val="Contents8"/>
            <w:rPr>
              <w:rFonts w:ascii="Calibri" w:hAnsi="Calibri" w:eastAsia="Malgun Gothic;맑은 고딕" w:cs="Calibri"/>
              <w:szCs w:val="22"/>
              <w:lang w:val="en-US" w:eastAsia="en-US"/>
            </w:rPr>
          </w:pPr>
          <w:r>
            <w:rPr>
              <w:b w:val="false"/>
            </w:rPr>
            <w:t xml:space="preserve">Annex </w:t>
          </w:r>
          <w:r>
            <w:rPr>
              <w:b w:val="false"/>
              <w:lang w:val="en-US" w:eastAsia="en-US"/>
            </w:rPr>
            <w:t>A</w:t>
          </w:r>
          <w:r>
            <w:rPr>
              <w:b w:val="false"/>
            </w:rPr>
            <w:t xml:space="preserve"> (informative): Change History</w:t>
            <w:tab/>
          </w:r>
          <w:hyperlink w:anchor="__RefHeading___Toc51762611">
            <w:r>
              <w:rPr>
                <w:rStyle w:val="IndexLink"/>
                <w:b w:val="false"/>
              </w:rPr>
              <w:t>9</w:t>
            </w:r>
          </w:hyperlink>
          <w:r>
            <w:rPr>
              <w:rStyle w:val="IndexLink"/>
              <w:b w:val="false"/>
            </w:rPr>
            <w:fldChar w:fldCharType="end"/>
          </w:r>
        </w:p>
      </w:sdtContent>
    </w:sdt>
    <w:p>
      <w:pPr>
        <w:pStyle w:val="Normal"/>
        <w:rPr>
          <w:rFonts w:ascii="Calibri" w:hAnsi="Calibri" w:eastAsia="Malgun Gothic;맑은 고딕" w:cs="Calibri"/>
          <w:b/>
          <w:b/>
          <w:sz w:val="22"/>
          <w:szCs w:val="22"/>
          <w:lang w:val="en-US" w:eastAsia="en-US"/>
        </w:rPr>
      </w:pPr>
      <w:r>
        <w:rPr>
          <w:rFonts w:eastAsia="Malgun Gothic;맑은 고딕" w:cs="Calibri" w:ascii="Calibri" w:hAnsi="Calibri"/>
          <w:b/>
          <w:sz w:val="22"/>
          <w:szCs w:val="22"/>
          <w:lang w:val="en-US" w:eastAsia="en-US"/>
        </w:rPr>
      </w:r>
      <w:r>
        <w:br w:type="page"/>
      </w:r>
    </w:p>
    <w:p>
      <w:pPr>
        <w:pStyle w:val="Heading1"/>
        <w:ind w:left="1134" w:hanging="1134"/>
        <w:rPr/>
      </w:pPr>
      <w:bookmarkStart w:id="19" w:name="__RefHeading___Toc51762599"/>
      <w:bookmarkStart w:id="20" w:name="foreword"/>
      <w:bookmarkEnd w:id="19"/>
      <w:bookmarkEnd w:id="20"/>
      <w:r>
        <w:rPr/>
        <w:t>Foreword</w:t>
      </w:r>
    </w:p>
    <w:p>
      <w:pPr>
        <w:pStyle w:val="Normal"/>
        <w:rPr/>
      </w:pPr>
      <w:r>
        <w:rPr/>
        <w:t xml:space="preserve">This Technical </w:t>
      </w:r>
      <w:bookmarkStart w:id="21" w:name="spectype3"/>
      <w:r>
        <w:rPr/>
        <w:t>Specification</w:t>
      </w:r>
      <w:bookmarkEnd w:id="21"/>
      <w:r>
        <w:rPr/>
        <w:t xml:space="preserve">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indicates a recommendation to do something</w:t>
      </w:r>
    </w:p>
    <w:p>
      <w:pPr>
        <w:pStyle w:val="EX"/>
        <w:rPr/>
      </w:pPr>
      <w:r>
        <w:rPr>
          <w:b/>
        </w:rPr>
        <w:t>should not</w:t>
      </w:r>
      <w:r>
        <w:rPr/>
        <w:tab/>
        <w:t>indicates a recommendation not to do something</w:t>
      </w:r>
    </w:p>
    <w:p>
      <w:pPr>
        <w:pStyle w:val="EX"/>
        <w:rPr/>
      </w:pPr>
      <w:r>
        <w:rPr>
          <w:b/>
        </w:rPr>
        <w:t>may</w:t>
      </w:r>
      <w:r>
        <w:rPr/>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indicates that something is possible</w:t>
      </w:r>
    </w:p>
    <w:p>
      <w:pPr>
        <w:pStyle w:val="EX"/>
        <w:rPr/>
      </w:pPr>
      <w:r>
        <w:rPr>
          <w:b/>
        </w:rPr>
        <w:t>cannot</w:t>
      </w:r>
      <w:r>
        <w:rPr/>
        <w:tab/>
        <w:t>indicates that something is impossible</w:t>
      </w:r>
    </w:p>
    <w:p>
      <w:pPr>
        <w:pStyle w:val="Normal"/>
        <w:rPr/>
      </w:pPr>
      <w:r>
        <w:rPr/>
        <w:t>The constructions "can" and "cannot" are not substitutes for "may" and "need not".</w:t>
      </w:r>
    </w:p>
    <w:p>
      <w:pPr>
        <w:pStyle w:val="EX"/>
        <w:rPr/>
      </w:pPr>
      <w:r>
        <w:rPr>
          <w:b/>
        </w:rPr>
        <w:t>will</w:t>
      </w:r>
      <w:r>
        <w:rPr/>
        <w:tab/>
        <w:t>indicates that something is certain or expected to happen as a result of action taken by an agency the behaviour of which is outside the scope of the present document</w:t>
      </w:r>
    </w:p>
    <w:p>
      <w:pPr>
        <w:pStyle w:val="EX"/>
        <w:rPr/>
      </w:pPr>
      <w:r>
        <w:rPr>
          <w:b/>
        </w:rPr>
        <w:t>will not</w:t>
      </w:r>
      <w:r>
        <w:rPr/>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r>
        <w:br w:type="page"/>
      </w:r>
    </w:p>
    <w:p>
      <w:pPr>
        <w:pStyle w:val="Heading1"/>
        <w:ind w:left="1134" w:hanging="1134"/>
        <w:rPr/>
      </w:pPr>
      <w:bookmarkStart w:id="22" w:name="__RefHeading___Toc51762600"/>
      <w:bookmarkEnd w:id="22"/>
      <w:r>
        <w:rPr/>
        <w:t>1</w:t>
        <w:tab/>
        <w:t>Scope</w:t>
      </w:r>
    </w:p>
    <w:p>
      <w:pPr>
        <w:pStyle w:val="Normal"/>
        <w:rPr/>
      </w:pPr>
      <w:r>
        <w:rPr/>
        <w:t>The present document</w:t>
      </w:r>
      <w:r>
        <w:rPr>
          <w:lang w:eastAsia="ja-JP"/>
        </w:rPr>
        <w:t xml:space="preserve"> specifies the standards for Signalling Transport to be used across </w:t>
      </w:r>
      <w:r>
        <w:rPr>
          <w:lang w:eastAsia="ja-JP"/>
        </w:rPr>
        <w:t xml:space="preserve">the W1 </w:t>
      </w:r>
      <w:r>
        <w:rPr>
          <w:lang w:eastAsia="ja-JP"/>
        </w:rPr>
        <w:t xml:space="preserve">interface. </w:t>
      </w:r>
      <w:r>
        <w:rPr/>
        <w:t xml:space="preserve">The W1 interface provides means for interconnecting a ng-eNB-CU and a ng-eNB-DU of a ng-eNB within a NG-RAN. </w:t>
      </w:r>
      <w:r>
        <w:rPr>
          <w:lang w:eastAsia="ja-JP"/>
        </w:rPr>
        <w:t xml:space="preserve">The present document describes how the </w:t>
      </w:r>
      <w:r>
        <w:rPr>
          <w:lang w:eastAsia="ja-JP"/>
        </w:rPr>
        <w:t>W1</w:t>
      </w:r>
      <w:r>
        <w:rPr>
          <w:lang w:eastAsia="ja-JP"/>
        </w:rPr>
        <w:t xml:space="preserve">AP signalling messages are transported over </w:t>
      </w:r>
      <w:r>
        <w:rPr>
          <w:lang w:eastAsia="ja-JP"/>
        </w:rPr>
        <w:t>W1</w:t>
      </w:r>
      <w:r>
        <w:rPr>
          <w:lang w:eastAsia="ja-JP"/>
        </w:rPr>
        <w:t>.</w:t>
      </w:r>
    </w:p>
    <w:p>
      <w:pPr>
        <w:pStyle w:val="Heading1"/>
        <w:ind w:left="1134" w:hanging="1134"/>
        <w:rPr/>
      </w:pPr>
      <w:bookmarkStart w:id="23" w:name="__RefHeading___Toc51762601"/>
      <w:bookmarkEnd w:id="23"/>
      <w:r>
        <w:rPr/>
        <w:t>2</w:t>
        <w:tab/>
        <w:t>References</w:t>
      </w:r>
    </w:p>
    <w:p>
      <w:pPr>
        <w:pStyle w:val="Normal"/>
        <w:rPr/>
      </w:pPr>
      <w:r>
        <w:rPr/>
        <w:t>The following documents contain provisions which, through reference in this text, constitute provisions of the present document.</w:t>
      </w:r>
    </w:p>
    <w:p>
      <w:pPr>
        <w:pStyle w:val="B1"/>
        <w:rPr/>
      </w:pPr>
      <w:bookmarkStart w:id="24" w:name="OLE_LINK4"/>
      <w:bookmarkStart w:id="25" w:name="OLE_LINK3"/>
      <w:bookmarkStart w:id="26" w:name="OLE_LINK2"/>
      <w:bookmarkStart w:id="27" w:name="OLE_LINK1"/>
      <w:bookmarkEnd w:id="24"/>
      <w:bookmarkEnd w:id="25"/>
      <w:bookmarkEnd w:id="26"/>
      <w:bookmarkEnd w:id="27"/>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bookmarkStart w:id="28" w:name="OLE_LINK4"/>
      <w:bookmarkStart w:id="29" w:name="OLE_LINK3"/>
      <w:bookmarkStart w:id="30" w:name="OLE_LINK2"/>
      <w:bookmarkStart w:id="31" w:name="OLE_LINK1"/>
      <w:bookmarkEnd w:id="28"/>
      <w:bookmarkEnd w:id="29"/>
      <w:bookmarkEnd w:id="30"/>
      <w:bookmarkEnd w:id="31"/>
      <w:r>
        <w:rPr/>
        <w:t>[1]</w:t>
        <w:tab/>
        <w:t>3GPP TR 21.905: "Vocabulary for 3GPP Specifications".</w:t>
      </w:r>
    </w:p>
    <w:p>
      <w:pPr>
        <w:pStyle w:val="EX"/>
        <w:rPr/>
      </w:pPr>
      <w:r>
        <w:rPr/>
        <w:t>[2]</w:t>
        <w:tab/>
        <w:t>IETF RFC 8200 (2017-07): "Internet Protocol, Version 6 (IPv6) Specification".</w:t>
      </w:r>
    </w:p>
    <w:p>
      <w:pPr>
        <w:pStyle w:val="EX"/>
        <w:rPr/>
      </w:pPr>
      <w:r>
        <w:rPr/>
        <w:t>[</w:t>
      </w:r>
      <w:r>
        <w:rPr>
          <w:lang w:eastAsia="zh-CN"/>
        </w:rPr>
        <w:t>3</w:t>
      </w:r>
      <w:r>
        <w:rPr/>
        <w:t>]</w:t>
        <w:tab/>
        <w:t>IETF RFC 791 (1981-09): "Internet Protocol".</w:t>
      </w:r>
    </w:p>
    <w:p>
      <w:pPr>
        <w:pStyle w:val="EX"/>
        <w:rPr/>
      </w:pPr>
      <w:r>
        <w:rPr/>
        <w:t>[</w:t>
      </w:r>
      <w:r>
        <w:rPr>
          <w:lang w:eastAsia="zh-CN"/>
        </w:rPr>
        <w:t>4</w:t>
      </w:r>
      <w:r>
        <w:rPr/>
        <w:t>]</w:t>
        <w:tab/>
        <w:t>IETF RFC 2474 (1998-12): "Definition of the Differentiated Services Field (DS Field) in the IPv4 and IPv6 Headers".</w:t>
      </w:r>
    </w:p>
    <w:p>
      <w:pPr>
        <w:pStyle w:val="EX"/>
        <w:rPr/>
      </w:pPr>
      <w:r>
        <w:rPr/>
        <w:t>[</w:t>
      </w:r>
      <w:r>
        <w:rPr>
          <w:lang w:eastAsia="zh-CN"/>
        </w:rPr>
        <w:t>5</w:t>
      </w:r>
      <w:r>
        <w:rPr/>
        <w:t>]</w:t>
        <w:tab/>
        <w:t>IETF RFC 4960 (2007-09): "Stream Control Transmission Protocol".</w:t>
      </w:r>
    </w:p>
    <w:p>
      <w:pPr>
        <w:pStyle w:val="EX"/>
        <w:rPr/>
      </w:pPr>
      <w:r>
        <w:rPr/>
        <w:t>[</w:t>
      </w:r>
      <w:r>
        <w:rPr>
          <w:lang w:eastAsia="zh-CN"/>
        </w:rPr>
        <w:t>6</w:t>
      </w:r>
      <w:r>
        <w:rPr/>
        <w:t>]</w:t>
        <w:tab/>
        <w:t>3GPP TS 38.300: "NR; Overall description; Stage-2".</w:t>
      </w:r>
    </w:p>
    <w:p>
      <w:pPr>
        <w:pStyle w:val="Heading1"/>
        <w:ind w:left="1134" w:hanging="1134"/>
        <w:rPr/>
      </w:pPr>
      <w:bookmarkStart w:id="32" w:name="__RefHeading___Toc51762602"/>
      <w:bookmarkEnd w:id="32"/>
      <w:r>
        <w:rPr/>
        <w:t>3</w:t>
        <w:tab/>
        <w:t>Definitions of terms, symbols and abbreviations</w:t>
      </w:r>
    </w:p>
    <w:p>
      <w:pPr>
        <w:pStyle w:val="Heading2"/>
        <w:rPr/>
      </w:pPr>
      <w:bookmarkStart w:id="33" w:name="__RefHeading___Toc51762603"/>
      <w:bookmarkEnd w:id="33"/>
      <w:r>
        <w:rPr/>
        <w:t>3.1</w:t>
        <w:tab/>
        <w:t>Terms</w:t>
      </w:r>
    </w:p>
    <w:p>
      <w:pPr>
        <w:pStyle w:val="Normal"/>
        <w:rPr>
          <w:lang w:eastAsia="zh-CN"/>
        </w:rPr>
      </w:pPr>
      <w:r>
        <w:rPr/>
        <w:t xml:space="preserve">For the purposes of the present document, the terms and definitions given in </w:t>
      </w:r>
      <w:bookmarkStart w:id="34" w:name="OLE_LINK8"/>
      <w:bookmarkStart w:id="35" w:name="OLE_LINK7"/>
      <w:bookmarkStart w:id="36" w:name="OLE_LINK6"/>
      <w:r>
        <w:rPr/>
        <w:t xml:space="preserve">3GPP </w:t>
      </w:r>
      <w:bookmarkEnd w:id="34"/>
      <w:bookmarkEnd w:id="35"/>
      <w:bookmarkEnd w:id="36"/>
      <w:r>
        <w:rPr/>
        <w:t>TR 21.905 [1] and the following apply. A term defined in the present document takes precedence over the definition of the same term, if any, in 3GPP TR 21.905 [1].</w:t>
      </w:r>
    </w:p>
    <w:p>
      <w:pPr>
        <w:pStyle w:val="Normal"/>
        <w:rPr/>
      </w:pPr>
      <w:r>
        <w:rPr>
          <w:b/>
        </w:rPr>
        <w:t>ng-eNB</w:t>
      </w:r>
      <w:r>
        <w:rPr/>
        <w:t xml:space="preserve">: </w:t>
      </w:r>
      <w:r>
        <w:rPr>
          <w:lang w:eastAsia="ja-JP"/>
        </w:rPr>
        <w:t>as defined in</w:t>
      </w:r>
      <w:r>
        <w:rPr/>
        <w:t xml:space="preserve"> 3GPP TS 38.300 [</w:t>
      </w:r>
      <w:r>
        <w:rPr>
          <w:lang w:eastAsia="zh-CN"/>
        </w:rPr>
        <w:t>6</w:t>
      </w:r>
      <w:r>
        <w:rPr/>
        <w:t>]</w:t>
      </w:r>
    </w:p>
    <w:p>
      <w:pPr>
        <w:pStyle w:val="Normal"/>
        <w:rPr/>
      </w:pPr>
      <w:r>
        <w:rPr>
          <w:b/>
        </w:rPr>
        <w:t>SCTP association:</w:t>
      </w:r>
      <w:r>
        <w:rPr/>
        <w:t xml:space="preserve"> as defined in IETF RFC 4960 (2007-09) [</w:t>
      </w:r>
      <w:r>
        <w:rPr>
          <w:lang w:eastAsia="zh-CN"/>
        </w:rPr>
        <w:t>5</w:t>
      </w:r>
      <w:r>
        <w:rPr/>
        <w:t>]</w:t>
      </w:r>
    </w:p>
    <w:p>
      <w:pPr>
        <w:pStyle w:val="Normal"/>
        <w:rPr/>
      </w:pPr>
      <w:r>
        <w:rPr>
          <w:b/>
        </w:rPr>
        <w:t>SCTP endpoint:</w:t>
      </w:r>
      <w:r>
        <w:rPr/>
        <w:t xml:space="preserve"> as defined in IETF RFC 4960 (2007-09) [</w:t>
      </w:r>
      <w:r>
        <w:rPr>
          <w:lang w:eastAsia="zh-CN"/>
        </w:rPr>
        <w:t>5</w:t>
      </w:r>
      <w:r>
        <w:rPr/>
        <w:t>]</w:t>
      </w:r>
    </w:p>
    <w:p>
      <w:pPr>
        <w:pStyle w:val="Normal"/>
        <w:rPr>
          <w:lang w:eastAsia="ja-JP"/>
        </w:rPr>
      </w:pPr>
      <w:r>
        <w:rPr>
          <w:b/>
          <w:lang w:eastAsia="ja-JP"/>
        </w:rPr>
        <w:t>W1:</w:t>
      </w:r>
      <w:r>
        <w:rPr/>
        <w:t xml:space="preserve"> interface between a </w:t>
      </w:r>
      <w:r>
        <w:rPr>
          <w:lang w:eastAsia="ja-JP"/>
        </w:rPr>
        <w:t xml:space="preserve">ng-eNB-CU </w:t>
      </w:r>
      <w:r>
        <w:rPr/>
        <w:t>and a ng-eNB-DU</w:t>
      </w:r>
      <w:r>
        <w:rPr>
          <w:lang w:eastAsia="ja-JP"/>
        </w:rPr>
        <w:t>,</w:t>
      </w:r>
      <w:r>
        <w:rPr/>
        <w:t xml:space="preserve"> providing an interconnection point between the </w:t>
      </w:r>
      <w:r>
        <w:rPr>
          <w:lang w:eastAsia="ja-JP"/>
        </w:rPr>
        <w:t xml:space="preserve">ng-eNB-CU </w:t>
      </w:r>
      <w:r>
        <w:rPr/>
        <w:t xml:space="preserve">and the ng-eNB-DU. </w:t>
      </w:r>
    </w:p>
    <w:p>
      <w:pPr>
        <w:pStyle w:val="Normal"/>
        <w:rPr>
          <w:lang w:eastAsia="en-US"/>
        </w:rPr>
      </w:pPr>
      <w:r>
        <w:rPr>
          <w:b/>
        </w:rPr>
        <w:t>W1-C</w:t>
      </w:r>
      <w:r>
        <w:rPr/>
        <w:t>:</w:t>
      </w:r>
      <w:r>
        <w:rPr>
          <w:lang w:eastAsia="ja-JP"/>
        </w:rPr>
        <w:t xml:space="preserve"> </w:t>
      </w:r>
      <w:r>
        <w:rPr/>
        <w:t>Reference point for the control plane protocol between ng-eNB-CU and ng-eNB-DU.</w:t>
      </w:r>
    </w:p>
    <w:p>
      <w:pPr>
        <w:pStyle w:val="Heading2"/>
        <w:rPr/>
      </w:pPr>
      <w:bookmarkStart w:id="37" w:name="__RefHeading___Toc51762604"/>
      <w:bookmarkEnd w:id="37"/>
      <w:r>
        <w:rPr/>
        <w:t>3.2</w:t>
        <w:tab/>
        <w:t>Symbols</w:t>
      </w:r>
    </w:p>
    <w:p>
      <w:pPr>
        <w:pStyle w:val="Normal"/>
        <w:rPr/>
      </w:pPr>
      <w:r>
        <w:rPr/>
        <w:t>Void.</w:t>
      </w:r>
    </w:p>
    <w:p>
      <w:pPr>
        <w:pStyle w:val="Heading2"/>
        <w:rPr/>
      </w:pPr>
      <w:bookmarkStart w:id="38" w:name="__RefHeading___Toc51762605"/>
      <w:bookmarkEnd w:id="38"/>
      <w:r>
        <w:rPr/>
        <w:t>3.3</w:t>
        <w:tab/>
        <w:t>Abbreviations</w:t>
      </w:r>
    </w:p>
    <w:p>
      <w:pPr>
        <w:pStyle w:val="Normal"/>
        <w:keepNext w:val="true"/>
        <w:rPr>
          <w:lang w:eastAsia="zh-CN"/>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lang w:eastAsia="ja-JP"/>
        </w:rPr>
        <w:t>DiffServ</w:t>
        <w:tab/>
        <w:t>Differentiated Service</w:t>
      </w:r>
    </w:p>
    <w:p>
      <w:pPr>
        <w:pStyle w:val="EW"/>
        <w:rPr>
          <w:lang w:eastAsia="ja-JP"/>
        </w:rPr>
      </w:pPr>
      <w:r>
        <w:rPr/>
        <w:t>IANA</w:t>
        <w:tab/>
        <w:t>Internet Assigned Number Authority</w:t>
      </w:r>
      <w:r>
        <w:rPr>
          <w:lang w:eastAsia="ja-JP"/>
        </w:rPr>
        <w:t xml:space="preserve"> </w:t>
      </w:r>
    </w:p>
    <w:p>
      <w:pPr>
        <w:pStyle w:val="EW"/>
        <w:rPr/>
      </w:pPr>
      <w:r>
        <w:rPr>
          <w:lang w:eastAsia="ja-JP"/>
        </w:rPr>
        <w:t>IP</w:t>
        <w:tab/>
        <w:t>Internet Protocol</w:t>
      </w:r>
    </w:p>
    <w:p>
      <w:pPr>
        <w:pStyle w:val="EW"/>
        <w:rPr>
          <w:lang w:eastAsia="ja-JP"/>
        </w:rPr>
      </w:pPr>
      <w:r>
        <w:rPr>
          <w:lang w:eastAsia="ja-JP"/>
        </w:rPr>
        <w:t>PPP</w:t>
        <w:tab/>
        <w:t>Point to Point Protocol</w:t>
      </w:r>
    </w:p>
    <w:p>
      <w:pPr>
        <w:pStyle w:val="EW"/>
        <w:rPr>
          <w:lang w:eastAsia="ja-JP"/>
        </w:rPr>
      </w:pPr>
      <w:r>
        <w:rPr>
          <w:lang w:eastAsia="ja-JP"/>
        </w:rPr>
        <w:t>SCTP</w:t>
        <w:tab/>
        <w:t>Stream Control Transmission Protocol</w:t>
      </w:r>
    </w:p>
    <w:p>
      <w:pPr>
        <w:pStyle w:val="Heading2"/>
        <w:rPr>
          <w:lang w:eastAsia="zh-CN"/>
        </w:rPr>
      </w:pPr>
      <w:bookmarkStart w:id="39" w:name="__RefHeading___Toc51762606"/>
      <w:bookmarkStart w:id="40" w:name="historyclause"/>
      <w:bookmarkEnd w:id="39"/>
      <w:bookmarkEnd w:id="40"/>
      <w:r>
        <w:rPr>
          <w:lang w:eastAsia="ja-JP"/>
        </w:rPr>
        <w:t>4.</w:t>
        <w:tab/>
        <w:t>W1-C</w:t>
      </w:r>
      <w:r>
        <w:rPr/>
        <w:t xml:space="preserve"> </w:t>
      </w:r>
      <w:r>
        <w:rPr/>
        <w:t>s</w:t>
      </w:r>
      <w:r>
        <w:rPr/>
        <w:t>ignal</w:t>
      </w:r>
      <w:r>
        <w:rPr>
          <w:lang w:eastAsia="ja-JP"/>
        </w:rPr>
        <w:t>l</w:t>
      </w:r>
      <w:r>
        <w:rPr/>
        <w:t xml:space="preserve">ing </w:t>
      </w:r>
      <w:r>
        <w:rPr/>
        <w:t>b</w:t>
      </w:r>
      <w:r>
        <w:rPr/>
        <w:t>earer</w:t>
      </w:r>
    </w:p>
    <w:p>
      <w:pPr>
        <w:pStyle w:val="Heading2"/>
        <w:rPr>
          <w:lang w:eastAsia="zh-CN"/>
        </w:rPr>
      </w:pPr>
      <w:bookmarkStart w:id="41" w:name="__RefHeading___Toc51762607"/>
      <w:bookmarkEnd w:id="41"/>
      <w:r>
        <w:rPr>
          <w:lang w:eastAsia="ja-JP"/>
        </w:rPr>
        <w:t>4.1</w:t>
        <w:tab/>
      </w:r>
      <w:r>
        <w:rPr>
          <w:lang w:eastAsia="ja-JP"/>
        </w:rPr>
        <w:t xml:space="preserve">Function and </w:t>
      </w:r>
      <w:r>
        <w:rPr>
          <w:lang w:eastAsia="ja-JP"/>
        </w:rPr>
        <w:t>p</w:t>
      </w:r>
      <w:r>
        <w:rPr>
          <w:lang w:eastAsia="ja-JP"/>
        </w:rPr>
        <w:t xml:space="preserve">rotocol </w:t>
      </w:r>
      <w:r>
        <w:rPr>
          <w:lang w:eastAsia="ja-JP"/>
        </w:rPr>
        <w:t>s</w:t>
      </w:r>
      <w:r>
        <w:rPr>
          <w:lang w:eastAsia="ja-JP"/>
        </w:rPr>
        <w:t>tack</w:t>
      </w:r>
    </w:p>
    <w:p>
      <w:pPr>
        <w:pStyle w:val="Normal"/>
        <w:rPr>
          <w:lang w:eastAsia="ja-JP"/>
        </w:rPr>
      </w:pPr>
      <w:r>
        <w:rPr>
          <w:lang w:eastAsia="ja-JP"/>
        </w:rPr>
        <w:t>The W1-C</w:t>
      </w:r>
      <w:r>
        <w:rPr/>
        <w:t xml:space="preserve"> signalling bearer provide</w:t>
      </w:r>
      <w:r>
        <w:rPr>
          <w:lang w:eastAsia="ja-JP"/>
        </w:rPr>
        <w:t>s</w:t>
      </w:r>
      <w:r>
        <w:rPr/>
        <w:t xml:space="preserve"> the following functions:</w:t>
      </w:r>
    </w:p>
    <w:p>
      <w:pPr>
        <w:pStyle w:val="B1"/>
        <w:rPr>
          <w:lang w:eastAsia="ja-JP"/>
        </w:rPr>
      </w:pPr>
      <w:r>
        <w:rPr/>
        <w:t>-</w:t>
        <w:tab/>
        <w:t xml:space="preserve">Provision of reliable transfer of </w:t>
      </w:r>
      <w:r>
        <w:rPr>
          <w:lang w:eastAsia="ja-JP"/>
        </w:rPr>
        <w:t>W1</w:t>
      </w:r>
      <w:r>
        <w:rPr/>
        <w:t xml:space="preserve">AP </w:t>
      </w:r>
      <w:r>
        <w:rPr>
          <w:lang w:eastAsia="ja-JP"/>
        </w:rPr>
        <w:t>messages</w:t>
      </w:r>
      <w:r>
        <w:rPr/>
        <w:t xml:space="preserve"> over the </w:t>
      </w:r>
      <w:r>
        <w:rPr>
          <w:lang w:eastAsia="ja-JP"/>
        </w:rPr>
        <w:t>W1-C</w:t>
      </w:r>
      <w:r>
        <w:rPr/>
        <w:t xml:space="preserve"> interface.</w:t>
      </w:r>
    </w:p>
    <w:p>
      <w:pPr>
        <w:pStyle w:val="B1"/>
        <w:rPr>
          <w:lang w:eastAsia="ja-JP"/>
        </w:rPr>
      </w:pPr>
      <w:r>
        <w:rPr/>
        <w:t>-</w:t>
        <w:tab/>
        <w:t>Provision of networking and routeing function.</w:t>
      </w:r>
    </w:p>
    <w:p>
      <w:pPr>
        <w:pStyle w:val="B1"/>
        <w:rPr>
          <w:lang w:eastAsia="ja-JP"/>
        </w:rPr>
      </w:pPr>
      <w:r>
        <w:rPr/>
        <w:t>-</w:t>
        <w:tab/>
        <w:t>Provision of redundancy in the signalling network.</w:t>
      </w:r>
    </w:p>
    <w:p>
      <w:pPr>
        <w:pStyle w:val="B1"/>
        <w:rPr/>
      </w:pPr>
      <w:r>
        <w:rPr/>
        <w:t>-</w:t>
        <w:tab/>
        <w:t xml:space="preserve">Support for flow control and </w:t>
      </w:r>
      <w:r>
        <w:rPr>
          <w:lang w:eastAsia="ja-JP"/>
        </w:rPr>
        <w:t>congestion control.</w:t>
      </w:r>
    </w:p>
    <w:p>
      <w:pPr>
        <w:pStyle w:val="Normal"/>
        <w:rPr>
          <w:lang w:eastAsia="ja-JP"/>
        </w:rPr>
      </w:pPr>
      <w:r>
        <w:rPr>
          <w:lang w:eastAsia="ja-JP"/>
        </w:rPr>
        <w:t xml:space="preserve">The protocol stack for W1-C Signalling Bearer is shown in figure </w:t>
      </w:r>
      <w:r>
        <w:rPr>
          <w:lang w:eastAsia="zh-CN"/>
        </w:rPr>
        <w:t>4</w:t>
      </w:r>
      <w:r>
        <w:rPr>
          <w:lang w:eastAsia="ja-JP"/>
        </w:rPr>
        <w:t>.</w:t>
      </w:r>
      <w:r>
        <w:rPr>
          <w:lang w:eastAsia="zh-CN"/>
        </w:rPr>
        <w:t>1</w:t>
      </w:r>
      <w:r>
        <w:rPr>
          <w:lang w:eastAsia="ja-JP"/>
        </w:rPr>
        <w:t xml:space="preserve">-1 and details on each protocol are described in the following clauses. </w:t>
      </w:r>
    </w:p>
    <w:p>
      <w:pPr>
        <w:pStyle w:val="TH"/>
        <w:rPr>
          <w:lang w:eastAsia="ja-JP"/>
        </w:rPr>
      </w:pPr>
      <w:r>
        <w:rPr>
          <w:lang w:eastAsia="en-US"/>
        </w:rPr>
        <w:object w:dxaOrig="5985" w:dyaOrig="340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99.5pt;height:170.5pt" filled="f" o:ole="">
            <v:imagedata r:id="rId5" o:title=""/>
          </v:shape>
          <o:OLEObject Type="Embed" ProgID="" ShapeID="ole_rId4" DrawAspect="Content" ObjectID="_146251865" r:id="rId4"/>
        </w:object>
      </w:r>
    </w:p>
    <w:p>
      <w:pPr>
        <w:pStyle w:val="TF"/>
        <w:rPr>
          <w:lang w:eastAsia="ja-JP"/>
        </w:rPr>
      </w:pPr>
      <w:r>
        <w:rPr>
          <w:lang w:eastAsia="ja-JP"/>
        </w:rPr>
        <w:t xml:space="preserve">Figure </w:t>
      </w:r>
      <w:r>
        <w:rPr>
          <w:lang w:eastAsia="zh-CN"/>
        </w:rPr>
        <w:t>4</w:t>
      </w:r>
      <w:r>
        <w:rPr>
          <w:lang w:eastAsia="ja-JP"/>
        </w:rPr>
        <w:t>.</w:t>
      </w:r>
      <w:r>
        <w:rPr>
          <w:lang w:eastAsia="zh-CN"/>
        </w:rPr>
        <w:t>1</w:t>
      </w:r>
      <w:r>
        <w:rPr>
          <w:lang w:eastAsia="ja-JP"/>
        </w:rPr>
        <w:t>-1: W1-C signalling bearer protocol stack</w:t>
      </w:r>
    </w:p>
    <w:p>
      <w:pPr>
        <w:pStyle w:val="Normal"/>
        <w:rPr>
          <w:lang w:eastAsia="ja-JP"/>
        </w:rPr>
      </w:pPr>
      <w:r>
        <w:rPr>
          <w:lang w:eastAsia="ja-JP"/>
        </w:rPr>
        <w:t xml:space="preserve">The Transport Network Layer is based on IP transport, comprising SCTP on top of IP. </w:t>
      </w:r>
    </w:p>
    <w:p>
      <w:pPr>
        <w:pStyle w:val="Heading1"/>
        <w:ind w:left="1134" w:hanging="1134"/>
        <w:rPr/>
      </w:pPr>
      <w:bookmarkStart w:id="42" w:name="__RefHeading___Toc51762608"/>
      <w:bookmarkEnd w:id="42"/>
      <w:r>
        <w:rPr>
          <w:lang w:eastAsia="ja-JP"/>
        </w:rPr>
        <w:t>5</w:t>
        <w:tab/>
      </w:r>
      <w:r>
        <w:rPr>
          <w:lang w:eastAsia="ja-JP"/>
        </w:rPr>
        <w:t xml:space="preserve">Data </w:t>
      </w:r>
      <w:r>
        <w:rPr>
          <w:lang w:eastAsia="ja-JP"/>
        </w:rPr>
        <w:t>l</w:t>
      </w:r>
      <w:r>
        <w:rPr>
          <w:lang w:eastAsia="ja-JP"/>
        </w:rPr>
        <w:t xml:space="preserve">ink </w:t>
      </w:r>
      <w:r>
        <w:rPr>
          <w:lang w:eastAsia="ja-JP"/>
        </w:rPr>
        <w:t>l</w:t>
      </w:r>
      <w:r>
        <w:rPr>
          <w:lang w:eastAsia="ja-JP"/>
        </w:rPr>
        <w:t>ayer</w:t>
      </w:r>
    </w:p>
    <w:p>
      <w:pPr>
        <w:pStyle w:val="Normal"/>
        <w:rPr>
          <w:lang w:eastAsia="ja-JP"/>
        </w:rPr>
      </w:pPr>
      <w:r>
        <w:rPr>
          <w:lang w:eastAsia="ja-JP"/>
        </w:rPr>
        <w:t>The support of any suitable Data Link Layer protocol, e.g. PPP, Ethernet, etc., shall not be prevented.</w:t>
      </w:r>
    </w:p>
    <w:p>
      <w:pPr>
        <w:pStyle w:val="Heading1"/>
        <w:ind w:left="1134" w:hanging="1134"/>
        <w:rPr>
          <w:lang w:eastAsia="ja-JP"/>
        </w:rPr>
      </w:pPr>
      <w:bookmarkStart w:id="43" w:name="__RefHeading___Toc51762609"/>
      <w:bookmarkEnd w:id="43"/>
      <w:r>
        <w:rPr>
          <w:lang w:eastAsia="ja-JP"/>
        </w:rPr>
        <w:t>6</w:t>
        <w:tab/>
      </w:r>
      <w:r>
        <w:rPr>
          <w:lang w:eastAsia="ja-JP"/>
        </w:rPr>
        <w:t xml:space="preserve">IP </w:t>
      </w:r>
      <w:r>
        <w:rPr>
          <w:lang w:eastAsia="ja-JP"/>
        </w:rPr>
        <w:t>l</w:t>
      </w:r>
      <w:r>
        <w:rPr>
          <w:lang w:eastAsia="ja-JP"/>
        </w:rPr>
        <w:t>ayer</w:t>
      </w:r>
    </w:p>
    <w:p>
      <w:pPr>
        <w:pStyle w:val="Normal"/>
        <w:rPr/>
      </w:pPr>
      <w:r>
        <w:rPr>
          <w:lang w:eastAsia="ja-JP"/>
        </w:rPr>
        <w:t>The ng-eNB-CU and ng-eNB-DU shall support IPv6 (IETF RFC 8200 [</w:t>
      </w:r>
      <w:r>
        <w:rPr>
          <w:lang w:eastAsia="zh-CN"/>
        </w:rPr>
        <w:t>2</w:t>
      </w:r>
      <w:r>
        <w:rPr>
          <w:lang w:eastAsia="ja-JP"/>
        </w:rPr>
        <w:t>]) and/or IPv4 (IETF RFC 791 [</w:t>
      </w:r>
      <w:r>
        <w:rPr>
          <w:lang w:eastAsia="zh-CN"/>
        </w:rPr>
        <w:t>3</w:t>
      </w:r>
      <w:r>
        <w:rPr>
          <w:lang w:eastAsia="ja-JP"/>
        </w:rPr>
        <w:t>]).</w:t>
      </w:r>
    </w:p>
    <w:p>
      <w:pPr>
        <w:pStyle w:val="Normal"/>
        <w:rPr/>
      </w:pPr>
      <w:r>
        <w:rPr>
          <w:lang w:eastAsia="ja-JP"/>
        </w:rPr>
        <w:t>The IP layer of W1-C only supports point-to-point transmission for delivering W1AP message.</w:t>
      </w:r>
    </w:p>
    <w:p>
      <w:pPr>
        <w:pStyle w:val="Normal"/>
        <w:rPr>
          <w:lang w:eastAsia="ja-JP"/>
        </w:rPr>
      </w:pPr>
      <w:r>
        <w:rPr>
          <w:lang w:eastAsia="ja-JP"/>
        </w:rPr>
        <w:t>The ng-eNB-CU and ng-eNB-DU shall support the Diffserv Code Point marking as described in IETF RFC 2474 [</w:t>
      </w:r>
      <w:r>
        <w:rPr>
          <w:lang w:eastAsia="zh-CN"/>
        </w:rPr>
        <w:t>4</w:t>
      </w:r>
      <w:r>
        <w:rPr>
          <w:lang w:eastAsia="ja-JP"/>
        </w:rPr>
        <w:t>].</w:t>
      </w:r>
    </w:p>
    <w:p>
      <w:pPr>
        <w:pStyle w:val="Heading1"/>
        <w:ind w:left="1134" w:hanging="1134"/>
        <w:rPr>
          <w:lang w:eastAsia="ja-JP"/>
        </w:rPr>
      </w:pPr>
      <w:bookmarkStart w:id="44" w:name="__RefHeading___Toc51762610"/>
      <w:bookmarkEnd w:id="44"/>
      <w:r>
        <w:rPr>
          <w:lang w:eastAsia="ja-JP"/>
        </w:rPr>
        <w:t>7</w:t>
        <w:tab/>
      </w:r>
      <w:r>
        <w:rPr>
          <w:lang w:eastAsia="ja-JP"/>
        </w:rPr>
        <w:t xml:space="preserve">Transport </w:t>
      </w:r>
      <w:r>
        <w:rPr>
          <w:lang w:eastAsia="ja-JP"/>
        </w:rPr>
        <w:t>l</w:t>
      </w:r>
      <w:r>
        <w:rPr>
          <w:lang w:eastAsia="ja-JP"/>
        </w:rPr>
        <w:t>ayer</w:t>
      </w:r>
    </w:p>
    <w:p>
      <w:pPr>
        <w:pStyle w:val="Normal"/>
        <w:rPr>
          <w:rFonts w:eastAsia="MS Mincho;ＭＳ 明朝"/>
          <w:lang w:eastAsia="ja-JP"/>
        </w:rPr>
      </w:pPr>
      <w:r>
        <w:rPr>
          <w:lang w:eastAsia="ja-JP"/>
        </w:rPr>
        <w:t>SCTP (IETF RFC 4960 [</w:t>
      </w:r>
      <w:r>
        <w:rPr>
          <w:lang w:eastAsia="zh-CN"/>
        </w:rPr>
        <w:t>5</w:t>
      </w:r>
      <w:r>
        <w:rPr>
          <w:lang w:eastAsia="ja-JP"/>
        </w:rPr>
        <w:t>]) shall be supported as the transport layer of W1-C signalling bearer.</w:t>
      </w:r>
      <w:r>
        <w:rPr>
          <w:rFonts w:eastAsia="MS Mincho;ＭＳ 明朝"/>
        </w:rPr>
        <w:t xml:space="preserve"> The Payload Protocol Identifier assigned by IANA to be used by SCTP for the application layer protocol W1AP is 73.</w:t>
      </w:r>
    </w:p>
    <w:p>
      <w:pPr>
        <w:pStyle w:val="Normal"/>
        <w:rPr>
          <w:rFonts w:eastAsia="MS Mincho;ＭＳ 明朝"/>
          <w:lang w:eastAsia="ja-JP"/>
        </w:rPr>
      </w:pPr>
      <w:r>
        <w:rPr>
          <w:lang w:eastAsia="ja-JP"/>
        </w:rPr>
        <w:t>SCTP refers to the Stream Control Transmission Protocol developed by the Sigtran working group of the IETF for the purpose of transporting various signalling protocols over IP network.</w:t>
      </w:r>
    </w:p>
    <w:p>
      <w:pPr>
        <w:pStyle w:val="Normal"/>
        <w:rPr>
          <w:lang w:eastAsia="en-US"/>
        </w:rPr>
      </w:pPr>
      <w:r>
        <w:rPr/>
        <w:t>The ng-eNB-DU and ng-eNB-CU shall support a configuration with a single SCTP association per ng-eNB-DU/ng-eNB-CU pair.</w:t>
      </w:r>
    </w:p>
    <w:p>
      <w:pPr>
        <w:pStyle w:val="Normal"/>
        <w:rPr>
          <w:rFonts w:eastAsia="MS Mincho;ＭＳ 明朝"/>
          <w:lang w:eastAsia="ja-JP"/>
        </w:rPr>
      </w:pPr>
      <w:r>
        <w:rPr>
          <w:rFonts w:eastAsia="MS Mincho;ＭＳ 明朝"/>
          <w:lang w:eastAsia="ja-JP"/>
        </w:rPr>
        <w:t>The</w:t>
      </w:r>
      <w:r>
        <w:rPr>
          <w:lang w:eastAsia="ja-JP"/>
        </w:rPr>
        <w:t xml:space="preserve"> ng-eNB-DU shall </w:t>
      </w:r>
      <w:r>
        <w:rPr>
          <w:rFonts w:eastAsia="MS Mincho;ＭＳ 明朝"/>
          <w:lang w:eastAsia="ja-JP"/>
        </w:rPr>
        <w:t>establish the</w:t>
      </w:r>
      <w:r>
        <w:rPr>
          <w:lang w:eastAsia="ja-JP"/>
        </w:rPr>
        <w:t xml:space="preserve"> SCTP association.</w:t>
      </w:r>
      <w:r>
        <w:rPr>
          <w:rFonts w:eastAsia="MS Mincho;ＭＳ 明朝"/>
        </w:rPr>
        <w:t xml:space="preserve"> The SCTP Destination Port number value assigned by IANA to be used for W1AP is 37472.</w:t>
      </w:r>
    </w:p>
    <w:p>
      <w:pPr>
        <w:pStyle w:val="Normal"/>
        <w:rPr>
          <w:lang w:eastAsia="ja-JP"/>
        </w:rPr>
      </w:pPr>
      <w:r>
        <w:rPr>
          <w:lang w:eastAsia="ja-JP"/>
        </w:rPr>
        <w:t>Within the set of SCTP associations established between one ng-eNB-CU and ng-eNB-DU pair, a single SCTP association shall be employed for W1AP elementary procedures that utilize non-UE-associated signalling with the possibility of fail-over to a new association to enable robustness.</w:t>
      </w:r>
      <w:r>
        <w:rPr/>
        <w:t xml:space="preserve"> </w:t>
      </w:r>
    </w:p>
    <w:p>
      <w:pPr>
        <w:pStyle w:val="Normal"/>
        <w:rPr/>
      </w:pPr>
      <w:r>
        <w:rPr>
          <w:lang w:eastAsia="ja-JP"/>
        </w:rPr>
        <w:t>Between one ng-eNB-CU and ng-eNB-DU pair</w:t>
      </w:r>
      <w:r>
        <w:rPr>
          <w:rFonts w:eastAsia="MS Mincho;ＭＳ 明朝"/>
          <w:lang w:eastAsia="ja-JP"/>
        </w:rPr>
        <w:t>:</w:t>
      </w:r>
    </w:p>
    <w:p>
      <w:pPr>
        <w:pStyle w:val="B1"/>
        <w:rPr/>
      </w:pPr>
      <w:r>
        <w:rPr>
          <w:rFonts w:eastAsia="MS Mincho;ＭＳ 明朝"/>
          <w:lang w:eastAsia="ja-JP"/>
        </w:rPr>
        <w:t>-</w:t>
        <w:tab/>
      </w:r>
      <w:r>
        <w:rPr>
          <w:lang w:eastAsia="ja-JP"/>
        </w:rPr>
        <w:t>A single</w:t>
      </w:r>
      <w:r>
        <w:rPr>
          <w:rFonts w:eastAsia="MS Mincho;ＭＳ 明朝"/>
        </w:rPr>
        <w:t xml:space="preserve"> pair of stream identifiers </w:t>
      </w:r>
      <w:r>
        <w:rPr>
          <w:lang w:eastAsia="ja-JP"/>
        </w:rPr>
        <w:t xml:space="preserve">shall be </w:t>
      </w:r>
      <w:r>
        <w:rPr>
          <w:rFonts w:eastAsia="MS Mincho;ＭＳ 明朝"/>
          <w:lang w:eastAsia="ja-JP"/>
        </w:rPr>
        <w:t xml:space="preserve">reserved over an SCTP association for the sole </w:t>
      </w:r>
      <w:r>
        <w:rPr>
          <w:lang w:eastAsia="ja-JP"/>
        </w:rPr>
        <w:t xml:space="preserve">use </w:t>
      </w:r>
      <w:r>
        <w:rPr>
          <w:rFonts w:eastAsia="MS Mincho;ＭＳ 明朝"/>
          <w:lang w:eastAsia="ja-JP"/>
        </w:rPr>
        <w:t>of</w:t>
      </w:r>
      <w:r>
        <w:rPr>
          <w:lang w:eastAsia="ja-JP"/>
        </w:rPr>
        <w:t xml:space="preserve"> W1AP elementary procedures that utilize non UE-associated signalling.</w:t>
      </w:r>
    </w:p>
    <w:p>
      <w:pPr>
        <w:pStyle w:val="B1"/>
        <w:rPr/>
      </w:pPr>
      <w:r>
        <w:rPr>
          <w:rFonts w:eastAsia="MS Mincho;ＭＳ 明朝"/>
        </w:rPr>
        <w:t>-</w:t>
        <w:tab/>
        <w:t>At least one pair</w:t>
      </w:r>
      <w:r>
        <w:rPr>
          <w:lang w:eastAsia="ja-JP"/>
        </w:rPr>
        <w:t xml:space="preserve"> </w:t>
      </w:r>
      <w:r>
        <w:rPr>
          <w:rFonts w:eastAsia="MS Mincho;ＭＳ 明朝"/>
        </w:rPr>
        <w:t xml:space="preserve">of stream identifiers over one or several SCTP associations </w:t>
      </w:r>
      <w:r>
        <w:rPr>
          <w:rFonts w:eastAsia="MS Mincho;ＭＳ 明朝"/>
          <w:lang w:eastAsia="ja-JP"/>
        </w:rPr>
        <w:t xml:space="preserve">shall </w:t>
      </w:r>
      <w:r>
        <w:rPr>
          <w:lang w:eastAsia="ja-JP"/>
        </w:rPr>
        <w:t xml:space="preserve">be </w:t>
      </w:r>
      <w:r>
        <w:rPr>
          <w:rFonts w:eastAsia="MS Mincho;ＭＳ 明朝"/>
          <w:lang w:eastAsia="ja-JP"/>
        </w:rPr>
        <w:t xml:space="preserve">reserved for the sole </w:t>
      </w:r>
      <w:r>
        <w:rPr>
          <w:lang w:eastAsia="ja-JP"/>
        </w:rPr>
        <w:t xml:space="preserve">use </w:t>
      </w:r>
      <w:r>
        <w:rPr>
          <w:rFonts w:eastAsia="MS Mincho;ＭＳ 明朝"/>
          <w:lang w:eastAsia="ja-JP"/>
        </w:rPr>
        <w:t>of</w:t>
      </w:r>
      <w:r>
        <w:rPr>
          <w:lang w:eastAsia="ja-JP"/>
        </w:rPr>
        <w:t xml:space="preserve"> W1AP elementary procedures that utilize UE-associated signalling. </w:t>
      </w:r>
      <w:r>
        <w:rPr>
          <w:rFonts w:eastAsia="MS Mincho;ＭＳ 明朝"/>
          <w:lang w:eastAsia="ja-JP"/>
        </w:rPr>
        <w:t>However, a few pairs (i.e. more than one) should be reserved.</w:t>
      </w:r>
    </w:p>
    <w:p>
      <w:pPr>
        <w:pStyle w:val="B1"/>
        <w:rPr/>
      </w:pPr>
      <w:r>
        <w:rPr>
          <w:rFonts w:eastAsia="MS Mincho;ＭＳ 明朝"/>
          <w:lang w:eastAsia="ja-JP"/>
        </w:rPr>
        <w:t>-</w:t>
        <w:tab/>
        <w:t xml:space="preserve">For a single UE-associated signalling, the ng-eNB-DU </w:t>
      </w:r>
      <w:r>
        <w:rPr>
          <w:lang w:eastAsia="ja-JP"/>
        </w:rPr>
        <w:t>shall use</w:t>
      </w:r>
      <w:r>
        <w:rPr>
          <w:rFonts w:eastAsia="MS Mincho;ＭＳ 明朝"/>
        </w:rPr>
        <w:t xml:space="preserve"> one SCTP association</w:t>
      </w:r>
      <w:r>
        <w:rPr>
          <w:rFonts w:eastAsia="MS PGothic"/>
          <w:lang w:eastAsia="ja-JP"/>
        </w:rPr>
        <w:t xml:space="preserve"> and one SCTP stream, and the association/stream should not be changed during the communication of the UE-associated signalling unless TNL binding update is performed</w:t>
      </w:r>
      <w:r>
        <w:rPr>
          <w:rFonts w:eastAsia="MS Mincho;ＭＳ 明朝"/>
          <w:lang w:eastAsia="ja-JP"/>
        </w:rPr>
        <w:t>.</w:t>
      </w:r>
    </w:p>
    <w:p>
      <w:pPr>
        <w:pStyle w:val="Normal"/>
        <w:rPr>
          <w:rFonts w:eastAsia="MS Mincho;ＭＳ 明朝"/>
          <w:lang w:eastAsia="ja-JP"/>
        </w:rPr>
      </w:pPr>
      <w:r>
        <w:rPr>
          <w:lang w:eastAsia="ja-JP"/>
        </w:rPr>
        <w:t xml:space="preserve">Transport </w:t>
      </w:r>
      <w:r>
        <w:rPr>
          <w:rFonts w:eastAsia="MS Mincho;ＭＳ 明朝"/>
          <w:lang w:eastAsia="ja-JP"/>
        </w:rPr>
        <w:t>network</w:t>
      </w:r>
      <w:r>
        <w:rPr>
          <w:lang w:eastAsia="ja-JP"/>
        </w:rPr>
        <w:t xml:space="preserve"> r</w:t>
      </w:r>
      <w:r>
        <w:rPr>
          <w:rFonts w:eastAsia="MS Mincho;ＭＳ 明朝"/>
        </w:rPr>
        <w:t xml:space="preserve">edundancy </w:t>
      </w:r>
      <w:r>
        <w:rPr>
          <w:lang w:eastAsia="ja-JP"/>
        </w:rPr>
        <w:t>may be</w:t>
      </w:r>
      <w:r>
        <w:rPr>
          <w:rFonts w:eastAsia="MS Mincho;ＭＳ 明朝"/>
        </w:rPr>
        <w:t xml:space="preserve"> achieved by SCTP multi-homing between two end-points, of which one or both is assigned with multiple IP addresses. SCTP end-points shall support a multi-homed remote SCTP end-point. </w:t>
      </w:r>
      <w:r>
        <w:rPr>
          <w:rFonts w:eastAsia="Batang;바탕"/>
          <w:bCs/>
          <w:lang w:eastAsia="ko-KR"/>
        </w:rPr>
        <w:t>For SCTP endpoint redundancy an INIT may be sent from a ng-eNB-CU or ng-eNB-DU, at any time for an already established SCTP association, which shall be handled as defined in IETF RFC 4960</w:t>
      </w:r>
      <w:r>
        <w:rPr>
          <w:bCs/>
          <w:lang w:eastAsia="zh-CN"/>
        </w:rPr>
        <w:t xml:space="preserve">[5] </w:t>
      </w:r>
      <w:r>
        <w:rPr>
          <w:rFonts w:eastAsia="Batang;바탕"/>
          <w:bCs/>
          <w:lang w:eastAsia="ko-KR"/>
        </w:rPr>
        <w:t xml:space="preserve">in </w:t>
      </w:r>
      <w:r>
        <w:rPr>
          <w:rFonts w:eastAsia="MS Mincho;ＭＳ 明朝"/>
          <w:bCs/>
          <w:lang w:eastAsia="ja-JP"/>
        </w:rPr>
        <w:t>sub clause</w:t>
      </w:r>
      <w:r>
        <w:rPr>
          <w:rFonts w:eastAsia="Batang;바탕"/>
          <w:bCs/>
          <w:lang w:eastAsia="ko-KR"/>
        </w:rPr>
        <w:t xml:space="preserve"> 5.2.</w:t>
      </w:r>
    </w:p>
    <w:p>
      <w:pPr>
        <w:pStyle w:val="Normal"/>
        <w:rPr>
          <w:lang w:eastAsia="en-US"/>
        </w:rPr>
      </w:pPr>
      <w:r>
        <w:rPr>
          <w:lang w:eastAsia="ja-JP"/>
        </w:rPr>
        <w:t xml:space="preserve">The </w:t>
      </w:r>
      <w:r>
        <w:rPr>
          <w:rFonts w:eastAsia="MS Mincho;ＭＳ 明朝"/>
        </w:rPr>
        <w:t xml:space="preserve">SCTP </w:t>
      </w:r>
      <w:r>
        <w:rPr>
          <w:lang w:eastAsia="ja-JP"/>
        </w:rPr>
        <w:t>congestion</w:t>
      </w:r>
      <w:r>
        <w:rPr>
          <w:rFonts w:eastAsia="MS Mincho;ＭＳ 明朝"/>
        </w:rPr>
        <w:t xml:space="preserve"> control may, using an implementation specific mechanism, initiate higher layer protocols to reduce the </w:t>
      </w:r>
      <w:r>
        <w:rPr>
          <w:lang w:eastAsia="ja-JP"/>
        </w:rPr>
        <w:t xml:space="preserve">signalling </w:t>
      </w:r>
      <w:r>
        <w:rPr>
          <w:rFonts w:eastAsia="MS Mincho;ＭＳ 明朝"/>
        </w:rPr>
        <w:t>traffic at the source and prioritise certain messages.</w:t>
      </w:r>
      <w:r>
        <w:br w:type="page"/>
      </w:r>
    </w:p>
    <w:p>
      <w:pPr>
        <w:pStyle w:val="Heading8"/>
        <w:ind w:left="0" w:hanging="0"/>
        <w:rPr/>
      </w:pPr>
      <w:bookmarkStart w:id="45" w:name="__RefHeading___Toc51762611"/>
      <w:bookmarkEnd w:id="45"/>
      <w:r>
        <w:rPr/>
        <w:t xml:space="preserve">Annex </w:t>
      </w:r>
      <w:r>
        <w:rPr>
          <w:lang w:eastAsia="ja-JP"/>
        </w:rPr>
        <w:t>A</w:t>
      </w:r>
      <w:r>
        <w:rPr/>
        <w:t xml:space="preserve"> (informative):</w:t>
        <w:br/>
        <w:t>Change History</w:t>
      </w:r>
    </w:p>
    <w:tbl>
      <w:tblPr>
        <w:tblW w:w="9639" w:type="dxa"/>
        <w:jc w:val="left"/>
        <w:tblInd w:w="-7" w:type="dxa"/>
        <w:tblLayout w:type="fixed"/>
        <w:tblCellMar>
          <w:top w:w="0" w:type="dxa"/>
          <w:left w:w="40" w:type="dxa"/>
          <w:bottom w:w="0" w:type="dxa"/>
          <w:right w:w="40" w:type="dxa"/>
        </w:tblCellMar>
      </w:tblPr>
      <w:tblGrid>
        <w:gridCol w:w="709"/>
        <w:gridCol w:w="891"/>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rHeight w:val="414" w:hRule="atLeast"/>
        </w:trPr>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2</w:t>
            </w:r>
            <w:r>
              <w:rPr>
                <w:rFonts w:eastAsia="DengXian;等线"/>
                <w:sz w:val="16"/>
                <w:szCs w:val="16"/>
                <w:lang w:eastAsia="zh-CN"/>
              </w:rPr>
              <w:t>018-05</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w:t>
            </w:r>
            <w:r>
              <w:rPr>
                <w:rFonts w:eastAsia="DengXian;等线"/>
                <w:sz w:val="16"/>
                <w:szCs w:val="16"/>
                <w:lang w:eastAsia="zh-CN"/>
              </w:rPr>
              <w:t>AN3#100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w:t>
            </w:r>
            <w:r>
              <w:rPr>
                <w:sz w:val="16"/>
                <w:szCs w:val="16"/>
                <w:lang w:eastAsia="zh-CN"/>
              </w:rPr>
              <w:t>3-183554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DengXian;等线"/>
                <w:sz w:val="16"/>
                <w:szCs w:val="16"/>
                <w:lang w:eastAsia="zh-CN"/>
              </w:rPr>
            </w:pPr>
            <w:r>
              <w:rPr>
                <w:rFonts w:eastAsia="DengXian;等线"/>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DengXian;等线"/>
                <w:sz w:val="16"/>
                <w:szCs w:val="16"/>
                <w:lang w:eastAsia="zh-CN"/>
              </w:rPr>
            </w:pPr>
            <w:r>
              <w:rPr>
                <w:sz w:val="16"/>
                <w:szCs w:val="16"/>
                <w:lang w:eastAsia="zh-CN"/>
              </w:rPr>
              <w:t xml:space="preserve">BL TS </w:t>
            </w:r>
            <w:r>
              <w:rPr>
                <w:sz w:val="16"/>
                <w:szCs w:val="16"/>
                <w:lang w:eastAsia="zh-CN"/>
              </w:rPr>
              <w:t>submission</w:t>
            </w:r>
            <w:r>
              <w:rPr>
                <w:sz w:val="16"/>
                <w:szCs w:val="16"/>
                <w:lang w:eastAsia="zh-CN"/>
              </w:rPr>
              <w:t xml:space="preserve">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DengXian;等线"/>
                <w:sz w:val="16"/>
                <w:szCs w:val="16"/>
                <w:lang w:eastAsia="zh-CN"/>
              </w:rPr>
              <w:t>2019</w:t>
            </w:r>
            <w:r>
              <w:rPr>
                <w:rFonts w:eastAsia="DengXian;等线"/>
                <w:sz w:val="16"/>
                <w:szCs w:val="16"/>
                <w:lang w:eastAsia="zh-CN"/>
              </w:rPr>
              <w:t>-</w:t>
            </w:r>
            <w:r>
              <w:rPr>
                <w:rFonts w:eastAsia="DengXian;等线"/>
                <w:sz w:val="16"/>
                <w:szCs w:val="16"/>
                <w:lang w:eastAsia="zh-CN"/>
              </w:rPr>
              <w:t>08</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eastAsia="DengXian;等线"/>
                <w:sz w:val="16"/>
                <w:szCs w:val="16"/>
                <w:lang w:eastAsia="zh-CN"/>
              </w:rPr>
              <w:t>RAN3#105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R3-194678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DengXian;等线"/>
                <w:sz w:val="16"/>
                <w:szCs w:val="16"/>
                <w:lang w:eastAsia="zh-CN"/>
              </w:rPr>
              <w:t>Add the description of procedure for the W1 signalling transport protocol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0.1.0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w:t>
            </w:r>
            <w:r>
              <w:rPr>
                <w:sz w:val="16"/>
                <w:szCs w:val="16"/>
                <w:lang w:eastAsia="zh-CN"/>
              </w:rPr>
              <w:t>10</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RAN3#105-Bis</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R3-196134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the description of References, Definitions and abbreviations.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0.1.0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2019</w:t>
            </w:r>
            <w:r>
              <w:rPr>
                <w:sz w:val="16"/>
                <w:szCs w:val="16"/>
                <w:lang w:eastAsia="zh-CN"/>
              </w:rPr>
              <w:t>-</w:t>
            </w:r>
            <w:r>
              <w:rPr>
                <w:sz w:val="16"/>
                <w:szCs w:val="16"/>
                <w:lang w:eastAsia="zh-CN"/>
              </w:rPr>
              <w:t>1</w:t>
            </w:r>
            <w:r>
              <w:rPr>
                <w:sz w:val="16"/>
                <w:szCs w:val="16"/>
                <w:lang w:eastAsia="zh-CN"/>
              </w:rPr>
              <w:t>1</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RAN3#10</w:t>
            </w:r>
            <w:r>
              <w:rPr>
                <w:sz w:val="16"/>
                <w:szCs w:val="16"/>
                <w:lang w:eastAsia="zh-CN"/>
              </w:rPr>
              <w:t>6</w:t>
            </w:r>
            <w:r>
              <w:rPr>
                <w:sz w:val="16"/>
                <w:szCs w:val="16"/>
                <w:lang w:eastAsia="zh-CN"/>
              </w:rPr>
              <w:t>-Bis</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R3-197634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Change the version number to 0.2.0.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0.</w:t>
            </w:r>
            <w:r>
              <w:rPr>
                <w:sz w:val="16"/>
                <w:szCs w:val="16"/>
                <w:lang w:eastAsia="zh-CN"/>
              </w:rPr>
              <w:t>2</w:t>
            </w:r>
            <w:r>
              <w:rPr>
                <w:sz w:val="16"/>
                <w:szCs w:val="16"/>
                <w:lang w:eastAsia="zh-CN"/>
              </w:rPr>
              <w:t>.0</w:t>
            </w:r>
          </w:p>
        </w:tc>
      </w:tr>
      <w:tr>
        <w:trPr>
          <w:trHeight w:val="48" w:hRule="atLeast"/>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2</w:t>
            </w:r>
            <w:r>
              <w:rPr>
                <w:rFonts w:eastAsia="DengXian;等线"/>
                <w:sz w:val="16"/>
                <w:szCs w:val="16"/>
                <w:lang w:eastAsia="zh-CN"/>
              </w:rPr>
              <w:t>019-12</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RP-86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RP-192954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DengXian;等线"/>
                <w:sz w:val="16"/>
                <w:szCs w:val="16"/>
                <w:lang w:eastAsia="zh-CN"/>
              </w:rPr>
            </w:pPr>
            <w:r>
              <w:rPr>
                <w:rFonts w:eastAsia="DengXian;等线"/>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DengXian;等线"/>
                <w:sz w:val="16"/>
                <w:szCs w:val="16"/>
                <w:lang w:eastAsia="zh-CN"/>
              </w:rPr>
            </w:pPr>
            <w:r>
              <w:rPr>
                <w:rFonts w:eastAsia="DengXian;等线"/>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submitted to TSG RAN plenary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2</w:t>
            </w:r>
            <w:r>
              <w:rPr>
                <w:rFonts w:eastAsia="DengXian;等线"/>
                <w:sz w:val="16"/>
                <w:szCs w:val="16"/>
                <w:lang w:eastAsia="zh-CN"/>
              </w:rPr>
              <w:t>019-12</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RP-86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DengXian;等线"/>
                <w:sz w:val="16"/>
                <w:szCs w:val="16"/>
                <w:lang w:eastAsia="zh-CN"/>
              </w:rPr>
            </w:pPr>
            <w:r>
              <w:rPr>
                <w:rFonts w:eastAsia="DengXian;等线"/>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eastAsia="DengXian;等线"/>
                <w:sz w:val="16"/>
                <w:szCs w:val="16"/>
                <w:lang w:eastAsia="zh-CN"/>
              </w:rPr>
            </w:pPr>
            <w:r>
              <w:rPr>
                <w:rFonts w:eastAsia="DengXian;等线"/>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eastAsia="DengXian;等线"/>
                <w:sz w:val="16"/>
                <w:szCs w:val="16"/>
                <w:lang w:eastAsia="zh-CN"/>
              </w:rPr>
            </w:pPr>
            <w:r>
              <w:rPr>
                <w:rFonts w:eastAsia="DengXian;等线"/>
                <w:sz w:val="16"/>
                <w:szCs w:val="16"/>
                <w:lang w:eastAsia="zh-CN"/>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approved by TSG RAN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2020-07</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RP-88-e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RP-201236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eastAsia="DengXian;等线"/>
                <w:sz w:val="16"/>
                <w:szCs w:val="16"/>
                <w:lang w:eastAsia="zh-CN"/>
              </w:rPr>
            </w:pPr>
            <w:r>
              <w:rPr>
                <w:rFonts w:eastAsia="DengXian;等线"/>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SCTP Payload Protocol Identifier for W1AP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2020-09</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RP-89-e</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DengXian;等线"/>
                <w:sz w:val="16"/>
                <w:szCs w:val="16"/>
                <w:lang w:eastAsia="zh-CN"/>
              </w:rPr>
            </w:pPr>
            <w:r>
              <w:rPr>
                <w:rFonts w:eastAsia="DengXian;等线"/>
                <w:sz w:val="16"/>
                <w:szCs w:val="16"/>
                <w:lang w:eastAsia="zh-CN"/>
              </w:rPr>
              <w:t>RP-201948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eastAsia="DengXian;等线"/>
                <w:sz w:val="16"/>
                <w:szCs w:val="16"/>
                <w:lang w:eastAsia="zh-CN"/>
              </w:rPr>
            </w:pPr>
            <w:r>
              <w:rPr>
                <w:rFonts w:eastAsia="DengXian;等线"/>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SCTP port number allocatd by IANA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
              <wp:simplePos x="0" y="0"/>
              <wp:positionH relativeFrom="margin">
                <wp:align>right</wp:align>
              </wp:positionH>
              <wp:positionV relativeFrom="paragraph">
                <wp:posOffset>635</wp:posOffset>
              </wp:positionV>
              <wp:extent cx="1818640" cy="180340"/>
              <wp:effectExtent l="0" t="0" r="0" b="0"/>
              <wp:wrapSquare wrapText="largest"/>
              <wp:docPr id="3" name="Frame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37.472 V16.2.0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37.472 V16.2.0 (2020-09)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4445</wp:posOffset>
              </wp:positionV>
              <wp:extent cx="64135" cy="180340"/>
              <wp:effectExtent l="0" t="0" r="0" b="0"/>
              <wp:wrapSquare wrapText="largest"/>
              <wp:docPr id="4" name="Frame2"/>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left</wp:align>
              </wp:positionH>
              <wp:positionV relativeFrom="paragraph">
                <wp:posOffset>4445</wp:posOffset>
              </wp:positionV>
              <wp:extent cx="591820" cy="180340"/>
              <wp:effectExtent l="0" t="0" r="0" b="0"/>
              <wp:wrapSquare wrapText="largest"/>
              <wp:docPr id="5" name="Frame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ar">
    <w:name w:val="B1+ Car"/>
    <w:qFormat/>
    <w:rPr/>
  </w:style>
  <w:style w:type="character" w:styleId="BalloonTextChar">
    <w:name w:val="Balloon Text Char"/>
    <w:qFormat/>
    <w:rPr>
      <w:rFonts w:ascii="Segoe UI" w:hAnsi="Segoe UI" w:cs="Segoe UI"/>
      <w:sz w:val="18"/>
      <w:szCs w:val="18"/>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TALChar">
    <w:name w:val="TAL Char"/>
    <w:qFormat/>
    <w:rPr>
      <w:rFonts w:ascii="Arial" w:hAnsi="Arial" w:eastAsia="Times New Roman" w:cs="Arial"/>
      <w:sz w:val="18"/>
    </w:rPr>
  </w:style>
  <w:style w:type="character" w:styleId="TACChar">
    <w:name w:val="TAC Char"/>
    <w:qFormat/>
    <w:rPr>
      <w:rFonts w:ascii="Arial" w:hAnsi="Arial" w:eastAsia="Times New Roman" w:cs="Arial"/>
      <w:sz w:val="18"/>
    </w:rPr>
  </w:style>
  <w:style w:type="character" w:styleId="TFChar">
    <w:name w:val="TF Char"/>
    <w:qFormat/>
    <w:rPr>
      <w:rFonts w:ascii="Arial" w:hAnsi="Arial" w:eastAsia="Times New Roman" w:cs="Arial"/>
      <w:b/>
    </w:rPr>
  </w:style>
  <w:style w:type="character" w:styleId="THChar">
    <w:name w:val="TH Char"/>
    <w:qFormat/>
    <w:rPr>
      <w:rFonts w:ascii="Arial" w:hAnsi="Arial" w:eastAsia="Times New Roman" w:cs="Arial"/>
      <w:b/>
    </w:rPr>
  </w:style>
  <w:style w:type="character" w:styleId="B1Char">
    <w:name w:val="B1 Char"/>
    <w:qFormat/>
    <w:rPr>
      <w:rFonts w:eastAsia="Times New Roman"/>
    </w:rPr>
  </w:style>
  <w:style w:type="character" w:styleId="EXChar">
    <w:name w:val="EX Char"/>
    <w:qFormat/>
    <w:rPr>
      <w:rFonts w:eastAsia="Times New Roman"/>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11">
    <w:name w:val="B1+"/>
    <w:basedOn w:val="B1"/>
    <w:qFormat/>
    <w:pPr>
      <w:numPr>
        <w:ilvl w:val="0"/>
        <w:numId w:val="2"/>
      </w:numPr>
    </w:pPr>
    <w:rPr/>
  </w:style>
  <w:style w:type="paragraph" w:styleId="BalloonText">
    <w:name w:val="Balloon Text"/>
    <w:basedOn w:val="Normal"/>
    <w:qFormat/>
    <w:pPr>
      <w:spacing w:before="0" w:after="0"/>
    </w:pPr>
    <w:rPr>
      <w:rFonts w:ascii="Segoe UI" w:hAnsi="Segoe UI" w:cs="Segoe UI"/>
      <w:sz w:val="18"/>
      <w:szCs w:val="18"/>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Footnote">
    <w:name w:val="Footnote Text"/>
    <w:basedOn w:val="Normal"/>
    <w:pPr>
      <w:keepLines/>
      <w:spacing w:before="0" w:after="0"/>
      <w:ind w:left="454" w:hanging="454"/>
    </w:pPr>
    <w:rPr>
      <w:sz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Guidance">
    <w:name w:val="Guidance"/>
    <w:basedOn w:val="Normal"/>
    <w:qFormat/>
    <w:pPr>
      <w:overflowPunct w:val="true"/>
      <w:autoSpaceDE w:val="true"/>
      <w:textAlignment w:val="auto"/>
    </w:pPr>
    <w:rPr>
      <w:i/>
      <w:color w:val="0000FF"/>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2019-12-03T01:04:00Z</dcterms:created>
  <dc:creator>MCC Support</dc:creator>
  <dc:description/>
  <cp:keywords/>
  <dc:language>en-US</dc:language>
  <cp:lastModifiedBy>CR0319</cp:lastModifiedBy>
  <dcterms:modified xsi:type="dcterms:W3CDTF">2020-10-02T08:31:00Z</dcterms:modified>
  <cp:revision>15</cp:revision>
  <dc:subject>W1 interface; Signalling transport (Release 16)</dc:subject>
  <dc:title>3GPP TS 37.472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(2)L64wqHbeyplziq512WUKdiRUoWEpe5Z74U2VFxH02sTLJsSE/O76RJnQNvGVUSt2ou0vZ9Z1
CSjjStwvCTc5I1kRZ95vJGBHHlFfcX1eeu9vVBgSfEZ3o9RgP4FKig/XO3LHrdWM5hl7D7Bk
knCSVANaaUKpYqH92R/nGWQdNF2iZW5QHheqdjmY680MqLLTLKrjlf1gnO4r2C+biYl+WHV3
W8N7J54fU0SZQpBoup</vt:lpwstr>
  </property>
  <property fmtid="{D5CDD505-2E9C-101B-9397-08002B2CF9AE}" pid="3" name="_2015_ms_pID_7253431">
    <vt:lpwstr>pc9UueIUPx6NR9prWsXJTbG74kjsBR37M8UMHHoq701guTyvtkHDMx
EIO40PqUBsMtEoe4N0dWM1QsRDAeBPB80ecBZv8uIXTq80L+WFU3us+UfLJMSwxBuWHSZSYA
jrglrLkboa2e8WY1jDHlnGJBHBC4swdQ1N94zzLzfarXKMhM63oDpOsrL6n3bp+KflY=</vt:lpwstr>
  </property>
  <property fmtid="{D5CDD505-2E9C-101B-9397-08002B2CF9AE}" pid="4" name="_change">
    <vt:lpwstr/>
  </property>
  <property fmtid="{D5CDD505-2E9C-101B-9397-08002B2CF9AE}" pid="5" name="_full-control">
    <vt:lpwstr/>
  </property>
  <property fmtid="{D5CDD505-2E9C-101B-9397-08002B2CF9AE}" pid="6" name="_readonly">
    <vt:lpwstr/>
  </property>
  <property fmtid="{D5CDD505-2E9C-101B-9397-08002B2CF9AE}" pid="7" name="sflag">
    <vt:lpwstr>1574313818</vt:lpwstr>
  </property>
</Properties>
</file>