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7.png" ContentType="image/png"/>
  <Override PartName="/word/media/image14.wmf" ContentType="image/x-wmf"/>
  <Override PartName="/word/media/image53.wmf" ContentType="image/x-wmf"/>
  <Override PartName="/word/media/image96.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0.wmf" ContentType="image/x-wmf"/>
  <Override PartName="/word/media/image83.png" ContentType="image/png"/>
  <Override PartName="/word/media/image41.png" ContentType="image/png"/>
  <Override PartName="/word/media/image39.wmf" ContentType="image/x-wmf"/>
  <Override PartName="/word/media/image38.wmf" ContentType="image/x-wmf"/>
  <Override PartName="/word/media/image37.wmf" ContentType="image/x-wmf"/>
  <Override PartName="/word/media/image36.wmf" ContentType="image/x-wmf"/>
  <Override PartName="/word/media/image34.png" ContentType="image/png"/>
  <Override PartName="/word/media/image32.wmf" ContentType="image/x-wmf"/>
  <Override PartName="/word/media/image30.wmf" ContentType="image/x-wmf"/>
  <Override PartName="/word/media/image54.wmf" ContentType="image/x-wmf"/>
  <Override PartName="/word/media/image97.png" ContentType="image/png"/>
  <Override PartName="/word/media/image10.jpeg" ContentType="image/jpeg"/>
  <Override PartName="/word/media/image5.wmf" ContentType="image/x-wmf"/>
  <Override PartName="/word/media/image27.jpeg" ContentType="image/jpeg"/>
  <Override PartName="/word/media/image111.png" ContentType="image/png"/>
  <Override PartName="/word/media/image8.jpeg" ContentType="image/jpeg"/>
  <Override PartName="/word/media/image91.png" ContentType="image/png"/>
  <Override PartName="/word/media/image48.wmf" ContentType="image/x-wmf"/>
  <Override PartName="/word/media/image11.wmf" ContentType="image/x-wmf"/>
  <Override PartName="/word/media/image108.wmf" ContentType="image/x-wmf"/>
  <Override PartName="/word/media/image49.wmf" ContentType="image/x-wmf"/>
  <Override PartName="/word/media/image12.wmf" ContentType="image/x-wmf"/>
  <Override PartName="/word/media/image20.jpeg" ContentType="image/jpeg"/>
  <Override PartName="/word/media/image6.jpeg" ContentType="image/jpeg"/>
  <Override PartName="/word/media/image35.wmf" ContentType="image/x-wmf"/>
  <Override PartName="/word/media/image13.wmf" ContentType="image/x-wmf"/>
  <Override PartName="/word/media/image31.wmf" ContentType="image/x-wmf"/>
  <Override PartName="/word/media/image28.png" ContentType="image/png"/>
  <Override PartName="/word/media/image50.wmf" ContentType="image/x-wmf"/>
  <Override PartName="/word/media/image93.png" ContentType="image/png"/>
  <Override PartName="/word/media/image7.jpeg" ContentType="image/jpeg"/>
  <Override PartName="/word/media/image16.png" ContentType="image/png"/>
  <Override PartName="/word/media/image81.png" ContentType="image/png"/>
  <Override PartName="/word/media/image33.wmf" ContentType="image/x-wmf"/>
  <Override PartName="/word/media/image3.wmf" ContentType="image/x-wmf"/>
  <Override PartName="/word/media/image58.png" ContentType="image/png"/>
  <Override PartName="/word/media/image80.wmf" ContentType="image/x-wmf"/>
  <Override PartName="/word/media/image26.wmf" ContentType="image/x-wmf"/>
  <Override PartName="/word/media/image51.wmf" ContentType="image/x-wmf"/>
  <Override PartName="/word/media/image94.png" ContentType="image/png"/>
  <Override PartName="/word/media/image9.jpeg" ContentType="image/jpeg"/>
  <Override PartName="/word/media/image2.png" ContentType="image/png"/>
  <Override PartName="/word/media/image4.wmf" ContentType="image/x-wmf"/>
  <Override PartName="/word/media/image110.png" ContentType="image/png"/>
  <Override PartName="/word/media/image47.png" ContentType="image/png"/>
  <Override PartName="/word/media/image18.jpeg" ContentType="image/jpeg"/>
  <Override PartName="/word/media/image15.png" ContentType="image/png"/>
  <Override PartName="/word/media/image70.wmf" ContentType="image/x-wmf"/>
  <Override PartName="/word/media/image59.wmf" ContentType="image/x-wmf"/>
  <Override PartName="/word/media/image55.wmf" ContentType="image/x-wmf"/>
  <Override PartName="/word/media/image98.png" ContentType="image/png"/>
  <Override PartName="/word/media/image78.wmf" ContentType="image/x-wmf"/>
  <Override PartName="/word/media/image115.png" ContentType="image/png"/>
  <Override PartName="/word/media/image69.wmf" ContentType="image/x-wmf"/>
  <Override PartName="/word/media/image114.png" ContentType="image/png"/>
  <Override PartName="/word/media/image68.wmf" ContentType="image/x-wmf"/>
  <Override PartName="/word/media/image102.png" ContentType="image/png"/>
  <Override PartName="/word/media/image73.wmf" ContentType="image/x-wmf"/>
  <Override PartName="/word/media/image88.png" ContentType="image/png"/>
  <Override PartName="/word/media/image105.png" ContentType="image/png"/>
  <Override PartName="/word/media/image76.wmf" ContentType="image/x-wmf"/>
  <Override PartName="/word/media/image113.png" ContentType="image/png"/>
  <Override PartName="/word/media/image67.wmf" ContentType="image/x-wmf"/>
  <Override PartName="/word/media/image101.png" ContentType="image/png"/>
  <Override PartName="/word/media/image72.wmf" ContentType="image/x-wmf"/>
  <Override PartName="/word/media/image87.png" ContentType="image/png"/>
  <Override PartName="/word/media/image100.png" ContentType="image/png"/>
  <Override PartName="/word/media/image71.wmf" ContentType="image/x-wmf"/>
  <Override PartName="/word/media/image29.wmf" ContentType="image/x-wmf"/>
  <Override PartName="/word/media/image77.wmf" ContentType="image/x-wmf"/>
  <Override PartName="/word/media/image106.png" ContentType="image/png"/>
  <Override PartName="/word/media/image56.wmf" ContentType="image/x-wmf"/>
  <Override PartName="/word/media/image99.png" ContentType="image/png"/>
  <Override PartName="/word/media/image86.png" ContentType="image/png"/>
  <Override PartName="/word/media/image103.png" ContentType="image/png"/>
  <Override PartName="/word/media/image74.wmf" ContentType="image/x-wmf"/>
  <Override PartName="/word/media/image89.png" ContentType="image/png"/>
  <Override PartName="/word/media/image109.png" ContentType="image/png"/>
  <Override PartName="/word/media/image65.png" ContentType="image/png"/>
  <Override PartName="/word/media/image107.wmf" ContentType="image/x-wmf"/>
  <Override PartName="/word/media/image63.wmf" ContentType="image/x-wmf"/>
  <Override PartName="/word/media/image112.png" ContentType="image/png"/>
  <Override PartName="/word/media/image92.png" ContentType="image/png"/>
  <Override PartName="/word/media/image75.wmf" ContentType="image/x-wmf"/>
  <Override PartName="/word/media/image104.png" ContentType="image/png"/>
  <Override PartName="/word/media/image84.png" ContentType="image/png"/>
  <Override PartName="/word/media/image79.wmf" ContentType="image/x-wmf"/>
  <Override PartName="/word/media/image66.png" ContentType="image/png"/>
  <Override PartName="/word/media/image64.wmf" ContentType="image/x-wmf"/>
  <Override PartName="/word/media/image24.png" ContentType="image/png"/>
  <Override PartName="/word/media/image62.wmf" ContentType="image/x-wmf"/>
  <Override PartName="/word/media/image22.png" ContentType="image/png"/>
  <Override PartName="/word/media/image61.wmf" ContentType="image/x-wmf"/>
  <Override PartName="/word/media/image1.jpeg" ContentType="image/jpeg"/>
  <Override PartName="/word/media/image21.png" ContentType="image/png"/>
  <Override PartName="/word/media/image60.wmf" ContentType="image/x-wmf"/>
  <Override PartName="/word/media/image85.png" ContentType="image/png"/>
  <Override PartName="/word/media/image23.jpeg" ContentType="image/jpeg"/>
  <Override PartName="/word/media/image95.png" ContentType="image/png"/>
  <Override PartName="/word/media/image52.wmf" ContentType="image/x-wmf"/>
  <Override PartName="/word/media/image19.jpeg" ContentType="image/jpeg"/>
  <Override PartName="/word/media/image25.png" ContentType="image/png"/>
  <Override PartName="/word/media/image90.png" ContentType="image/png"/>
  <Override PartName="/word/media/image17.png" ContentType="image/png"/>
  <Override PartName="/word/media/image82.png" ContentType="image/png"/>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2171700</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GB"/>
                              </w:rPr>
                            </w:pPr>
                            <w:bookmarkStart w:id="0" w:name="page1"/>
                            <w:bookmarkEnd w:id="0"/>
                            <w:r>
                              <w:rPr>
                                <w:sz w:val="64"/>
                                <w:lang w:val="en-GB" w:eastAsia="en-GB"/>
                              </w:rPr>
                              <w:t xml:space="preserve">3GPP TS 37.544 </w:t>
                            </w:r>
                            <w:r>
                              <w:rPr>
                                <w:lang w:val="en-GB" w:eastAsia="en-GB"/>
                              </w:rPr>
                              <w:t xml:space="preserve">V16.2.0 </w:t>
                            </w:r>
                            <w:r>
                              <w:rPr>
                                <w:sz w:val="32"/>
                                <w:lang w:val="en-GB" w:eastAsia="en-GB"/>
                              </w:rPr>
                              <w:t>(2021-09)</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1pt;mso-position-vertical-relative:page;margin-left:0pt;mso-position-horizontal:left;mso-position-horizontal-relative:text">
                <v:fill opacity="0f"/>
                <v:textbox inset="0in,0in,0in,0.0138888888888889in">
                  <w:txbxContent>
                    <w:p>
                      <w:pPr>
                        <w:pStyle w:val="ZA"/>
                        <w:rPr>
                          <w:lang w:val="en-GB" w:eastAsia="en-GB"/>
                        </w:rPr>
                      </w:pPr>
                      <w:bookmarkStart w:id="1" w:name="page1"/>
                      <w:bookmarkEnd w:id="1"/>
                      <w:r>
                        <w:rPr>
                          <w:sz w:val="64"/>
                          <w:lang w:val="en-GB" w:eastAsia="en-GB"/>
                        </w:rPr>
                        <w:t xml:space="preserve">3GPP TS 37.544 </w:t>
                      </w:r>
                      <w:r>
                        <w:rPr>
                          <w:lang w:val="en-GB" w:eastAsia="en-GB"/>
                        </w:rPr>
                        <w:t xml:space="preserve">V16.2.0 </w:t>
                      </w:r>
                      <w:r>
                        <w:rPr>
                          <w:sz w:val="32"/>
                          <w:lang w:val="en-GB" w:eastAsia="en-GB"/>
                        </w:rPr>
                        <w:t>(2021-09)</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GB"/>
                              </w:rPr>
                            </w:pPr>
                            <w:r>
                              <w:rPr>
                                <w:lang w:val="en-GB" w:eastAsia="en-GB"/>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GB"/>
                        </w:rPr>
                      </w:pPr>
                      <w:r>
                        <w:rPr>
                          <w:lang w:val="en-GB" w:eastAsia="en-GB"/>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737995"/>
                <wp:effectExtent l="0" t="0" r="0" b="0"/>
                <wp:wrapTopAndBottom/>
                <wp:docPr id="3" name="Frame3"/>
                <a:graphic xmlns:a="http://schemas.openxmlformats.org/drawingml/2006/main">
                  <a:graphicData uri="http://schemas.microsoft.com/office/word/2010/wordprocessingShape">
                    <wps:wsp>
                      <wps:cNvSpPr txBox="1"/>
                      <wps:spPr>
                        <a:xfrm>
                          <a:off x="0" y="0"/>
                          <a:ext cx="6479540" cy="1737995"/>
                        </a:xfrm>
                        <a:prstGeom prst="rect"/>
                        <a:solidFill>
                          <a:srgbClr val="FFFFFF">
                            <a:alpha val="0"/>
                          </a:srgbClr>
                        </a:solidFill>
                      </wps:spPr>
                      <wps:txbx>
                        <w:txbxContent>
                          <w:p>
                            <w:pPr>
                              <w:pStyle w:val="ZT"/>
                              <w:rPr/>
                            </w:pPr>
                            <w:r>
                              <w:rPr/>
                              <w:t>3rd Generation Partnership Project;</w:t>
                            </w:r>
                          </w:p>
                          <w:p>
                            <w:pPr>
                              <w:pStyle w:val="ZT"/>
                              <w:rPr/>
                            </w:pPr>
                            <w:r>
                              <w:rPr/>
                              <w:t>Technical Specification Group Radio Access Network;</w:t>
                            </w:r>
                          </w:p>
                          <w:p>
                            <w:pPr>
                              <w:pStyle w:val="ZT"/>
                              <w:rPr/>
                            </w:pPr>
                            <w:r>
                              <w:rPr/>
                              <w:t>Universal Terrestrial Radio Access (UTRA) and Evolved Universal Terrestrial Radio Access (E-UTRA);</w:t>
                            </w:r>
                          </w:p>
                          <w:p>
                            <w:pPr>
                              <w:pStyle w:val="ZT"/>
                              <w:rPr/>
                            </w:pPr>
                            <w:r>
                              <w:rPr/>
                              <w:t>User Equipment (UE) Over The Air (OTA) performance;</w:t>
                            </w:r>
                          </w:p>
                          <w:p>
                            <w:pPr>
                              <w:pStyle w:val="ZT"/>
                              <w:rPr>
                                <w:rFonts w:cs="v4.2.0;Times New Roman"/>
                                <w:szCs w:val="34"/>
                              </w:rPr>
                            </w:pPr>
                            <w:r>
                              <w:rPr>
                                <w:rFonts w:cs="Arial"/>
                                <w:szCs w:val="34"/>
                              </w:rPr>
                              <w:t>Conformance testing</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136.85pt;mso-wrap-distance-left:0pt;mso-wrap-distance-right:0pt;mso-wrap-distance-top:0pt;mso-wrap-distance-bottom:0pt;margin-top:26.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Radio Access Network;</w:t>
                      </w:r>
                    </w:p>
                    <w:p>
                      <w:pPr>
                        <w:pStyle w:val="ZT"/>
                        <w:rPr/>
                      </w:pPr>
                      <w:r>
                        <w:rPr/>
                        <w:t>Universal Terrestrial Radio Access (UTRA) and Evolved Universal Terrestrial Radio Access (E-UTRA);</w:t>
                      </w:r>
                    </w:p>
                    <w:p>
                      <w:pPr>
                        <w:pStyle w:val="ZT"/>
                        <w:rPr/>
                      </w:pPr>
                      <w:r>
                        <w:rPr/>
                        <w:t>User Equipment (UE) Over The Air (OTA) performance;</w:t>
                      </w:r>
                    </w:p>
                    <w:p>
                      <w:pPr>
                        <w:pStyle w:val="ZT"/>
                        <w:rPr>
                          <w:rFonts w:cs="v4.2.0;Times New Roman"/>
                          <w:szCs w:val="34"/>
                        </w:rPr>
                      </w:pPr>
                      <w:r>
                        <w:rPr>
                          <w:rFonts w:cs="Arial"/>
                          <w:szCs w:val="34"/>
                        </w:rPr>
                        <w:t>Conformance testing</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lang w:val="en-GB" w:eastAsia="en-GB"/>
                              </w:rPr>
                            </w:pPr>
                            <w:r>
                              <w:rPr>
                                <w:i/>
                                <w:lang w:val="en-GB" w:eastAsia="en-GB"/>
                              </w:rPr>
                              <w:drawing>
                                <wp:inline distT="0" distB="0" distL="0" distR="0">
                                  <wp:extent cx="1193165" cy="82486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2"/>
                                          <a:srcRect l="-22" t="-31" r="-22" b="-31"/>
                                          <a:stretch>
                                            <a:fillRect/>
                                          </a:stretch>
                                        </pic:blipFill>
                                        <pic:spPr bwMode="auto">
                                          <a:xfrm>
                                            <a:off x="0" y="0"/>
                                            <a:ext cx="1193165" cy="824865"/>
                                          </a:xfrm>
                                          <a:prstGeom prst="rect">
                                            <a:avLst/>
                                          </a:prstGeom>
                                        </pic:spPr>
                                      </pic:pic>
                                    </a:graphicData>
                                  </a:graphic>
                                </wp:inline>
                              </w:drawing>
                            </w:r>
                            <w:r>
                              <w:rPr>
                                <w:color w:val="0000FF"/>
                                <w:lang w:val="en-GB" w:eastAsia="en-GB"/>
                              </w:rPr>
                              <w:tab/>
                            </w:r>
                            <w:r>
                              <w:rPr>
                                <w:lang w:val="en-GB" w:eastAsia="en-GB"/>
                              </w:rPr>
                              <w:drawing>
                                <wp:inline distT="0" distB="0" distL="0" distR="0">
                                  <wp:extent cx="1624965" cy="94996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GB"/>
                              </w:rPr>
                            </w:pPr>
                            <w:r>
                              <w:rPr>
                                <w:lang w:val="en-GB" w:eastAsia="en-GB"/>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lang w:val="en-GB" w:eastAsia="en-GB"/>
                        </w:rPr>
                      </w:pPr>
                      <w:r>
                        <w:rPr>
                          <w:i/>
                          <w:lang w:val="en-GB" w:eastAsia="en-GB"/>
                        </w:rPr>
                        <w:drawing>
                          <wp:inline distT="0" distB="0" distL="0" distR="0">
                            <wp:extent cx="1193165" cy="824865"/>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4"/>
                                    <a:srcRect l="-22" t="-31" r="-22" b="-31"/>
                                    <a:stretch>
                                      <a:fillRect/>
                                    </a:stretch>
                                  </pic:blipFill>
                                  <pic:spPr bwMode="auto">
                                    <a:xfrm>
                                      <a:off x="0" y="0"/>
                                      <a:ext cx="1193165" cy="824865"/>
                                    </a:xfrm>
                                    <a:prstGeom prst="rect">
                                      <a:avLst/>
                                    </a:prstGeom>
                                  </pic:spPr>
                                </pic:pic>
                              </a:graphicData>
                            </a:graphic>
                          </wp:inline>
                        </w:drawing>
                      </w:r>
                      <w:r>
                        <w:rPr>
                          <w:color w:val="0000FF"/>
                          <w:lang w:val="en-GB" w:eastAsia="en-GB"/>
                        </w:rPr>
                        <w:tab/>
                      </w:r>
                      <w:r>
                        <w:rPr>
                          <w:lang w:val="en-GB" w:eastAsia="en-GB"/>
                        </w:rPr>
                        <w:drawing>
                          <wp:inline distT="0" distB="0" distL="0" distR="0">
                            <wp:extent cx="1624965" cy="949960"/>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GB"/>
                        </w:rPr>
                      </w:pPr>
                      <w:r>
                        <w:rPr>
                          <w:lang w:val="en-GB" w:eastAsia="en-GB"/>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17615" cy="874395"/>
                <wp:effectExtent l="0" t="0" r="0" b="0"/>
                <wp:wrapTopAndBottom/>
                <wp:docPr id="9" name="Frame5"/>
                <a:graphic xmlns:a="http://schemas.openxmlformats.org/drawingml/2006/main">
                  <a:graphicData uri="http://schemas.microsoft.com/office/word/2010/wordprocessingShape">
                    <wps:wsp>
                      <wps:cNvSpPr txBox="1"/>
                      <wps:spPr>
                        <a:xfrm>
                          <a:off x="0" y="0"/>
                          <a:ext cx="6317615" cy="874395"/>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GB"/>
                              </w:rPr>
                            </w:pPr>
                            <w:r>
                              <w:rPr>
                                <w:lang w:val="en-GB" w:eastAsia="en-GB"/>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GB"/>
                        </w:rPr>
                      </w:pPr>
                      <w:r>
                        <w:rPr>
                          <w:lang w:val="en-GB" w:eastAsia="en-GB"/>
                        </w:rPr>
                      </w:r>
                    </w:p>
                  </w:txbxContent>
                </v:textbox>
                <w10:wrap type="topAndBottom"/>
              </v:rect>
            </w:pict>
          </mc:Fallback>
        </mc:AlternateContent>
      </w:r>
    </w:p>
    <w:p>
      <w:pPr>
        <w:pStyle w:val="Guidance"/>
        <w:rPr>
          <w:color w:val="000000"/>
        </w:rPr>
      </w:pPr>
      <w:bookmarkStart w:id="2" w:name="page2"/>
      <w:bookmarkEnd w:id="2"/>
      <w:r>
        <w:rPr/>
        <w:br/>
      </w:r>
    </w:p>
    <w:p>
      <w:pPr>
        <w:pStyle w:val="Normal"/>
        <w:rPr>
          <w:color w:val="000000"/>
        </w:rPr>
      </w:pPr>
      <w:r>
        <w:rPr>
          <w:color w:val="000000"/>
        </w:rPr>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&lt;keyword[, keyword, …]&gt;</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&lt;keyword[, keyword, …]&gt;</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pPr>
                            <w:r>
                              <w:rPr>
                                <w:rFonts w:cs="Arial" w:ascii="Arial" w:hAnsi="Arial"/>
                                <w:sz w:val="18"/>
                              </w:rPr>
                              <w:t>650 Route des Lucioles - Sophia Antipolis</w:t>
                            </w:r>
                          </w:p>
                          <w:p>
                            <w:pPr>
                              <w:pStyle w:val="FP"/>
                              <w:ind w:left="2835" w:right="2835" w:hanging="0"/>
                              <w:jc w:val="center"/>
                              <w:rPr>
                                <w:rFonts w:ascii="Arial" w:hAnsi="Arial" w:cs="Arial"/>
                                <w:sz w:val="18"/>
                              </w:rPr>
                            </w:pPr>
                            <w:r>
                              <w:rPr>
                                <w:rFonts w:cs="Arial" w:ascii="Arial" w:hAnsi="Arial"/>
                                <w:sz w:val="18"/>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pPr>
                      <w:r>
                        <w:rPr>
                          <w:rFonts w:cs="Arial" w:ascii="Arial" w:hAnsi="Arial"/>
                          <w:sz w:val="18"/>
                        </w:rPr>
                        <w:t>650 Route des Lucioles - Sophia Antipolis</w:t>
                      </w:r>
                    </w:p>
                    <w:p>
                      <w:pPr>
                        <w:pStyle w:val="FP"/>
                        <w:ind w:left="2835" w:right="2835" w:hanging="0"/>
                        <w:jc w:val="center"/>
                        <w:rPr>
                          <w:rFonts w:ascii="Arial" w:hAnsi="Arial" w:cs="Arial"/>
                          <w:sz w:val="18"/>
                        </w:rPr>
                      </w:pPr>
                      <w:r>
                        <w:rPr>
                          <w:rFonts w:cs="Arial" w:ascii="Arial" w:hAnsi="Arial"/>
                          <w:sz w:val="18"/>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outlineLvl w:val="0"/>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2021, 3GPP Organizational Partners (ARIB, ATIS, CCSA, ETSI, TSDSI, TTA, TTC).</w:t>
                            </w:r>
                            <w:bookmarkStart w:id="3" w:name="copyrightaddon"/>
                            <w:bookmarkEnd w:id="3"/>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2021, 3GPP Organizational Partners (ARIB, ATIS, CCSA, ETSI, TSDSI, TTA, TTC).</w:t>
                      </w:r>
                      <w:bookmarkStart w:id="4" w:name="copyrightaddon"/>
                      <w:bookmarkEnd w:id="4"/>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TT"/>
        <w:outlineLvl w:val="0"/>
        <w:rPr/>
      </w:pPr>
      <w:r>
        <w:rPr/>
        <w:t>Contents</w:t>
      </w:r>
    </w:p>
    <w:sdt>
      <w:sdtPr>
        <w:docPartObj>
          <w:docPartGallery w:val="Table of Contents"/>
          <w:docPartUnique w:val="true"/>
        </w:docPartObj>
      </w:sdtPr>
      <w:sdtContent>
        <w:p>
          <w:pPr>
            <w:pStyle w:val="Contents1"/>
            <w:keepNext w:val="true"/>
            <w:keepLines/>
            <w:widowControl w:val="false"/>
            <w:overflowPunct w:val="false"/>
            <w:autoSpaceDE w:val="false"/>
            <w:bidi w:val="0"/>
            <w:spacing w:before="120" w:after="0"/>
            <w:ind w:left="567" w:right="425" w:hanging="567"/>
            <w:textAlignment w:val="baseline"/>
            <w:rPr>
              <w:rFonts w:ascii="Calibri" w:hAnsi="Calibri" w:cs="Calibri"/>
              <w:szCs w:val="22"/>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68600945">
            <w:r>
              <w:rPr>
                <w:rStyle w:val="IndexLink"/>
                <w:rFonts w:eastAsia="Times New Roman" w:cs="Times New Roman"/>
                <w:color w:val="auto"/>
                <w:sz w:val="22"/>
                <w:szCs w:val="20"/>
                <w:lang w:val="en-GB" w:eastAsia="en-US" w:bidi="ar-SA"/>
              </w:rPr>
              <w:t>14</w:t>
            </w:r>
          </w:hyperlink>
        </w:p>
        <w:p>
          <w:pPr>
            <w:pStyle w:val="Contents1"/>
            <w:rPr>
              <w:rFonts w:ascii="Calibri" w:hAnsi="Calibri" w:cs="Calibri"/>
              <w:szCs w:val="22"/>
            </w:rPr>
          </w:pPr>
          <w:r>
            <w:rPr/>
            <w:t>1</w:t>
          </w:r>
          <w:r>
            <w:rPr>
              <w:rFonts w:cs="Calibri" w:ascii="Calibri" w:hAnsi="Calibri"/>
              <w:szCs w:val="22"/>
            </w:rPr>
            <w:tab/>
          </w:r>
          <w:r>
            <w:rPr/>
            <w:t>Scope</w:t>
            <w:tab/>
          </w:r>
          <w:hyperlink w:anchor="__RefHeading___Toc68600946">
            <w:r>
              <w:rPr>
                <w:rStyle w:val="IndexLink"/>
              </w:rPr>
              <w:t>15</w:t>
            </w:r>
          </w:hyperlink>
        </w:p>
        <w:p>
          <w:pPr>
            <w:pStyle w:val="Contents1"/>
            <w:rPr>
              <w:rFonts w:ascii="Calibri" w:hAnsi="Calibri" w:cs="Calibri"/>
              <w:szCs w:val="22"/>
            </w:rPr>
          </w:pPr>
          <w:r>
            <w:rPr/>
            <w:t>2</w:t>
          </w:r>
          <w:r>
            <w:rPr>
              <w:rFonts w:cs="Calibri" w:ascii="Calibri" w:hAnsi="Calibri"/>
              <w:szCs w:val="22"/>
            </w:rPr>
            <w:tab/>
          </w:r>
          <w:r>
            <w:rPr/>
            <w:t>References</w:t>
            <w:tab/>
          </w:r>
          <w:hyperlink w:anchor="__RefHeading___Toc68600947">
            <w:r>
              <w:rPr>
                <w:rStyle w:val="IndexLink"/>
              </w:rPr>
              <w:t>15</w:t>
            </w:r>
          </w:hyperlink>
        </w:p>
        <w:p>
          <w:pPr>
            <w:pStyle w:val="Contents1"/>
            <w:rPr>
              <w:rFonts w:ascii="Calibri" w:hAnsi="Calibri" w:cs="Calibri"/>
              <w:szCs w:val="22"/>
            </w:rPr>
          </w:pPr>
          <w:r>
            <w:rPr/>
            <w:t>3</w:t>
          </w:r>
          <w:r>
            <w:rPr>
              <w:rFonts w:cs="Calibri" w:ascii="Calibri" w:hAnsi="Calibri"/>
              <w:szCs w:val="22"/>
            </w:rPr>
            <w:tab/>
          </w:r>
          <w:r>
            <w:rPr/>
            <w:t>Definitions, symbols and abbreviations</w:t>
            <w:tab/>
          </w:r>
          <w:hyperlink w:anchor="__RefHeading___Toc68600948">
            <w:r>
              <w:rPr>
                <w:rStyle w:val="IndexLink"/>
              </w:rPr>
              <w:t>17</w:t>
            </w:r>
          </w:hyperlink>
        </w:p>
        <w:p>
          <w:pPr>
            <w:pStyle w:val="Contents2"/>
            <w:rPr>
              <w:rFonts w:ascii="Calibri" w:hAnsi="Calibri" w:cs="Calibri"/>
              <w:sz w:val="22"/>
              <w:szCs w:val="22"/>
            </w:rPr>
          </w:pPr>
          <w:r>
            <w:rPr/>
            <w:t>3.1</w:t>
          </w:r>
          <w:r>
            <w:rPr>
              <w:rFonts w:cs="Calibri" w:ascii="Calibri" w:hAnsi="Calibri"/>
              <w:sz w:val="22"/>
              <w:szCs w:val="22"/>
            </w:rPr>
            <w:tab/>
          </w:r>
          <w:r>
            <w:rPr/>
            <w:t>Definitions</w:t>
            <w:tab/>
          </w:r>
          <w:hyperlink w:anchor="__RefHeading___Toc68600949">
            <w:r>
              <w:rPr>
                <w:rStyle w:val="IndexLink"/>
              </w:rPr>
              <w:t>17</w:t>
            </w:r>
          </w:hyperlink>
        </w:p>
        <w:p>
          <w:pPr>
            <w:pStyle w:val="Contents2"/>
            <w:rPr>
              <w:rFonts w:ascii="Calibri" w:hAnsi="Calibri" w:cs="Calibri"/>
              <w:sz w:val="22"/>
              <w:szCs w:val="22"/>
            </w:rPr>
          </w:pPr>
          <w:r>
            <w:rPr/>
            <w:t>3.2</w:t>
          </w:r>
          <w:r>
            <w:rPr>
              <w:rFonts w:cs="Calibri" w:ascii="Calibri" w:hAnsi="Calibri"/>
              <w:sz w:val="22"/>
              <w:szCs w:val="22"/>
            </w:rPr>
            <w:tab/>
          </w:r>
          <w:r>
            <w:rPr/>
            <w:t>Symbols</w:t>
            <w:tab/>
          </w:r>
          <w:hyperlink w:anchor="__RefHeading___Toc68600950">
            <w:r>
              <w:rPr>
                <w:rStyle w:val="IndexLink"/>
              </w:rPr>
              <w:t>17</w:t>
            </w:r>
          </w:hyperlink>
        </w:p>
        <w:p>
          <w:pPr>
            <w:pStyle w:val="Contents2"/>
            <w:rPr>
              <w:rFonts w:ascii="Calibri" w:hAnsi="Calibri" w:cs="Calibri"/>
              <w:sz w:val="22"/>
              <w:szCs w:val="22"/>
            </w:rPr>
          </w:pPr>
          <w:r>
            <w:rPr/>
            <w:t>3.3</w:t>
          </w:r>
          <w:r>
            <w:rPr>
              <w:rFonts w:cs="Calibri" w:ascii="Calibri" w:hAnsi="Calibri"/>
              <w:sz w:val="22"/>
              <w:szCs w:val="22"/>
            </w:rPr>
            <w:tab/>
          </w:r>
          <w:r>
            <w:rPr/>
            <w:t>Abbreviations</w:t>
            <w:tab/>
          </w:r>
          <w:hyperlink w:anchor="__RefHeading___Toc68600951">
            <w:r>
              <w:rPr>
                <w:rStyle w:val="IndexLink"/>
              </w:rPr>
              <w:t>18</w:t>
            </w:r>
          </w:hyperlink>
        </w:p>
        <w:p>
          <w:pPr>
            <w:pStyle w:val="Contents1"/>
            <w:rPr>
              <w:rFonts w:ascii="Calibri" w:hAnsi="Calibri" w:cs="Calibri"/>
              <w:szCs w:val="22"/>
            </w:rPr>
          </w:pPr>
          <w:r>
            <w:rPr/>
            <w:t>4</w:t>
          </w:r>
          <w:r>
            <w:rPr>
              <w:rFonts w:cs="Calibri" w:ascii="Calibri" w:hAnsi="Calibri"/>
              <w:szCs w:val="22"/>
            </w:rPr>
            <w:tab/>
          </w:r>
          <w:r>
            <w:rPr/>
            <w:t>General</w:t>
            <w:tab/>
          </w:r>
          <w:hyperlink w:anchor="__RefHeading___Toc68600952">
            <w:r>
              <w:rPr>
                <w:rStyle w:val="IndexLink"/>
              </w:rPr>
              <w:t>19</w:t>
            </w:r>
          </w:hyperlink>
        </w:p>
        <w:p>
          <w:pPr>
            <w:pStyle w:val="Contents2"/>
            <w:rPr>
              <w:rFonts w:ascii="Calibri" w:hAnsi="Calibri" w:cs="Calibri"/>
              <w:sz w:val="22"/>
              <w:szCs w:val="22"/>
            </w:rPr>
          </w:pPr>
          <w:r>
            <w:rPr/>
            <w:t>4.1</w:t>
          </w:r>
          <w:r>
            <w:rPr>
              <w:rFonts w:cs="Calibri" w:ascii="Calibri" w:hAnsi="Calibri"/>
              <w:sz w:val="22"/>
              <w:szCs w:val="22"/>
            </w:rPr>
            <w:tab/>
          </w:r>
          <w:r>
            <w:rPr/>
            <w:t>Terminal classes</w:t>
            <w:tab/>
          </w:r>
          <w:hyperlink w:anchor="__RefHeading___Toc68600953">
            <w:r>
              <w:rPr>
                <w:rStyle w:val="IndexLink"/>
              </w:rPr>
              <w:t>20</w:t>
            </w:r>
          </w:hyperlink>
        </w:p>
        <w:p>
          <w:pPr>
            <w:pStyle w:val="Contents3"/>
            <w:rPr>
              <w:rFonts w:ascii="Calibri" w:hAnsi="Calibri" w:cs="Calibri"/>
              <w:sz w:val="22"/>
              <w:szCs w:val="22"/>
            </w:rPr>
          </w:pPr>
          <w:r>
            <w:rPr/>
            <w:t>4.1.1</w:t>
          </w:r>
          <w:r>
            <w:rPr>
              <w:rFonts w:cs="Calibri" w:ascii="Calibri" w:hAnsi="Calibri"/>
              <w:sz w:val="22"/>
              <w:szCs w:val="22"/>
            </w:rPr>
            <w:tab/>
          </w:r>
          <w:r>
            <w:rPr/>
            <w:t>Mechanical modes</w:t>
            <w:tab/>
          </w:r>
          <w:hyperlink w:anchor="__RefHeading___Toc68600954">
            <w:r>
              <w:rPr>
                <w:rStyle w:val="IndexLink"/>
              </w:rPr>
              <w:t>20</w:t>
            </w:r>
          </w:hyperlink>
        </w:p>
        <w:p>
          <w:pPr>
            <w:pStyle w:val="Contents2"/>
            <w:rPr>
              <w:rFonts w:ascii="Calibri" w:hAnsi="Calibri" w:cs="Calibri"/>
              <w:sz w:val="22"/>
              <w:szCs w:val="22"/>
            </w:rPr>
          </w:pPr>
          <w:r>
            <w:rPr/>
            <w:t>4.2</w:t>
          </w:r>
          <w:r>
            <w:rPr>
              <w:rFonts w:cs="Calibri" w:ascii="Calibri" w:hAnsi="Calibri"/>
              <w:sz w:val="22"/>
              <w:szCs w:val="22"/>
            </w:rPr>
            <w:tab/>
          </w:r>
          <w:r>
            <w:rPr/>
            <w:t>UTRA chip rates</w:t>
            <w:tab/>
          </w:r>
          <w:hyperlink w:anchor="__RefHeading___Toc68600955">
            <w:r>
              <w:rPr>
                <w:rStyle w:val="IndexLink"/>
              </w:rPr>
              <w:t>20</w:t>
            </w:r>
          </w:hyperlink>
        </w:p>
        <w:p>
          <w:pPr>
            <w:pStyle w:val="Contents2"/>
            <w:rPr>
              <w:rFonts w:ascii="Calibri" w:hAnsi="Calibri" w:cs="Calibri"/>
              <w:sz w:val="22"/>
              <w:szCs w:val="22"/>
            </w:rPr>
          </w:pPr>
          <w:r>
            <w:rPr/>
            <w:t>4.3</w:t>
          </w:r>
          <w:r>
            <w:rPr>
              <w:rFonts w:cs="Calibri" w:ascii="Calibri" w:hAnsi="Calibri"/>
              <w:sz w:val="22"/>
              <w:szCs w:val="22"/>
            </w:rPr>
            <w:tab/>
          </w:r>
          <w:r>
            <w:rPr/>
            <w:t>DUT positioning</w:t>
            <w:tab/>
          </w:r>
          <w:hyperlink w:anchor="__RefHeading___Toc68600956">
            <w:r>
              <w:rPr>
                <w:rStyle w:val="IndexLink"/>
              </w:rPr>
              <w:t>20</w:t>
            </w:r>
          </w:hyperlink>
        </w:p>
        <w:p>
          <w:pPr>
            <w:pStyle w:val="Contents3"/>
            <w:rPr>
              <w:rFonts w:ascii="Calibri" w:hAnsi="Calibri" w:cs="Calibri"/>
              <w:sz w:val="22"/>
              <w:szCs w:val="22"/>
            </w:rPr>
          </w:pPr>
          <w:r>
            <w:rPr/>
            <w:t>4.3.1</w:t>
          </w:r>
          <w:r>
            <w:rPr>
              <w:rFonts w:cs="Calibri" w:ascii="Calibri" w:hAnsi="Calibri"/>
              <w:sz w:val="22"/>
              <w:szCs w:val="22"/>
            </w:rPr>
            <w:tab/>
          </w:r>
          <w:r>
            <w:rPr/>
            <w:t>DUT positioning for Speech Mode with beside the Head Phantom</w:t>
            <w:tab/>
          </w:r>
          <w:hyperlink w:anchor="__RefHeading___Toc68600957">
            <w:r>
              <w:rPr>
                <w:rStyle w:val="IndexLink"/>
              </w:rPr>
              <w:t>20</w:t>
            </w:r>
          </w:hyperlink>
        </w:p>
        <w:p>
          <w:pPr>
            <w:pStyle w:val="Contents3"/>
            <w:rPr>
              <w:rFonts w:ascii="Calibri" w:hAnsi="Calibri" w:cs="Calibri"/>
              <w:sz w:val="22"/>
              <w:szCs w:val="22"/>
            </w:rPr>
          </w:pPr>
          <w:r>
            <w:rPr>
              <w:lang w:val="en-US" w:eastAsia="en-US"/>
            </w:rPr>
            <w:t>4.3.2</w:t>
          </w:r>
          <w:r>
            <w:rPr>
              <w:rFonts w:cs="Calibri" w:ascii="Calibri" w:hAnsi="Calibri"/>
              <w:sz w:val="22"/>
              <w:szCs w:val="22"/>
            </w:rPr>
            <w:tab/>
          </w:r>
          <w:r>
            <w:rPr>
              <w:lang w:val="en-US" w:eastAsia="en-US"/>
            </w:rPr>
            <w:t>DUT positioning for LMEs on Laptop Ground Plane Phantom</w:t>
          </w:r>
          <w:r>
            <w:rPr/>
            <w:tab/>
          </w:r>
          <w:hyperlink w:anchor="__RefHeading___Toc68600958">
            <w:r>
              <w:rPr>
                <w:rStyle w:val="IndexLink"/>
              </w:rPr>
              <w:t>21</w:t>
            </w:r>
          </w:hyperlink>
        </w:p>
        <w:p>
          <w:pPr>
            <w:pStyle w:val="Contents3"/>
            <w:rPr>
              <w:rFonts w:ascii="Calibri" w:hAnsi="Calibri" w:cs="Calibri"/>
              <w:sz w:val="22"/>
              <w:szCs w:val="22"/>
            </w:rPr>
          </w:pPr>
          <w:r>
            <w:rPr/>
            <w:t>4.3.3</w:t>
          </w:r>
          <w:r>
            <w:rPr>
              <w:rFonts w:cs="Calibri" w:ascii="Calibri" w:hAnsi="Calibri"/>
              <w:sz w:val="22"/>
              <w:szCs w:val="22"/>
            </w:rPr>
            <w:tab/>
          </w:r>
          <w:r>
            <w:rPr/>
            <w:t>DUT positioning for Speech Mode with beside the Head and Hand Phantom</w:t>
            <w:tab/>
          </w:r>
          <w:hyperlink w:anchor="__RefHeading___Toc68600959">
            <w:r>
              <w:rPr>
                <w:rStyle w:val="IndexLink"/>
              </w:rPr>
              <w:t>21</w:t>
            </w:r>
          </w:hyperlink>
        </w:p>
        <w:p>
          <w:pPr>
            <w:pStyle w:val="Contents4"/>
            <w:rPr>
              <w:rFonts w:ascii="Calibri" w:hAnsi="Calibri" w:cs="Calibri"/>
              <w:sz w:val="22"/>
              <w:szCs w:val="22"/>
            </w:rPr>
          </w:pPr>
          <w:r>
            <w:rPr/>
            <w:t>4.3.3.1</w:t>
          </w:r>
          <w:r>
            <w:rPr>
              <w:rFonts w:cs="Calibri" w:ascii="Calibri" w:hAnsi="Calibri"/>
              <w:sz w:val="22"/>
              <w:szCs w:val="22"/>
            </w:rPr>
            <w:tab/>
          </w:r>
          <w:r>
            <w:rPr/>
            <w:t>General</w:t>
            <w:tab/>
          </w:r>
          <w:hyperlink w:anchor="__RefHeading___Toc68600960">
            <w:r>
              <w:rPr>
                <w:rStyle w:val="IndexLink"/>
              </w:rPr>
              <w:t>21</w:t>
            </w:r>
          </w:hyperlink>
        </w:p>
        <w:p>
          <w:pPr>
            <w:pStyle w:val="Contents4"/>
            <w:rPr>
              <w:rFonts w:ascii="Calibri" w:hAnsi="Calibri" w:cs="Calibri"/>
              <w:sz w:val="22"/>
              <w:szCs w:val="22"/>
            </w:rPr>
          </w:pPr>
          <w:r>
            <w:rPr/>
            <w:t>4.3.3.2</w:t>
          </w:r>
          <w:r>
            <w:rPr>
              <w:rFonts w:cs="Calibri" w:ascii="Calibri" w:hAnsi="Calibri"/>
              <w:sz w:val="22"/>
              <w:szCs w:val="22"/>
            </w:rPr>
            <w:tab/>
          </w:r>
          <w:r>
            <w:rPr/>
            <w:t>Mono-blocks and closed sliders</w:t>
            <w:tab/>
          </w:r>
          <w:hyperlink w:anchor="__RefHeading___Toc68600961">
            <w:r>
              <w:rPr>
                <w:rStyle w:val="IndexLink"/>
              </w:rPr>
              <w:t>22</w:t>
            </w:r>
          </w:hyperlink>
        </w:p>
        <w:p>
          <w:pPr>
            <w:pStyle w:val="Contents4"/>
            <w:rPr>
              <w:rFonts w:ascii="Calibri" w:hAnsi="Calibri" w:cs="Calibri"/>
              <w:sz w:val="22"/>
              <w:szCs w:val="22"/>
            </w:rPr>
          </w:pPr>
          <w:r>
            <w:rPr/>
            <w:t>4.3.3.3</w:t>
          </w:r>
          <w:r>
            <w:rPr>
              <w:rFonts w:cs="Calibri" w:ascii="Calibri" w:hAnsi="Calibri"/>
              <w:sz w:val="22"/>
              <w:szCs w:val="22"/>
            </w:rPr>
            <w:tab/>
          </w:r>
          <w:r>
            <w:rPr/>
            <w:t>Folds and open-slides</w:t>
            <w:tab/>
          </w:r>
          <w:hyperlink w:anchor="__RefHeading___Toc68600962">
            <w:r>
              <w:rPr>
                <w:rStyle w:val="IndexLink"/>
              </w:rPr>
              <w:t>23</w:t>
            </w:r>
          </w:hyperlink>
        </w:p>
        <w:p>
          <w:pPr>
            <w:pStyle w:val="Contents4"/>
            <w:rPr>
              <w:rFonts w:ascii="Calibri" w:hAnsi="Calibri" w:cs="Calibri"/>
              <w:sz w:val="22"/>
              <w:szCs w:val="22"/>
            </w:rPr>
          </w:pPr>
          <w:r>
            <w:rPr/>
            <w:t>4.3.3.4</w:t>
          </w:r>
          <w:r>
            <w:rPr>
              <w:rFonts w:cs="Calibri" w:ascii="Calibri" w:hAnsi="Calibri"/>
              <w:sz w:val="22"/>
              <w:szCs w:val="22"/>
            </w:rPr>
            <w:tab/>
          </w:r>
          <w:r>
            <w:rPr/>
            <w:t>PDA</w:t>
            <w:tab/>
          </w:r>
          <w:hyperlink w:anchor="__RefHeading___Toc68600963">
            <w:r>
              <w:rPr>
                <w:rStyle w:val="IndexLink"/>
              </w:rPr>
              <w:t>23</w:t>
            </w:r>
          </w:hyperlink>
        </w:p>
        <w:p>
          <w:pPr>
            <w:pStyle w:val="Contents3"/>
            <w:rPr>
              <w:rFonts w:ascii="Calibri" w:hAnsi="Calibri" w:cs="Calibri"/>
              <w:sz w:val="22"/>
              <w:szCs w:val="22"/>
            </w:rPr>
          </w:pPr>
          <w:r>
            <w:rPr/>
            <w:t>4.3.4</w:t>
          </w:r>
          <w:r>
            <w:rPr>
              <w:rFonts w:cs="Calibri" w:ascii="Calibri" w:hAnsi="Calibri"/>
              <w:sz w:val="22"/>
              <w:szCs w:val="22"/>
            </w:rPr>
            <w:tab/>
          </w:r>
          <w:r>
            <w:rPr/>
            <w:t>DUT positioning for Browsing Mode with Hand Phantom</w:t>
            <w:tab/>
          </w:r>
          <w:hyperlink w:anchor="__RefHeading___Toc68600964">
            <w:r>
              <w:rPr>
                <w:rStyle w:val="IndexLink"/>
              </w:rPr>
              <w:t>24</w:t>
            </w:r>
          </w:hyperlink>
        </w:p>
        <w:p>
          <w:pPr>
            <w:pStyle w:val="Contents4"/>
            <w:rPr>
              <w:rFonts w:ascii="Calibri" w:hAnsi="Calibri" w:cs="Calibri"/>
              <w:sz w:val="22"/>
              <w:szCs w:val="22"/>
            </w:rPr>
          </w:pPr>
          <w:r>
            <w:rPr/>
            <w:t>4.3.4.1</w:t>
          </w:r>
          <w:r>
            <w:rPr>
              <w:rFonts w:cs="Calibri" w:ascii="Calibri" w:hAnsi="Calibri"/>
              <w:sz w:val="22"/>
              <w:szCs w:val="22"/>
            </w:rPr>
            <w:tab/>
          </w:r>
          <w:r>
            <w:rPr/>
            <w:t>General</w:t>
            <w:tab/>
          </w:r>
          <w:hyperlink w:anchor="__RefHeading___Toc68600965">
            <w:r>
              <w:rPr>
                <w:rStyle w:val="IndexLink"/>
              </w:rPr>
              <w:t>24</w:t>
            </w:r>
          </w:hyperlink>
        </w:p>
        <w:p>
          <w:pPr>
            <w:pStyle w:val="Contents4"/>
            <w:rPr>
              <w:rFonts w:ascii="Calibri" w:hAnsi="Calibri" w:cs="Calibri"/>
              <w:sz w:val="22"/>
              <w:szCs w:val="22"/>
            </w:rPr>
          </w:pPr>
          <w:r>
            <w:rPr/>
            <w:t>4.3.4.2</w:t>
          </w:r>
          <w:r>
            <w:rPr>
              <w:rFonts w:cs="Calibri" w:ascii="Calibri" w:hAnsi="Calibri"/>
              <w:sz w:val="22"/>
              <w:szCs w:val="22"/>
            </w:rPr>
            <w:tab/>
          </w:r>
          <w:r>
            <w:rPr/>
            <w:t>Narrow DUT</w:t>
            <w:tab/>
          </w:r>
          <w:hyperlink w:anchor="__RefHeading___Toc68600966">
            <w:r>
              <w:rPr>
                <w:rStyle w:val="IndexLink"/>
              </w:rPr>
              <w:t>24</w:t>
            </w:r>
          </w:hyperlink>
        </w:p>
        <w:p>
          <w:pPr>
            <w:pStyle w:val="Contents4"/>
            <w:rPr>
              <w:rFonts w:ascii="Calibri" w:hAnsi="Calibri" w:cs="Calibri"/>
              <w:sz w:val="22"/>
              <w:szCs w:val="22"/>
            </w:rPr>
          </w:pPr>
          <w:r>
            <w:rPr/>
            <w:t>4.3.4.3</w:t>
          </w:r>
          <w:r>
            <w:rPr>
              <w:rFonts w:cs="Calibri" w:ascii="Calibri" w:hAnsi="Calibri"/>
              <w:sz w:val="22"/>
              <w:szCs w:val="22"/>
            </w:rPr>
            <w:tab/>
          </w:r>
          <w:r>
            <w:rPr/>
            <w:t>PDA</w:t>
            <w:tab/>
          </w:r>
          <w:hyperlink w:anchor="__RefHeading___Toc68600967">
            <w:r>
              <w:rPr>
                <w:rStyle w:val="IndexLink"/>
              </w:rPr>
              <w:t>25</w:t>
            </w:r>
          </w:hyperlink>
        </w:p>
        <w:p>
          <w:pPr>
            <w:pStyle w:val="Contents3"/>
            <w:rPr>
              <w:rFonts w:ascii="Calibri" w:hAnsi="Calibri" w:cs="Calibri"/>
              <w:sz w:val="22"/>
              <w:szCs w:val="22"/>
            </w:rPr>
          </w:pPr>
          <w:r>
            <w:rPr>
              <w:lang w:val="en-US" w:eastAsia="en-US"/>
            </w:rPr>
            <w:t>4.3.5</w:t>
          </w:r>
          <w:r>
            <w:rPr>
              <w:rFonts w:cs="Calibri" w:ascii="Calibri" w:hAnsi="Calibri"/>
              <w:sz w:val="22"/>
              <w:szCs w:val="22"/>
            </w:rPr>
            <w:tab/>
          </w:r>
          <w:r>
            <w:rPr>
              <w:lang w:val="en-US" w:eastAsia="en-US"/>
            </w:rPr>
            <w:t>DUT positioning for devices with embedded modules</w:t>
          </w:r>
          <w:r>
            <w:rPr/>
            <w:tab/>
          </w:r>
          <w:hyperlink w:anchor="__RefHeading___Toc68600968">
            <w:r>
              <w:rPr>
                <w:rStyle w:val="IndexLink"/>
              </w:rPr>
              <w:t>25</w:t>
            </w:r>
          </w:hyperlink>
        </w:p>
        <w:p>
          <w:pPr>
            <w:pStyle w:val="Contents3"/>
            <w:rPr>
              <w:rFonts w:ascii="Calibri" w:hAnsi="Calibri" w:cs="Calibri"/>
              <w:sz w:val="22"/>
              <w:szCs w:val="22"/>
            </w:rPr>
          </w:pPr>
          <w:r>
            <w:rPr>
              <w:lang w:val="en-US" w:eastAsia="en-US"/>
            </w:rPr>
            <w:t>4.3.6</w:t>
          </w:r>
          <w:r>
            <w:rPr>
              <w:rFonts w:cs="Calibri" w:ascii="Calibri" w:hAnsi="Calibri"/>
              <w:sz w:val="22"/>
              <w:szCs w:val="22"/>
            </w:rPr>
            <w:tab/>
          </w:r>
          <w:r>
            <w:rPr>
              <w:lang w:val="en-US" w:eastAsia="en-US"/>
            </w:rPr>
            <w:t>DUT positioning for total radiated multi-antenna sensitivity</w:t>
          </w:r>
          <w:r>
            <w:rPr/>
            <w:tab/>
          </w:r>
          <w:hyperlink w:anchor="__RefHeading___Toc68600969">
            <w:r>
              <w:rPr>
                <w:rStyle w:val="IndexLink"/>
              </w:rPr>
              <w:t>25</w:t>
            </w:r>
          </w:hyperlink>
        </w:p>
        <w:p>
          <w:pPr>
            <w:pStyle w:val="Contents4"/>
            <w:rPr>
              <w:rFonts w:ascii="Calibri" w:hAnsi="Calibri" w:cs="Calibri"/>
              <w:sz w:val="22"/>
              <w:szCs w:val="22"/>
            </w:rPr>
          </w:pPr>
          <w:r>
            <w:rPr/>
            <w:t>4.3.6.1</w:t>
          </w:r>
          <w:r>
            <w:rPr>
              <w:rFonts w:cs="Calibri" w:ascii="Calibri" w:hAnsi="Calibri"/>
              <w:sz w:val="22"/>
              <w:szCs w:val="22"/>
            </w:rPr>
            <w:tab/>
          </w:r>
          <w:r>
            <w:rPr/>
            <w:t>Handheld UE – Free Space</w:t>
            <w:tab/>
          </w:r>
          <w:hyperlink w:anchor="__RefHeading___Toc68600970">
            <w:r>
              <w:rPr>
                <w:rStyle w:val="IndexLink"/>
              </w:rPr>
              <w:t>25</w:t>
            </w:r>
          </w:hyperlink>
        </w:p>
        <w:p>
          <w:pPr>
            <w:pStyle w:val="Contents5"/>
            <w:rPr>
              <w:rFonts w:ascii="Calibri" w:hAnsi="Calibri" w:cs="Calibri"/>
              <w:sz w:val="22"/>
              <w:szCs w:val="22"/>
            </w:rPr>
          </w:pPr>
          <w:r>
            <w:rPr/>
            <w:t>4.3.6.1.1</w:t>
          </w:r>
          <w:r>
            <w:rPr>
              <w:rFonts w:cs="Calibri" w:ascii="Calibri" w:hAnsi="Calibri"/>
              <w:sz w:val="22"/>
              <w:szCs w:val="22"/>
            </w:rPr>
            <w:tab/>
          </w:r>
          <w:r>
            <w:rPr/>
            <w:t>MPAC Positioning Guidelines</w:t>
            <w:tab/>
          </w:r>
          <w:hyperlink w:anchor="__RefHeading___Toc68600971">
            <w:r>
              <w:rPr>
                <w:rStyle w:val="IndexLink"/>
              </w:rPr>
              <w:t>26</w:t>
            </w:r>
          </w:hyperlink>
        </w:p>
        <w:p>
          <w:pPr>
            <w:pStyle w:val="Contents5"/>
            <w:rPr>
              <w:rFonts w:ascii="Calibri" w:hAnsi="Calibri" w:cs="Calibri"/>
              <w:sz w:val="22"/>
              <w:szCs w:val="22"/>
            </w:rPr>
          </w:pPr>
          <w:r>
            <w:rPr/>
            <w:t>4.3.6.1.2</w:t>
          </w:r>
          <w:r>
            <w:rPr>
              <w:rFonts w:cs="Calibri" w:ascii="Calibri" w:hAnsi="Calibri"/>
              <w:sz w:val="22"/>
              <w:szCs w:val="22"/>
            </w:rPr>
            <w:tab/>
          </w:r>
          <w:r>
            <w:rPr/>
            <w:t>RTS Positioning Guidelines</w:t>
            <w:tab/>
          </w:r>
          <w:hyperlink w:anchor="__RefHeading___Toc68600972">
            <w:r>
              <w:rPr>
                <w:rStyle w:val="IndexLink"/>
              </w:rPr>
              <w:t>26</w:t>
            </w:r>
          </w:hyperlink>
        </w:p>
        <w:p>
          <w:pPr>
            <w:pStyle w:val="Contents2"/>
            <w:rPr>
              <w:rFonts w:ascii="Calibri" w:hAnsi="Calibri" w:cs="Calibri"/>
              <w:sz w:val="22"/>
              <w:szCs w:val="22"/>
            </w:rPr>
          </w:pPr>
          <w:r>
            <w:rPr/>
            <w:t>4.4</w:t>
          </w:r>
          <w:r>
            <w:rPr>
              <w:rFonts w:cs="Calibri" w:ascii="Calibri" w:hAnsi="Calibri"/>
              <w:sz w:val="22"/>
              <w:szCs w:val="22"/>
            </w:rPr>
            <w:tab/>
          </w:r>
          <w:r>
            <w:rPr/>
            <w:t>Sampling grid</w:t>
            <w:tab/>
          </w:r>
          <w:hyperlink w:anchor="__RefHeading___Toc68600973">
            <w:r>
              <w:rPr>
                <w:rStyle w:val="IndexLink"/>
              </w:rPr>
              <w:t>26</w:t>
            </w:r>
          </w:hyperlink>
        </w:p>
        <w:p>
          <w:pPr>
            <w:pStyle w:val="Contents2"/>
            <w:rPr>
              <w:rFonts w:ascii="Calibri" w:hAnsi="Calibri" w:cs="Calibri"/>
              <w:sz w:val="22"/>
              <w:szCs w:val="22"/>
            </w:rPr>
          </w:pPr>
          <w:r>
            <w:rPr/>
            <w:t>4.5</w:t>
          </w:r>
          <w:r>
            <w:rPr>
              <w:rFonts w:cs="Calibri" w:ascii="Calibri" w:hAnsi="Calibri"/>
              <w:sz w:val="22"/>
              <w:szCs w:val="22"/>
            </w:rPr>
            <w:tab/>
          </w:r>
          <w:r>
            <w:rPr/>
            <w:t>Number of independent samples (for reverberation chamber procedure)</w:t>
            <w:tab/>
          </w:r>
          <w:hyperlink w:anchor="__RefHeading___Toc68600974">
            <w:r>
              <w:rPr>
                <w:rStyle w:val="IndexLink"/>
              </w:rPr>
              <w:t>26</w:t>
            </w:r>
          </w:hyperlink>
        </w:p>
        <w:p>
          <w:pPr>
            <w:pStyle w:val="Contents1"/>
            <w:rPr>
              <w:rFonts w:ascii="Calibri" w:hAnsi="Calibri" w:cs="Calibri"/>
              <w:szCs w:val="22"/>
            </w:rPr>
          </w:pPr>
          <w:r>
            <w:rPr/>
            <w:t>5</w:t>
          </w:r>
          <w:r>
            <w:rPr>
              <w:rFonts w:cs="Calibri" w:ascii="Calibri" w:hAnsi="Calibri"/>
              <w:szCs w:val="22"/>
            </w:rPr>
            <w:tab/>
          </w:r>
          <w:r>
            <w:rPr/>
            <w:t>Measurement frequencies</w:t>
            <w:tab/>
          </w:r>
          <w:hyperlink w:anchor="__RefHeading___Toc68600975">
            <w:r>
              <w:rPr>
                <w:rStyle w:val="IndexLink"/>
              </w:rPr>
              <w:t>26</w:t>
            </w:r>
          </w:hyperlink>
        </w:p>
        <w:p>
          <w:pPr>
            <w:pStyle w:val="Contents2"/>
            <w:rPr>
              <w:rFonts w:ascii="Calibri" w:hAnsi="Calibri" w:cs="Calibri"/>
              <w:sz w:val="22"/>
              <w:szCs w:val="22"/>
            </w:rPr>
          </w:pPr>
          <w:r>
            <w:rPr/>
            <w:t>5.1</w:t>
          </w:r>
          <w:r>
            <w:rPr>
              <w:rFonts w:cs="Calibri" w:ascii="Calibri" w:hAnsi="Calibri"/>
              <w:sz w:val="22"/>
              <w:szCs w:val="22"/>
            </w:rPr>
            <w:tab/>
          </w:r>
          <w:r>
            <w:rPr/>
            <w:t>UTRA FDD frequency bands and measurement channels</w:t>
            <w:tab/>
          </w:r>
          <w:hyperlink w:anchor="__RefHeading___Toc68600976">
            <w:r>
              <w:rPr>
                <w:rStyle w:val="IndexLink"/>
              </w:rPr>
              <w:t>26</w:t>
            </w:r>
          </w:hyperlink>
        </w:p>
        <w:p>
          <w:pPr>
            <w:pStyle w:val="Contents2"/>
            <w:rPr>
              <w:rFonts w:ascii="Calibri" w:hAnsi="Calibri" w:cs="Calibri"/>
              <w:sz w:val="22"/>
              <w:szCs w:val="22"/>
            </w:rPr>
          </w:pPr>
          <w:r>
            <w:rPr/>
            <w:t>5.2</w:t>
          </w:r>
          <w:r>
            <w:rPr>
              <w:rFonts w:cs="Calibri" w:ascii="Calibri" w:hAnsi="Calibri"/>
              <w:sz w:val="22"/>
              <w:szCs w:val="22"/>
            </w:rPr>
            <w:tab/>
          </w:r>
          <w:r>
            <w:rPr/>
            <w:t>UTRA TDD frequency bands and measurement channels</w:t>
            <w:tab/>
          </w:r>
          <w:hyperlink w:anchor="__RefHeading___Toc68600977">
            <w:r>
              <w:rPr>
                <w:rStyle w:val="IndexLink"/>
              </w:rPr>
              <w:t>27</w:t>
            </w:r>
          </w:hyperlink>
        </w:p>
        <w:p>
          <w:pPr>
            <w:pStyle w:val="Contents2"/>
            <w:rPr>
              <w:rFonts w:ascii="Calibri" w:hAnsi="Calibri" w:cs="Calibri"/>
              <w:sz w:val="22"/>
              <w:szCs w:val="22"/>
            </w:rPr>
          </w:pPr>
          <w:r>
            <w:rPr/>
            <w:t>5.3</w:t>
          </w:r>
          <w:r>
            <w:rPr>
              <w:rFonts w:cs="Calibri" w:ascii="Calibri" w:hAnsi="Calibri"/>
              <w:sz w:val="22"/>
              <w:szCs w:val="22"/>
            </w:rPr>
            <w:tab/>
          </w:r>
          <w:r>
            <w:rPr/>
            <w:t>E-UTRA FDD frequency bands and measurement frequencies allocations</w:t>
            <w:tab/>
          </w:r>
          <w:hyperlink w:anchor="__RefHeading___Toc68600978">
            <w:r>
              <w:rPr>
                <w:rStyle w:val="IndexLink"/>
              </w:rPr>
              <w:t>28</w:t>
            </w:r>
          </w:hyperlink>
        </w:p>
        <w:p>
          <w:pPr>
            <w:pStyle w:val="Contents2"/>
            <w:rPr>
              <w:rFonts w:ascii="Calibri" w:hAnsi="Calibri" w:cs="Calibri"/>
              <w:sz w:val="22"/>
              <w:szCs w:val="22"/>
            </w:rPr>
          </w:pPr>
          <w:r>
            <w:rPr/>
            <w:t>5.4</w:t>
          </w:r>
          <w:r>
            <w:rPr>
              <w:rFonts w:cs="Calibri" w:ascii="Calibri" w:hAnsi="Calibri"/>
              <w:sz w:val="22"/>
              <w:szCs w:val="22"/>
            </w:rPr>
            <w:tab/>
          </w:r>
          <w:r>
            <w:rPr/>
            <w:t>E-UTRA TDD frequency bands and measurement frequencies allocations</w:t>
            <w:tab/>
          </w:r>
          <w:hyperlink w:anchor="__RefHeading___Toc68600979">
            <w:r>
              <w:rPr>
                <w:rStyle w:val="IndexLink"/>
              </w:rPr>
              <w:t>33</w:t>
            </w:r>
          </w:hyperlink>
        </w:p>
        <w:p>
          <w:pPr>
            <w:pStyle w:val="Contents2"/>
            <w:rPr>
              <w:rFonts w:ascii="Calibri" w:hAnsi="Calibri" w:cs="Calibri"/>
              <w:sz w:val="22"/>
              <w:szCs w:val="22"/>
            </w:rPr>
          </w:pPr>
          <w:r>
            <w:rPr/>
            <w:t>5.5</w:t>
          </w:r>
          <w:r>
            <w:rPr>
              <w:rFonts w:cs="Calibri" w:ascii="Calibri" w:hAnsi="Calibri"/>
              <w:sz w:val="22"/>
              <w:szCs w:val="22"/>
            </w:rPr>
            <w:tab/>
          </w:r>
          <w:r>
            <w:rPr/>
            <w:t>E-UTRA FDD operating bands and measurement frequency allocations for receiver total radiated multi-antenna sensitivity</w:t>
            <w:tab/>
          </w:r>
          <w:hyperlink w:anchor="__RefHeading___Toc68600980">
            <w:r>
              <w:rPr>
                <w:rStyle w:val="IndexLink"/>
              </w:rPr>
              <w:t>35</w:t>
            </w:r>
          </w:hyperlink>
        </w:p>
        <w:p>
          <w:pPr>
            <w:pStyle w:val="Contents2"/>
            <w:rPr>
              <w:rFonts w:ascii="Calibri" w:hAnsi="Calibri" w:cs="Calibri"/>
              <w:sz w:val="22"/>
              <w:szCs w:val="22"/>
            </w:rPr>
          </w:pPr>
          <w:r>
            <w:rPr/>
            <w:t>5.6</w:t>
          </w:r>
          <w:r>
            <w:rPr>
              <w:rFonts w:cs="Calibri" w:ascii="Calibri" w:hAnsi="Calibri"/>
              <w:sz w:val="22"/>
              <w:szCs w:val="22"/>
            </w:rPr>
            <w:tab/>
          </w:r>
          <w:r>
            <w:rPr/>
            <w:t>E-UTRA TDD operating bands and measurement frequency allocations for receiver total radiated multi-antenna sensitivity</w:t>
            <w:tab/>
          </w:r>
          <w:hyperlink w:anchor="__RefHeading___Toc68600981">
            <w:r>
              <w:rPr>
                <w:rStyle w:val="IndexLink"/>
              </w:rPr>
              <w:t>37</w:t>
            </w:r>
          </w:hyperlink>
        </w:p>
        <w:p>
          <w:pPr>
            <w:pStyle w:val="Contents1"/>
            <w:rPr>
              <w:rFonts w:ascii="Calibri" w:hAnsi="Calibri" w:cs="Calibri"/>
              <w:szCs w:val="22"/>
            </w:rPr>
          </w:pPr>
          <w:r>
            <w:rPr/>
            <w:t>6</w:t>
          </w:r>
          <w:r>
            <w:rPr>
              <w:rFonts w:cs="Calibri" w:ascii="Calibri" w:hAnsi="Calibri"/>
              <w:szCs w:val="22"/>
            </w:rPr>
            <w:tab/>
          </w:r>
          <w:r>
            <w:rPr/>
            <w:t>Transmitter Performance</w:t>
            <w:tab/>
          </w:r>
          <w:hyperlink w:anchor="__RefHeading___Toc68600982">
            <w:r>
              <w:rPr>
                <w:rStyle w:val="IndexLink"/>
              </w:rPr>
              <w:t>38</w:t>
            </w:r>
          </w:hyperlink>
        </w:p>
        <w:p>
          <w:pPr>
            <w:pStyle w:val="Contents2"/>
            <w:rPr>
              <w:rFonts w:ascii="Calibri" w:hAnsi="Calibri" w:cs="Calibri"/>
              <w:sz w:val="22"/>
              <w:szCs w:val="22"/>
            </w:rPr>
          </w:pPr>
          <w:r>
            <w:rPr/>
            <w:t>6.1</w:t>
          </w:r>
          <w:r>
            <w:rPr>
              <w:rFonts w:cs="Calibri" w:ascii="Calibri" w:hAnsi="Calibri"/>
              <w:sz w:val="22"/>
              <w:szCs w:val="22"/>
            </w:rPr>
            <w:tab/>
          </w:r>
          <w:r>
            <w:rPr/>
            <w:t>Performance for handheld UE</w:t>
            <w:tab/>
          </w:r>
          <w:hyperlink w:anchor="__RefHeading___Toc68600983">
            <w:r>
              <w:rPr>
                <w:rStyle w:val="IndexLink"/>
              </w:rPr>
              <w:t>38</w:t>
            </w:r>
          </w:hyperlink>
        </w:p>
        <w:p>
          <w:pPr>
            <w:pStyle w:val="Contents3"/>
            <w:rPr>
              <w:rFonts w:ascii="Calibri" w:hAnsi="Calibri" w:cs="Calibri"/>
              <w:sz w:val="22"/>
              <w:szCs w:val="22"/>
            </w:rPr>
          </w:pPr>
          <w:r>
            <w:rPr/>
            <w:t>6.1.1</w:t>
          </w:r>
          <w:r>
            <w:rPr>
              <w:rFonts w:cs="Calibri" w:ascii="Calibri" w:hAnsi="Calibri"/>
              <w:sz w:val="22"/>
              <w:szCs w:val="22"/>
            </w:rPr>
            <w:tab/>
          </w:r>
          <w:r>
            <w:rPr/>
            <w:t>Total Radiated Power (TRP) for UTRA FDD in Speech Mode with beside the Head Phantom</w:t>
            <w:tab/>
          </w:r>
          <w:hyperlink w:anchor="__RefHeading___Toc68600984">
            <w:r>
              <w:rPr>
                <w:rStyle w:val="IndexLink"/>
              </w:rPr>
              <w:t>38</w:t>
            </w:r>
          </w:hyperlink>
        </w:p>
        <w:p>
          <w:pPr>
            <w:pStyle w:val="Contents4"/>
            <w:rPr>
              <w:rFonts w:ascii="Calibri" w:hAnsi="Calibri" w:cs="Calibri"/>
              <w:sz w:val="22"/>
              <w:szCs w:val="22"/>
            </w:rPr>
          </w:pPr>
          <w:r>
            <w:rPr>
              <w:rFonts w:eastAsia="PMingLiU;新細明體"/>
            </w:rPr>
            <w:t>6.1.1.1</w:t>
          </w:r>
          <w:r>
            <w:rPr>
              <w:rFonts w:cs="Calibri" w:ascii="Calibri" w:hAnsi="Calibri"/>
              <w:sz w:val="22"/>
              <w:szCs w:val="22"/>
            </w:rPr>
            <w:tab/>
          </w:r>
          <w:r>
            <w:rPr>
              <w:rFonts w:eastAsia="PMingLiU;新細明體"/>
            </w:rPr>
            <w:t>Definition and applicability</w:t>
          </w:r>
          <w:r>
            <w:rPr/>
            <w:tab/>
          </w:r>
          <w:hyperlink w:anchor="__RefHeading___Toc68600985">
            <w:r>
              <w:rPr>
                <w:rStyle w:val="IndexLink"/>
              </w:rPr>
              <w:t>38</w:t>
            </w:r>
          </w:hyperlink>
        </w:p>
        <w:p>
          <w:pPr>
            <w:pStyle w:val="Contents4"/>
            <w:rPr>
              <w:rFonts w:ascii="Calibri" w:hAnsi="Calibri" w:cs="Calibri"/>
              <w:sz w:val="22"/>
              <w:szCs w:val="22"/>
            </w:rPr>
          </w:pPr>
          <w:r>
            <w:rPr>
              <w:rFonts w:eastAsia="PMingLiU;新細明體"/>
              <w:lang w:val="en-US" w:eastAsia="en-US"/>
            </w:rPr>
            <w:t>6.1.1.2</w:t>
          </w:r>
          <w:r>
            <w:rPr>
              <w:rFonts w:cs="Calibri" w:ascii="Calibri" w:hAnsi="Calibri"/>
              <w:sz w:val="22"/>
              <w:szCs w:val="22"/>
            </w:rPr>
            <w:tab/>
          </w:r>
          <w:r>
            <w:rPr>
              <w:rFonts w:eastAsia="PMingLiU;新細明體"/>
              <w:lang w:val="en-US" w:eastAsia="en-US"/>
            </w:rPr>
            <w:t>Minimum Requirements</w:t>
          </w:r>
          <w:r>
            <w:rPr/>
            <w:tab/>
          </w:r>
          <w:hyperlink w:anchor="__RefHeading___Toc68600986">
            <w:r>
              <w:rPr>
                <w:rStyle w:val="IndexLink"/>
              </w:rPr>
              <w:t>39</w:t>
            </w:r>
          </w:hyperlink>
        </w:p>
        <w:p>
          <w:pPr>
            <w:pStyle w:val="Contents4"/>
            <w:rPr>
              <w:rFonts w:ascii="Calibri" w:hAnsi="Calibri" w:cs="Calibri"/>
              <w:sz w:val="22"/>
              <w:szCs w:val="22"/>
            </w:rPr>
          </w:pPr>
          <w:r>
            <w:rPr>
              <w:rFonts w:eastAsia="PMingLiU;新細明體"/>
              <w:lang w:val="en-US" w:eastAsia="en-US"/>
            </w:rPr>
            <w:t>6.1.1.3</w:t>
          </w:r>
          <w:r>
            <w:rPr>
              <w:rFonts w:cs="Calibri" w:ascii="Calibri" w:hAnsi="Calibri"/>
              <w:sz w:val="22"/>
              <w:szCs w:val="22"/>
            </w:rPr>
            <w:tab/>
          </w:r>
          <w:r>
            <w:rPr>
              <w:rFonts w:eastAsia="PMingLiU;新細明體"/>
              <w:lang w:val="en-US" w:eastAsia="en-US"/>
            </w:rPr>
            <w:t>Test purpose</w:t>
          </w:r>
          <w:r>
            <w:rPr/>
            <w:tab/>
          </w:r>
          <w:hyperlink w:anchor="__RefHeading___Toc68600987">
            <w:r>
              <w:rPr>
                <w:rStyle w:val="IndexLink"/>
              </w:rPr>
              <w:t>39</w:t>
            </w:r>
          </w:hyperlink>
        </w:p>
        <w:p>
          <w:pPr>
            <w:pStyle w:val="Contents4"/>
            <w:rPr>
              <w:rFonts w:ascii="Calibri" w:hAnsi="Calibri" w:cs="Calibri"/>
              <w:sz w:val="22"/>
              <w:szCs w:val="22"/>
            </w:rPr>
          </w:pPr>
          <w:r>
            <w:rPr>
              <w:rFonts w:eastAsia="PMingLiU;新細明體"/>
              <w:lang w:val="en-US" w:eastAsia="en-US"/>
            </w:rPr>
            <w:t>6.1.1.4</w:t>
          </w:r>
          <w:r>
            <w:rPr>
              <w:rFonts w:cs="Calibri" w:ascii="Calibri" w:hAnsi="Calibri"/>
              <w:sz w:val="22"/>
              <w:szCs w:val="22"/>
            </w:rPr>
            <w:tab/>
          </w:r>
          <w:r>
            <w:rPr>
              <w:rFonts w:eastAsia="PMingLiU;新細明體"/>
              <w:lang w:val="en-US" w:eastAsia="en-US"/>
            </w:rPr>
            <w:t>Method of test</w:t>
          </w:r>
          <w:r>
            <w:rPr/>
            <w:tab/>
          </w:r>
          <w:hyperlink w:anchor="__RefHeading___Toc68600988">
            <w:r>
              <w:rPr>
                <w:rStyle w:val="IndexLink"/>
              </w:rPr>
              <w:t>39</w:t>
            </w:r>
          </w:hyperlink>
        </w:p>
        <w:p>
          <w:pPr>
            <w:pStyle w:val="Contents4"/>
            <w:rPr>
              <w:rFonts w:ascii="Calibri" w:hAnsi="Calibri" w:cs="Calibri"/>
              <w:sz w:val="22"/>
              <w:szCs w:val="22"/>
            </w:rPr>
          </w:pPr>
          <w:r>
            <w:rPr>
              <w:rFonts w:eastAsia="PMingLiU;新細明體"/>
              <w:lang w:val="en-US" w:eastAsia="en-US"/>
            </w:rPr>
            <w:t>6.1</w:t>
          </w:r>
          <w:r>
            <w:rPr/>
            <w:t>.1.4.1</w:t>
          </w:r>
          <w:r>
            <w:rPr>
              <w:rFonts w:cs="Calibri" w:ascii="Calibri" w:hAnsi="Calibri"/>
              <w:sz w:val="22"/>
              <w:szCs w:val="22"/>
            </w:rPr>
            <w:tab/>
          </w:r>
          <w:r>
            <w:rPr/>
            <w:t>Initial conditions</w:t>
            <w:tab/>
          </w:r>
          <w:hyperlink w:anchor="__RefHeading___Toc68600989">
            <w:r>
              <w:rPr>
                <w:rStyle w:val="IndexLink"/>
              </w:rPr>
              <w:t>39</w:t>
            </w:r>
          </w:hyperlink>
        </w:p>
        <w:p>
          <w:pPr>
            <w:pStyle w:val="Contents4"/>
            <w:rPr>
              <w:rFonts w:ascii="Calibri" w:hAnsi="Calibri" w:cs="Calibri"/>
              <w:sz w:val="22"/>
              <w:szCs w:val="22"/>
            </w:rPr>
          </w:pPr>
          <w:r>
            <w:rPr>
              <w:rFonts w:eastAsia="PMingLiU;新細明體"/>
              <w:lang w:val="en-US" w:eastAsia="en-US"/>
            </w:rPr>
            <w:t>6.1</w:t>
          </w:r>
          <w:r>
            <w:rPr/>
            <w:t>.1.4.2</w:t>
          </w:r>
          <w:r>
            <w:rPr>
              <w:rFonts w:cs="Calibri" w:ascii="Calibri" w:hAnsi="Calibri"/>
              <w:sz w:val="22"/>
              <w:szCs w:val="22"/>
            </w:rPr>
            <w:tab/>
          </w:r>
          <w:r>
            <w:rPr/>
            <w:t>Procedure</w:t>
            <w:tab/>
          </w:r>
          <w:hyperlink w:anchor="__RefHeading___Toc68600990">
            <w:r>
              <w:rPr>
                <w:rStyle w:val="IndexLink"/>
              </w:rPr>
              <w:t>40</w:t>
            </w:r>
          </w:hyperlink>
        </w:p>
        <w:p>
          <w:pPr>
            <w:pStyle w:val="Contents4"/>
            <w:rPr>
              <w:rFonts w:ascii="Calibri" w:hAnsi="Calibri" w:cs="Calibri"/>
              <w:sz w:val="22"/>
              <w:szCs w:val="22"/>
            </w:rPr>
          </w:pPr>
          <w:r>
            <w:rPr>
              <w:rFonts w:eastAsia="PMingLiU;新細明體"/>
              <w:lang w:val="en-US" w:eastAsia="en-US"/>
            </w:rPr>
            <w:t>6.1</w:t>
          </w:r>
          <w:r>
            <w:rPr/>
            <w:t>.1.4.3</w:t>
          </w:r>
          <w:r>
            <w:rPr>
              <w:rFonts w:cs="Calibri" w:ascii="Calibri" w:hAnsi="Calibri"/>
              <w:sz w:val="22"/>
              <w:szCs w:val="22"/>
            </w:rPr>
            <w:tab/>
          </w:r>
          <w:r>
            <w:rPr/>
            <w:t>Procedure, reverberation chamber method</w:t>
            <w:tab/>
          </w:r>
          <w:hyperlink w:anchor="__RefHeading___Toc68600991">
            <w:r>
              <w:rPr>
                <w:rStyle w:val="IndexLink"/>
              </w:rPr>
              <w:t>40</w:t>
            </w:r>
          </w:hyperlink>
        </w:p>
        <w:p>
          <w:pPr>
            <w:pStyle w:val="Contents4"/>
            <w:rPr>
              <w:rFonts w:ascii="Calibri" w:hAnsi="Calibri" w:cs="Calibri"/>
              <w:sz w:val="22"/>
              <w:szCs w:val="22"/>
            </w:rPr>
          </w:pPr>
          <w:r>
            <w:rPr>
              <w:rFonts w:eastAsia="PMingLiU;新細明體"/>
              <w:lang w:val="en-US" w:eastAsia="en-US"/>
            </w:rPr>
            <w:t>6.1.1.5</w:t>
          </w:r>
          <w:r>
            <w:rPr>
              <w:rFonts w:cs="Calibri" w:ascii="Calibri" w:hAnsi="Calibri"/>
              <w:sz w:val="22"/>
              <w:szCs w:val="22"/>
            </w:rPr>
            <w:tab/>
          </w:r>
          <w:r>
            <w:rPr>
              <w:rFonts w:eastAsia="PMingLiU;新細明體"/>
              <w:lang w:val="en-US" w:eastAsia="en-US"/>
            </w:rPr>
            <w:t>Test requirements</w:t>
          </w:r>
          <w:r>
            <w:rPr/>
            <w:tab/>
          </w:r>
          <w:hyperlink w:anchor="__RefHeading___Toc68600992">
            <w:r>
              <w:rPr>
                <w:rStyle w:val="IndexLink"/>
              </w:rPr>
              <w:t>41</w:t>
            </w:r>
          </w:hyperlink>
        </w:p>
        <w:p>
          <w:pPr>
            <w:pStyle w:val="Contents3"/>
            <w:rPr>
              <w:rFonts w:ascii="Calibri" w:hAnsi="Calibri" w:cs="Calibri"/>
              <w:sz w:val="22"/>
              <w:szCs w:val="22"/>
            </w:rPr>
          </w:pPr>
          <w:r>
            <w:rPr/>
            <w:t>6.1.2</w:t>
          </w:r>
          <w:r>
            <w:rPr>
              <w:rFonts w:cs="Calibri" w:ascii="Calibri" w:hAnsi="Calibri"/>
              <w:sz w:val="22"/>
              <w:szCs w:val="22"/>
            </w:rPr>
            <w:tab/>
          </w:r>
          <w:r>
            <w:rPr/>
            <w:t>Total Radiated Power (TRP) for UTRA LCR TDD in Speech Mode with beside the Head Phantom</w:t>
            <w:tab/>
          </w:r>
          <w:hyperlink w:anchor="__RefHeading___Toc68600993">
            <w:r>
              <w:rPr>
                <w:rStyle w:val="IndexLink"/>
              </w:rPr>
              <w:t>41</w:t>
            </w:r>
          </w:hyperlink>
        </w:p>
        <w:p>
          <w:pPr>
            <w:pStyle w:val="Contents4"/>
            <w:rPr>
              <w:rFonts w:ascii="Calibri" w:hAnsi="Calibri" w:cs="Calibri"/>
              <w:sz w:val="22"/>
              <w:szCs w:val="22"/>
            </w:rPr>
          </w:pPr>
          <w:r>
            <w:rPr>
              <w:rFonts w:eastAsia="PMingLiU;新細明體"/>
              <w:lang w:val="en-US" w:eastAsia="en-US"/>
            </w:rPr>
            <w:t>6.1.2.1</w:t>
          </w:r>
          <w:r>
            <w:rPr>
              <w:rFonts w:cs="Calibri" w:ascii="Calibri" w:hAnsi="Calibri"/>
              <w:sz w:val="22"/>
              <w:szCs w:val="22"/>
            </w:rPr>
            <w:tab/>
          </w:r>
          <w:r>
            <w:rPr>
              <w:rFonts w:eastAsia="PMingLiU;新細明體"/>
              <w:lang w:val="en-US" w:eastAsia="en-US"/>
            </w:rPr>
            <w:t>Definition and applicability</w:t>
          </w:r>
          <w:r>
            <w:rPr/>
            <w:tab/>
          </w:r>
          <w:hyperlink w:anchor="__RefHeading___Toc68600994">
            <w:r>
              <w:rPr>
                <w:rStyle w:val="IndexLink"/>
              </w:rPr>
              <w:t>42</w:t>
            </w:r>
          </w:hyperlink>
        </w:p>
        <w:p>
          <w:pPr>
            <w:pStyle w:val="Contents4"/>
            <w:rPr>
              <w:rFonts w:ascii="Calibri" w:hAnsi="Calibri" w:cs="Calibri"/>
              <w:sz w:val="22"/>
              <w:szCs w:val="22"/>
            </w:rPr>
          </w:pPr>
          <w:r>
            <w:rPr>
              <w:rFonts w:eastAsia="PMingLiU;新細明體"/>
              <w:lang w:val="en-US" w:eastAsia="en-US"/>
            </w:rPr>
            <w:t>6.1.2.2</w:t>
          </w:r>
          <w:r>
            <w:rPr>
              <w:rFonts w:cs="Calibri" w:ascii="Calibri" w:hAnsi="Calibri"/>
              <w:sz w:val="22"/>
              <w:szCs w:val="22"/>
            </w:rPr>
            <w:tab/>
          </w:r>
          <w:r>
            <w:rPr>
              <w:rFonts w:eastAsia="PMingLiU;新細明體"/>
              <w:lang w:val="en-US" w:eastAsia="en-US"/>
            </w:rPr>
            <w:t>Minimum Requirements</w:t>
          </w:r>
          <w:r>
            <w:rPr/>
            <w:tab/>
          </w:r>
          <w:hyperlink w:anchor="__RefHeading___Toc68600995">
            <w:r>
              <w:rPr>
                <w:rStyle w:val="IndexLink"/>
              </w:rPr>
              <w:t>42</w:t>
            </w:r>
          </w:hyperlink>
        </w:p>
        <w:p>
          <w:pPr>
            <w:pStyle w:val="Contents4"/>
            <w:rPr>
              <w:rFonts w:ascii="Calibri" w:hAnsi="Calibri" w:cs="Calibri"/>
              <w:sz w:val="22"/>
              <w:szCs w:val="22"/>
            </w:rPr>
          </w:pPr>
          <w:r>
            <w:rPr>
              <w:rFonts w:eastAsia="PMingLiU;新細明體"/>
              <w:lang w:val="en-US" w:eastAsia="en-US"/>
            </w:rPr>
            <w:t>6.1.2.3</w:t>
          </w:r>
          <w:r>
            <w:rPr>
              <w:rFonts w:cs="Calibri" w:ascii="Calibri" w:hAnsi="Calibri"/>
              <w:sz w:val="22"/>
              <w:szCs w:val="22"/>
            </w:rPr>
            <w:tab/>
          </w:r>
          <w:r>
            <w:rPr>
              <w:rFonts w:eastAsia="PMingLiU;新細明體"/>
              <w:lang w:val="en-US" w:eastAsia="en-US"/>
            </w:rPr>
            <w:t>Test purpose</w:t>
          </w:r>
          <w:r>
            <w:rPr/>
            <w:tab/>
          </w:r>
          <w:hyperlink w:anchor="__RefHeading___Toc68600996">
            <w:r>
              <w:rPr>
                <w:rStyle w:val="IndexLink"/>
              </w:rPr>
              <w:t>43</w:t>
            </w:r>
          </w:hyperlink>
        </w:p>
        <w:p>
          <w:pPr>
            <w:pStyle w:val="Contents4"/>
            <w:rPr>
              <w:rFonts w:ascii="Calibri" w:hAnsi="Calibri" w:cs="Calibri"/>
              <w:sz w:val="22"/>
              <w:szCs w:val="22"/>
            </w:rPr>
          </w:pPr>
          <w:r>
            <w:rPr>
              <w:rFonts w:eastAsia="PMingLiU;新細明體"/>
              <w:lang w:val="en-US" w:eastAsia="en-US"/>
            </w:rPr>
            <w:t>6.1.2.4</w:t>
          </w:r>
          <w:r>
            <w:rPr>
              <w:rFonts w:cs="Calibri" w:ascii="Calibri" w:hAnsi="Calibri"/>
              <w:sz w:val="22"/>
              <w:szCs w:val="22"/>
            </w:rPr>
            <w:tab/>
          </w:r>
          <w:r>
            <w:rPr>
              <w:rFonts w:eastAsia="PMingLiU;新細明體"/>
              <w:lang w:val="en-US" w:eastAsia="en-US"/>
            </w:rPr>
            <w:t>Method of test</w:t>
          </w:r>
          <w:r>
            <w:rPr/>
            <w:tab/>
          </w:r>
          <w:hyperlink w:anchor="__RefHeading___Toc68600997">
            <w:r>
              <w:rPr>
                <w:rStyle w:val="IndexLink"/>
              </w:rPr>
              <w:t>43</w:t>
            </w:r>
          </w:hyperlink>
        </w:p>
        <w:p>
          <w:pPr>
            <w:pStyle w:val="Contents4"/>
            <w:rPr>
              <w:rFonts w:ascii="Calibri" w:hAnsi="Calibri" w:cs="Calibri"/>
              <w:sz w:val="22"/>
              <w:szCs w:val="22"/>
            </w:rPr>
          </w:pPr>
          <w:r>
            <w:rPr>
              <w:rFonts w:eastAsia="PMingLiU;新細明體"/>
              <w:lang w:val="en-US" w:eastAsia="en-US"/>
            </w:rPr>
            <w:t>6.1</w:t>
          </w:r>
          <w:r>
            <w:rPr/>
            <w:t>.2.4.1</w:t>
          </w:r>
          <w:r>
            <w:rPr>
              <w:rFonts w:cs="Calibri" w:ascii="Calibri" w:hAnsi="Calibri"/>
              <w:sz w:val="22"/>
              <w:szCs w:val="22"/>
            </w:rPr>
            <w:tab/>
          </w:r>
          <w:r>
            <w:rPr/>
            <w:t>Initial conditions</w:t>
            <w:tab/>
          </w:r>
          <w:hyperlink w:anchor="__RefHeading___Toc68600998">
            <w:r>
              <w:rPr>
                <w:rStyle w:val="IndexLink"/>
              </w:rPr>
              <w:t>43</w:t>
            </w:r>
          </w:hyperlink>
        </w:p>
        <w:p>
          <w:pPr>
            <w:pStyle w:val="Contents4"/>
            <w:rPr>
              <w:rFonts w:ascii="Calibri" w:hAnsi="Calibri" w:cs="Calibri"/>
              <w:sz w:val="22"/>
              <w:szCs w:val="22"/>
            </w:rPr>
          </w:pPr>
          <w:r>
            <w:rPr>
              <w:rFonts w:eastAsia="PMingLiU;新細明體"/>
              <w:lang w:val="en-US" w:eastAsia="en-US"/>
            </w:rPr>
            <w:t>6.1</w:t>
          </w:r>
          <w:r>
            <w:rPr/>
            <w:t>.2.4.2</w:t>
          </w:r>
          <w:r>
            <w:rPr>
              <w:rFonts w:cs="Calibri" w:ascii="Calibri" w:hAnsi="Calibri"/>
              <w:sz w:val="22"/>
              <w:szCs w:val="22"/>
            </w:rPr>
            <w:tab/>
          </w:r>
          <w:r>
            <w:rPr/>
            <w:t>Procedure</w:t>
            <w:tab/>
          </w:r>
          <w:hyperlink w:anchor="__RefHeading___Toc68600999">
            <w:r>
              <w:rPr>
                <w:rStyle w:val="IndexLink"/>
              </w:rPr>
              <w:t>44</w:t>
            </w:r>
          </w:hyperlink>
        </w:p>
        <w:p>
          <w:pPr>
            <w:pStyle w:val="Contents4"/>
            <w:rPr>
              <w:rFonts w:ascii="Calibri" w:hAnsi="Calibri" w:cs="Calibri"/>
              <w:sz w:val="22"/>
              <w:szCs w:val="22"/>
            </w:rPr>
          </w:pPr>
          <w:r>
            <w:rPr>
              <w:rFonts w:eastAsia="PMingLiU;新細明體"/>
              <w:lang w:val="en-US" w:eastAsia="en-US"/>
            </w:rPr>
            <w:t>6.1</w:t>
          </w:r>
          <w:r>
            <w:rPr/>
            <w:t>.2.4.3</w:t>
          </w:r>
          <w:r>
            <w:rPr>
              <w:rFonts w:cs="Calibri" w:ascii="Calibri" w:hAnsi="Calibri"/>
              <w:sz w:val="22"/>
              <w:szCs w:val="22"/>
            </w:rPr>
            <w:tab/>
          </w:r>
          <w:r>
            <w:rPr/>
            <w:t>Procedure, reverberation chamber method</w:t>
            <w:tab/>
          </w:r>
          <w:hyperlink w:anchor="__RefHeading___Toc68601000">
            <w:r>
              <w:rPr>
                <w:rStyle w:val="IndexLink"/>
              </w:rPr>
              <w:t>44</w:t>
            </w:r>
          </w:hyperlink>
        </w:p>
        <w:p>
          <w:pPr>
            <w:pStyle w:val="Contents4"/>
            <w:rPr>
              <w:rFonts w:ascii="Calibri" w:hAnsi="Calibri" w:cs="Calibri"/>
              <w:sz w:val="22"/>
              <w:szCs w:val="22"/>
            </w:rPr>
          </w:pPr>
          <w:r>
            <w:rPr>
              <w:rFonts w:eastAsia="PMingLiU;新細明體"/>
              <w:lang w:val="en-US" w:eastAsia="en-US"/>
            </w:rPr>
            <w:t>6.1.2.5</w:t>
          </w:r>
          <w:r>
            <w:rPr>
              <w:rFonts w:cs="Calibri" w:ascii="Calibri" w:hAnsi="Calibri"/>
              <w:sz w:val="22"/>
              <w:szCs w:val="22"/>
            </w:rPr>
            <w:tab/>
          </w:r>
          <w:r>
            <w:rPr>
              <w:rFonts w:eastAsia="PMingLiU;新細明體"/>
              <w:lang w:val="en-US" w:eastAsia="en-US"/>
            </w:rPr>
            <w:t>Test requirements</w:t>
          </w:r>
          <w:r>
            <w:rPr/>
            <w:tab/>
          </w:r>
          <w:hyperlink w:anchor="__RefHeading___Toc68601001">
            <w:r>
              <w:rPr>
                <w:rStyle w:val="IndexLink"/>
              </w:rPr>
              <w:t>44</w:t>
            </w:r>
          </w:hyperlink>
        </w:p>
        <w:p>
          <w:pPr>
            <w:pStyle w:val="Contents3"/>
            <w:rPr>
              <w:rFonts w:ascii="Calibri" w:hAnsi="Calibri" w:cs="Calibri"/>
              <w:sz w:val="22"/>
              <w:szCs w:val="22"/>
            </w:rPr>
          </w:pPr>
          <w:r>
            <w:rPr/>
            <w:t>6.1.3</w:t>
          </w:r>
          <w:r>
            <w:rPr>
              <w:rFonts w:cs="Calibri" w:ascii="Calibri" w:hAnsi="Calibri"/>
              <w:sz w:val="22"/>
              <w:szCs w:val="22"/>
            </w:rPr>
            <w:tab/>
          </w:r>
          <w:r>
            <w:rPr/>
            <w:t>Total Radiated Power (TRP) for UTRA FDD in Speech Mode with beside the Head and Hand Phantom</w:t>
            <w:tab/>
          </w:r>
          <w:hyperlink w:anchor="__RefHeading___Toc68601002">
            <w:r>
              <w:rPr>
                <w:rStyle w:val="IndexLink"/>
              </w:rPr>
              <w:t>45</w:t>
            </w:r>
          </w:hyperlink>
        </w:p>
        <w:p>
          <w:pPr>
            <w:pStyle w:val="Contents4"/>
            <w:rPr>
              <w:rFonts w:ascii="Calibri" w:hAnsi="Calibri" w:cs="Calibri"/>
              <w:sz w:val="22"/>
              <w:szCs w:val="22"/>
            </w:rPr>
          </w:pPr>
          <w:r>
            <w:rPr/>
            <w:t>6.1.3.1</w:t>
          </w:r>
          <w:r>
            <w:rPr>
              <w:rFonts w:cs="Calibri" w:ascii="Calibri" w:hAnsi="Calibri"/>
              <w:sz w:val="22"/>
              <w:szCs w:val="22"/>
            </w:rPr>
            <w:tab/>
          </w:r>
          <w:r>
            <w:rPr/>
            <w:t>Definition and applicability</w:t>
            <w:tab/>
          </w:r>
          <w:hyperlink w:anchor="__RefHeading___Toc68601003">
            <w:r>
              <w:rPr>
                <w:rStyle w:val="IndexLink"/>
              </w:rPr>
              <w:t>45</w:t>
            </w:r>
          </w:hyperlink>
        </w:p>
        <w:p>
          <w:pPr>
            <w:pStyle w:val="Contents4"/>
            <w:rPr>
              <w:rFonts w:ascii="Calibri" w:hAnsi="Calibri" w:cs="Calibri"/>
              <w:sz w:val="22"/>
              <w:szCs w:val="22"/>
            </w:rPr>
          </w:pPr>
          <w:r>
            <w:rPr/>
            <w:t>6.1.3.2</w:t>
          </w:r>
          <w:r>
            <w:rPr>
              <w:rFonts w:cs="Calibri" w:ascii="Calibri" w:hAnsi="Calibri"/>
              <w:sz w:val="22"/>
              <w:szCs w:val="22"/>
            </w:rPr>
            <w:tab/>
          </w:r>
          <w:r>
            <w:rPr/>
            <w:t>Minimum Requirements</w:t>
            <w:tab/>
          </w:r>
          <w:hyperlink w:anchor="__RefHeading___Toc68601004">
            <w:r>
              <w:rPr>
                <w:rStyle w:val="IndexLink"/>
              </w:rPr>
              <w:t>46</w:t>
            </w:r>
          </w:hyperlink>
        </w:p>
        <w:p>
          <w:pPr>
            <w:pStyle w:val="Contents4"/>
            <w:rPr>
              <w:rFonts w:ascii="Calibri" w:hAnsi="Calibri" w:cs="Calibri"/>
              <w:sz w:val="22"/>
              <w:szCs w:val="22"/>
            </w:rPr>
          </w:pPr>
          <w:r>
            <w:rPr/>
            <w:t>6.1.3.3</w:t>
          </w:r>
          <w:r>
            <w:rPr>
              <w:rFonts w:cs="Calibri" w:ascii="Calibri" w:hAnsi="Calibri"/>
              <w:sz w:val="22"/>
              <w:szCs w:val="22"/>
            </w:rPr>
            <w:tab/>
          </w:r>
          <w:r>
            <w:rPr/>
            <w:t>Test purpose</w:t>
            <w:tab/>
          </w:r>
          <w:hyperlink w:anchor="__RefHeading___Toc68601005">
            <w:r>
              <w:rPr>
                <w:rStyle w:val="IndexLink"/>
              </w:rPr>
              <w:t>47</w:t>
            </w:r>
          </w:hyperlink>
        </w:p>
        <w:p>
          <w:pPr>
            <w:pStyle w:val="Contents4"/>
            <w:rPr>
              <w:rFonts w:ascii="Calibri" w:hAnsi="Calibri" w:cs="Calibri"/>
              <w:sz w:val="22"/>
              <w:szCs w:val="22"/>
            </w:rPr>
          </w:pPr>
          <w:r>
            <w:rPr/>
            <w:t>6.1.3.4</w:t>
          </w:r>
          <w:r>
            <w:rPr>
              <w:rFonts w:cs="Calibri" w:ascii="Calibri" w:hAnsi="Calibri"/>
              <w:sz w:val="22"/>
              <w:szCs w:val="22"/>
            </w:rPr>
            <w:tab/>
          </w:r>
          <w:r>
            <w:rPr/>
            <w:t>Method of test</w:t>
            <w:tab/>
          </w:r>
          <w:hyperlink w:anchor="__RefHeading___Toc68601006">
            <w:r>
              <w:rPr>
                <w:rStyle w:val="IndexLink"/>
              </w:rPr>
              <w:t>47</w:t>
            </w:r>
          </w:hyperlink>
        </w:p>
        <w:p>
          <w:pPr>
            <w:pStyle w:val="Contents4"/>
            <w:rPr>
              <w:rFonts w:ascii="Calibri" w:hAnsi="Calibri" w:cs="Calibri"/>
              <w:sz w:val="22"/>
              <w:szCs w:val="22"/>
            </w:rPr>
          </w:pPr>
          <w:r>
            <w:rPr/>
            <w:t>6.1.3.4.1</w:t>
          </w:r>
          <w:r>
            <w:rPr>
              <w:rFonts w:cs="Calibri" w:ascii="Calibri" w:hAnsi="Calibri"/>
              <w:sz w:val="22"/>
              <w:szCs w:val="22"/>
            </w:rPr>
            <w:tab/>
          </w:r>
          <w:r>
            <w:rPr/>
            <w:t>Initial conditions</w:t>
            <w:tab/>
          </w:r>
          <w:hyperlink w:anchor="__RefHeading___Toc68601007">
            <w:r>
              <w:rPr>
                <w:rStyle w:val="IndexLink"/>
              </w:rPr>
              <w:t>47</w:t>
            </w:r>
          </w:hyperlink>
        </w:p>
        <w:p>
          <w:pPr>
            <w:pStyle w:val="Contents4"/>
            <w:rPr>
              <w:rFonts w:ascii="Calibri" w:hAnsi="Calibri" w:cs="Calibri"/>
              <w:sz w:val="22"/>
              <w:szCs w:val="22"/>
            </w:rPr>
          </w:pPr>
          <w:r>
            <w:rPr/>
            <w:t>6.1.3.4.2</w:t>
          </w:r>
          <w:r>
            <w:rPr>
              <w:rFonts w:cs="Calibri" w:ascii="Calibri" w:hAnsi="Calibri"/>
              <w:sz w:val="22"/>
              <w:szCs w:val="22"/>
            </w:rPr>
            <w:tab/>
          </w:r>
          <w:r>
            <w:rPr/>
            <w:t>Procedure</w:t>
            <w:tab/>
          </w:r>
          <w:hyperlink w:anchor="__RefHeading___Toc68601008">
            <w:r>
              <w:rPr>
                <w:rStyle w:val="IndexLink"/>
              </w:rPr>
              <w:t>47</w:t>
            </w:r>
          </w:hyperlink>
        </w:p>
        <w:p>
          <w:pPr>
            <w:pStyle w:val="Contents4"/>
            <w:rPr>
              <w:rFonts w:ascii="Calibri" w:hAnsi="Calibri" w:cs="Calibri"/>
              <w:sz w:val="22"/>
              <w:szCs w:val="22"/>
            </w:rPr>
          </w:pPr>
          <w:r>
            <w:rPr/>
            <w:t>6.1.3.4.3</w:t>
          </w:r>
          <w:r>
            <w:rPr>
              <w:rFonts w:cs="Calibri" w:ascii="Calibri" w:hAnsi="Calibri"/>
              <w:sz w:val="22"/>
              <w:szCs w:val="22"/>
            </w:rPr>
            <w:tab/>
          </w:r>
          <w:r>
            <w:rPr/>
            <w:t>Procedure, reverberation chamber method</w:t>
            <w:tab/>
          </w:r>
          <w:hyperlink w:anchor="__RefHeading___Toc68601009">
            <w:r>
              <w:rPr>
                <w:rStyle w:val="IndexLink"/>
              </w:rPr>
              <w:t>48</w:t>
            </w:r>
          </w:hyperlink>
        </w:p>
        <w:p>
          <w:pPr>
            <w:pStyle w:val="Contents4"/>
            <w:rPr>
              <w:rFonts w:ascii="Calibri" w:hAnsi="Calibri" w:cs="Calibri"/>
              <w:sz w:val="22"/>
              <w:szCs w:val="22"/>
            </w:rPr>
          </w:pPr>
          <w:r>
            <w:rPr/>
            <w:t>6.1.3.5</w:t>
          </w:r>
          <w:r>
            <w:rPr>
              <w:rFonts w:cs="Calibri" w:ascii="Calibri" w:hAnsi="Calibri"/>
              <w:sz w:val="22"/>
              <w:szCs w:val="22"/>
            </w:rPr>
            <w:tab/>
          </w:r>
          <w:r>
            <w:rPr/>
            <w:t>Test requirements</w:t>
            <w:tab/>
          </w:r>
          <w:hyperlink w:anchor="__RefHeading___Toc68601010">
            <w:r>
              <w:rPr>
                <w:rStyle w:val="IndexLink"/>
              </w:rPr>
              <w:t>48</w:t>
            </w:r>
          </w:hyperlink>
        </w:p>
        <w:p>
          <w:pPr>
            <w:pStyle w:val="Contents3"/>
            <w:rPr>
              <w:rFonts w:ascii="Calibri" w:hAnsi="Calibri" w:cs="Calibri"/>
              <w:sz w:val="22"/>
              <w:szCs w:val="22"/>
            </w:rPr>
          </w:pPr>
          <w:r>
            <w:rPr/>
            <w:t>6.1.4</w:t>
          </w:r>
          <w:r>
            <w:rPr>
              <w:rFonts w:cs="Calibri" w:ascii="Calibri" w:hAnsi="Calibri"/>
              <w:sz w:val="22"/>
              <w:szCs w:val="22"/>
            </w:rPr>
            <w:tab/>
          </w:r>
          <w:r>
            <w:rPr/>
            <w:t>Total Radiated Power (TRP) for UTRA LCR TDD in Speech Mode with beside the Head and Hand Phantom</w:t>
            <w:tab/>
          </w:r>
          <w:hyperlink w:anchor="__RefHeading___Toc68601011">
            <w:r>
              <w:rPr>
                <w:rStyle w:val="IndexLink"/>
              </w:rPr>
              <w:t>49</w:t>
            </w:r>
          </w:hyperlink>
        </w:p>
        <w:p>
          <w:pPr>
            <w:pStyle w:val="Contents4"/>
            <w:rPr>
              <w:rFonts w:ascii="Calibri" w:hAnsi="Calibri" w:cs="Calibri"/>
              <w:sz w:val="22"/>
              <w:szCs w:val="22"/>
            </w:rPr>
          </w:pPr>
          <w:r>
            <w:rPr/>
            <w:t>6.1.4.1</w:t>
          </w:r>
          <w:r>
            <w:rPr>
              <w:rFonts w:cs="Calibri" w:ascii="Calibri" w:hAnsi="Calibri"/>
              <w:sz w:val="22"/>
              <w:szCs w:val="22"/>
            </w:rPr>
            <w:tab/>
          </w:r>
          <w:r>
            <w:rPr/>
            <w:t>Definition and applicability</w:t>
            <w:tab/>
          </w:r>
          <w:hyperlink w:anchor="__RefHeading___Toc68601012">
            <w:r>
              <w:rPr>
                <w:rStyle w:val="IndexLink"/>
              </w:rPr>
              <w:t>49</w:t>
            </w:r>
          </w:hyperlink>
        </w:p>
        <w:p>
          <w:pPr>
            <w:pStyle w:val="Contents4"/>
            <w:rPr>
              <w:rFonts w:ascii="Calibri" w:hAnsi="Calibri" w:cs="Calibri"/>
              <w:sz w:val="22"/>
              <w:szCs w:val="22"/>
            </w:rPr>
          </w:pPr>
          <w:r>
            <w:rPr/>
            <w:t>6.1.4.2</w:t>
          </w:r>
          <w:r>
            <w:rPr>
              <w:rFonts w:cs="Calibri" w:ascii="Calibri" w:hAnsi="Calibri"/>
              <w:sz w:val="22"/>
              <w:szCs w:val="22"/>
            </w:rPr>
            <w:tab/>
          </w:r>
          <w:r>
            <w:rPr/>
            <w:t>Minimum Requirements</w:t>
            <w:tab/>
          </w:r>
          <w:hyperlink w:anchor="__RefHeading___Toc68601013">
            <w:r>
              <w:rPr>
                <w:rStyle w:val="IndexLink"/>
              </w:rPr>
              <w:t>50</w:t>
            </w:r>
          </w:hyperlink>
        </w:p>
        <w:p>
          <w:pPr>
            <w:pStyle w:val="Contents4"/>
            <w:rPr>
              <w:rFonts w:ascii="Calibri" w:hAnsi="Calibri" w:cs="Calibri"/>
              <w:sz w:val="22"/>
              <w:szCs w:val="22"/>
            </w:rPr>
          </w:pPr>
          <w:r>
            <w:rPr/>
            <w:t>6.1.4.3</w:t>
          </w:r>
          <w:r>
            <w:rPr>
              <w:rFonts w:cs="Calibri" w:ascii="Calibri" w:hAnsi="Calibri"/>
              <w:sz w:val="22"/>
              <w:szCs w:val="22"/>
            </w:rPr>
            <w:tab/>
          </w:r>
          <w:r>
            <w:rPr/>
            <w:t>Test purpose</w:t>
            <w:tab/>
          </w:r>
          <w:hyperlink w:anchor="__RefHeading___Toc68601014">
            <w:r>
              <w:rPr>
                <w:rStyle w:val="IndexLink"/>
              </w:rPr>
              <w:t>51</w:t>
            </w:r>
          </w:hyperlink>
        </w:p>
        <w:p>
          <w:pPr>
            <w:pStyle w:val="Contents4"/>
            <w:rPr>
              <w:rFonts w:ascii="Calibri" w:hAnsi="Calibri" w:cs="Calibri"/>
              <w:sz w:val="22"/>
              <w:szCs w:val="22"/>
            </w:rPr>
          </w:pPr>
          <w:r>
            <w:rPr/>
            <w:t>6.1.4.4</w:t>
          </w:r>
          <w:r>
            <w:rPr>
              <w:rFonts w:cs="Calibri" w:ascii="Calibri" w:hAnsi="Calibri"/>
              <w:sz w:val="22"/>
              <w:szCs w:val="22"/>
            </w:rPr>
            <w:tab/>
          </w:r>
          <w:r>
            <w:rPr/>
            <w:t>Method of test</w:t>
            <w:tab/>
          </w:r>
          <w:hyperlink w:anchor="__RefHeading___Toc68601015">
            <w:r>
              <w:rPr>
                <w:rStyle w:val="IndexLink"/>
              </w:rPr>
              <w:t>51</w:t>
            </w:r>
          </w:hyperlink>
        </w:p>
        <w:p>
          <w:pPr>
            <w:pStyle w:val="Contents4"/>
            <w:rPr>
              <w:rFonts w:ascii="Calibri" w:hAnsi="Calibri" w:cs="Calibri"/>
              <w:sz w:val="22"/>
              <w:szCs w:val="22"/>
            </w:rPr>
          </w:pPr>
          <w:r>
            <w:rPr/>
            <w:t>6.1.4.4.1</w:t>
          </w:r>
          <w:r>
            <w:rPr>
              <w:rFonts w:cs="Calibri" w:ascii="Calibri" w:hAnsi="Calibri"/>
              <w:sz w:val="22"/>
              <w:szCs w:val="22"/>
            </w:rPr>
            <w:tab/>
          </w:r>
          <w:r>
            <w:rPr/>
            <w:t>Initial conditions</w:t>
            <w:tab/>
          </w:r>
          <w:hyperlink w:anchor="__RefHeading___Toc68601016">
            <w:r>
              <w:rPr>
                <w:rStyle w:val="IndexLink"/>
              </w:rPr>
              <w:t>51</w:t>
            </w:r>
          </w:hyperlink>
        </w:p>
        <w:p>
          <w:pPr>
            <w:pStyle w:val="Contents4"/>
            <w:rPr>
              <w:rFonts w:ascii="Calibri" w:hAnsi="Calibri" w:cs="Calibri"/>
              <w:sz w:val="22"/>
              <w:szCs w:val="22"/>
            </w:rPr>
          </w:pPr>
          <w:r>
            <w:rPr/>
            <w:t>6.1.4.4.2</w:t>
          </w:r>
          <w:r>
            <w:rPr>
              <w:rFonts w:cs="Calibri" w:ascii="Calibri" w:hAnsi="Calibri"/>
              <w:sz w:val="22"/>
              <w:szCs w:val="22"/>
            </w:rPr>
            <w:tab/>
          </w:r>
          <w:r>
            <w:rPr/>
            <w:t>Procedure</w:t>
            <w:tab/>
          </w:r>
          <w:hyperlink w:anchor="__RefHeading___Toc68601017">
            <w:r>
              <w:rPr>
                <w:rStyle w:val="IndexLink"/>
              </w:rPr>
              <w:t>51</w:t>
            </w:r>
          </w:hyperlink>
        </w:p>
        <w:p>
          <w:pPr>
            <w:pStyle w:val="Contents4"/>
            <w:rPr>
              <w:rFonts w:ascii="Calibri" w:hAnsi="Calibri" w:cs="Calibri"/>
              <w:sz w:val="22"/>
              <w:szCs w:val="22"/>
            </w:rPr>
          </w:pPr>
          <w:r>
            <w:rPr/>
            <w:t>6.1.4.4.3</w:t>
          </w:r>
          <w:r>
            <w:rPr>
              <w:rFonts w:cs="Calibri" w:ascii="Calibri" w:hAnsi="Calibri"/>
              <w:sz w:val="22"/>
              <w:szCs w:val="22"/>
            </w:rPr>
            <w:tab/>
          </w:r>
          <w:r>
            <w:rPr/>
            <w:t>Procedure, reverberation chamber method</w:t>
            <w:tab/>
          </w:r>
          <w:hyperlink w:anchor="__RefHeading___Toc68601018">
            <w:r>
              <w:rPr>
                <w:rStyle w:val="IndexLink"/>
              </w:rPr>
              <w:t>52</w:t>
            </w:r>
          </w:hyperlink>
        </w:p>
        <w:p>
          <w:pPr>
            <w:pStyle w:val="Contents4"/>
            <w:rPr>
              <w:rFonts w:ascii="Calibri" w:hAnsi="Calibri" w:cs="Calibri"/>
              <w:sz w:val="22"/>
              <w:szCs w:val="22"/>
            </w:rPr>
          </w:pPr>
          <w:r>
            <w:rPr/>
            <w:t>6.1.4.5</w:t>
          </w:r>
          <w:r>
            <w:rPr>
              <w:rFonts w:cs="Calibri" w:ascii="Calibri" w:hAnsi="Calibri"/>
              <w:sz w:val="22"/>
              <w:szCs w:val="22"/>
            </w:rPr>
            <w:tab/>
          </w:r>
          <w:r>
            <w:rPr/>
            <w:t>Test requirements</w:t>
            <w:tab/>
          </w:r>
          <w:hyperlink w:anchor="__RefHeading___Toc68601019">
            <w:r>
              <w:rPr>
                <w:rStyle w:val="IndexLink"/>
              </w:rPr>
              <w:t>52</w:t>
            </w:r>
          </w:hyperlink>
        </w:p>
        <w:p>
          <w:pPr>
            <w:pStyle w:val="Contents3"/>
            <w:rPr>
              <w:rFonts w:ascii="Calibri" w:hAnsi="Calibri" w:cs="Calibri"/>
              <w:sz w:val="22"/>
              <w:szCs w:val="22"/>
            </w:rPr>
          </w:pPr>
          <w:r>
            <w:rPr/>
            <w:t>6.1.5</w:t>
          </w:r>
          <w:r>
            <w:rPr>
              <w:rFonts w:cs="Calibri" w:ascii="Calibri" w:hAnsi="Calibri"/>
              <w:sz w:val="22"/>
              <w:szCs w:val="22"/>
            </w:rPr>
            <w:tab/>
          </w:r>
          <w:r>
            <w:rPr/>
            <w:t>Total Radiated Power (TRP) for E-UTRA FDD in Speech Mode with beside the Head and Hand Phantom</w:t>
            <w:tab/>
          </w:r>
          <w:hyperlink w:anchor="__RefHeading___Toc68601020">
            <w:r>
              <w:rPr>
                <w:rStyle w:val="IndexLink"/>
              </w:rPr>
              <w:t>53</w:t>
            </w:r>
          </w:hyperlink>
        </w:p>
        <w:p>
          <w:pPr>
            <w:pStyle w:val="Contents4"/>
            <w:rPr>
              <w:rFonts w:ascii="Calibri" w:hAnsi="Calibri" w:cs="Calibri"/>
              <w:sz w:val="22"/>
              <w:szCs w:val="22"/>
            </w:rPr>
          </w:pPr>
          <w:r>
            <w:rPr/>
            <w:t>6.1.5.1</w:t>
          </w:r>
          <w:r>
            <w:rPr>
              <w:rFonts w:cs="Calibri" w:ascii="Calibri" w:hAnsi="Calibri"/>
              <w:sz w:val="22"/>
              <w:szCs w:val="22"/>
            </w:rPr>
            <w:tab/>
          </w:r>
          <w:r>
            <w:rPr/>
            <w:t>Definition and applicability</w:t>
            <w:tab/>
          </w:r>
          <w:hyperlink w:anchor="__RefHeading___Toc68601021">
            <w:r>
              <w:rPr>
                <w:rStyle w:val="IndexLink"/>
              </w:rPr>
              <w:t>53</w:t>
            </w:r>
          </w:hyperlink>
        </w:p>
        <w:p>
          <w:pPr>
            <w:pStyle w:val="Contents4"/>
            <w:rPr>
              <w:rFonts w:ascii="Calibri" w:hAnsi="Calibri" w:cs="Calibri"/>
              <w:sz w:val="22"/>
              <w:szCs w:val="22"/>
            </w:rPr>
          </w:pPr>
          <w:r>
            <w:rPr/>
            <w:t>6.1.5.2</w:t>
          </w:r>
          <w:r>
            <w:rPr>
              <w:rFonts w:cs="Calibri" w:ascii="Calibri" w:hAnsi="Calibri"/>
              <w:sz w:val="22"/>
              <w:szCs w:val="22"/>
            </w:rPr>
            <w:tab/>
          </w:r>
          <w:r>
            <w:rPr/>
            <w:t>Minimum Requirements</w:t>
            <w:tab/>
          </w:r>
          <w:hyperlink w:anchor="__RefHeading___Toc68601022">
            <w:r>
              <w:rPr>
                <w:rStyle w:val="IndexLink"/>
              </w:rPr>
              <w:t>55</w:t>
            </w:r>
          </w:hyperlink>
        </w:p>
        <w:p>
          <w:pPr>
            <w:pStyle w:val="Contents4"/>
            <w:rPr>
              <w:rFonts w:ascii="Calibri" w:hAnsi="Calibri" w:cs="Calibri"/>
              <w:sz w:val="22"/>
              <w:szCs w:val="22"/>
            </w:rPr>
          </w:pPr>
          <w:r>
            <w:rPr/>
            <w:t>6.1.5.3</w:t>
          </w:r>
          <w:r>
            <w:rPr>
              <w:rFonts w:cs="Calibri" w:ascii="Calibri" w:hAnsi="Calibri"/>
              <w:sz w:val="22"/>
              <w:szCs w:val="22"/>
            </w:rPr>
            <w:tab/>
          </w:r>
          <w:r>
            <w:rPr/>
            <w:t>Test purpose</w:t>
            <w:tab/>
          </w:r>
          <w:hyperlink w:anchor="__RefHeading___Toc68601023">
            <w:r>
              <w:rPr>
                <w:rStyle w:val="IndexLink"/>
              </w:rPr>
              <w:t>55</w:t>
            </w:r>
          </w:hyperlink>
        </w:p>
        <w:p>
          <w:pPr>
            <w:pStyle w:val="Contents4"/>
            <w:rPr>
              <w:rFonts w:ascii="Calibri" w:hAnsi="Calibri" w:cs="Calibri"/>
              <w:sz w:val="22"/>
              <w:szCs w:val="22"/>
            </w:rPr>
          </w:pPr>
          <w:r>
            <w:rPr/>
            <w:t>6.1.5.4</w:t>
          </w:r>
          <w:r>
            <w:rPr>
              <w:rFonts w:cs="Calibri" w:ascii="Calibri" w:hAnsi="Calibri"/>
              <w:sz w:val="22"/>
              <w:szCs w:val="22"/>
            </w:rPr>
            <w:tab/>
          </w:r>
          <w:r>
            <w:rPr/>
            <w:t>Method of test</w:t>
            <w:tab/>
          </w:r>
          <w:hyperlink w:anchor="__RefHeading___Toc68601024">
            <w:r>
              <w:rPr>
                <w:rStyle w:val="IndexLink"/>
              </w:rPr>
              <w:t>55</w:t>
            </w:r>
          </w:hyperlink>
        </w:p>
        <w:p>
          <w:pPr>
            <w:pStyle w:val="Contents4"/>
            <w:rPr>
              <w:rFonts w:ascii="Calibri" w:hAnsi="Calibri" w:cs="Calibri"/>
              <w:sz w:val="22"/>
              <w:szCs w:val="22"/>
            </w:rPr>
          </w:pPr>
          <w:r>
            <w:rPr/>
            <w:t>6.1.5.4.1</w:t>
          </w:r>
          <w:r>
            <w:rPr>
              <w:rFonts w:cs="Calibri" w:ascii="Calibri" w:hAnsi="Calibri"/>
              <w:sz w:val="22"/>
              <w:szCs w:val="22"/>
            </w:rPr>
            <w:tab/>
          </w:r>
          <w:r>
            <w:rPr/>
            <w:t>Initial conditions</w:t>
            <w:tab/>
          </w:r>
          <w:hyperlink w:anchor="__RefHeading___Toc68601025">
            <w:r>
              <w:rPr>
                <w:rStyle w:val="IndexLink"/>
              </w:rPr>
              <w:t>55</w:t>
            </w:r>
          </w:hyperlink>
        </w:p>
        <w:p>
          <w:pPr>
            <w:pStyle w:val="Contents4"/>
            <w:rPr>
              <w:rFonts w:ascii="Calibri" w:hAnsi="Calibri" w:cs="Calibri"/>
              <w:sz w:val="22"/>
              <w:szCs w:val="22"/>
            </w:rPr>
          </w:pPr>
          <w:r>
            <w:rPr/>
            <w:t>6.1.5.4.2</w:t>
          </w:r>
          <w:r>
            <w:rPr>
              <w:rFonts w:cs="Calibri" w:ascii="Calibri" w:hAnsi="Calibri"/>
              <w:sz w:val="22"/>
              <w:szCs w:val="22"/>
            </w:rPr>
            <w:tab/>
          </w:r>
          <w:r>
            <w:rPr/>
            <w:t>Procedure</w:t>
            <w:tab/>
          </w:r>
          <w:hyperlink w:anchor="__RefHeading___Toc68601026">
            <w:r>
              <w:rPr>
                <w:rStyle w:val="IndexLink"/>
              </w:rPr>
              <w:t>56</w:t>
            </w:r>
          </w:hyperlink>
        </w:p>
        <w:p>
          <w:pPr>
            <w:pStyle w:val="Contents4"/>
            <w:rPr>
              <w:rFonts w:ascii="Calibri" w:hAnsi="Calibri" w:cs="Calibri"/>
              <w:sz w:val="22"/>
              <w:szCs w:val="22"/>
            </w:rPr>
          </w:pPr>
          <w:r>
            <w:rPr/>
            <w:t>6.1.5.4.3</w:t>
          </w:r>
          <w:r>
            <w:rPr>
              <w:rFonts w:cs="Calibri" w:ascii="Calibri" w:hAnsi="Calibri"/>
              <w:sz w:val="22"/>
              <w:szCs w:val="22"/>
            </w:rPr>
            <w:tab/>
          </w:r>
          <w:r>
            <w:rPr/>
            <w:t>Procedure, reverberation chamber method</w:t>
            <w:tab/>
          </w:r>
          <w:hyperlink w:anchor="__RefHeading___Toc68601027">
            <w:r>
              <w:rPr>
                <w:rStyle w:val="IndexLink"/>
              </w:rPr>
              <w:t>56</w:t>
            </w:r>
          </w:hyperlink>
        </w:p>
        <w:p>
          <w:pPr>
            <w:pStyle w:val="Contents4"/>
            <w:rPr>
              <w:rFonts w:ascii="Calibri" w:hAnsi="Calibri" w:cs="Calibri"/>
              <w:sz w:val="22"/>
              <w:szCs w:val="22"/>
            </w:rPr>
          </w:pPr>
          <w:r>
            <w:rPr/>
            <w:t>6.1.5.5</w:t>
          </w:r>
          <w:r>
            <w:rPr>
              <w:rFonts w:cs="Calibri" w:ascii="Calibri" w:hAnsi="Calibri"/>
              <w:sz w:val="22"/>
              <w:szCs w:val="22"/>
            </w:rPr>
            <w:tab/>
          </w:r>
          <w:r>
            <w:rPr/>
            <w:t>Test requirements</w:t>
            <w:tab/>
          </w:r>
          <w:hyperlink w:anchor="__RefHeading___Toc68601028">
            <w:r>
              <w:rPr>
                <w:rStyle w:val="IndexLink"/>
              </w:rPr>
              <w:t>56</w:t>
            </w:r>
          </w:hyperlink>
        </w:p>
        <w:p>
          <w:pPr>
            <w:pStyle w:val="Contents3"/>
            <w:rPr>
              <w:rFonts w:ascii="Calibri" w:hAnsi="Calibri" w:cs="Calibri"/>
              <w:sz w:val="22"/>
              <w:szCs w:val="22"/>
            </w:rPr>
          </w:pPr>
          <w:r>
            <w:rPr/>
            <w:t>6.1.6</w:t>
          </w:r>
          <w:r>
            <w:rPr>
              <w:rFonts w:cs="Calibri" w:ascii="Calibri" w:hAnsi="Calibri"/>
              <w:sz w:val="22"/>
              <w:szCs w:val="22"/>
            </w:rPr>
            <w:tab/>
          </w:r>
          <w:r>
            <w:rPr/>
            <w:t>Total Radiated Power (TRP) for E-UTRA TDD in Speech Mode with beside the Head and Hand Phantom</w:t>
            <w:tab/>
          </w:r>
          <w:hyperlink w:anchor="__RefHeading___Toc68601029">
            <w:r>
              <w:rPr>
                <w:rStyle w:val="IndexLink"/>
              </w:rPr>
              <w:t>56</w:t>
            </w:r>
          </w:hyperlink>
        </w:p>
        <w:p>
          <w:pPr>
            <w:pStyle w:val="Contents4"/>
            <w:rPr>
              <w:rFonts w:ascii="Calibri" w:hAnsi="Calibri" w:cs="Calibri"/>
              <w:sz w:val="22"/>
              <w:szCs w:val="22"/>
            </w:rPr>
          </w:pPr>
          <w:r>
            <w:rPr/>
            <w:t>6.1.6.1</w:t>
          </w:r>
          <w:r>
            <w:rPr>
              <w:rFonts w:cs="Calibri" w:ascii="Calibri" w:hAnsi="Calibri"/>
              <w:sz w:val="22"/>
              <w:szCs w:val="22"/>
            </w:rPr>
            <w:tab/>
          </w:r>
          <w:r>
            <w:rPr/>
            <w:t>Definition and applicability</w:t>
            <w:tab/>
          </w:r>
          <w:hyperlink w:anchor="__RefHeading___Toc68601030">
            <w:r>
              <w:rPr>
                <w:rStyle w:val="IndexLink"/>
              </w:rPr>
              <w:t>57</w:t>
            </w:r>
          </w:hyperlink>
        </w:p>
        <w:p>
          <w:pPr>
            <w:pStyle w:val="Contents4"/>
            <w:rPr>
              <w:rFonts w:ascii="Calibri" w:hAnsi="Calibri" w:cs="Calibri"/>
              <w:sz w:val="22"/>
              <w:szCs w:val="22"/>
            </w:rPr>
          </w:pPr>
          <w:r>
            <w:rPr/>
            <w:t>6.1.6.2</w:t>
          </w:r>
          <w:r>
            <w:rPr>
              <w:rFonts w:cs="Calibri" w:ascii="Calibri" w:hAnsi="Calibri"/>
              <w:sz w:val="22"/>
              <w:szCs w:val="22"/>
            </w:rPr>
            <w:tab/>
          </w:r>
          <w:r>
            <w:rPr/>
            <w:t>Minimum Requirements</w:t>
            <w:tab/>
          </w:r>
          <w:hyperlink w:anchor="__RefHeading___Toc68601031">
            <w:r>
              <w:rPr>
                <w:rStyle w:val="IndexLink"/>
              </w:rPr>
              <w:t>58</w:t>
            </w:r>
          </w:hyperlink>
        </w:p>
        <w:p>
          <w:pPr>
            <w:pStyle w:val="Contents4"/>
            <w:rPr>
              <w:rFonts w:ascii="Calibri" w:hAnsi="Calibri" w:cs="Calibri"/>
              <w:sz w:val="22"/>
              <w:szCs w:val="22"/>
            </w:rPr>
          </w:pPr>
          <w:r>
            <w:rPr/>
            <w:t>6.1.6.3</w:t>
          </w:r>
          <w:r>
            <w:rPr>
              <w:rFonts w:cs="Calibri" w:ascii="Calibri" w:hAnsi="Calibri"/>
              <w:sz w:val="22"/>
              <w:szCs w:val="22"/>
            </w:rPr>
            <w:tab/>
          </w:r>
          <w:r>
            <w:rPr/>
            <w:t>Test purpose</w:t>
            <w:tab/>
          </w:r>
          <w:hyperlink w:anchor="__RefHeading___Toc68601032">
            <w:r>
              <w:rPr>
                <w:rStyle w:val="IndexLink"/>
              </w:rPr>
              <w:t>58</w:t>
            </w:r>
          </w:hyperlink>
        </w:p>
        <w:p>
          <w:pPr>
            <w:pStyle w:val="Contents4"/>
            <w:rPr>
              <w:rFonts w:ascii="Calibri" w:hAnsi="Calibri" w:cs="Calibri"/>
              <w:sz w:val="22"/>
              <w:szCs w:val="22"/>
            </w:rPr>
          </w:pPr>
          <w:r>
            <w:rPr/>
            <w:t>6.1.6.4</w:t>
          </w:r>
          <w:r>
            <w:rPr>
              <w:rFonts w:cs="Calibri" w:ascii="Calibri" w:hAnsi="Calibri"/>
              <w:sz w:val="22"/>
              <w:szCs w:val="22"/>
            </w:rPr>
            <w:tab/>
          </w:r>
          <w:r>
            <w:rPr/>
            <w:t>Method of test</w:t>
            <w:tab/>
          </w:r>
          <w:hyperlink w:anchor="__RefHeading___Toc68601033">
            <w:r>
              <w:rPr>
                <w:rStyle w:val="IndexLink"/>
              </w:rPr>
              <w:t>58</w:t>
            </w:r>
          </w:hyperlink>
        </w:p>
        <w:p>
          <w:pPr>
            <w:pStyle w:val="Contents4"/>
            <w:rPr>
              <w:rFonts w:ascii="Calibri" w:hAnsi="Calibri" w:cs="Calibri"/>
              <w:sz w:val="22"/>
              <w:szCs w:val="22"/>
            </w:rPr>
          </w:pPr>
          <w:r>
            <w:rPr/>
            <w:t>6.1.6.4.1</w:t>
          </w:r>
          <w:r>
            <w:rPr>
              <w:rFonts w:cs="Calibri" w:ascii="Calibri" w:hAnsi="Calibri"/>
              <w:sz w:val="22"/>
              <w:szCs w:val="22"/>
            </w:rPr>
            <w:tab/>
          </w:r>
          <w:r>
            <w:rPr/>
            <w:t>Initial conditions</w:t>
            <w:tab/>
          </w:r>
          <w:hyperlink w:anchor="__RefHeading___Toc68601034">
            <w:r>
              <w:rPr>
                <w:rStyle w:val="IndexLink"/>
              </w:rPr>
              <w:t>58</w:t>
            </w:r>
          </w:hyperlink>
        </w:p>
        <w:p>
          <w:pPr>
            <w:pStyle w:val="Contents4"/>
            <w:rPr>
              <w:rFonts w:ascii="Calibri" w:hAnsi="Calibri" w:cs="Calibri"/>
              <w:sz w:val="22"/>
              <w:szCs w:val="22"/>
            </w:rPr>
          </w:pPr>
          <w:r>
            <w:rPr/>
            <w:t>6.1.6.4.2</w:t>
          </w:r>
          <w:r>
            <w:rPr>
              <w:rFonts w:cs="Calibri" w:ascii="Calibri" w:hAnsi="Calibri"/>
              <w:sz w:val="22"/>
              <w:szCs w:val="22"/>
            </w:rPr>
            <w:tab/>
          </w:r>
          <w:r>
            <w:rPr/>
            <w:t>Procedure</w:t>
            <w:tab/>
          </w:r>
          <w:hyperlink w:anchor="__RefHeading___Toc68601035">
            <w:r>
              <w:rPr>
                <w:rStyle w:val="IndexLink"/>
              </w:rPr>
              <w:t>59</w:t>
            </w:r>
          </w:hyperlink>
        </w:p>
        <w:p>
          <w:pPr>
            <w:pStyle w:val="Contents4"/>
            <w:rPr>
              <w:rFonts w:ascii="Calibri" w:hAnsi="Calibri" w:cs="Calibri"/>
              <w:sz w:val="22"/>
              <w:szCs w:val="22"/>
            </w:rPr>
          </w:pPr>
          <w:r>
            <w:rPr/>
            <w:t>6.1.6.4.3</w:t>
          </w:r>
          <w:r>
            <w:rPr>
              <w:rFonts w:cs="Calibri" w:ascii="Calibri" w:hAnsi="Calibri"/>
              <w:sz w:val="22"/>
              <w:szCs w:val="22"/>
            </w:rPr>
            <w:tab/>
          </w:r>
          <w:r>
            <w:rPr/>
            <w:t>Procedure, reverberation chamber method</w:t>
            <w:tab/>
          </w:r>
          <w:hyperlink w:anchor="__RefHeading___Toc68601036">
            <w:r>
              <w:rPr>
                <w:rStyle w:val="IndexLink"/>
              </w:rPr>
              <w:t>59</w:t>
            </w:r>
          </w:hyperlink>
        </w:p>
        <w:p>
          <w:pPr>
            <w:pStyle w:val="Contents4"/>
            <w:rPr>
              <w:rFonts w:ascii="Calibri" w:hAnsi="Calibri" w:cs="Calibri"/>
              <w:sz w:val="22"/>
              <w:szCs w:val="22"/>
            </w:rPr>
          </w:pPr>
          <w:r>
            <w:rPr/>
            <w:t>6.1.6.5</w:t>
          </w:r>
          <w:r>
            <w:rPr>
              <w:rFonts w:cs="Calibri" w:ascii="Calibri" w:hAnsi="Calibri"/>
              <w:sz w:val="22"/>
              <w:szCs w:val="22"/>
            </w:rPr>
            <w:tab/>
          </w:r>
          <w:r>
            <w:rPr/>
            <w:t>Test requirements</w:t>
            <w:tab/>
          </w:r>
          <w:hyperlink w:anchor="__RefHeading___Toc68601037">
            <w:r>
              <w:rPr>
                <w:rStyle w:val="IndexLink"/>
              </w:rPr>
              <w:t>59</w:t>
            </w:r>
          </w:hyperlink>
        </w:p>
        <w:p>
          <w:pPr>
            <w:pStyle w:val="Contents3"/>
            <w:rPr>
              <w:rFonts w:ascii="Calibri" w:hAnsi="Calibri" w:cs="Calibri"/>
              <w:sz w:val="22"/>
              <w:szCs w:val="22"/>
            </w:rPr>
          </w:pPr>
          <w:r>
            <w:rPr/>
            <w:t>6.1.7</w:t>
          </w:r>
          <w:r>
            <w:rPr>
              <w:rFonts w:cs="Calibri" w:ascii="Calibri" w:hAnsi="Calibri"/>
              <w:sz w:val="22"/>
              <w:szCs w:val="22"/>
            </w:rPr>
            <w:tab/>
          </w:r>
          <w:r>
            <w:rPr/>
            <w:t>Total Radiated Power (TRP) for UTRA FDD in Browsing Mode with Hand Phantom</w:t>
            <w:tab/>
          </w:r>
          <w:hyperlink w:anchor="__RefHeading___Toc68601038">
            <w:r>
              <w:rPr>
                <w:rStyle w:val="IndexLink"/>
              </w:rPr>
              <w:t>60</w:t>
            </w:r>
          </w:hyperlink>
        </w:p>
        <w:p>
          <w:pPr>
            <w:pStyle w:val="Contents4"/>
            <w:rPr>
              <w:rFonts w:ascii="Calibri" w:hAnsi="Calibri" w:cs="Calibri"/>
              <w:sz w:val="22"/>
              <w:szCs w:val="22"/>
            </w:rPr>
          </w:pPr>
          <w:r>
            <w:rPr/>
            <w:t>6.1.7.1</w:t>
          </w:r>
          <w:r>
            <w:rPr>
              <w:rFonts w:cs="Calibri" w:ascii="Calibri" w:hAnsi="Calibri"/>
              <w:sz w:val="22"/>
              <w:szCs w:val="22"/>
            </w:rPr>
            <w:tab/>
          </w:r>
          <w:r>
            <w:rPr/>
            <w:t>Definition and applicability</w:t>
            <w:tab/>
          </w:r>
          <w:hyperlink w:anchor="__RefHeading___Toc68601039">
            <w:r>
              <w:rPr>
                <w:rStyle w:val="IndexLink"/>
              </w:rPr>
              <w:t>60</w:t>
            </w:r>
          </w:hyperlink>
        </w:p>
        <w:p>
          <w:pPr>
            <w:pStyle w:val="Contents4"/>
            <w:rPr>
              <w:rFonts w:ascii="Calibri" w:hAnsi="Calibri" w:cs="Calibri"/>
              <w:sz w:val="22"/>
              <w:szCs w:val="22"/>
            </w:rPr>
          </w:pPr>
          <w:r>
            <w:rPr/>
            <w:t>6.1.7.2</w:t>
          </w:r>
          <w:r>
            <w:rPr>
              <w:rFonts w:cs="Calibri" w:ascii="Calibri" w:hAnsi="Calibri"/>
              <w:sz w:val="22"/>
              <w:szCs w:val="22"/>
            </w:rPr>
            <w:tab/>
          </w:r>
          <w:r>
            <w:rPr/>
            <w:t>Minimum Requirements</w:t>
            <w:tab/>
          </w:r>
          <w:hyperlink w:anchor="__RefHeading___Toc68601040">
            <w:r>
              <w:rPr>
                <w:rStyle w:val="IndexLink"/>
              </w:rPr>
              <w:t>61</w:t>
            </w:r>
          </w:hyperlink>
        </w:p>
        <w:p>
          <w:pPr>
            <w:pStyle w:val="Contents4"/>
            <w:rPr>
              <w:rFonts w:ascii="Calibri" w:hAnsi="Calibri" w:cs="Calibri"/>
              <w:sz w:val="22"/>
              <w:szCs w:val="22"/>
            </w:rPr>
          </w:pPr>
          <w:r>
            <w:rPr/>
            <w:t>6.1.7.3</w:t>
          </w:r>
          <w:r>
            <w:rPr>
              <w:rFonts w:cs="Calibri" w:ascii="Calibri" w:hAnsi="Calibri"/>
              <w:sz w:val="22"/>
              <w:szCs w:val="22"/>
            </w:rPr>
            <w:tab/>
          </w:r>
          <w:r>
            <w:rPr/>
            <w:t>Test purpose</w:t>
            <w:tab/>
          </w:r>
          <w:hyperlink w:anchor="__RefHeading___Toc68601041">
            <w:r>
              <w:rPr>
                <w:rStyle w:val="IndexLink"/>
              </w:rPr>
              <w:t>61</w:t>
            </w:r>
          </w:hyperlink>
        </w:p>
        <w:p>
          <w:pPr>
            <w:pStyle w:val="Contents4"/>
            <w:rPr>
              <w:rFonts w:ascii="Calibri" w:hAnsi="Calibri" w:cs="Calibri"/>
              <w:sz w:val="22"/>
              <w:szCs w:val="22"/>
            </w:rPr>
          </w:pPr>
          <w:r>
            <w:rPr/>
            <w:t>6.1.7.4</w:t>
          </w:r>
          <w:r>
            <w:rPr>
              <w:rFonts w:cs="Calibri" w:ascii="Calibri" w:hAnsi="Calibri"/>
              <w:sz w:val="22"/>
              <w:szCs w:val="22"/>
            </w:rPr>
            <w:tab/>
          </w:r>
          <w:r>
            <w:rPr/>
            <w:t>Method of test</w:t>
            <w:tab/>
          </w:r>
          <w:hyperlink w:anchor="__RefHeading___Toc68601042">
            <w:r>
              <w:rPr>
                <w:rStyle w:val="IndexLink"/>
              </w:rPr>
              <w:t>62</w:t>
            </w:r>
          </w:hyperlink>
        </w:p>
        <w:p>
          <w:pPr>
            <w:pStyle w:val="Contents4"/>
            <w:rPr>
              <w:rFonts w:ascii="Calibri" w:hAnsi="Calibri" w:cs="Calibri"/>
              <w:sz w:val="22"/>
              <w:szCs w:val="22"/>
            </w:rPr>
          </w:pPr>
          <w:r>
            <w:rPr/>
            <w:t>6.1.7.4.1</w:t>
          </w:r>
          <w:r>
            <w:rPr>
              <w:rFonts w:cs="Calibri" w:ascii="Calibri" w:hAnsi="Calibri"/>
              <w:sz w:val="22"/>
              <w:szCs w:val="22"/>
            </w:rPr>
            <w:tab/>
          </w:r>
          <w:r>
            <w:rPr/>
            <w:t>Initial conditions</w:t>
            <w:tab/>
          </w:r>
          <w:hyperlink w:anchor="__RefHeading___Toc68601043">
            <w:r>
              <w:rPr>
                <w:rStyle w:val="IndexLink"/>
              </w:rPr>
              <w:t>62</w:t>
            </w:r>
          </w:hyperlink>
        </w:p>
        <w:p>
          <w:pPr>
            <w:pStyle w:val="Contents4"/>
            <w:rPr>
              <w:rFonts w:ascii="Calibri" w:hAnsi="Calibri" w:cs="Calibri"/>
              <w:sz w:val="22"/>
              <w:szCs w:val="22"/>
            </w:rPr>
          </w:pPr>
          <w:r>
            <w:rPr/>
            <w:t>6.1.7.4.2</w:t>
          </w:r>
          <w:r>
            <w:rPr>
              <w:rFonts w:cs="Calibri" w:ascii="Calibri" w:hAnsi="Calibri"/>
              <w:sz w:val="22"/>
              <w:szCs w:val="22"/>
            </w:rPr>
            <w:tab/>
          </w:r>
          <w:r>
            <w:rPr/>
            <w:t>Procedure</w:t>
            <w:tab/>
          </w:r>
          <w:hyperlink w:anchor="__RefHeading___Toc68601044">
            <w:r>
              <w:rPr>
                <w:rStyle w:val="IndexLink"/>
              </w:rPr>
              <w:t>62</w:t>
            </w:r>
          </w:hyperlink>
        </w:p>
        <w:p>
          <w:pPr>
            <w:pStyle w:val="Contents4"/>
            <w:rPr>
              <w:rFonts w:ascii="Calibri" w:hAnsi="Calibri" w:cs="Calibri"/>
              <w:sz w:val="22"/>
              <w:szCs w:val="22"/>
            </w:rPr>
          </w:pPr>
          <w:r>
            <w:rPr/>
            <w:t>6.1.7.4.3</w:t>
          </w:r>
          <w:r>
            <w:rPr>
              <w:rFonts w:cs="Calibri" w:ascii="Calibri" w:hAnsi="Calibri"/>
              <w:sz w:val="22"/>
              <w:szCs w:val="22"/>
            </w:rPr>
            <w:tab/>
          </w:r>
          <w:r>
            <w:rPr/>
            <w:t>Procedure, reverberation chamber method</w:t>
            <w:tab/>
          </w:r>
          <w:hyperlink w:anchor="__RefHeading___Toc68601045">
            <w:r>
              <w:rPr>
                <w:rStyle w:val="IndexLink"/>
              </w:rPr>
              <w:t>63</w:t>
            </w:r>
          </w:hyperlink>
        </w:p>
        <w:p>
          <w:pPr>
            <w:pStyle w:val="Contents4"/>
            <w:rPr>
              <w:rFonts w:ascii="Calibri" w:hAnsi="Calibri" w:cs="Calibri"/>
              <w:sz w:val="22"/>
              <w:szCs w:val="22"/>
            </w:rPr>
          </w:pPr>
          <w:r>
            <w:rPr/>
            <w:t>6.1.7.5</w:t>
          </w:r>
          <w:r>
            <w:rPr>
              <w:rFonts w:cs="Calibri" w:ascii="Calibri" w:hAnsi="Calibri"/>
              <w:sz w:val="22"/>
              <w:szCs w:val="22"/>
            </w:rPr>
            <w:tab/>
          </w:r>
          <w:r>
            <w:rPr/>
            <w:t>Test requirements</w:t>
            <w:tab/>
          </w:r>
          <w:hyperlink w:anchor="__RefHeading___Toc68601046">
            <w:r>
              <w:rPr>
                <w:rStyle w:val="IndexLink"/>
              </w:rPr>
              <w:t>63</w:t>
            </w:r>
          </w:hyperlink>
        </w:p>
        <w:p>
          <w:pPr>
            <w:pStyle w:val="Contents3"/>
            <w:rPr>
              <w:rFonts w:ascii="Calibri" w:hAnsi="Calibri" w:cs="Calibri"/>
              <w:sz w:val="22"/>
              <w:szCs w:val="22"/>
            </w:rPr>
          </w:pPr>
          <w:r>
            <w:rPr/>
            <w:t>6.1.8</w:t>
          </w:r>
          <w:r>
            <w:rPr>
              <w:rFonts w:cs="Calibri" w:ascii="Calibri" w:hAnsi="Calibri"/>
              <w:sz w:val="22"/>
              <w:szCs w:val="22"/>
            </w:rPr>
            <w:tab/>
          </w:r>
          <w:r>
            <w:rPr/>
            <w:t>Total Radiated Power (TRP) for UTRA LCR TDD in Browsing Mode with Hand Phantom</w:t>
            <w:tab/>
          </w:r>
          <w:hyperlink w:anchor="__RefHeading___Toc68601047">
            <w:r>
              <w:rPr>
                <w:rStyle w:val="IndexLink"/>
              </w:rPr>
              <w:t>63</w:t>
            </w:r>
          </w:hyperlink>
        </w:p>
        <w:p>
          <w:pPr>
            <w:pStyle w:val="Contents4"/>
            <w:rPr>
              <w:rFonts w:ascii="Calibri" w:hAnsi="Calibri" w:cs="Calibri"/>
              <w:sz w:val="22"/>
              <w:szCs w:val="22"/>
            </w:rPr>
          </w:pPr>
          <w:r>
            <w:rPr/>
            <w:t>6.1.8.1</w:t>
          </w:r>
          <w:r>
            <w:rPr>
              <w:rFonts w:cs="Calibri" w:ascii="Calibri" w:hAnsi="Calibri"/>
              <w:sz w:val="22"/>
              <w:szCs w:val="22"/>
            </w:rPr>
            <w:tab/>
          </w:r>
          <w:r>
            <w:rPr/>
            <w:t>Definition and applicability</w:t>
            <w:tab/>
          </w:r>
          <w:hyperlink w:anchor="__RefHeading___Toc68601048">
            <w:r>
              <w:rPr>
                <w:rStyle w:val="IndexLink"/>
              </w:rPr>
              <w:t>64</w:t>
            </w:r>
          </w:hyperlink>
        </w:p>
        <w:p>
          <w:pPr>
            <w:pStyle w:val="Contents4"/>
            <w:rPr>
              <w:rFonts w:ascii="Calibri" w:hAnsi="Calibri" w:cs="Calibri"/>
              <w:sz w:val="22"/>
              <w:szCs w:val="22"/>
            </w:rPr>
          </w:pPr>
          <w:r>
            <w:rPr/>
            <w:t>6.1.8.2</w:t>
          </w:r>
          <w:r>
            <w:rPr>
              <w:rFonts w:cs="Calibri" w:ascii="Calibri" w:hAnsi="Calibri"/>
              <w:sz w:val="22"/>
              <w:szCs w:val="22"/>
            </w:rPr>
            <w:tab/>
          </w:r>
          <w:r>
            <w:rPr/>
            <w:t>Minimum Requirements</w:t>
            <w:tab/>
          </w:r>
          <w:hyperlink w:anchor="__RefHeading___Toc68601049">
            <w:r>
              <w:rPr>
                <w:rStyle w:val="IndexLink"/>
              </w:rPr>
              <w:t>64</w:t>
            </w:r>
          </w:hyperlink>
        </w:p>
        <w:p>
          <w:pPr>
            <w:pStyle w:val="Contents4"/>
            <w:rPr>
              <w:rFonts w:ascii="Calibri" w:hAnsi="Calibri" w:cs="Calibri"/>
              <w:sz w:val="22"/>
              <w:szCs w:val="22"/>
            </w:rPr>
          </w:pPr>
          <w:r>
            <w:rPr/>
            <w:t>6.1.8.3</w:t>
          </w:r>
          <w:r>
            <w:rPr>
              <w:rFonts w:cs="Calibri" w:ascii="Calibri" w:hAnsi="Calibri"/>
              <w:sz w:val="22"/>
              <w:szCs w:val="22"/>
            </w:rPr>
            <w:tab/>
          </w:r>
          <w:r>
            <w:rPr/>
            <w:t>Test purpose</w:t>
            <w:tab/>
          </w:r>
          <w:hyperlink w:anchor="__RefHeading___Toc68601050">
            <w:r>
              <w:rPr>
                <w:rStyle w:val="IndexLink"/>
              </w:rPr>
              <w:t>65</w:t>
            </w:r>
          </w:hyperlink>
        </w:p>
        <w:p>
          <w:pPr>
            <w:pStyle w:val="Contents4"/>
            <w:rPr>
              <w:rFonts w:ascii="Calibri" w:hAnsi="Calibri" w:cs="Calibri"/>
              <w:sz w:val="22"/>
              <w:szCs w:val="22"/>
            </w:rPr>
          </w:pPr>
          <w:r>
            <w:rPr/>
            <w:t>6.1.8.4</w:t>
          </w:r>
          <w:r>
            <w:rPr>
              <w:rFonts w:cs="Calibri" w:ascii="Calibri" w:hAnsi="Calibri"/>
              <w:sz w:val="22"/>
              <w:szCs w:val="22"/>
            </w:rPr>
            <w:tab/>
          </w:r>
          <w:r>
            <w:rPr/>
            <w:t>Method of test</w:t>
            <w:tab/>
          </w:r>
          <w:hyperlink w:anchor="__RefHeading___Toc68601051">
            <w:r>
              <w:rPr>
                <w:rStyle w:val="IndexLink"/>
              </w:rPr>
              <w:t>65</w:t>
            </w:r>
          </w:hyperlink>
        </w:p>
        <w:p>
          <w:pPr>
            <w:pStyle w:val="Contents4"/>
            <w:rPr>
              <w:rFonts w:ascii="Calibri" w:hAnsi="Calibri" w:cs="Calibri"/>
              <w:sz w:val="22"/>
              <w:szCs w:val="22"/>
            </w:rPr>
          </w:pPr>
          <w:r>
            <w:rPr/>
            <w:t>6.1.8.4.1</w:t>
          </w:r>
          <w:r>
            <w:rPr>
              <w:rFonts w:cs="Calibri" w:ascii="Calibri" w:hAnsi="Calibri"/>
              <w:sz w:val="22"/>
              <w:szCs w:val="22"/>
            </w:rPr>
            <w:tab/>
          </w:r>
          <w:r>
            <w:rPr/>
            <w:t>Initial conditions</w:t>
            <w:tab/>
          </w:r>
          <w:hyperlink w:anchor="__RefHeading___Toc68601052">
            <w:r>
              <w:rPr>
                <w:rStyle w:val="IndexLink"/>
              </w:rPr>
              <w:t>65</w:t>
            </w:r>
          </w:hyperlink>
        </w:p>
        <w:p>
          <w:pPr>
            <w:pStyle w:val="Contents4"/>
            <w:rPr>
              <w:rFonts w:ascii="Calibri" w:hAnsi="Calibri" w:cs="Calibri"/>
              <w:sz w:val="22"/>
              <w:szCs w:val="22"/>
            </w:rPr>
          </w:pPr>
          <w:r>
            <w:rPr/>
            <w:t>6.1.8.4.2</w:t>
          </w:r>
          <w:r>
            <w:rPr>
              <w:rFonts w:cs="Calibri" w:ascii="Calibri" w:hAnsi="Calibri"/>
              <w:sz w:val="22"/>
              <w:szCs w:val="22"/>
            </w:rPr>
            <w:tab/>
          </w:r>
          <w:r>
            <w:rPr/>
            <w:t>Procedure</w:t>
            <w:tab/>
          </w:r>
          <w:hyperlink w:anchor="__RefHeading___Toc68601053">
            <w:r>
              <w:rPr>
                <w:rStyle w:val="IndexLink"/>
              </w:rPr>
              <w:t>66</w:t>
            </w:r>
          </w:hyperlink>
        </w:p>
        <w:p>
          <w:pPr>
            <w:pStyle w:val="Contents4"/>
            <w:rPr>
              <w:rFonts w:ascii="Calibri" w:hAnsi="Calibri" w:cs="Calibri"/>
              <w:sz w:val="22"/>
              <w:szCs w:val="22"/>
            </w:rPr>
          </w:pPr>
          <w:r>
            <w:rPr/>
            <w:t>6.1.8.4.3</w:t>
          </w:r>
          <w:r>
            <w:rPr>
              <w:rFonts w:cs="Calibri" w:ascii="Calibri" w:hAnsi="Calibri"/>
              <w:sz w:val="22"/>
              <w:szCs w:val="22"/>
            </w:rPr>
            <w:tab/>
          </w:r>
          <w:r>
            <w:rPr/>
            <w:t>Procedure, reverberation chamber method</w:t>
            <w:tab/>
          </w:r>
          <w:hyperlink w:anchor="__RefHeading___Toc68601054">
            <w:r>
              <w:rPr>
                <w:rStyle w:val="IndexLink"/>
              </w:rPr>
              <w:t>66</w:t>
            </w:r>
          </w:hyperlink>
        </w:p>
        <w:p>
          <w:pPr>
            <w:pStyle w:val="Contents4"/>
            <w:rPr>
              <w:rFonts w:ascii="Calibri" w:hAnsi="Calibri" w:cs="Calibri"/>
              <w:sz w:val="22"/>
              <w:szCs w:val="22"/>
            </w:rPr>
          </w:pPr>
          <w:r>
            <w:rPr/>
            <w:t>6.1.8.5</w:t>
          </w:r>
          <w:r>
            <w:rPr>
              <w:rFonts w:cs="Calibri" w:ascii="Calibri" w:hAnsi="Calibri"/>
              <w:sz w:val="22"/>
              <w:szCs w:val="22"/>
            </w:rPr>
            <w:tab/>
          </w:r>
          <w:r>
            <w:rPr/>
            <w:t>Test requirements</w:t>
            <w:tab/>
          </w:r>
          <w:hyperlink w:anchor="__RefHeading___Toc68601055">
            <w:r>
              <w:rPr>
                <w:rStyle w:val="IndexLink"/>
              </w:rPr>
              <w:t>66</w:t>
            </w:r>
          </w:hyperlink>
        </w:p>
        <w:p>
          <w:pPr>
            <w:pStyle w:val="Contents3"/>
            <w:rPr>
              <w:rFonts w:ascii="Calibri" w:hAnsi="Calibri" w:cs="Calibri"/>
              <w:sz w:val="22"/>
              <w:szCs w:val="22"/>
            </w:rPr>
          </w:pPr>
          <w:r>
            <w:rPr/>
            <w:t>6.1.9</w:t>
          </w:r>
          <w:r>
            <w:rPr>
              <w:rFonts w:cs="Calibri" w:ascii="Calibri" w:hAnsi="Calibri"/>
              <w:sz w:val="22"/>
              <w:szCs w:val="22"/>
            </w:rPr>
            <w:tab/>
          </w:r>
          <w:r>
            <w:rPr/>
            <w:t>Total Radiated Power (TRP) for E-UTRA FDD in Browsing Mode with Hand Phantom</w:t>
            <w:tab/>
          </w:r>
          <w:hyperlink w:anchor="__RefHeading___Toc68601056">
            <w:r>
              <w:rPr>
                <w:rStyle w:val="IndexLink"/>
              </w:rPr>
              <w:t>67</w:t>
            </w:r>
          </w:hyperlink>
        </w:p>
        <w:p>
          <w:pPr>
            <w:pStyle w:val="Contents4"/>
            <w:rPr>
              <w:rFonts w:ascii="Calibri" w:hAnsi="Calibri" w:cs="Calibri"/>
              <w:sz w:val="22"/>
              <w:szCs w:val="22"/>
            </w:rPr>
          </w:pPr>
          <w:r>
            <w:rPr/>
            <w:t>6.1.9.1</w:t>
          </w:r>
          <w:r>
            <w:rPr>
              <w:rFonts w:cs="Calibri" w:ascii="Calibri" w:hAnsi="Calibri"/>
              <w:sz w:val="22"/>
              <w:szCs w:val="22"/>
            </w:rPr>
            <w:tab/>
          </w:r>
          <w:r>
            <w:rPr/>
            <w:t>Definition and applicability</w:t>
            <w:tab/>
          </w:r>
          <w:hyperlink w:anchor="__RefHeading___Toc68601057">
            <w:r>
              <w:rPr>
                <w:rStyle w:val="IndexLink"/>
              </w:rPr>
              <w:t>67</w:t>
            </w:r>
          </w:hyperlink>
        </w:p>
        <w:p>
          <w:pPr>
            <w:pStyle w:val="Contents4"/>
            <w:rPr>
              <w:rFonts w:ascii="Calibri" w:hAnsi="Calibri" w:cs="Calibri"/>
              <w:sz w:val="22"/>
              <w:szCs w:val="22"/>
            </w:rPr>
          </w:pPr>
          <w:r>
            <w:rPr/>
            <w:t>6.1.9.2</w:t>
          </w:r>
          <w:r>
            <w:rPr>
              <w:rFonts w:cs="Calibri" w:ascii="Calibri" w:hAnsi="Calibri"/>
              <w:sz w:val="22"/>
              <w:szCs w:val="22"/>
            </w:rPr>
            <w:tab/>
          </w:r>
          <w:r>
            <w:rPr/>
            <w:t>Minimum Requirements</w:t>
            <w:tab/>
          </w:r>
          <w:hyperlink w:anchor="__RefHeading___Toc68601058">
            <w:r>
              <w:rPr>
                <w:rStyle w:val="IndexLink"/>
              </w:rPr>
              <w:t>68</w:t>
            </w:r>
          </w:hyperlink>
        </w:p>
        <w:p>
          <w:pPr>
            <w:pStyle w:val="Contents4"/>
            <w:rPr>
              <w:rFonts w:ascii="Calibri" w:hAnsi="Calibri" w:cs="Calibri"/>
              <w:sz w:val="22"/>
              <w:szCs w:val="22"/>
            </w:rPr>
          </w:pPr>
          <w:r>
            <w:rPr/>
            <w:t>6.1.9.3</w:t>
          </w:r>
          <w:r>
            <w:rPr>
              <w:rFonts w:cs="Calibri" w:ascii="Calibri" w:hAnsi="Calibri"/>
              <w:sz w:val="22"/>
              <w:szCs w:val="22"/>
            </w:rPr>
            <w:tab/>
          </w:r>
          <w:r>
            <w:rPr/>
            <w:t>Test purpose</w:t>
            <w:tab/>
          </w:r>
          <w:hyperlink w:anchor="__RefHeading___Toc68601059">
            <w:r>
              <w:rPr>
                <w:rStyle w:val="IndexLink"/>
              </w:rPr>
              <w:t>68</w:t>
            </w:r>
          </w:hyperlink>
        </w:p>
        <w:p>
          <w:pPr>
            <w:pStyle w:val="Contents4"/>
            <w:rPr>
              <w:rFonts w:ascii="Calibri" w:hAnsi="Calibri" w:cs="Calibri"/>
              <w:sz w:val="22"/>
              <w:szCs w:val="22"/>
            </w:rPr>
          </w:pPr>
          <w:r>
            <w:rPr/>
            <w:t>6.1.9.4</w:t>
          </w:r>
          <w:r>
            <w:rPr>
              <w:rFonts w:cs="Calibri" w:ascii="Calibri" w:hAnsi="Calibri"/>
              <w:sz w:val="22"/>
              <w:szCs w:val="22"/>
            </w:rPr>
            <w:tab/>
          </w:r>
          <w:r>
            <w:rPr/>
            <w:t>Method of test</w:t>
            <w:tab/>
          </w:r>
          <w:hyperlink w:anchor="__RefHeading___Toc68601060">
            <w:r>
              <w:rPr>
                <w:rStyle w:val="IndexLink"/>
              </w:rPr>
              <w:t>68</w:t>
            </w:r>
          </w:hyperlink>
        </w:p>
        <w:p>
          <w:pPr>
            <w:pStyle w:val="Contents4"/>
            <w:rPr>
              <w:rFonts w:ascii="Calibri" w:hAnsi="Calibri" w:cs="Calibri"/>
              <w:sz w:val="22"/>
              <w:szCs w:val="22"/>
            </w:rPr>
          </w:pPr>
          <w:r>
            <w:rPr/>
            <w:t>6.1.9.4.1</w:t>
          </w:r>
          <w:r>
            <w:rPr>
              <w:rFonts w:cs="Calibri" w:ascii="Calibri" w:hAnsi="Calibri"/>
              <w:sz w:val="22"/>
              <w:szCs w:val="22"/>
            </w:rPr>
            <w:tab/>
          </w:r>
          <w:r>
            <w:rPr/>
            <w:t>Initial conditions</w:t>
            <w:tab/>
          </w:r>
          <w:hyperlink w:anchor="__RefHeading___Toc68601061">
            <w:r>
              <w:rPr>
                <w:rStyle w:val="IndexLink"/>
              </w:rPr>
              <w:t>68</w:t>
            </w:r>
          </w:hyperlink>
        </w:p>
        <w:p>
          <w:pPr>
            <w:pStyle w:val="Contents4"/>
            <w:rPr>
              <w:rFonts w:ascii="Calibri" w:hAnsi="Calibri" w:cs="Calibri"/>
              <w:sz w:val="22"/>
              <w:szCs w:val="22"/>
            </w:rPr>
          </w:pPr>
          <w:r>
            <w:rPr/>
            <w:t>6.1.9.4.2</w:t>
          </w:r>
          <w:r>
            <w:rPr>
              <w:rFonts w:cs="Calibri" w:ascii="Calibri" w:hAnsi="Calibri"/>
              <w:sz w:val="22"/>
              <w:szCs w:val="22"/>
            </w:rPr>
            <w:tab/>
          </w:r>
          <w:r>
            <w:rPr/>
            <w:t>Procedure</w:t>
            <w:tab/>
          </w:r>
          <w:hyperlink w:anchor="__RefHeading___Toc68601062">
            <w:r>
              <w:rPr>
                <w:rStyle w:val="IndexLink"/>
              </w:rPr>
              <w:t>69</w:t>
            </w:r>
          </w:hyperlink>
        </w:p>
        <w:p>
          <w:pPr>
            <w:pStyle w:val="Contents4"/>
            <w:rPr>
              <w:rFonts w:ascii="Calibri" w:hAnsi="Calibri" w:cs="Calibri"/>
              <w:sz w:val="22"/>
              <w:szCs w:val="22"/>
            </w:rPr>
          </w:pPr>
          <w:r>
            <w:rPr/>
            <w:t>6.1.9.4.3</w:t>
          </w:r>
          <w:r>
            <w:rPr>
              <w:rFonts w:cs="Calibri" w:ascii="Calibri" w:hAnsi="Calibri"/>
              <w:sz w:val="22"/>
              <w:szCs w:val="22"/>
            </w:rPr>
            <w:tab/>
          </w:r>
          <w:r>
            <w:rPr/>
            <w:t>Procedure, reverberation chamber method</w:t>
            <w:tab/>
          </w:r>
          <w:hyperlink w:anchor="__RefHeading___Toc68601063">
            <w:r>
              <w:rPr>
                <w:rStyle w:val="IndexLink"/>
              </w:rPr>
              <w:t>69</w:t>
            </w:r>
          </w:hyperlink>
        </w:p>
        <w:p>
          <w:pPr>
            <w:pStyle w:val="Contents4"/>
            <w:rPr>
              <w:rFonts w:ascii="Calibri" w:hAnsi="Calibri" w:cs="Calibri"/>
              <w:sz w:val="22"/>
              <w:szCs w:val="22"/>
            </w:rPr>
          </w:pPr>
          <w:r>
            <w:rPr/>
            <w:t>6.1.9.5</w:t>
          </w:r>
          <w:r>
            <w:rPr>
              <w:rFonts w:cs="Calibri" w:ascii="Calibri" w:hAnsi="Calibri"/>
              <w:sz w:val="22"/>
              <w:szCs w:val="22"/>
            </w:rPr>
            <w:tab/>
          </w:r>
          <w:r>
            <w:rPr/>
            <w:t>Test requirements</w:t>
            <w:tab/>
          </w:r>
          <w:hyperlink w:anchor="__RefHeading___Toc68601064">
            <w:r>
              <w:rPr>
                <w:rStyle w:val="IndexLink"/>
              </w:rPr>
              <w:t>69</w:t>
            </w:r>
          </w:hyperlink>
        </w:p>
        <w:p>
          <w:pPr>
            <w:pStyle w:val="Contents3"/>
            <w:rPr>
              <w:rFonts w:ascii="Calibri" w:hAnsi="Calibri" w:cs="Calibri"/>
              <w:sz w:val="22"/>
              <w:szCs w:val="22"/>
            </w:rPr>
          </w:pPr>
          <w:r>
            <w:rPr/>
            <w:t>6.1.10</w:t>
          </w:r>
          <w:r>
            <w:rPr>
              <w:rFonts w:cs="Calibri" w:ascii="Calibri" w:hAnsi="Calibri"/>
              <w:sz w:val="22"/>
              <w:szCs w:val="22"/>
            </w:rPr>
            <w:tab/>
          </w:r>
          <w:r>
            <w:rPr/>
            <w:t>Total Radiated Power (TRP) for E-UTRA TDD in Browsing Mode with Hand Phantom</w:t>
            <w:tab/>
          </w:r>
          <w:hyperlink w:anchor="__RefHeading___Toc68601065">
            <w:r>
              <w:rPr>
                <w:rStyle w:val="IndexLink"/>
              </w:rPr>
              <w:t>70</w:t>
            </w:r>
          </w:hyperlink>
        </w:p>
        <w:p>
          <w:pPr>
            <w:pStyle w:val="Contents4"/>
            <w:rPr>
              <w:rFonts w:ascii="Calibri" w:hAnsi="Calibri" w:cs="Calibri"/>
              <w:sz w:val="22"/>
              <w:szCs w:val="22"/>
            </w:rPr>
          </w:pPr>
          <w:r>
            <w:rPr/>
            <w:t>6.1.10.1</w:t>
          </w:r>
          <w:r>
            <w:rPr>
              <w:rFonts w:cs="Calibri" w:ascii="Calibri" w:hAnsi="Calibri"/>
              <w:sz w:val="22"/>
              <w:szCs w:val="22"/>
            </w:rPr>
            <w:tab/>
          </w:r>
          <w:r>
            <w:rPr/>
            <w:t>Definition and applicability</w:t>
            <w:tab/>
          </w:r>
          <w:hyperlink w:anchor="__RefHeading___Toc68601066">
            <w:r>
              <w:rPr>
                <w:rStyle w:val="IndexLink"/>
              </w:rPr>
              <w:t>70</w:t>
            </w:r>
          </w:hyperlink>
        </w:p>
        <w:p>
          <w:pPr>
            <w:pStyle w:val="Contents4"/>
            <w:rPr>
              <w:rFonts w:ascii="Calibri" w:hAnsi="Calibri" w:cs="Calibri"/>
              <w:sz w:val="22"/>
              <w:szCs w:val="22"/>
            </w:rPr>
          </w:pPr>
          <w:r>
            <w:rPr/>
            <w:t>6.1.10.2</w:t>
          </w:r>
          <w:r>
            <w:rPr>
              <w:rFonts w:cs="Calibri" w:ascii="Calibri" w:hAnsi="Calibri"/>
              <w:sz w:val="22"/>
              <w:szCs w:val="22"/>
            </w:rPr>
            <w:tab/>
          </w:r>
          <w:r>
            <w:rPr/>
            <w:t>Minimum Requirements</w:t>
            <w:tab/>
          </w:r>
          <w:hyperlink w:anchor="__RefHeading___Toc68601067">
            <w:r>
              <w:rPr>
                <w:rStyle w:val="IndexLink"/>
              </w:rPr>
              <w:t>71</w:t>
            </w:r>
          </w:hyperlink>
        </w:p>
        <w:p>
          <w:pPr>
            <w:pStyle w:val="Contents4"/>
            <w:rPr>
              <w:rFonts w:ascii="Calibri" w:hAnsi="Calibri" w:cs="Calibri"/>
              <w:sz w:val="22"/>
              <w:szCs w:val="22"/>
            </w:rPr>
          </w:pPr>
          <w:r>
            <w:rPr/>
            <w:t>6.1.10.3</w:t>
          </w:r>
          <w:r>
            <w:rPr>
              <w:rFonts w:cs="Calibri" w:ascii="Calibri" w:hAnsi="Calibri"/>
              <w:sz w:val="22"/>
              <w:szCs w:val="22"/>
            </w:rPr>
            <w:tab/>
          </w:r>
          <w:r>
            <w:rPr/>
            <w:t>Test purpose</w:t>
            <w:tab/>
          </w:r>
          <w:hyperlink w:anchor="__RefHeading___Toc68601068">
            <w:r>
              <w:rPr>
                <w:rStyle w:val="IndexLink"/>
              </w:rPr>
              <w:t>71</w:t>
            </w:r>
          </w:hyperlink>
        </w:p>
        <w:p>
          <w:pPr>
            <w:pStyle w:val="Contents4"/>
            <w:rPr>
              <w:rFonts w:ascii="Calibri" w:hAnsi="Calibri" w:cs="Calibri"/>
              <w:sz w:val="22"/>
              <w:szCs w:val="22"/>
            </w:rPr>
          </w:pPr>
          <w:r>
            <w:rPr/>
            <w:t>6.1.10.4</w:t>
          </w:r>
          <w:r>
            <w:rPr>
              <w:rFonts w:cs="Calibri" w:ascii="Calibri" w:hAnsi="Calibri"/>
              <w:sz w:val="22"/>
              <w:szCs w:val="22"/>
            </w:rPr>
            <w:tab/>
          </w:r>
          <w:r>
            <w:rPr/>
            <w:t>Method of test</w:t>
            <w:tab/>
          </w:r>
          <w:hyperlink w:anchor="__RefHeading___Toc68601069">
            <w:r>
              <w:rPr>
                <w:rStyle w:val="IndexLink"/>
              </w:rPr>
              <w:t>71</w:t>
            </w:r>
          </w:hyperlink>
        </w:p>
        <w:p>
          <w:pPr>
            <w:pStyle w:val="Contents4"/>
            <w:rPr>
              <w:rFonts w:ascii="Calibri" w:hAnsi="Calibri" w:cs="Calibri"/>
              <w:sz w:val="22"/>
              <w:szCs w:val="22"/>
            </w:rPr>
          </w:pPr>
          <w:r>
            <w:rPr/>
            <w:t>6.1.10.4.1</w:t>
          </w:r>
          <w:r>
            <w:rPr>
              <w:rFonts w:cs="Calibri" w:ascii="Calibri" w:hAnsi="Calibri"/>
              <w:sz w:val="22"/>
              <w:szCs w:val="22"/>
            </w:rPr>
            <w:tab/>
          </w:r>
          <w:r>
            <w:rPr/>
            <w:t>Initial conditions</w:t>
            <w:tab/>
          </w:r>
          <w:hyperlink w:anchor="__RefHeading___Toc68601070">
            <w:r>
              <w:rPr>
                <w:rStyle w:val="IndexLink"/>
              </w:rPr>
              <w:t>71</w:t>
            </w:r>
          </w:hyperlink>
        </w:p>
        <w:p>
          <w:pPr>
            <w:pStyle w:val="Contents4"/>
            <w:rPr>
              <w:rFonts w:ascii="Calibri" w:hAnsi="Calibri" w:cs="Calibri"/>
              <w:sz w:val="22"/>
              <w:szCs w:val="22"/>
            </w:rPr>
          </w:pPr>
          <w:r>
            <w:rPr/>
            <w:t>6.1.10.4.2</w:t>
          </w:r>
          <w:r>
            <w:rPr>
              <w:rFonts w:cs="Calibri" w:ascii="Calibri" w:hAnsi="Calibri"/>
              <w:sz w:val="22"/>
              <w:szCs w:val="22"/>
            </w:rPr>
            <w:tab/>
          </w:r>
          <w:r>
            <w:rPr/>
            <w:t>Procedure</w:t>
            <w:tab/>
          </w:r>
          <w:hyperlink w:anchor="__RefHeading___Toc68601071">
            <w:r>
              <w:rPr>
                <w:rStyle w:val="IndexLink"/>
              </w:rPr>
              <w:t>71</w:t>
            </w:r>
          </w:hyperlink>
        </w:p>
        <w:p>
          <w:pPr>
            <w:pStyle w:val="Contents4"/>
            <w:rPr>
              <w:rFonts w:ascii="Calibri" w:hAnsi="Calibri" w:cs="Calibri"/>
              <w:sz w:val="22"/>
              <w:szCs w:val="22"/>
            </w:rPr>
          </w:pPr>
          <w:r>
            <w:rPr/>
            <w:t>6.1.10.4.3</w:t>
          </w:r>
          <w:r>
            <w:rPr>
              <w:rFonts w:cs="Calibri" w:ascii="Calibri" w:hAnsi="Calibri"/>
              <w:sz w:val="22"/>
              <w:szCs w:val="22"/>
            </w:rPr>
            <w:tab/>
          </w:r>
          <w:r>
            <w:rPr/>
            <w:t>Procedure, reverberation chamber method</w:t>
            <w:tab/>
          </w:r>
          <w:hyperlink w:anchor="__RefHeading___Toc68601072">
            <w:r>
              <w:rPr>
                <w:rStyle w:val="IndexLink"/>
              </w:rPr>
              <w:t>72</w:t>
            </w:r>
          </w:hyperlink>
        </w:p>
        <w:p>
          <w:pPr>
            <w:pStyle w:val="Contents4"/>
            <w:rPr>
              <w:rFonts w:ascii="Calibri" w:hAnsi="Calibri" w:cs="Calibri"/>
              <w:sz w:val="22"/>
              <w:szCs w:val="22"/>
            </w:rPr>
          </w:pPr>
          <w:r>
            <w:rPr/>
            <w:t>6.1.10.5</w:t>
          </w:r>
          <w:r>
            <w:rPr>
              <w:rFonts w:cs="Calibri" w:ascii="Calibri" w:hAnsi="Calibri"/>
              <w:sz w:val="22"/>
              <w:szCs w:val="22"/>
            </w:rPr>
            <w:tab/>
          </w:r>
          <w:r>
            <w:rPr/>
            <w:t>Test requirements</w:t>
            <w:tab/>
          </w:r>
          <w:hyperlink w:anchor="__RefHeading___Toc68601073">
            <w:r>
              <w:rPr>
                <w:rStyle w:val="IndexLink"/>
              </w:rPr>
              <w:t>72</w:t>
            </w:r>
          </w:hyperlink>
        </w:p>
        <w:p>
          <w:pPr>
            <w:pStyle w:val="Contents2"/>
            <w:rPr>
              <w:rFonts w:ascii="Calibri" w:hAnsi="Calibri" w:cs="Calibri"/>
              <w:sz w:val="22"/>
              <w:szCs w:val="22"/>
            </w:rPr>
          </w:pPr>
          <w:r>
            <w:rPr/>
            <w:t>6.2</w:t>
          </w:r>
          <w:r>
            <w:rPr>
              <w:rFonts w:cs="Calibri" w:ascii="Calibri" w:hAnsi="Calibri"/>
              <w:sz w:val="22"/>
              <w:szCs w:val="22"/>
            </w:rPr>
            <w:tab/>
          </w:r>
          <w:r>
            <w:rPr/>
            <w:t>Performance for LME</w:t>
            <w:tab/>
          </w:r>
          <w:hyperlink w:anchor="__RefHeading___Toc68601074">
            <w:r>
              <w:rPr>
                <w:rStyle w:val="IndexLink"/>
              </w:rPr>
              <w:t>72</w:t>
            </w:r>
          </w:hyperlink>
        </w:p>
        <w:p>
          <w:pPr>
            <w:pStyle w:val="Contents3"/>
            <w:rPr>
              <w:rFonts w:ascii="Calibri" w:hAnsi="Calibri" w:cs="Calibri"/>
              <w:sz w:val="22"/>
              <w:szCs w:val="22"/>
            </w:rPr>
          </w:pPr>
          <w:r>
            <w:rPr/>
            <w:t>6.2.1</w:t>
          </w:r>
          <w:r>
            <w:rPr>
              <w:rFonts w:cs="Calibri" w:ascii="Calibri" w:hAnsi="Calibri"/>
              <w:sz w:val="22"/>
              <w:szCs w:val="22"/>
            </w:rPr>
            <w:tab/>
          </w:r>
          <w:r>
            <w:rPr/>
            <w:t>Total Radiated Power (TRP) for UTRA FDD LME</w:t>
            <w:tab/>
          </w:r>
          <w:hyperlink w:anchor="__RefHeading___Toc68601075">
            <w:r>
              <w:rPr>
                <w:rStyle w:val="IndexLink"/>
              </w:rPr>
              <w:t>72</w:t>
            </w:r>
          </w:hyperlink>
        </w:p>
        <w:p>
          <w:pPr>
            <w:pStyle w:val="Contents4"/>
            <w:rPr>
              <w:rFonts w:ascii="Calibri" w:hAnsi="Calibri" w:cs="Calibri"/>
              <w:sz w:val="22"/>
              <w:szCs w:val="22"/>
            </w:rPr>
          </w:pPr>
          <w:r>
            <w:rPr/>
            <w:t>6.2.1.1</w:t>
          </w:r>
          <w:r>
            <w:rPr>
              <w:rFonts w:cs="Calibri" w:ascii="Calibri" w:hAnsi="Calibri"/>
              <w:sz w:val="22"/>
              <w:szCs w:val="22"/>
            </w:rPr>
            <w:tab/>
          </w:r>
          <w:r>
            <w:rPr/>
            <w:t>Definition and applicability</w:t>
            <w:tab/>
          </w:r>
          <w:hyperlink w:anchor="__RefHeading___Toc68601076">
            <w:r>
              <w:rPr>
                <w:rStyle w:val="IndexLink"/>
              </w:rPr>
              <w:t>72</w:t>
            </w:r>
          </w:hyperlink>
        </w:p>
        <w:p>
          <w:pPr>
            <w:pStyle w:val="Contents4"/>
            <w:rPr>
              <w:rFonts w:ascii="Calibri" w:hAnsi="Calibri" w:cs="Calibri"/>
              <w:sz w:val="22"/>
              <w:szCs w:val="22"/>
            </w:rPr>
          </w:pPr>
          <w:r>
            <w:rPr/>
            <w:t>6.2.1.2</w:t>
          </w:r>
          <w:r>
            <w:rPr>
              <w:rFonts w:cs="Calibri" w:ascii="Calibri" w:hAnsi="Calibri"/>
              <w:sz w:val="22"/>
              <w:szCs w:val="22"/>
            </w:rPr>
            <w:tab/>
          </w:r>
          <w:r>
            <w:rPr/>
            <w:t>Minimum Requirements</w:t>
            <w:tab/>
          </w:r>
          <w:hyperlink w:anchor="__RefHeading___Toc68601077">
            <w:r>
              <w:rPr>
                <w:rStyle w:val="IndexLink"/>
              </w:rPr>
              <w:t>73</w:t>
            </w:r>
          </w:hyperlink>
        </w:p>
        <w:p>
          <w:pPr>
            <w:pStyle w:val="Contents4"/>
            <w:rPr>
              <w:rFonts w:ascii="Calibri" w:hAnsi="Calibri" w:cs="Calibri"/>
              <w:sz w:val="22"/>
              <w:szCs w:val="22"/>
            </w:rPr>
          </w:pPr>
          <w:r>
            <w:rPr/>
            <w:t>6.2.1.3</w:t>
          </w:r>
          <w:r>
            <w:rPr>
              <w:rFonts w:cs="Calibri" w:ascii="Calibri" w:hAnsi="Calibri"/>
              <w:sz w:val="22"/>
              <w:szCs w:val="22"/>
            </w:rPr>
            <w:tab/>
          </w:r>
          <w:r>
            <w:rPr/>
            <w:t>Test purpose</w:t>
            <w:tab/>
          </w:r>
          <w:hyperlink w:anchor="__RefHeading___Toc68601078">
            <w:r>
              <w:rPr>
                <w:rStyle w:val="IndexLink"/>
              </w:rPr>
              <w:t>74</w:t>
            </w:r>
          </w:hyperlink>
        </w:p>
        <w:p>
          <w:pPr>
            <w:pStyle w:val="Contents4"/>
            <w:rPr>
              <w:rFonts w:ascii="Calibri" w:hAnsi="Calibri" w:cs="Calibri"/>
              <w:sz w:val="22"/>
              <w:szCs w:val="22"/>
            </w:rPr>
          </w:pPr>
          <w:r>
            <w:rPr/>
            <w:t>6.2.1.4</w:t>
          </w:r>
          <w:r>
            <w:rPr>
              <w:rFonts w:cs="Calibri" w:ascii="Calibri" w:hAnsi="Calibri"/>
              <w:sz w:val="22"/>
              <w:szCs w:val="22"/>
            </w:rPr>
            <w:tab/>
          </w:r>
          <w:r>
            <w:rPr/>
            <w:t>Method of test</w:t>
            <w:tab/>
          </w:r>
          <w:hyperlink w:anchor="__RefHeading___Toc68601079">
            <w:r>
              <w:rPr>
                <w:rStyle w:val="IndexLink"/>
              </w:rPr>
              <w:t>74</w:t>
            </w:r>
          </w:hyperlink>
        </w:p>
        <w:p>
          <w:pPr>
            <w:pStyle w:val="Contents5"/>
            <w:rPr>
              <w:rFonts w:ascii="Calibri" w:hAnsi="Calibri" w:cs="Calibri"/>
              <w:sz w:val="22"/>
              <w:szCs w:val="22"/>
            </w:rPr>
          </w:pPr>
          <w:r>
            <w:rPr/>
            <w:t>6.2.1.4.1</w:t>
          </w:r>
          <w:r>
            <w:rPr>
              <w:rFonts w:cs="Calibri" w:ascii="Calibri" w:hAnsi="Calibri"/>
              <w:sz w:val="22"/>
              <w:szCs w:val="22"/>
            </w:rPr>
            <w:tab/>
          </w:r>
          <w:r>
            <w:rPr/>
            <w:t>Initial conditions</w:t>
            <w:tab/>
          </w:r>
          <w:hyperlink w:anchor="__RefHeading___Toc68601080">
            <w:r>
              <w:rPr>
                <w:rStyle w:val="IndexLink"/>
              </w:rPr>
              <w:t>74</w:t>
            </w:r>
          </w:hyperlink>
        </w:p>
        <w:p>
          <w:pPr>
            <w:pStyle w:val="Contents5"/>
            <w:rPr>
              <w:rFonts w:ascii="Calibri" w:hAnsi="Calibri" w:cs="Calibri"/>
              <w:sz w:val="22"/>
              <w:szCs w:val="22"/>
            </w:rPr>
          </w:pPr>
          <w:r>
            <w:rPr/>
            <w:t>6.2.1.4.2</w:t>
          </w:r>
          <w:r>
            <w:rPr>
              <w:rFonts w:cs="Calibri" w:ascii="Calibri" w:hAnsi="Calibri"/>
              <w:sz w:val="22"/>
              <w:szCs w:val="22"/>
            </w:rPr>
            <w:tab/>
          </w:r>
          <w:r>
            <w:rPr/>
            <w:t>Procedure</w:t>
            <w:tab/>
          </w:r>
          <w:hyperlink w:anchor="__RefHeading___Toc68601081">
            <w:r>
              <w:rPr>
                <w:rStyle w:val="IndexLink"/>
              </w:rPr>
              <w:t>74</w:t>
            </w:r>
          </w:hyperlink>
        </w:p>
        <w:p>
          <w:pPr>
            <w:pStyle w:val="Contents5"/>
            <w:rPr>
              <w:rFonts w:ascii="Calibri" w:hAnsi="Calibri" w:cs="Calibri"/>
              <w:sz w:val="22"/>
              <w:szCs w:val="22"/>
            </w:rPr>
          </w:pPr>
          <w:r>
            <w:rPr/>
            <w:t>6.2.1.4.3</w:t>
          </w:r>
          <w:r>
            <w:rPr>
              <w:rFonts w:cs="Calibri" w:ascii="Calibri" w:hAnsi="Calibri"/>
              <w:sz w:val="22"/>
              <w:szCs w:val="22"/>
            </w:rPr>
            <w:tab/>
          </w:r>
          <w:r>
            <w:rPr/>
            <w:t>Procedure, reverberation chamber method</w:t>
            <w:tab/>
          </w:r>
          <w:hyperlink w:anchor="__RefHeading___Toc68601082">
            <w:r>
              <w:rPr>
                <w:rStyle w:val="IndexLink"/>
              </w:rPr>
              <w:t>75</w:t>
            </w:r>
          </w:hyperlink>
        </w:p>
        <w:p>
          <w:pPr>
            <w:pStyle w:val="Contents4"/>
            <w:rPr>
              <w:rFonts w:ascii="Calibri" w:hAnsi="Calibri" w:cs="Calibri"/>
              <w:sz w:val="22"/>
              <w:szCs w:val="22"/>
            </w:rPr>
          </w:pPr>
          <w:r>
            <w:rPr/>
            <w:t>6.2.1.5</w:t>
          </w:r>
          <w:r>
            <w:rPr>
              <w:rFonts w:cs="Calibri" w:ascii="Calibri" w:hAnsi="Calibri"/>
              <w:sz w:val="22"/>
              <w:szCs w:val="22"/>
            </w:rPr>
            <w:tab/>
          </w:r>
          <w:r>
            <w:rPr/>
            <w:t>Test requirements</w:t>
            <w:tab/>
          </w:r>
          <w:hyperlink w:anchor="__RefHeading___Toc68601083">
            <w:r>
              <w:rPr>
                <w:rStyle w:val="IndexLink"/>
              </w:rPr>
              <w:t>75</w:t>
            </w:r>
          </w:hyperlink>
        </w:p>
        <w:p>
          <w:pPr>
            <w:pStyle w:val="Contents3"/>
            <w:rPr>
              <w:rFonts w:ascii="Calibri" w:hAnsi="Calibri" w:cs="Calibri"/>
              <w:sz w:val="22"/>
              <w:szCs w:val="22"/>
            </w:rPr>
          </w:pPr>
          <w:r>
            <w:rPr/>
            <w:t>6.</w:t>
          </w:r>
          <w:r>
            <w:rPr>
              <w:lang w:val="en-US" w:eastAsia="en-US"/>
            </w:rPr>
            <w:t>2</w:t>
          </w:r>
          <w:r>
            <w:rPr/>
            <w:t>.2</w:t>
          </w:r>
          <w:r>
            <w:rPr>
              <w:rFonts w:cs="Calibri" w:ascii="Calibri" w:hAnsi="Calibri"/>
              <w:sz w:val="22"/>
              <w:szCs w:val="22"/>
            </w:rPr>
            <w:tab/>
          </w:r>
          <w:r>
            <w:rPr/>
            <w:t>Total Radiated Power (TRP) for UTRA LCR TDD LME</w:t>
            <w:tab/>
          </w:r>
          <w:hyperlink w:anchor="__RefHeading___Toc68601084">
            <w:r>
              <w:rPr>
                <w:rStyle w:val="IndexLink"/>
              </w:rPr>
              <w:t>76</w:t>
            </w:r>
          </w:hyperlink>
        </w:p>
        <w:p>
          <w:pPr>
            <w:pStyle w:val="Contents4"/>
            <w:rPr>
              <w:rFonts w:ascii="Calibri" w:hAnsi="Calibri" w:cs="Calibri"/>
              <w:sz w:val="22"/>
              <w:szCs w:val="22"/>
            </w:rPr>
          </w:pPr>
          <w:r>
            <w:rPr/>
            <w:t>6.2.2.1</w:t>
          </w:r>
          <w:r>
            <w:rPr>
              <w:rFonts w:cs="Calibri" w:ascii="Calibri" w:hAnsi="Calibri"/>
              <w:sz w:val="22"/>
              <w:szCs w:val="22"/>
            </w:rPr>
            <w:tab/>
          </w:r>
          <w:r>
            <w:rPr/>
            <w:t>Definition and applicability</w:t>
            <w:tab/>
          </w:r>
          <w:hyperlink w:anchor="__RefHeading___Toc68601085">
            <w:r>
              <w:rPr>
                <w:rStyle w:val="IndexLink"/>
              </w:rPr>
              <w:t>76</w:t>
            </w:r>
          </w:hyperlink>
        </w:p>
        <w:p>
          <w:pPr>
            <w:pStyle w:val="Contents4"/>
            <w:rPr>
              <w:rFonts w:ascii="Calibri" w:hAnsi="Calibri" w:cs="Calibri"/>
              <w:sz w:val="22"/>
              <w:szCs w:val="22"/>
            </w:rPr>
          </w:pPr>
          <w:r>
            <w:rPr/>
            <w:t>6.2.2.2</w:t>
          </w:r>
          <w:r>
            <w:rPr>
              <w:rFonts w:cs="Calibri" w:ascii="Calibri" w:hAnsi="Calibri"/>
              <w:sz w:val="22"/>
              <w:szCs w:val="22"/>
            </w:rPr>
            <w:tab/>
          </w:r>
          <w:r>
            <w:rPr/>
            <w:t>Minimum Requirements</w:t>
            <w:tab/>
          </w:r>
          <w:hyperlink w:anchor="__RefHeading___Toc68601086">
            <w:r>
              <w:rPr>
                <w:rStyle w:val="IndexLink"/>
              </w:rPr>
              <w:t>77</w:t>
            </w:r>
          </w:hyperlink>
        </w:p>
        <w:p>
          <w:pPr>
            <w:pStyle w:val="Contents4"/>
            <w:rPr>
              <w:rFonts w:ascii="Calibri" w:hAnsi="Calibri" w:cs="Calibri"/>
              <w:sz w:val="22"/>
              <w:szCs w:val="22"/>
            </w:rPr>
          </w:pPr>
          <w:r>
            <w:rPr/>
            <w:t>6.2.2.3</w:t>
          </w:r>
          <w:r>
            <w:rPr>
              <w:rFonts w:cs="Calibri" w:ascii="Calibri" w:hAnsi="Calibri"/>
              <w:sz w:val="22"/>
              <w:szCs w:val="22"/>
            </w:rPr>
            <w:tab/>
          </w:r>
          <w:r>
            <w:rPr/>
            <w:t>Test purpose</w:t>
            <w:tab/>
          </w:r>
          <w:hyperlink w:anchor="__RefHeading___Toc68601087">
            <w:r>
              <w:rPr>
                <w:rStyle w:val="IndexLink"/>
              </w:rPr>
              <w:t>78</w:t>
            </w:r>
          </w:hyperlink>
        </w:p>
        <w:p>
          <w:pPr>
            <w:pStyle w:val="Contents4"/>
            <w:rPr>
              <w:rFonts w:ascii="Calibri" w:hAnsi="Calibri" w:cs="Calibri"/>
              <w:sz w:val="22"/>
              <w:szCs w:val="22"/>
            </w:rPr>
          </w:pPr>
          <w:r>
            <w:rPr/>
            <w:t>6.2.2.4</w:t>
          </w:r>
          <w:r>
            <w:rPr>
              <w:rFonts w:cs="Calibri" w:ascii="Calibri" w:hAnsi="Calibri"/>
              <w:sz w:val="22"/>
              <w:szCs w:val="22"/>
            </w:rPr>
            <w:tab/>
          </w:r>
          <w:r>
            <w:rPr/>
            <w:t>Method of test</w:t>
            <w:tab/>
          </w:r>
          <w:hyperlink w:anchor="__RefHeading___Toc68601088">
            <w:r>
              <w:rPr>
                <w:rStyle w:val="IndexLink"/>
              </w:rPr>
              <w:t>78</w:t>
            </w:r>
          </w:hyperlink>
        </w:p>
        <w:p>
          <w:pPr>
            <w:pStyle w:val="Contents5"/>
            <w:rPr>
              <w:rFonts w:ascii="Calibri" w:hAnsi="Calibri" w:cs="Calibri"/>
              <w:sz w:val="22"/>
              <w:szCs w:val="22"/>
            </w:rPr>
          </w:pPr>
          <w:r>
            <w:rPr/>
            <w:t>6.2.2.4.1</w:t>
          </w:r>
          <w:r>
            <w:rPr>
              <w:rFonts w:cs="Calibri" w:ascii="Calibri" w:hAnsi="Calibri"/>
              <w:sz w:val="22"/>
              <w:szCs w:val="22"/>
            </w:rPr>
            <w:tab/>
          </w:r>
          <w:r>
            <w:rPr/>
            <w:t>Initial conditions</w:t>
            <w:tab/>
          </w:r>
          <w:hyperlink w:anchor="__RefHeading___Toc68601089">
            <w:r>
              <w:rPr>
                <w:rStyle w:val="IndexLink"/>
              </w:rPr>
              <w:t>78</w:t>
            </w:r>
          </w:hyperlink>
        </w:p>
        <w:p>
          <w:pPr>
            <w:pStyle w:val="Contents5"/>
            <w:rPr>
              <w:rFonts w:ascii="Calibri" w:hAnsi="Calibri" w:cs="Calibri"/>
              <w:sz w:val="22"/>
              <w:szCs w:val="22"/>
            </w:rPr>
          </w:pPr>
          <w:r>
            <w:rPr/>
            <w:t>6.2.2.4.2</w:t>
          </w:r>
          <w:r>
            <w:rPr>
              <w:rFonts w:cs="Calibri" w:ascii="Calibri" w:hAnsi="Calibri"/>
              <w:sz w:val="22"/>
              <w:szCs w:val="22"/>
            </w:rPr>
            <w:tab/>
          </w:r>
          <w:r>
            <w:rPr/>
            <w:t>Procedure</w:t>
            <w:tab/>
          </w:r>
          <w:hyperlink w:anchor="__RefHeading___Toc68601090">
            <w:r>
              <w:rPr>
                <w:rStyle w:val="IndexLink"/>
              </w:rPr>
              <w:t>79</w:t>
            </w:r>
          </w:hyperlink>
        </w:p>
        <w:p>
          <w:pPr>
            <w:pStyle w:val="Contents5"/>
            <w:rPr>
              <w:rFonts w:ascii="Calibri" w:hAnsi="Calibri" w:cs="Calibri"/>
              <w:sz w:val="22"/>
              <w:szCs w:val="22"/>
            </w:rPr>
          </w:pPr>
          <w:r>
            <w:rPr/>
            <w:t>6.2.2.4.3</w:t>
          </w:r>
          <w:r>
            <w:rPr>
              <w:rFonts w:cs="Calibri" w:ascii="Calibri" w:hAnsi="Calibri"/>
              <w:sz w:val="22"/>
              <w:szCs w:val="22"/>
            </w:rPr>
            <w:tab/>
          </w:r>
          <w:r>
            <w:rPr/>
            <w:t>Procedure, reverberation chamber method</w:t>
            <w:tab/>
          </w:r>
          <w:hyperlink w:anchor="__RefHeading___Toc68601091">
            <w:r>
              <w:rPr>
                <w:rStyle w:val="IndexLink"/>
              </w:rPr>
              <w:t>79</w:t>
            </w:r>
          </w:hyperlink>
        </w:p>
        <w:p>
          <w:pPr>
            <w:pStyle w:val="Contents4"/>
            <w:rPr>
              <w:rFonts w:ascii="Calibri" w:hAnsi="Calibri" w:cs="Calibri"/>
              <w:sz w:val="22"/>
              <w:szCs w:val="22"/>
            </w:rPr>
          </w:pPr>
          <w:r>
            <w:rPr/>
            <w:t>6.2.2.5</w:t>
          </w:r>
          <w:r>
            <w:rPr>
              <w:rFonts w:cs="Calibri" w:ascii="Calibri" w:hAnsi="Calibri"/>
              <w:sz w:val="22"/>
              <w:szCs w:val="22"/>
            </w:rPr>
            <w:tab/>
          </w:r>
          <w:r>
            <w:rPr/>
            <w:t>Test requirements</w:t>
            <w:tab/>
          </w:r>
          <w:hyperlink w:anchor="__RefHeading___Toc68601092">
            <w:r>
              <w:rPr>
                <w:rStyle w:val="IndexLink"/>
              </w:rPr>
              <w:t>80</w:t>
            </w:r>
          </w:hyperlink>
        </w:p>
        <w:p>
          <w:pPr>
            <w:pStyle w:val="Contents4"/>
            <w:rPr>
              <w:rFonts w:ascii="Calibri" w:hAnsi="Calibri" w:cs="Calibri"/>
              <w:sz w:val="22"/>
              <w:szCs w:val="22"/>
            </w:rPr>
          </w:pPr>
          <w:r>
            <w:rPr/>
            <w:t>6.</w:t>
          </w:r>
          <w:r>
            <w:rPr>
              <w:lang w:val="en-US" w:eastAsia="en-US"/>
            </w:rPr>
            <w:t>2</w:t>
          </w:r>
          <w:r>
            <w:rPr/>
            <w:t>.3</w:t>
          </w:r>
          <w:r>
            <w:rPr>
              <w:rFonts w:cs="Calibri" w:ascii="Calibri" w:hAnsi="Calibri"/>
              <w:sz w:val="22"/>
              <w:szCs w:val="22"/>
            </w:rPr>
            <w:tab/>
          </w:r>
          <w:r>
            <w:rPr/>
            <w:t>Total Radiated Power (TRP) for E-UTRA FDD LME</w:t>
            <w:tab/>
          </w:r>
          <w:hyperlink w:anchor="__RefHeading___Toc68601093">
            <w:r>
              <w:rPr>
                <w:rStyle w:val="IndexLink"/>
              </w:rPr>
              <w:t>80</w:t>
            </w:r>
          </w:hyperlink>
        </w:p>
        <w:p>
          <w:pPr>
            <w:pStyle w:val="Contents4"/>
            <w:rPr>
              <w:rFonts w:ascii="Calibri" w:hAnsi="Calibri" w:cs="Calibri"/>
              <w:sz w:val="22"/>
              <w:szCs w:val="22"/>
            </w:rPr>
          </w:pPr>
          <w:r>
            <w:rPr/>
            <w:t>6.2.3.1</w:t>
          </w:r>
          <w:r>
            <w:rPr>
              <w:rFonts w:cs="Calibri" w:ascii="Calibri" w:hAnsi="Calibri"/>
              <w:sz w:val="22"/>
              <w:szCs w:val="22"/>
            </w:rPr>
            <w:tab/>
          </w:r>
          <w:r>
            <w:rPr/>
            <w:t>Definition and applicability</w:t>
            <w:tab/>
          </w:r>
          <w:hyperlink w:anchor="__RefHeading___Toc68601094">
            <w:r>
              <w:rPr>
                <w:rStyle w:val="IndexLink"/>
              </w:rPr>
              <w:t>80</w:t>
            </w:r>
          </w:hyperlink>
        </w:p>
        <w:p>
          <w:pPr>
            <w:pStyle w:val="Contents4"/>
            <w:rPr>
              <w:rFonts w:ascii="Calibri" w:hAnsi="Calibri" w:cs="Calibri"/>
              <w:sz w:val="22"/>
              <w:szCs w:val="22"/>
            </w:rPr>
          </w:pPr>
          <w:r>
            <w:rPr/>
            <w:t>6.2.3.2</w:t>
          </w:r>
          <w:r>
            <w:rPr>
              <w:rFonts w:cs="Calibri" w:ascii="Calibri" w:hAnsi="Calibri"/>
              <w:sz w:val="22"/>
              <w:szCs w:val="22"/>
            </w:rPr>
            <w:tab/>
          </w:r>
          <w:r>
            <w:rPr/>
            <w:t>Minimum Requirements</w:t>
            <w:tab/>
          </w:r>
          <w:hyperlink w:anchor="__RefHeading___Toc68601095">
            <w:r>
              <w:rPr>
                <w:rStyle w:val="IndexLink"/>
              </w:rPr>
              <w:t>81</w:t>
            </w:r>
          </w:hyperlink>
        </w:p>
        <w:p>
          <w:pPr>
            <w:pStyle w:val="Contents4"/>
            <w:rPr>
              <w:rFonts w:ascii="Calibri" w:hAnsi="Calibri" w:cs="Calibri"/>
              <w:sz w:val="22"/>
              <w:szCs w:val="22"/>
            </w:rPr>
          </w:pPr>
          <w:r>
            <w:rPr/>
            <w:t>6.2.3.3</w:t>
          </w:r>
          <w:r>
            <w:rPr>
              <w:rFonts w:cs="Calibri" w:ascii="Calibri" w:hAnsi="Calibri"/>
              <w:sz w:val="22"/>
              <w:szCs w:val="22"/>
            </w:rPr>
            <w:tab/>
          </w:r>
          <w:r>
            <w:rPr/>
            <w:t>Test purpose</w:t>
            <w:tab/>
          </w:r>
          <w:hyperlink w:anchor="__RefHeading___Toc68601096">
            <w:r>
              <w:rPr>
                <w:rStyle w:val="IndexLink"/>
              </w:rPr>
              <w:t>82</w:t>
            </w:r>
          </w:hyperlink>
        </w:p>
        <w:p>
          <w:pPr>
            <w:pStyle w:val="Contents4"/>
            <w:rPr>
              <w:rFonts w:ascii="Calibri" w:hAnsi="Calibri" w:cs="Calibri"/>
              <w:sz w:val="22"/>
              <w:szCs w:val="22"/>
            </w:rPr>
          </w:pPr>
          <w:r>
            <w:rPr/>
            <w:t>6.2.3.4</w:t>
          </w:r>
          <w:r>
            <w:rPr>
              <w:rFonts w:cs="Calibri" w:ascii="Calibri" w:hAnsi="Calibri"/>
              <w:sz w:val="22"/>
              <w:szCs w:val="22"/>
            </w:rPr>
            <w:tab/>
          </w:r>
          <w:r>
            <w:rPr/>
            <w:t>Method of test</w:t>
            <w:tab/>
          </w:r>
          <w:hyperlink w:anchor="__RefHeading___Toc68601097">
            <w:r>
              <w:rPr>
                <w:rStyle w:val="IndexLink"/>
              </w:rPr>
              <w:t>82</w:t>
            </w:r>
          </w:hyperlink>
        </w:p>
        <w:p>
          <w:pPr>
            <w:pStyle w:val="Contents5"/>
            <w:rPr>
              <w:rFonts w:ascii="Calibri" w:hAnsi="Calibri" w:cs="Calibri"/>
              <w:sz w:val="22"/>
              <w:szCs w:val="22"/>
            </w:rPr>
          </w:pPr>
          <w:r>
            <w:rPr/>
            <w:t>6.2.3.4.1</w:t>
          </w:r>
          <w:r>
            <w:rPr>
              <w:rFonts w:cs="Calibri" w:ascii="Calibri" w:hAnsi="Calibri"/>
              <w:sz w:val="22"/>
              <w:szCs w:val="22"/>
            </w:rPr>
            <w:tab/>
          </w:r>
          <w:r>
            <w:rPr/>
            <w:t>Initial conditions</w:t>
            <w:tab/>
          </w:r>
          <w:hyperlink w:anchor="__RefHeading___Toc68601098">
            <w:r>
              <w:rPr>
                <w:rStyle w:val="IndexLink"/>
              </w:rPr>
              <w:t>82</w:t>
            </w:r>
          </w:hyperlink>
        </w:p>
        <w:p>
          <w:pPr>
            <w:pStyle w:val="Contents5"/>
            <w:rPr>
              <w:rFonts w:ascii="Calibri" w:hAnsi="Calibri" w:cs="Calibri"/>
              <w:sz w:val="22"/>
              <w:szCs w:val="22"/>
            </w:rPr>
          </w:pPr>
          <w:r>
            <w:rPr/>
            <w:t>6.2.3.4.2</w:t>
          </w:r>
          <w:r>
            <w:rPr>
              <w:rFonts w:cs="Calibri" w:ascii="Calibri" w:hAnsi="Calibri"/>
              <w:sz w:val="22"/>
              <w:szCs w:val="22"/>
            </w:rPr>
            <w:tab/>
          </w:r>
          <w:r>
            <w:rPr/>
            <w:t>Procedure</w:t>
            <w:tab/>
          </w:r>
          <w:hyperlink w:anchor="__RefHeading___Toc68601099">
            <w:r>
              <w:rPr>
                <w:rStyle w:val="IndexLink"/>
              </w:rPr>
              <w:t>82</w:t>
            </w:r>
          </w:hyperlink>
        </w:p>
        <w:p>
          <w:pPr>
            <w:pStyle w:val="Contents5"/>
            <w:rPr>
              <w:rFonts w:ascii="Calibri" w:hAnsi="Calibri" w:cs="Calibri"/>
              <w:sz w:val="22"/>
              <w:szCs w:val="22"/>
            </w:rPr>
          </w:pPr>
          <w:r>
            <w:rPr/>
            <w:t>6.2.3.4.3</w:t>
          </w:r>
          <w:r>
            <w:rPr>
              <w:rFonts w:cs="Calibri" w:ascii="Calibri" w:hAnsi="Calibri"/>
              <w:sz w:val="22"/>
              <w:szCs w:val="22"/>
            </w:rPr>
            <w:tab/>
          </w:r>
          <w:r>
            <w:rPr/>
            <w:t>Procedure, reverberation chamber method</w:t>
            <w:tab/>
          </w:r>
          <w:hyperlink w:anchor="__RefHeading___Toc68601100">
            <w:r>
              <w:rPr>
                <w:rStyle w:val="IndexLink"/>
              </w:rPr>
              <w:t>82</w:t>
            </w:r>
          </w:hyperlink>
        </w:p>
        <w:p>
          <w:pPr>
            <w:pStyle w:val="Contents4"/>
            <w:rPr>
              <w:rFonts w:ascii="Calibri" w:hAnsi="Calibri" w:cs="Calibri"/>
              <w:sz w:val="22"/>
              <w:szCs w:val="22"/>
            </w:rPr>
          </w:pPr>
          <w:r>
            <w:rPr/>
            <w:t>6.2.3.5</w:t>
          </w:r>
          <w:r>
            <w:rPr>
              <w:rFonts w:cs="Calibri" w:ascii="Calibri" w:hAnsi="Calibri"/>
              <w:sz w:val="22"/>
              <w:szCs w:val="22"/>
            </w:rPr>
            <w:tab/>
          </w:r>
          <w:r>
            <w:rPr/>
            <w:t>Test requirements</w:t>
            <w:tab/>
          </w:r>
          <w:hyperlink w:anchor="__RefHeading___Toc68601101">
            <w:r>
              <w:rPr>
                <w:rStyle w:val="IndexLink"/>
              </w:rPr>
              <w:t>82</w:t>
            </w:r>
          </w:hyperlink>
        </w:p>
        <w:p>
          <w:pPr>
            <w:pStyle w:val="Contents3"/>
            <w:rPr>
              <w:rFonts w:ascii="Calibri" w:hAnsi="Calibri" w:cs="Calibri"/>
              <w:sz w:val="22"/>
              <w:szCs w:val="22"/>
            </w:rPr>
          </w:pPr>
          <w:r>
            <w:rPr/>
            <w:t>6.</w:t>
          </w:r>
          <w:r>
            <w:rPr>
              <w:lang w:val="en-US" w:eastAsia="en-US"/>
            </w:rPr>
            <w:t>2</w:t>
          </w:r>
          <w:r>
            <w:rPr/>
            <w:t>.4</w:t>
          </w:r>
          <w:r>
            <w:rPr>
              <w:rFonts w:cs="Calibri" w:ascii="Calibri" w:hAnsi="Calibri"/>
              <w:sz w:val="22"/>
              <w:szCs w:val="22"/>
            </w:rPr>
            <w:tab/>
          </w:r>
          <w:r>
            <w:rPr/>
            <w:t>Total Radiated Power (TRP) for E-UTRA TDD LME</w:t>
            <w:tab/>
          </w:r>
          <w:hyperlink w:anchor="__RefHeading___Toc68601102">
            <w:r>
              <w:rPr>
                <w:rStyle w:val="IndexLink"/>
              </w:rPr>
              <w:t>83</w:t>
            </w:r>
          </w:hyperlink>
        </w:p>
        <w:p>
          <w:pPr>
            <w:pStyle w:val="Contents4"/>
            <w:rPr>
              <w:rFonts w:ascii="Calibri" w:hAnsi="Calibri" w:cs="Calibri"/>
              <w:sz w:val="22"/>
              <w:szCs w:val="22"/>
            </w:rPr>
          </w:pPr>
          <w:r>
            <w:rPr/>
            <w:t>6.2.4.1</w:t>
          </w:r>
          <w:r>
            <w:rPr>
              <w:rFonts w:cs="Calibri" w:ascii="Calibri" w:hAnsi="Calibri"/>
              <w:sz w:val="22"/>
              <w:szCs w:val="22"/>
            </w:rPr>
            <w:tab/>
          </w:r>
          <w:r>
            <w:rPr/>
            <w:t>Definition and applicability</w:t>
            <w:tab/>
          </w:r>
          <w:hyperlink w:anchor="__RefHeading___Toc68601103">
            <w:r>
              <w:rPr>
                <w:rStyle w:val="IndexLink"/>
              </w:rPr>
              <w:t>83</w:t>
            </w:r>
          </w:hyperlink>
        </w:p>
        <w:p>
          <w:pPr>
            <w:pStyle w:val="Contents4"/>
            <w:rPr>
              <w:rFonts w:ascii="Calibri" w:hAnsi="Calibri" w:cs="Calibri"/>
              <w:sz w:val="22"/>
              <w:szCs w:val="22"/>
            </w:rPr>
          </w:pPr>
          <w:r>
            <w:rPr/>
            <w:t>6.2.4.2</w:t>
          </w:r>
          <w:r>
            <w:rPr>
              <w:rFonts w:cs="Calibri" w:ascii="Calibri" w:hAnsi="Calibri"/>
              <w:sz w:val="22"/>
              <w:szCs w:val="22"/>
            </w:rPr>
            <w:tab/>
          </w:r>
          <w:r>
            <w:rPr/>
            <w:t>Minimum Requirements</w:t>
            <w:tab/>
          </w:r>
          <w:hyperlink w:anchor="__RefHeading___Toc68601104">
            <w:r>
              <w:rPr>
                <w:rStyle w:val="IndexLink"/>
              </w:rPr>
              <w:t>84</w:t>
            </w:r>
          </w:hyperlink>
        </w:p>
        <w:p>
          <w:pPr>
            <w:pStyle w:val="Contents4"/>
            <w:rPr>
              <w:rFonts w:ascii="Calibri" w:hAnsi="Calibri" w:cs="Calibri"/>
              <w:sz w:val="22"/>
              <w:szCs w:val="22"/>
            </w:rPr>
          </w:pPr>
          <w:r>
            <w:rPr/>
            <w:t>6.2.4.3</w:t>
          </w:r>
          <w:r>
            <w:rPr>
              <w:rFonts w:cs="Calibri" w:ascii="Calibri" w:hAnsi="Calibri"/>
              <w:sz w:val="22"/>
              <w:szCs w:val="22"/>
            </w:rPr>
            <w:tab/>
          </w:r>
          <w:r>
            <w:rPr/>
            <w:t>Test purpose</w:t>
            <w:tab/>
          </w:r>
          <w:hyperlink w:anchor="__RefHeading___Toc68601105">
            <w:r>
              <w:rPr>
                <w:rStyle w:val="IndexLink"/>
              </w:rPr>
              <w:t>84</w:t>
            </w:r>
          </w:hyperlink>
        </w:p>
        <w:p>
          <w:pPr>
            <w:pStyle w:val="Contents4"/>
            <w:rPr>
              <w:rFonts w:ascii="Calibri" w:hAnsi="Calibri" w:cs="Calibri"/>
              <w:sz w:val="22"/>
              <w:szCs w:val="22"/>
            </w:rPr>
          </w:pPr>
          <w:r>
            <w:rPr/>
            <w:t>6.2.4.4</w:t>
          </w:r>
          <w:r>
            <w:rPr>
              <w:rFonts w:cs="Calibri" w:ascii="Calibri" w:hAnsi="Calibri"/>
              <w:sz w:val="22"/>
              <w:szCs w:val="22"/>
            </w:rPr>
            <w:tab/>
          </w:r>
          <w:r>
            <w:rPr/>
            <w:t>Method of test</w:t>
            <w:tab/>
          </w:r>
          <w:hyperlink w:anchor="__RefHeading___Toc68601106">
            <w:r>
              <w:rPr>
                <w:rStyle w:val="IndexLink"/>
              </w:rPr>
              <w:t>84</w:t>
            </w:r>
          </w:hyperlink>
        </w:p>
        <w:p>
          <w:pPr>
            <w:pStyle w:val="Contents5"/>
            <w:rPr>
              <w:rFonts w:ascii="Calibri" w:hAnsi="Calibri" w:cs="Calibri"/>
              <w:sz w:val="22"/>
              <w:szCs w:val="22"/>
            </w:rPr>
          </w:pPr>
          <w:r>
            <w:rPr/>
            <w:t>6.2.4.4.1</w:t>
          </w:r>
          <w:r>
            <w:rPr>
              <w:rFonts w:cs="Calibri" w:ascii="Calibri" w:hAnsi="Calibri"/>
              <w:sz w:val="22"/>
              <w:szCs w:val="22"/>
            </w:rPr>
            <w:tab/>
          </w:r>
          <w:r>
            <w:rPr/>
            <w:t>Initial conditions</w:t>
            <w:tab/>
          </w:r>
          <w:hyperlink w:anchor="__RefHeading___Toc68601107">
            <w:r>
              <w:rPr>
                <w:rStyle w:val="IndexLink"/>
              </w:rPr>
              <w:t>84</w:t>
            </w:r>
          </w:hyperlink>
        </w:p>
        <w:p>
          <w:pPr>
            <w:pStyle w:val="Contents5"/>
            <w:rPr>
              <w:rFonts w:ascii="Calibri" w:hAnsi="Calibri" w:cs="Calibri"/>
              <w:sz w:val="22"/>
              <w:szCs w:val="22"/>
            </w:rPr>
          </w:pPr>
          <w:r>
            <w:rPr/>
            <w:t>6.2.4.4.2</w:t>
          </w:r>
          <w:r>
            <w:rPr>
              <w:rFonts w:cs="Calibri" w:ascii="Calibri" w:hAnsi="Calibri"/>
              <w:sz w:val="22"/>
              <w:szCs w:val="22"/>
            </w:rPr>
            <w:tab/>
          </w:r>
          <w:r>
            <w:rPr/>
            <w:t>Procedure</w:t>
            <w:tab/>
          </w:r>
          <w:hyperlink w:anchor="__RefHeading___Toc68601108">
            <w:r>
              <w:rPr>
                <w:rStyle w:val="IndexLink"/>
              </w:rPr>
              <w:t>85</w:t>
            </w:r>
          </w:hyperlink>
        </w:p>
        <w:p>
          <w:pPr>
            <w:pStyle w:val="Contents5"/>
            <w:rPr>
              <w:rFonts w:ascii="Calibri" w:hAnsi="Calibri" w:cs="Calibri"/>
              <w:sz w:val="22"/>
              <w:szCs w:val="22"/>
            </w:rPr>
          </w:pPr>
          <w:r>
            <w:rPr/>
            <w:t>6.2.4.4.3</w:t>
          </w:r>
          <w:r>
            <w:rPr>
              <w:rFonts w:cs="Calibri" w:ascii="Calibri" w:hAnsi="Calibri"/>
              <w:sz w:val="22"/>
              <w:szCs w:val="22"/>
            </w:rPr>
            <w:tab/>
          </w:r>
          <w:r>
            <w:rPr/>
            <w:t>Procedure, reverberation chamber method</w:t>
            <w:tab/>
          </w:r>
          <w:hyperlink w:anchor="__RefHeading___Toc68601109">
            <w:r>
              <w:rPr>
                <w:rStyle w:val="IndexLink"/>
              </w:rPr>
              <w:t>85</w:t>
            </w:r>
          </w:hyperlink>
        </w:p>
        <w:p>
          <w:pPr>
            <w:pStyle w:val="Contents4"/>
            <w:rPr>
              <w:rFonts w:ascii="Calibri" w:hAnsi="Calibri" w:cs="Calibri"/>
              <w:sz w:val="22"/>
              <w:szCs w:val="22"/>
            </w:rPr>
          </w:pPr>
          <w:r>
            <w:rPr/>
            <w:t>6.2.4.5</w:t>
          </w:r>
          <w:r>
            <w:rPr>
              <w:rFonts w:cs="Calibri" w:ascii="Calibri" w:hAnsi="Calibri"/>
              <w:sz w:val="22"/>
              <w:szCs w:val="22"/>
            </w:rPr>
            <w:tab/>
          </w:r>
          <w:r>
            <w:rPr/>
            <w:t>Test requirements</w:t>
            <w:tab/>
          </w:r>
          <w:hyperlink w:anchor="__RefHeading___Toc68601110">
            <w:r>
              <w:rPr>
                <w:rStyle w:val="IndexLink"/>
              </w:rPr>
              <w:t>85</w:t>
            </w:r>
          </w:hyperlink>
        </w:p>
        <w:p>
          <w:pPr>
            <w:pStyle w:val="Contents2"/>
            <w:rPr>
              <w:rFonts w:ascii="Calibri" w:hAnsi="Calibri" w:cs="Calibri"/>
              <w:sz w:val="22"/>
              <w:szCs w:val="22"/>
            </w:rPr>
          </w:pPr>
          <w:r>
            <w:rPr/>
            <w:t>6.3</w:t>
          </w:r>
          <w:r>
            <w:rPr>
              <w:rFonts w:cs="Calibri" w:ascii="Calibri" w:hAnsi="Calibri"/>
              <w:sz w:val="22"/>
              <w:szCs w:val="22"/>
            </w:rPr>
            <w:tab/>
          </w:r>
          <w:r>
            <w:rPr/>
            <w:t>Performance for LEE</w:t>
            <w:tab/>
          </w:r>
          <w:hyperlink w:anchor="__RefHeading___Toc68601111">
            <w:r>
              <w:rPr>
                <w:rStyle w:val="IndexLink"/>
              </w:rPr>
              <w:t>85</w:t>
            </w:r>
          </w:hyperlink>
        </w:p>
        <w:p>
          <w:pPr>
            <w:pStyle w:val="Contents3"/>
            <w:rPr>
              <w:rFonts w:ascii="Calibri" w:hAnsi="Calibri" w:cs="Calibri"/>
              <w:sz w:val="22"/>
              <w:szCs w:val="22"/>
            </w:rPr>
          </w:pPr>
          <w:r>
            <w:rPr/>
            <w:t>6.</w:t>
          </w:r>
          <w:r>
            <w:rPr>
              <w:lang w:val="en-US" w:eastAsia="en-US"/>
            </w:rPr>
            <w:t>3</w:t>
          </w:r>
          <w:r>
            <w:rPr/>
            <w:t>.1</w:t>
          </w:r>
          <w:r>
            <w:rPr>
              <w:rFonts w:cs="Calibri" w:ascii="Calibri" w:hAnsi="Calibri"/>
              <w:sz w:val="22"/>
              <w:szCs w:val="22"/>
            </w:rPr>
            <w:tab/>
          </w:r>
          <w:r>
            <w:rPr>
              <w:rFonts w:cs="Arial"/>
              <w:color w:val="000000"/>
            </w:rPr>
            <w:t>Total Radiated Power (TRP) for</w:t>
          </w:r>
          <w:r>
            <w:rPr/>
            <w:t xml:space="preserve"> UTRA FDD LEE</w:t>
            <w:tab/>
          </w:r>
          <w:hyperlink w:anchor="__RefHeading___Toc68601112">
            <w:r>
              <w:rPr>
                <w:rStyle w:val="IndexLink"/>
              </w:rPr>
              <w:t>85</w:t>
            </w:r>
          </w:hyperlink>
        </w:p>
        <w:p>
          <w:pPr>
            <w:pStyle w:val="Contents4"/>
            <w:rPr>
              <w:rFonts w:ascii="Calibri" w:hAnsi="Calibri" w:cs="Calibri"/>
              <w:sz w:val="22"/>
              <w:szCs w:val="22"/>
            </w:rPr>
          </w:pPr>
          <w:r>
            <w:rPr/>
            <w:t>6.3.1.1</w:t>
          </w:r>
          <w:r>
            <w:rPr>
              <w:rFonts w:cs="Calibri" w:ascii="Calibri" w:hAnsi="Calibri"/>
              <w:sz w:val="22"/>
              <w:szCs w:val="22"/>
            </w:rPr>
            <w:tab/>
          </w:r>
          <w:r>
            <w:rPr/>
            <w:t>Definition and applicability</w:t>
            <w:tab/>
          </w:r>
          <w:hyperlink w:anchor="__RefHeading___Toc68601113">
            <w:r>
              <w:rPr>
                <w:rStyle w:val="IndexLink"/>
              </w:rPr>
              <w:t>86</w:t>
            </w:r>
          </w:hyperlink>
        </w:p>
        <w:p>
          <w:pPr>
            <w:pStyle w:val="Contents4"/>
            <w:rPr>
              <w:rFonts w:ascii="Calibri" w:hAnsi="Calibri" w:cs="Calibri"/>
              <w:sz w:val="22"/>
              <w:szCs w:val="22"/>
            </w:rPr>
          </w:pPr>
          <w:r>
            <w:rPr/>
            <w:t>6.3.1.2</w:t>
          </w:r>
          <w:r>
            <w:rPr>
              <w:rFonts w:cs="Calibri" w:ascii="Calibri" w:hAnsi="Calibri"/>
              <w:sz w:val="22"/>
              <w:szCs w:val="22"/>
            </w:rPr>
            <w:tab/>
          </w:r>
          <w:r>
            <w:rPr/>
            <w:t>Minimum Requirements</w:t>
            <w:tab/>
          </w:r>
          <w:hyperlink w:anchor="__RefHeading___Toc68601114">
            <w:r>
              <w:rPr>
                <w:rStyle w:val="IndexLink"/>
              </w:rPr>
              <w:t>86</w:t>
            </w:r>
          </w:hyperlink>
        </w:p>
        <w:p>
          <w:pPr>
            <w:pStyle w:val="Contents4"/>
            <w:rPr>
              <w:rFonts w:ascii="Calibri" w:hAnsi="Calibri" w:cs="Calibri"/>
              <w:sz w:val="22"/>
              <w:szCs w:val="22"/>
            </w:rPr>
          </w:pPr>
          <w:r>
            <w:rPr/>
            <w:t>6.3.1.3</w:t>
          </w:r>
          <w:r>
            <w:rPr>
              <w:rFonts w:cs="Calibri" w:ascii="Calibri" w:hAnsi="Calibri"/>
              <w:sz w:val="22"/>
              <w:szCs w:val="22"/>
            </w:rPr>
            <w:tab/>
          </w:r>
          <w:r>
            <w:rPr/>
            <w:t>Test purpose</w:t>
            <w:tab/>
          </w:r>
          <w:hyperlink w:anchor="__RefHeading___Toc68601115">
            <w:r>
              <w:rPr>
                <w:rStyle w:val="IndexLink"/>
              </w:rPr>
              <w:t>87</w:t>
            </w:r>
          </w:hyperlink>
        </w:p>
        <w:p>
          <w:pPr>
            <w:pStyle w:val="Contents4"/>
            <w:rPr>
              <w:rFonts w:ascii="Calibri" w:hAnsi="Calibri" w:cs="Calibri"/>
              <w:sz w:val="22"/>
              <w:szCs w:val="22"/>
            </w:rPr>
          </w:pPr>
          <w:r>
            <w:rPr/>
            <w:t>6.3.1.4</w:t>
          </w:r>
          <w:r>
            <w:rPr>
              <w:rFonts w:cs="Calibri" w:ascii="Calibri" w:hAnsi="Calibri"/>
              <w:sz w:val="22"/>
              <w:szCs w:val="22"/>
            </w:rPr>
            <w:tab/>
          </w:r>
          <w:r>
            <w:rPr/>
            <w:t>Method of test</w:t>
            <w:tab/>
          </w:r>
          <w:hyperlink w:anchor="__RefHeading___Toc68601116">
            <w:r>
              <w:rPr>
                <w:rStyle w:val="IndexLink"/>
              </w:rPr>
              <w:t>88</w:t>
            </w:r>
          </w:hyperlink>
        </w:p>
        <w:p>
          <w:pPr>
            <w:pStyle w:val="Contents4"/>
            <w:rPr>
              <w:rFonts w:ascii="Calibri" w:hAnsi="Calibri" w:cs="Calibri"/>
              <w:sz w:val="22"/>
              <w:szCs w:val="22"/>
            </w:rPr>
          </w:pPr>
          <w:r>
            <w:rPr/>
            <w:t>6.3.1.4.1</w:t>
          </w:r>
          <w:r>
            <w:rPr>
              <w:rFonts w:cs="Calibri" w:ascii="Calibri" w:hAnsi="Calibri"/>
              <w:sz w:val="22"/>
              <w:szCs w:val="22"/>
            </w:rPr>
            <w:tab/>
          </w:r>
          <w:r>
            <w:rPr/>
            <w:t>Initial conditions</w:t>
            <w:tab/>
          </w:r>
          <w:hyperlink w:anchor="__RefHeading___Toc68601117">
            <w:r>
              <w:rPr>
                <w:rStyle w:val="IndexLink"/>
              </w:rPr>
              <w:t>88</w:t>
            </w:r>
          </w:hyperlink>
        </w:p>
        <w:p>
          <w:pPr>
            <w:pStyle w:val="Contents4"/>
            <w:rPr>
              <w:rFonts w:ascii="Calibri" w:hAnsi="Calibri" w:cs="Calibri"/>
              <w:sz w:val="22"/>
              <w:szCs w:val="22"/>
            </w:rPr>
          </w:pPr>
          <w:r>
            <w:rPr/>
            <w:t>6.3.1.4.2</w:t>
          </w:r>
          <w:r>
            <w:rPr>
              <w:rFonts w:cs="Calibri" w:ascii="Calibri" w:hAnsi="Calibri"/>
              <w:sz w:val="22"/>
              <w:szCs w:val="22"/>
            </w:rPr>
            <w:tab/>
          </w:r>
          <w:r>
            <w:rPr/>
            <w:t>Procedure</w:t>
            <w:tab/>
          </w:r>
          <w:hyperlink w:anchor="__RefHeading___Toc68601118">
            <w:r>
              <w:rPr>
                <w:rStyle w:val="IndexLink"/>
              </w:rPr>
              <w:t>88</w:t>
            </w:r>
          </w:hyperlink>
        </w:p>
        <w:p>
          <w:pPr>
            <w:pStyle w:val="Contents4"/>
            <w:rPr>
              <w:rFonts w:ascii="Calibri" w:hAnsi="Calibri" w:cs="Calibri"/>
              <w:sz w:val="22"/>
              <w:szCs w:val="22"/>
            </w:rPr>
          </w:pPr>
          <w:r>
            <w:rPr/>
            <w:t>6.3.1.4.3</w:t>
          </w:r>
          <w:r>
            <w:rPr>
              <w:rFonts w:cs="Calibri" w:ascii="Calibri" w:hAnsi="Calibri"/>
              <w:sz w:val="22"/>
              <w:szCs w:val="22"/>
            </w:rPr>
            <w:tab/>
          </w:r>
          <w:r>
            <w:rPr/>
            <w:t>Procedure, reverberation chamber method</w:t>
            <w:tab/>
          </w:r>
          <w:hyperlink w:anchor="__RefHeading___Toc68601119">
            <w:r>
              <w:rPr>
                <w:rStyle w:val="IndexLink"/>
              </w:rPr>
              <w:t>89</w:t>
            </w:r>
          </w:hyperlink>
        </w:p>
        <w:p>
          <w:pPr>
            <w:pStyle w:val="Contents4"/>
            <w:rPr>
              <w:rFonts w:ascii="Calibri" w:hAnsi="Calibri" w:cs="Calibri"/>
              <w:sz w:val="22"/>
              <w:szCs w:val="22"/>
            </w:rPr>
          </w:pPr>
          <w:r>
            <w:rPr/>
            <w:t>6.3.1.5</w:t>
          </w:r>
          <w:r>
            <w:rPr>
              <w:rFonts w:cs="Calibri" w:ascii="Calibri" w:hAnsi="Calibri"/>
              <w:sz w:val="22"/>
              <w:szCs w:val="22"/>
            </w:rPr>
            <w:tab/>
          </w:r>
          <w:r>
            <w:rPr/>
            <w:t>Test requirements</w:t>
            <w:tab/>
          </w:r>
          <w:hyperlink w:anchor="__RefHeading___Toc68601120">
            <w:r>
              <w:rPr>
                <w:rStyle w:val="IndexLink"/>
              </w:rPr>
              <w:t>89</w:t>
            </w:r>
          </w:hyperlink>
        </w:p>
        <w:p>
          <w:pPr>
            <w:pStyle w:val="Contents3"/>
            <w:rPr>
              <w:rFonts w:ascii="Calibri" w:hAnsi="Calibri" w:cs="Calibri"/>
              <w:sz w:val="22"/>
              <w:szCs w:val="22"/>
            </w:rPr>
          </w:pPr>
          <w:r>
            <w:rPr/>
            <w:t>6.</w:t>
          </w:r>
          <w:r>
            <w:rPr>
              <w:lang w:val="en-US" w:eastAsia="en-US"/>
            </w:rPr>
            <w:t>3</w:t>
          </w:r>
          <w:r>
            <w:rPr/>
            <w:t>.2</w:t>
          </w:r>
          <w:r>
            <w:rPr>
              <w:rFonts w:cs="Calibri" w:ascii="Calibri" w:hAnsi="Calibri"/>
              <w:sz w:val="22"/>
              <w:szCs w:val="22"/>
            </w:rPr>
            <w:tab/>
          </w:r>
          <w:r>
            <w:rPr>
              <w:rFonts w:cs="Arial"/>
              <w:color w:val="000000"/>
            </w:rPr>
            <w:t>Total Radiated Power (TRP) for</w:t>
          </w:r>
          <w:r>
            <w:rPr/>
            <w:t xml:space="preserve"> UTRA LCR TDD LEE</w:t>
            <w:tab/>
          </w:r>
          <w:hyperlink w:anchor="__RefHeading___Toc68601121">
            <w:r>
              <w:rPr>
                <w:rStyle w:val="IndexLink"/>
              </w:rPr>
              <w:t>91</w:t>
            </w:r>
          </w:hyperlink>
        </w:p>
        <w:p>
          <w:pPr>
            <w:pStyle w:val="Contents4"/>
            <w:rPr>
              <w:rFonts w:ascii="Calibri" w:hAnsi="Calibri" w:cs="Calibri"/>
              <w:sz w:val="22"/>
              <w:szCs w:val="22"/>
            </w:rPr>
          </w:pPr>
          <w:r>
            <w:rPr/>
            <w:t>6.3.2.1</w:t>
          </w:r>
          <w:r>
            <w:rPr>
              <w:rFonts w:cs="Calibri" w:ascii="Calibri" w:hAnsi="Calibri"/>
              <w:sz w:val="22"/>
              <w:szCs w:val="22"/>
            </w:rPr>
            <w:tab/>
          </w:r>
          <w:r>
            <w:rPr/>
            <w:t>Definition and applicability</w:t>
            <w:tab/>
          </w:r>
          <w:hyperlink w:anchor="__RefHeading___Toc68601122">
            <w:r>
              <w:rPr>
                <w:rStyle w:val="IndexLink"/>
              </w:rPr>
              <w:t>91</w:t>
            </w:r>
          </w:hyperlink>
        </w:p>
        <w:p>
          <w:pPr>
            <w:pStyle w:val="Contents4"/>
            <w:rPr>
              <w:rFonts w:ascii="Calibri" w:hAnsi="Calibri" w:cs="Calibri"/>
              <w:sz w:val="22"/>
              <w:szCs w:val="22"/>
            </w:rPr>
          </w:pPr>
          <w:r>
            <w:rPr/>
            <w:t>6.3.2.2</w:t>
          </w:r>
          <w:r>
            <w:rPr>
              <w:rFonts w:cs="Calibri" w:ascii="Calibri" w:hAnsi="Calibri"/>
              <w:sz w:val="22"/>
              <w:szCs w:val="22"/>
            </w:rPr>
            <w:tab/>
          </w:r>
          <w:r>
            <w:rPr/>
            <w:t>Minimum Requirements</w:t>
            <w:tab/>
          </w:r>
          <w:hyperlink w:anchor="__RefHeading___Toc68601123">
            <w:r>
              <w:rPr>
                <w:rStyle w:val="IndexLink"/>
              </w:rPr>
              <w:t>92</w:t>
            </w:r>
          </w:hyperlink>
        </w:p>
        <w:p>
          <w:pPr>
            <w:pStyle w:val="Contents4"/>
            <w:rPr>
              <w:rFonts w:ascii="Calibri" w:hAnsi="Calibri" w:cs="Calibri"/>
              <w:sz w:val="22"/>
              <w:szCs w:val="22"/>
            </w:rPr>
          </w:pPr>
          <w:r>
            <w:rPr/>
            <w:t>6.3.2.3</w:t>
          </w:r>
          <w:r>
            <w:rPr>
              <w:rFonts w:cs="Calibri" w:ascii="Calibri" w:hAnsi="Calibri"/>
              <w:sz w:val="22"/>
              <w:szCs w:val="22"/>
            </w:rPr>
            <w:tab/>
          </w:r>
          <w:r>
            <w:rPr/>
            <w:t>Test purpose</w:t>
            <w:tab/>
          </w:r>
          <w:hyperlink w:anchor="__RefHeading___Toc68601124">
            <w:r>
              <w:rPr>
                <w:rStyle w:val="IndexLink"/>
              </w:rPr>
              <w:t>92</w:t>
            </w:r>
          </w:hyperlink>
        </w:p>
        <w:p>
          <w:pPr>
            <w:pStyle w:val="Contents4"/>
            <w:rPr>
              <w:rFonts w:ascii="Calibri" w:hAnsi="Calibri" w:cs="Calibri"/>
              <w:sz w:val="22"/>
              <w:szCs w:val="22"/>
            </w:rPr>
          </w:pPr>
          <w:r>
            <w:rPr/>
            <w:t>6.3.2.4</w:t>
          </w:r>
          <w:r>
            <w:rPr>
              <w:rFonts w:cs="Calibri" w:ascii="Calibri" w:hAnsi="Calibri"/>
              <w:sz w:val="22"/>
              <w:szCs w:val="22"/>
            </w:rPr>
            <w:tab/>
          </w:r>
          <w:r>
            <w:rPr/>
            <w:t>Method of test</w:t>
            <w:tab/>
          </w:r>
          <w:hyperlink w:anchor="__RefHeading___Toc68601125">
            <w:r>
              <w:rPr>
                <w:rStyle w:val="IndexLink"/>
              </w:rPr>
              <w:t>93</w:t>
            </w:r>
          </w:hyperlink>
        </w:p>
        <w:p>
          <w:pPr>
            <w:pStyle w:val="Contents4"/>
            <w:rPr>
              <w:rFonts w:ascii="Calibri" w:hAnsi="Calibri" w:cs="Calibri"/>
              <w:sz w:val="22"/>
              <w:szCs w:val="22"/>
            </w:rPr>
          </w:pPr>
          <w:r>
            <w:rPr/>
            <w:t>6.3.2.4.1</w:t>
          </w:r>
          <w:r>
            <w:rPr>
              <w:rFonts w:cs="Calibri" w:ascii="Calibri" w:hAnsi="Calibri"/>
              <w:sz w:val="22"/>
              <w:szCs w:val="22"/>
            </w:rPr>
            <w:tab/>
          </w:r>
          <w:r>
            <w:rPr/>
            <w:t>Initial conditions</w:t>
            <w:tab/>
          </w:r>
          <w:hyperlink w:anchor="__RefHeading___Toc68601126">
            <w:r>
              <w:rPr>
                <w:rStyle w:val="IndexLink"/>
              </w:rPr>
              <w:t>93</w:t>
            </w:r>
          </w:hyperlink>
        </w:p>
        <w:p>
          <w:pPr>
            <w:pStyle w:val="Contents4"/>
            <w:rPr>
              <w:rFonts w:ascii="Calibri" w:hAnsi="Calibri" w:cs="Calibri"/>
              <w:sz w:val="22"/>
              <w:szCs w:val="22"/>
            </w:rPr>
          </w:pPr>
          <w:r>
            <w:rPr/>
            <w:t>6.3.2.4.2</w:t>
          </w:r>
          <w:r>
            <w:rPr>
              <w:rFonts w:cs="Calibri" w:ascii="Calibri" w:hAnsi="Calibri"/>
              <w:sz w:val="22"/>
              <w:szCs w:val="22"/>
            </w:rPr>
            <w:tab/>
          </w:r>
          <w:r>
            <w:rPr/>
            <w:t>Procedure</w:t>
            <w:tab/>
          </w:r>
          <w:hyperlink w:anchor="__RefHeading___Toc68601127">
            <w:r>
              <w:rPr>
                <w:rStyle w:val="IndexLink"/>
              </w:rPr>
              <w:t>93</w:t>
            </w:r>
          </w:hyperlink>
        </w:p>
        <w:p>
          <w:pPr>
            <w:pStyle w:val="Contents4"/>
            <w:rPr>
              <w:rFonts w:ascii="Calibri" w:hAnsi="Calibri" w:cs="Calibri"/>
              <w:sz w:val="22"/>
              <w:szCs w:val="22"/>
            </w:rPr>
          </w:pPr>
          <w:r>
            <w:rPr/>
            <w:t>6.3.2.4.3</w:t>
          </w:r>
          <w:r>
            <w:rPr>
              <w:rFonts w:cs="Calibri" w:ascii="Calibri" w:hAnsi="Calibri"/>
              <w:sz w:val="22"/>
              <w:szCs w:val="22"/>
            </w:rPr>
            <w:tab/>
          </w:r>
          <w:r>
            <w:rPr/>
            <w:t>Procedure, reverberation chamber method</w:t>
            <w:tab/>
          </w:r>
          <w:hyperlink w:anchor="__RefHeading___Toc68601128">
            <w:r>
              <w:rPr>
                <w:rStyle w:val="IndexLink"/>
              </w:rPr>
              <w:t>94</w:t>
            </w:r>
          </w:hyperlink>
        </w:p>
        <w:p>
          <w:pPr>
            <w:pStyle w:val="Contents4"/>
            <w:rPr>
              <w:rFonts w:ascii="Calibri" w:hAnsi="Calibri" w:cs="Calibri"/>
              <w:sz w:val="22"/>
              <w:szCs w:val="22"/>
            </w:rPr>
          </w:pPr>
          <w:r>
            <w:rPr/>
            <w:t>6.3.2.5</w:t>
          </w:r>
          <w:r>
            <w:rPr>
              <w:rFonts w:cs="Calibri" w:ascii="Calibri" w:hAnsi="Calibri"/>
              <w:sz w:val="22"/>
              <w:szCs w:val="22"/>
            </w:rPr>
            <w:tab/>
          </w:r>
          <w:r>
            <w:rPr/>
            <w:t>Test requirements</w:t>
            <w:tab/>
          </w:r>
          <w:hyperlink w:anchor="__RefHeading___Toc68601129">
            <w:r>
              <w:rPr>
                <w:rStyle w:val="IndexLink"/>
              </w:rPr>
              <w:t>94</w:t>
            </w:r>
          </w:hyperlink>
        </w:p>
        <w:p>
          <w:pPr>
            <w:pStyle w:val="Contents3"/>
            <w:rPr>
              <w:rFonts w:ascii="Calibri" w:hAnsi="Calibri" w:cs="Calibri"/>
              <w:sz w:val="22"/>
              <w:szCs w:val="22"/>
            </w:rPr>
          </w:pPr>
          <w:r>
            <w:rPr/>
            <w:t>6.</w:t>
          </w:r>
          <w:r>
            <w:rPr>
              <w:lang w:val="en-US" w:eastAsia="en-US"/>
            </w:rPr>
            <w:t>3</w:t>
          </w:r>
          <w:r>
            <w:rPr/>
            <w:t>.3</w:t>
          </w:r>
          <w:r>
            <w:rPr>
              <w:rFonts w:cs="Calibri" w:ascii="Calibri" w:hAnsi="Calibri"/>
              <w:sz w:val="22"/>
              <w:szCs w:val="22"/>
            </w:rPr>
            <w:tab/>
          </w:r>
          <w:r>
            <w:rPr/>
            <w:t>Total Radiated Power (TRP) for E-UTRA FDD LEE</w:t>
            <w:tab/>
          </w:r>
          <w:hyperlink w:anchor="__RefHeading___Toc68601130">
            <w:r>
              <w:rPr>
                <w:rStyle w:val="IndexLink"/>
              </w:rPr>
              <w:t>95</w:t>
            </w:r>
          </w:hyperlink>
        </w:p>
        <w:p>
          <w:pPr>
            <w:pStyle w:val="Contents4"/>
            <w:rPr>
              <w:rFonts w:ascii="Calibri" w:hAnsi="Calibri" w:cs="Calibri"/>
              <w:sz w:val="22"/>
              <w:szCs w:val="22"/>
            </w:rPr>
          </w:pPr>
          <w:r>
            <w:rPr/>
            <w:t>6.3.3.1</w:t>
          </w:r>
          <w:r>
            <w:rPr>
              <w:rFonts w:cs="Calibri" w:ascii="Calibri" w:hAnsi="Calibri"/>
              <w:sz w:val="22"/>
              <w:szCs w:val="22"/>
            </w:rPr>
            <w:tab/>
          </w:r>
          <w:r>
            <w:rPr/>
            <w:t>Definition and applicability</w:t>
            <w:tab/>
          </w:r>
          <w:hyperlink w:anchor="__RefHeading___Toc68601131">
            <w:r>
              <w:rPr>
                <w:rStyle w:val="IndexLink"/>
              </w:rPr>
              <w:t>96</w:t>
            </w:r>
          </w:hyperlink>
        </w:p>
        <w:p>
          <w:pPr>
            <w:pStyle w:val="Contents4"/>
            <w:rPr>
              <w:rFonts w:ascii="Calibri" w:hAnsi="Calibri" w:cs="Calibri"/>
              <w:sz w:val="22"/>
              <w:szCs w:val="22"/>
            </w:rPr>
          </w:pPr>
          <w:r>
            <w:rPr/>
            <w:t>6.3.3.2</w:t>
          </w:r>
          <w:r>
            <w:rPr>
              <w:rFonts w:cs="Calibri" w:ascii="Calibri" w:hAnsi="Calibri"/>
              <w:sz w:val="22"/>
              <w:szCs w:val="22"/>
            </w:rPr>
            <w:tab/>
          </w:r>
          <w:r>
            <w:rPr/>
            <w:t>Minimum Requirements</w:t>
            <w:tab/>
          </w:r>
          <w:hyperlink w:anchor="__RefHeading___Toc68601132">
            <w:r>
              <w:rPr>
                <w:rStyle w:val="IndexLink"/>
              </w:rPr>
              <w:t>97</w:t>
            </w:r>
          </w:hyperlink>
        </w:p>
        <w:p>
          <w:pPr>
            <w:pStyle w:val="Contents4"/>
            <w:rPr>
              <w:rFonts w:ascii="Calibri" w:hAnsi="Calibri" w:cs="Calibri"/>
              <w:sz w:val="22"/>
              <w:szCs w:val="22"/>
            </w:rPr>
          </w:pPr>
          <w:r>
            <w:rPr/>
            <w:t>6.3.3.3</w:t>
          </w:r>
          <w:r>
            <w:rPr>
              <w:rFonts w:cs="Calibri" w:ascii="Calibri" w:hAnsi="Calibri"/>
              <w:sz w:val="22"/>
              <w:szCs w:val="22"/>
            </w:rPr>
            <w:tab/>
          </w:r>
          <w:r>
            <w:rPr/>
            <w:t>Test purpose</w:t>
            <w:tab/>
          </w:r>
          <w:hyperlink w:anchor="__RefHeading___Toc68601133">
            <w:r>
              <w:rPr>
                <w:rStyle w:val="IndexLink"/>
              </w:rPr>
              <w:t>98</w:t>
            </w:r>
          </w:hyperlink>
        </w:p>
        <w:p>
          <w:pPr>
            <w:pStyle w:val="Contents4"/>
            <w:rPr>
              <w:rFonts w:ascii="Calibri" w:hAnsi="Calibri" w:cs="Calibri"/>
              <w:sz w:val="22"/>
              <w:szCs w:val="22"/>
            </w:rPr>
          </w:pPr>
          <w:r>
            <w:rPr/>
            <w:t>6.3.3.4</w:t>
          </w:r>
          <w:r>
            <w:rPr>
              <w:rFonts w:cs="Calibri" w:ascii="Calibri" w:hAnsi="Calibri"/>
              <w:sz w:val="22"/>
              <w:szCs w:val="22"/>
            </w:rPr>
            <w:tab/>
          </w:r>
          <w:r>
            <w:rPr/>
            <w:t>Method of test</w:t>
            <w:tab/>
          </w:r>
          <w:hyperlink w:anchor="__RefHeading___Toc68601134">
            <w:r>
              <w:rPr>
                <w:rStyle w:val="IndexLink"/>
              </w:rPr>
              <w:t>98</w:t>
            </w:r>
          </w:hyperlink>
        </w:p>
        <w:p>
          <w:pPr>
            <w:pStyle w:val="Contents5"/>
            <w:rPr>
              <w:rFonts w:ascii="Calibri" w:hAnsi="Calibri" w:cs="Calibri"/>
              <w:sz w:val="22"/>
              <w:szCs w:val="22"/>
            </w:rPr>
          </w:pPr>
          <w:r>
            <w:rPr/>
            <w:t>6.3.3.4.1</w:t>
          </w:r>
          <w:r>
            <w:rPr>
              <w:rFonts w:cs="Calibri" w:ascii="Calibri" w:hAnsi="Calibri"/>
              <w:sz w:val="22"/>
              <w:szCs w:val="22"/>
            </w:rPr>
            <w:tab/>
          </w:r>
          <w:r>
            <w:rPr/>
            <w:t>Initial conditions</w:t>
            <w:tab/>
          </w:r>
          <w:hyperlink w:anchor="__RefHeading___Toc68601135">
            <w:r>
              <w:rPr>
                <w:rStyle w:val="IndexLink"/>
              </w:rPr>
              <w:t>98</w:t>
            </w:r>
          </w:hyperlink>
        </w:p>
        <w:p>
          <w:pPr>
            <w:pStyle w:val="Contents5"/>
            <w:rPr>
              <w:rFonts w:ascii="Calibri" w:hAnsi="Calibri" w:cs="Calibri"/>
              <w:sz w:val="22"/>
              <w:szCs w:val="22"/>
            </w:rPr>
          </w:pPr>
          <w:r>
            <w:rPr/>
            <w:t>6.3.3.4.2</w:t>
          </w:r>
          <w:r>
            <w:rPr>
              <w:rFonts w:cs="Calibri" w:ascii="Calibri" w:hAnsi="Calibri"/>
              <w:sz w:val="22"/>
              <w:szCs w:val="22"/>
            </w:rPr>
            <w:tab/>
          </w:r>
          <w:r>
            <w:rPr/>
            <w:t>Procedure</w:t>
            <w:tab/>
          </w:r>
          <w:hyperlink w:anchor="__RefHeading___Toc68601136">
            <w:r>
              <w:rPr>
                <w:rStyle w:val="IndexLink"/>
              </w:rPr>
              <w:t>99</w:t>
            </w:r>
          </w:hyperlink>
        </w:p>
        <w:p>
          <w:pPr>
            <w:pStyle w:val="Contents5"/>
            <w:rPr>
              <w:rFonts w:ascii="Calibri" w:hAnsi="Calibri" w:cs="Calibri"/>
              <w:sz w:val="22"/>
              <w:szCs w:val="22"/>
            </w:rPr>
          </w:pPr>
          <w:r>
            <w:rPr/>
            <w:t>6.3.3.4.3</w:t>
          </w:r>
          <w:r>
            <w:rPr>
              <w:rFonts w:cs="Calibri" w:ascii="Calibri" w:hAnsi="Calibri"/>
              <w:sz w:val="22"/>
              <w:szCs w:val="22"/>
            </w:rPr>
            <w:tab/>
          </w:r>
          <w:r>
            <w:rPr/>
            <w:t>Procedure, reverberation chamber method</w:t>
            <w:tab/>
          </w:r>
          <w:hyperlink w:anchor="__RefHeading___Toc68601137">
            <w:r>
              <w:rPr>
                <w:rStyle w:val="IndexLink"/>
              </w:rPr>
              <w:t>99</w:t>
            </w:r>
          </w:hyperlink>
        </w:p>
        <w:p>
          <w:pPr>
            <w:pStyle w:val="Contents4"/>
            <w:rPr>
              <w:rFonts w:ascii="Calibri" w:hAnsi="Calibri" w:cs="Calibri"/>
              <w:sz w:val="22"/>
              <w:szCs w:val="22"/>
            </w:rPr>
          </w:pPr>
          <w:r>
            <w:rPr/>
            <w:t>6.3.3.5</w:t>
          </w:r>
          <w:r>
            <w:rPr>
              <w:rFonts w:cs="Calibri" w:ascii="Calibri" w:hAnsi="Calibri"/>
              <w:sz w:val="22"/>
              <w:szCs w:val="22"/>
            </w:rPr>
            <w:tab/>
          </w:r>
          <w:r>
            <w:rPr/>
            <w:t>Test requirements</w:t>
            <w:tab/>
          </w:r>
          <w:hyperlink w:anchor="__RefHeading___Toc68601138">
            <w:r>
              <w:rPr>
                <w:rStyle w:val="IndexLink"/>
              </w:rPr>
              <w:t>99</w:t>
            </w:r>
          </w:hyperlink>
        </w:p>
        <w:p>
          <w:pPr>
            <w:pStyle w:val="Contents3"/>
            <w:rPr>
              <w:rFonts w:ascii="Calibri" w:hAnsi="Calibri" w:cs="Calibri"/>
              <w:sz w:val="22"/>
              <w:szCs w:val="22"/>
            </w:rPr>
          </w:pPr>
          <w:r>
            <w:rPr/>
            <w:t>6.</w:t>
          </w:r>
          <w:r>
            <w:rPr>
              <w:lang w:val="en-US" w:eastAsia="en-US"/>
            </w:rPr>
            <w:t>3</w:t>
          </w:r>
          <w:r>
            <w:rPr/>
            <w:t>.4</w:t>
          </w:r>
          <w:r>
            <w:rPr>
              <w:rFonts w:cs="Calibri" w:ascii="Calibri" w:hAnsi="Calibri"/>
              <w:sz w:val="22"/>
              <w:szCs w:val="22"/>
            </w:rPr>
            <w:tab/>
          </w:r>
          <w:r>
            <w:rPr>
              <w:rFonts w:cs="Arial"/>
              <w:color w:val="000000"/>
            </w:rPr>
            <w:t>Total Radiated Power (TRP) for</w:t>
          </w:r>
          <w:r>
            <w:rPr/>
            <w:t xml:space="preserve"> E-UTRA TDD LEE</w:t>
            <w:tab/>
          </w:r>
          <w:hyperlink w:anchor="__RefHeading___Toc68601139">
            <w:r>
              <w:rPr>
                <w:rStyle w:val="IndexLink"/>
              </w:rPr>
              <w:t>100</w:t>
            </w:r>
          </w:hyperlink>
        </w:p>
        <w:p>
          <w:pPr>
            <w:pStyle w:val="Contents4"/>
            <w:rPr>
              <w:rFonts w:ascii="Calibri" w:hAnsi="Calibri" w:cs="Calibri"/>
              <w:sz w:val="22"/>
              <w:szCs w:val="22"/>
            </w:rPr>
          </w:pPr>
          <w:r>
            <w:rPr/>
            <w:t>6.3.4.1</w:t>
          </w:r>
          <w:r>
            <w:rPr>
              <w:rFonts w:cs="Calibri" w:ascii="Calibri" w:hAnsi="Calibri"/>
              <w:sz w:val="22"/>
              <w:szCs w:val="22"/>
            </w:rPr>
            <w:tab/>
          </w:r>
          <w:r>
            <w:rPr/>
            <w:t>Definition and applicability</w:t>
            <w:tab/>
          </w:r>
          <w:hyperlink w:anchor="__RefHeading___Toc68601140">
            <w:r>
              <w:rPr>
                <w:rStyle w:val="IndexLink"/>
              </w:rPr>
              <w:t>100</w:t>
            </w:r>
          </w:hyperlink>
        </w:p>
        <w:p>
          <w:pPr>
            <w:pStyle w:val="Contents4"/>
            <w:rPr>
              <w:rFonts w:ascii="Calibri" w:hAnsi="Calibri" w:cs="Calibri"/>
              <w:sz w:val="22"/>
              <w:szCs w:val="22"/>
            </w:rPr>
          </w:pPr>
          <w:r>
            <w:rPr/>
            <w:t>6.3.4.2</w:t>
          </w:r>
          <w:r>
            <w:rPr>
              <w:rFonts w:cs="Calibri" w:ascii="Calibri" w:hAnsi="Calibri"/>
              <w:sz w:val="22"/>
              <w:szCs w:val="22"/>
            </w:rPr>
            <w:tab/>
          </w:r>
          <w:r>
            <w:rPr/>
            <w:t>Minimum Requirements</w:t>
            <w:tab/>
          </w:r>
          <w:hyperlink w:anchor="__RefHeading___Toc68601141">
            <w:r>
              <w:rPr>
                <w:rStyle w:val="IndexLink"/>
              </w:rPr>
              <w:t>101</w:t>
            </w:r>
          </w:hyperlink>
        </w:p>
        <w:p>
          <w:pPr>
            <w:pStyle w:val="Contents4"/>
            <w:rPr>
              <w:rFonts w:ascii="Calibri" w:hAnsi="Calibri" w:cs="Calibri"/>
              <w:sz w:val="22"/>
              <w:szCs w:val="22"/>
            </w:rPr>
          </w:pPr>
          <w:r>
            <w:rPr/>
            <w:t>6.3.4.3</w:t>
          </w:r>
          <w:r>
            <w:rPr>
              <w:rFonts w:cs="Calibri" w:ascii="Calibri" w:hAnsi="Calibri"/>
              <w:sz w:val="22"/>
              <w:szCs w:val="22"/>
            </w:rPr>
            <w:tab/>
          </w:r>
          <w:r>
            <w:rPr/>
            <w:t>Test purpose</w:t>
            <w:tab/>
          </w:r>
          <w:hyperlink w:anchor="__RefHeading___Toc68601142">
            <w:r>
              <w:rPr>
                <w:rStyle w:val="IndexLink"/>
              </w:rPr>
              <w:t>102</w:t>
            </w:r>
          </w:hyperlink>
        </w:p>
        <w:p>
          <w:pPr>
            <w:pStyle w:val="Contents4"/>
            <w:rPr>
              <w:rFonts w:ascii="Calibri" w:hAnsi="Calibri" w:cs="Calibri"/>
              <w:sz w:val="22"/>
              <w:szCs w:val="22"/>
            </w:rPr>
          </w:pPr>
          <w:r>
            <w:rPr/>
            <w:t>6.3.4.4</w:t>
          </w:r>
          <w:r>
            <w:rPr>
              <w:rFonts w:cs="Calibri" w:ascii="Calibri" w:hAnsi="Calibri"/>
              <w:sz w:val="22"/>
              <w:szCs w:val="22"/>
            </w:rPr>
            <w:tab/>
          </w:r>
          <w:r>
            <w:rPr/>
            <w:t>Method of test</w:t>
            <w:tab/>
          </w:r>
          <w:hyperlink w:anchor="__RefHeading___Toc68601143">
            <w:r>
              <w:rPr>
                <w:rStyle w:val="IndexLink"/>
              </w:rPr>
              <w:t>102</w:t>
            </w:r>
          </w:hyperlink>
        </w:p>
        <w:p>
          <w:pPr>
            <w:pStyle w:val="Contents5"/>
            <w:rPr>
              <w:rFonts w:ascii="Calibri" w:hAnsi="Calibri" w:cs="Calibri"/>
              <w:sz w:val="22"/>
              <w:szCs w:val="22"/>
            </w:rPr>
          </w:pPr>
          <w:r>
            <w:rPr/>
            <w:t>6.3.4.4.1</w:t>
          </w:r>
          <w:r>
            <w:rPr>
              <w:rFonts w:cs="Calibri" w:ascii="Calibri" w:hAnsi="Calibri"/>
              <w:sz w:val="22"/>
              <w:szCs w:val="22"/>
            </w:rPr>
            <w:tab/>
          </w:r>
          <w:r>
            <w:rPr/>
            <w:t>Initial conditions</w:t>
            <w:tab/>
          </w:r>
          <w:hyperlink w:anchor="__RefHeading___Toc68601144">
            <w:r>
              <w:rPr>
                <w:rStyle w:val="IndexLink"/>
              </w:rPr>
              <w:t>102</w:t>
            </w:r>
          </w:hyperlink>
        </w:p>
        <w:p>
          <w:pPr>
            <w:pStyle w:val="Contents5"/>
            <w:rPr>
              <w:rFonts w:ascii="Calibri" w:hAnsi="Calibri" w:cs="Calibri"/>
              <w:sz w:val="22"/>
              <w:szCs w:val="22"/>
            </w:rPr>
          </w:pPr>
          <w:r>
            <w:rPr/>
            <w:t>6.3.4.4.2</w:t>
          </w:r>
          <w:r>
            <w:rPr>
              <w:rFonts w:cs="Calibri" w:ascii="Calibri" w:hAnsi="Calibri"/>
              <w:sz w:val="22"/>
              <w:szCs w:val="22"/>
            </w:rPr>
            <w:tab/>
          </w:r>
          <w:r>
            <w:rPr/>
            <w:t>Procedure</w:t>
            <w:tab/>
          </w:r>
          <w:hyperlink w:anchor="__RefHeading___Toc68601145">
            <w:r>
              <w:rPr>
                <w:rStyle w:val="IndexLink"/>
              </w:rPr>
              <w:t>103</w:t>
            </w:r>
          </w:hyperlink>
        </w:p>
        <w:p>
          <w:pPr>
            <w:pStyle w:val="Contents5"/>
            <w:rPr>
              <w:rFonts w:ascii="Calibri" w:hAnsi="Calibri" w:cs="Calibri"/>
              <w:sz w:val="22"/>
              <w:szCs w:val="22"/>
            </w:rPr>
          </w:pPr>
          <w:r>
            <w:rPr/>
            <w:t>6.3.4.4.3</w:t>
          </w:r>
          <w:r>
            <w:rPr>
              <w:rFonts w:cs="Calibri" w:ascii="Calibri" w:hAnsi="Calibri"/>
              <w:sz w:val="22"/>
              <w:szCs w:val="22"/>
            </w:rPr>
            <w:tab/>
          </w:r>
          <w:r>
            <w:rPr/>
            <w:t>Procedure, reverberation chamber method</w:t>
            <w:tab/>
          </w:r>
          <w:hyperlink w:anchor="__RefHeading___Toc68601146">
            <w:r>
              <w:rPr>
                <w:rStyle w:val="IndexLink"/>
              </w:rPr>
              <w:t>103</w:t>
            </w:r>
          </w:hyperlink>
        </w:p>
        <w:p>
          <w:pPr>
            <w:pStyle w:val="Contents4"/>
            <w:rPr>
              <w:rFonts w:ascii="Calibri" w:hAnsi="Calibri" w:cs="Calibri"/>
              <w:sz w:val="22"/>
              <w:szCs w:val="22"/>
            </w:rPr>
          </w:pPr>
          <w:r>
            <w:rPr/>
            <w:t>6.3.4.5</w:t>
          </w:r>
          <w:r>
            <w:rPr>
              <w:rFonts w:cs="Calibri" w:ascii="Calibri" w:hAnsi="Calibri"/>
              <w:sz w:val="22"/>
              <w:szCs w:val="22"/>
            </w:rPr>
            <w:tab/>
          </w:r>
          <w:r>
            <w:rPr/>
            <w:t>Test requirements</w:t>
            <w:tab/>
          </w:r>
          <w:hyperlink w:anchor="__RefHeading___Toc68601147">
            <w:r>
              <w:rPr>
                <w:rStyle w:val="IndexLink"/>
              </w:rPr>
              <w:t>103</w:t>
            </w:r>
          </w:hyperlink>
        </w:p>
        <w:p>
          <w:pPr>
            <w:pStyle w:val="Contents1"/>
            <w:rPr>
              <w:rFonts w:ascii="Calibri" w:hAnsi="Calibri" w:cs="Calibri"/>
              <w:szCs w:val="22"/>
            </w:rPr>
          </w:pPr>
          <w:r>
            <w:rPr/>
            <w:t>7</w:t>
          </w:r>
          <w:r>
            <w:rPr>
              <w:rFonts w:cs="Calibri" w:ascii="Calibri" w:hAnsi="Calibri"/>
              <w:szCs w:val="22"/>
            </w:rPr>
            <w:tab/>
          </w:r>
          <w:r>
            <w:rPr/>
            <w:t>Receiver Performance</w:t>
            <w:tab/>
          </w:r>
          <w:hyperlink w:anchor="__RefHeading___Toc68601148">
            <w:r>
              <w:rPr>
                <w:rStyle w:val="IndexLink"/>
              </w:rPr>
              <w:t>104</w:t>
            </w:r>
          </w:hyperlink>
        </w:p>
        <w:p>
          <w:pPr>
            <w:pStyle w:val="Contents2"/>
            <w:rPr>
              <w:rFonts w:ascii="Calibri" w:hAnsi="Calibri" w:cs="Calibri"/>
              <w:sz w:val="22"/>
              <w:szCs w:val="22"/>
            </w:rPr>
          </w:pPr>
          <w:r>
            <w:rPr/>
            <w:t>7.1</w:t>
          </w:r>
          <w:r>
            <w:rPr>
              <w:rFonts w:cs="Calibri" w:ascii="Calibri" w:hAnsi="Calibri"/>
              <w:sz w:val="22"/>
              <w:szCs w:val="22"/>
            </w:rPr>
            <w:tab/>
          </w:r>
          <w:r>
            <w:rPr/>
            <w:t>Performance for handheld UE</w:t>
            <w:tab/>
          </w:r>
          <w:hyperlink w:anchor="__RefHeading___Toc68601149">
            <w:r>
              <w:rPr>
                <w:rStyle w:val="IndexLink"/>
              </w:rPr>
              <w:t>104</w:t>
            </w:r>
          </w:hyperlink>
        </w:p>
        <w:p>
          <w:pPr>
            <w:pStyle w:val="Contents3"/>
            <w:rPr>
              <w:rFonts w:ascii="Calibri" w:hAnsi="Calibri" w:cs="Calibri"/>
              <w:sz w:val="22"/>
              <w:szCs w:val="22"/>
            </w:rPr>
          </w:pPr>
          <w:r>
            <w:rPr>
              <w:lang w:val="en-US" w:eastAsia="en-US"/>
            </w:rPr>
            <w:t>7</w:t>
          </w:r>
          <w:r>
            <w:rPr/>
            <w:t>.1.1</w:t>
          </w:r>
          <w:r>
            <w:rPr>
              <w:rFonts w:cs="Calibri" w:ascii="Calibri" w:hAnsi="Calibri"/>
              <w:sz w:val="22"/>
              <w:szCs w:val="22"/>
            </w:rPr>
            <w:tab/>
          </w:r>
          <w:r>
            <w:rPr/>
            <w:t>Total Radiated Sensitivity (TRS) for UTRA FDD in Speech Mode with beside the Head Phantom</w:t>
            <w:tab/>
          </w:r>
          <w:hyperlink w:anchor="__RefHeading___Toc68601150">
            <w:r>
              <w:rPr>
                <w:rStyle w:val="IndexLink"/>
              </w:rPr>
              <w:t>104</w:t>
            </w:r>
          </w:hyperlink>
        </w:p>
        <w:p>
          <w:pPr>
            <w:pStyle w:val="Contents4"/>
            <w:rPr>
              <w:rFonts w:ascii="Calibri" w:hAnsi="Calibri" w:cs="Calibri"/>
              <w:sz w:val="22"/>
              <w:szCs w:val="22"/>
            </w:rPr>
          </w:pPr>
          <w:r>
            <w:rPr>
              <w:lang w:val="en-US" w:eastAsia="en-US"/>
            </w:rPr>
            <w:t>7.1.1</w:t>
          </w:r>
          <w:r>
            <w:rPr/>
            <w:t>.1</w:t>
          </w:r>
          <w:r>
            <w:rPr>
              <w:rFonts w:cs="Calibri" w:ascii="Calibri" w:hAnsi="Calibri"/>
              <w:sz w:val="22"/>
              <w:szCs w:val="22"/>
            </w:rPr>
            <w:tab/>
          </w:r>
          <w:r>
            <w:rPr/>
            <w:t>Definition and applicability</w:t>
            <w:tab/>
          </w:r>
          <w:hyperlink w:anchor="__RefHeading___Toc68601151">
            <w:r>
              <w:rPr>
                <w:rStyle w:val="IndexLink"/>
              </w:rPr>
              <w:t>104</w:t>
            </w:r>
          </w:hyperlink>
        </w:p>
        <w:p>
          <w:pPr>
            <w:pStyle w:val="Contents4"/>
            <w:rPr>
              <w:rFonts w:ascii="Calibri" w:hAnsi="Calibri" w:cs="Calibri"/>
              <w:sz w:val="22"/>
              <w:szCs w:val="22"/>
            </w:rPr>
          </w:pPr>
          <w:r>
            <w:rPr>
              <w:lang w:val="en-US" w:eastAsia="en-US"/>
            </w:rPr>
            <w:t>7.1.1.2</w:t>
          </w:r>
          <w:r>
            <w:rPr>
              <w:rFonts w:cs="Calibri" w:ascii="Calibri" w:hAnsi="Calibri"/>
              <w:sz w:val="22"/>
              <w:szCs w:val="22"/>
            </w:rPr>
            <w:tab/>
          </w:r>
          <w:r>
            <w:rPr>
              <w:lang w:val="en-US" w:eastAsia="en-US"/>
            </w:rPr>
            <w:t>Minimum requirements</w:t>
          </w:r>
          <w:r>
            <w:rPr/>
            <w:tab/>
          </w:r>
          <w:hyperlink w:anchor="__RefHeading___Toc68601152">
            <w:r>
              <w:rPr>
                <w:rStyle w:val="IndexLink"/>
              </w:rPr>
              <w:t>104</w:t>
            </w:r>
          </w:hyperlink>
        </w:p>
        <w:p>
          <w:pPr>
            <w:pStyle w:val="Contents4"/>
            <w:rPr>
              <w:rFonts w:ascii="Calibri" w:hAnsi="Calibri" w:cs="Calibri"/>
              <w:sz w:val="22"/>
              <w:szCs w:val="22"/>
            </w:rPr>
          </w:pPr>
          <w:r>
            <w:rPr>
              <w:lang w:val="en-US" w:eastAsia="en-US"/>
            </w:rPr>
            <w:t>7.1.1.3</w:t>
          </w:r>
          <w:r>
            <w:rPr>
              <w:rFonts w:cs="Calibri" w:ascii="Calibri" w:hAnsi="Calibri"/>
              <w:sz w:val="22"/>
              <w:szCs w:val="22"/>
            </w:rPr>
            <w:tab/>
          </w:r>
          <w:r>
            <w:rPr>
              <w:lang w:val="en-US" w:eastAsia="en-US"/>
            </w:rPr>
            <w:t>Test Purpose</w:t>
          </w:r>
          <w:r>
            <w:rPr/>
            <w:tab/>
          </w:r>
          <w:hyperlink w:anchor="__RefHeading___Toc68601153">
            <w:r>
              <w:rPr>
                <w:rStyle w:val="IndexLink"/>
              </w:rPr>
              <w:t>105</w:t>
            </w:r>
          </w:hyperlink>
        </w:p>
        <w:p>
          <w:pPr>
            <w:pStyle w:val="Contents4"/>
            <w:rPr>
              <w:rFonts w:ascii="Calibri" w:hAnsi="Calibri" w:cs="Calibri"/>
              <w:sz w:val="22"/>
              <w:szCs w:val="22"/>
            </w:rPr>
          </w:pPr>
          <w:r>
            <w:rPr>
              <w:lang w:val="en-US" w:eastAsia="en-US"/>
            </w:rPr>
            <w:t>7.1.1.4</w:t>
          </w:r>
          <w:r>
            <w:rPr>
              <w:rFonts w:cs="Calibri" w:ascii="Calibri" w:hAnsi="Calibri"/>
              <w:sz w:val="22"/>
              <w:szCs w:val="22"/>
            </w:rPr>
            <w:tab/>
          </w:r>
          <w:r>
            <w:rPr>
              <w:lang w:val="en-US" w:eastAsia="en-US"/>
            </w:rPr>
            <w:t>Method of test</w:t>
          </w:r>
          <w:r>
            <w:rPr/>
            <w:tab/>
          </w:r>
          <w:hyperlink w:anchor="__RefHeading___Toc68601154">
            <w:r>
              <w:rPr>
                <w:rStyle w:val="IndexLink"/>
              </w:rPr>
              <w:t>105</w:t>
            </w:r>
          </w:hyperlink>
        </w:p>
        <w:p>
          <w:pPr>
            <w:pStyle w:val="Contents4"/>
            <w:rPr>
              <w:rFonts w:ascii="Calibri" w:hAnsi="Calibri" w:cs="Calibri"/>
              <w:sz w:val="22"/>
              <w:szCs w:val="22"/>
            </w:rPr>
          </w:pPr>
          <w:r>
            <w:rPr>
              <w:lang w:val="en-US" w:eastAsia="en-US"/>
            </w:rPr>
            <w:t>7.1.1</w:t>
          </w:r>
          <w:r>
            <w:rPr/>
            <w:t>.4.1</w:t>
          </w:r>
          <w:r>
            <w:rPr>
              <w:rFonts w:cs="Calibri" w:ascii="Calibri" w:hAnsi="Calibri"/>
              <w:sz w:val="22"/>
              <w:szCs w:val="22"/>
            </w:rPr>
            <w:tab/>
          </w:r>
          <w:r>
            <w:rPr/>
            <w:t>Initial conditions</w:t>
            <w:tab/>
          </w:r>
          <w:hyperlink w:anchor="__RefHeading___Toc68601155">
            <w:r>
              <w:rPr>
                <w:rStyle w:val="IndexLink"/>
              </w:rPr>
              <w:t>105</w:t>
            </w:r>
          </w:hyperlink>
        </w:p>
        <w:p>
          <w:pPr>
            <w:pStyle w:val="Contents4"/>
            <w:rPr>
              <w:rFonts w:ascii="Calibri" w:hAnsi="Calibri" w:cs="Calibri"/>
              <w:sz w:val="22"/>
              <w:szCs w:val="22"/>
            </w:rPr>
          </w:pPr>
          <w:r>
            <w:rPr>
              <w:lang w:val="en-US" w:eastAsia="en-US"/>
            </w:rPr>
            <w:t>7.1.1</w:t>
          </w:r>
          <w:r>
            <w:rPr>
              <w:rFonts w:cs="Arial"/>
            </w:rPr>
            <w:t>.4.2</w:t>
          </w:r>
          <w:r>
            <w:rPr>
              <w:rFonts w:cs="Calibri" w:ascii="Calibri" w:hAnsi="Calibri"/>
              <w:sz w:val="22"/>
              <w:szCs w:val="22"/>
            </w:rPr>
            <w:tab/>
          </w:r>
          <w:r>
            <w:rPr>
              <w:rFonts w:cs="Arial"/>
            </w:rPr>
            <w:t>Test procedure</w:t>
          </w:r>
          <w:r>
            <w:rPr/>
            <w:tab/>
          </w:r>
          <w:hyperlink w:anchor="__RefHeading___Toc68601156">
            <w:r>
              <w:rPr>
                <w:rStyle w:val="IndexLink"/>
              </w:rPr>
              <w:t>106</w:t>
            </w:r>
          </w:hyperlink>
        </w:p>
        <w:p>
          <w:pPr>
            <w:pStyle w:val="Contents4"/>
            <w:rPr>
              <w:rFonts w:ascii="Calibri" w:hAnsi="Calibri" w:cs="Calibri"/>
              <w:sz w:val="22"/>
              <w:szCs w:val="22"/>
            </w:rPr>
          </w:pPr>
          <w:r>
            <w:rPr>
              <w:lang w:val="en-US" w:eastAsia="en-US"/>
            </w:rPr>
            <w:t>7.1.1</w:t>
          </w:r>
          <w:r>
            <w:rPr>
              <w:rFonts w:cs="Arial"/>
            </w:rPr>
            <w:t>.4.3</w:t>
          </w:r>
          <w:r>
            <w:rPr>
              <w:rFonts w:cs="Calibri" w:ascii="Calibri" w:hAnsi="Calibri"/>
              <w:sz w:val="22"/>
              <w:szCs w:val="22"/>
            </w:rPr>
            <w:tab/>
          </w:r>
          <w:r>
            <w:rPr>
              <w:rFonts w:cs="Arial"/>
            </w:rPr>
            <w:t>Test procedure, reverberation chamber method</w:t>
          </w:r>
          <w:r>
            <w:rPr/>
            <w:tab/>
          </w:r>
          <w:hyperlink w:anchor="__RefHeading___Toc68601157">
            <w:r>
              <w:rPr>
                <w:rStyle w:val="IndexLink"/>
              </w:rPr>
              <w:t>106</w:t>
            </w:r>
          </w:hyperlink>
        </w:p>
        <w:p>
          <w:pPr>
            <w:pStyle w:val="Contents4"/>
            <w:rPr>
              <w:rFonts w:ascii="Calibri" w:hAnsi="Calibri" w:cs="Calibri"/>
              <w:sz w:val="22"/>
              <w:szCs w:val="22"/>
            </w:rPr>
          </w:pPr>
          <w:r>
            <w:rPr>
              <w:lang w:val="en-US" w:eastAsia="en-US"/>
            </w:rPr>
            <w:t>7.1.1.5</w:t>
          </w:r>
          <w:r>
            <w:rPr>
              <w:rFonts w:cs="Calibri" w:ascii="Calibri" w:hAnsi="Calibri"/>
              <w:sz w:val="22"/>
              <w:szCs w:val="22"/>
            </w:rPr>
            <w:tab/>
          </w:r>
          <w:r>
            <w:rPr>
              <w:lang w:val="en-US" w:eastAsia="en-US"/>
            </w:rPr>
            <w:t>Test requirements</w:t>
          </w:r>
          <w:r>
            <w:rPr/>
            <w:tab/>
          </w:r>
          <w:hyperlink w:anchor="__RefHeading___Toc68601158">
            <w:r>
              <w:rPr>
                <w:rStyle w:val="IndexLink"/>
              </w:rPr>
              <w:t>106</w:t>
            </w:r>
          </w:hyperlink>
        </w:p>
        <w:p>
          <w:pPr>
            <w:pStyle w:val="Contents3"/>
            <w:rPr>
              <w:rFonts w:ascii="Calibri" w:hAnsi="Calibri" w:cs="Calibri"/>
              <w:sz w:val="22"/>
              <w:szCs w:val="22"/>
            </w:rPr>
          </w:pPr>
          <w:r>
            <w:rPr>
              <w:lang w:val="en-US" w:eastAsia="en-US"/>
            </w:rPr>
            <w:t>7</w:t>
          </w:r>
          <w:r>
            <w:rPr/>
            <w:t>.1.2</w:t>
          </w:r>
          <w:r>
            <w:rPr>
              <w:rFonts w:cs="Calibri" w:ascii="Calibri" w:hAnsi="Calibri"/>
              <w:sz w:val="22"/>
              <w:szCs w:val="22"/>
            </w:rPr>
            <w:tab/>
          </w:r>
          <w:r>
            <w:rPr>
              <w:rFonts w:cs="Arial"/>
              <w:color w:val="000000"/>
            </w:rPr>
            <w:t xml:space="preserve">Total Radiated Sensitivity (TRS) for </w:t>
          </w:r>
          <w:r>
            <w:rPr/>
            <w:t>UTRA LCR TDD in Speech Mode with beside the Head Phantom</w:t>
            <w:tab/>
          </w:r>
          <w:hyperlink w:anchor="__RefHeading___Toc68601159">
            <w:r>
              <w:rPr>
                <w:rStyle w:val="IndexLink"/>
              </w:rPr>
              <w:t>107</w:t>
            </w:r>
          </w:hyperlink>
        </w:p>
        <w:p>
          <w:pPr>
            <w:pStyle w:val="Contents4"/>
            <w:rPr>
              <w:rFonts w:ascii="Calibri" w:hAnsi="Calibri" w:cs="Calibri"/>
              <w:sz w:val="22"/>
              <w:szCs w:val="22"/>
            </w:rPr>
          </w:pPr>
          <w:r>
            <w:rPr/>
            <w:t>7.1.</w:t>
          </w:r>
          <w:r>
            <w:rPr>
              <w:lang w:val="en-US" w:eastAsia="en-US"/>
            </w:rPr>
            <w:t>2</w:t>
          </w:r>
          <w:r>
            <w:rPr/>
            <w:t>.1</w:t>
          </w:r>
          <w:r>
            <w:rPr>
              <w:rFonts w:cs="Calibri" w:ascii="Calibri" w:hAnsi="Calibri"/>
              <w:sz w:val="22"/>
              <w:szCs w:val="22"/>
            </w:rPr>
            <w:tab/>
          </w:r>
          <w:r>
            <w:rPr/>
            <w:t>Definition and applicability</w:t>
            <w:tab/>
          </w:r>
          <w:hyperlink w:anchor="__RefHeading___Toc68601160">
            <w:r>
              <w:rPr>
                <w:rStyle w:val="IndexLink"/>
              </w:rPr>
              <w:t>107</w:t>
            </w:r>
          </w:hyperlink>
        </w:p>
        <w:p>
          <w:pPr>
            <w:pStyle w:val="Contents4"/>
            <w:rPr>
              <w:rFonts w:ascii="Calibri" w:hAnsi="Calibri" w:cs="Calibri"/>
              <w:sz w:val="22"/>
              <w:szCs w:val="22"/>
            </w:rPr>
          </w:pPr>
          <w:r>
            <w:rPr/>
            <w:t>7.1.</w:t>
          </w:r>
          <w:r>
            <w:rPr>
              <w:lang w:val="en-US" w:eastAsia="en-US"/>
            </w:rPr>
            <w:t>2</w:t>
          </w:r>
          <w:r>
            <w:rPr/>
            <w:t>.2</w:t>
          </w:r>
          <w:r>
            <w:rPr>
              <w:rFonts w:cs="Calibri" w:ascii="Calibri" w:hAnsi="Calibri"/>
              <w:sz w:val="22"/>
              <w:szCs w:val="22"/>
            </w:rPr>
            <w:tab/>
          </w:r>
          <w:r>
            <w:rPr/>
            <w:t>Minimum Requirements</w:t>
            <w:tab/>
          </w:r>
          <w:hyperlink w:anchor="__RefHeading___Toc68601161">
            <w:r>
              <w:rPr>
                <w:rStyle w:val="IndexLink"/>
              </w:rPr>
              <w:t>108</w:t>
            </w:r>
          </w:hyperlink>
        </w:p>
        <w:p>
          <w:pPr>
            <w:pStyle w:val="Contents4"/>
            <w:rPr>
              <w:rFonts w:ascii="Calibri" w:hAnsi="Calibri" w:cs="Calibri"/>
              <w:sz w:val="22"/>
              <w:szCs w:val="22"/>
            </w:rPr>
          </w:pPr>
          <w:r>
            <w:rPr/>
            <w:t>7.1.</w:t>
          </w:r>
          <w:r>
            <w:rPr>
              <w:lang w:val="en-US" w:eastAsia="en-US"/>
            </w:rPr>
            <w:t>2</w:t>
          </w:r>
          <w:r>
            <w:rPr/>
            <w:t>.3</w:t>
          </w:r>
          <w:r>
            <w:rPr>
              <w:rFonts w:cs="Calibri" w:ascii="Calibri" w:hAnsi="Calibri"/>
              <w:sz w:val="22"/>
              <w:szCs w:val="22"/>
            </w:rPr>
            <w:tab/>
          </w:r>
          <w:r>
            <w:rPr/>
            <w:t>Test purpose</w:t>
            <w:tab/>
          </w:r>
          <w:hyperlink w:anchor="__RefHeading___Toc68601162">
            <w:r>
              <w:rPr>
                <w:rStyle w:val="IndexLink"/>
              </w:rPr>
              <w:t>108</w:t>
            </w:r>
          </w:hyperlink>
        </w:p>
        <w:p>
          <w:pPr>
            <w:pStyle w:val="Contents4"/>
            <w:rPr>
              <w:rFonts w:ascii="Calibri" w:hAnsi="Calibri" w:cs="Calibri"/>
              <w:sz w:val="22"/>
              <w:szCs w:val="22"/>
            </w:rPr>
          </w:pPr>
          <w:r>
            <w:rPr/>
            <w:t>7.1.</w:t>
          </w:r>
          <w:r>
            <w:rPr>
              <w:lang w:val="en-US" w:eastAsia="en-US"/>
            </w:rPr>
            <w:t>2</w:t>
          </w:r>
          <w:r>
            <w:rPr/>
            <w:t>.4</w:t>
          </w:r>
          <w:r>
            <w:rPr>
              <w:rFonts w:cs="Calibri" w:ascii="Calibri" w:hAnsi="Calibri"/>
              <w:sz w:val="22"/>
              <w:szCs w:val="22"/>
            </w:rPr>
            <w:tab/>
          </w:r>
          <w:r>
            <w:rPr/>
            <w:t>Method of test</w:t>
            <w:tab/>
          </w:r>
          <w:hyperlink w:anchor="__RefHeading___Toc68601163">
            <w:r>
              <w:rPr>
                <w:rStyle w:val="IndexLink"/>
              </w:rPr>
              <w:t>108</w:t>
            </w:r>
          </w:hyperlink>
        </w:p>
        <w:p>
          <w:pPr>
            <w:pStyle w:val="Contents4"/>
            <w:rPr>
              <w:rFonts w:ascii="Calibri" w:hAnsi="Calibri" w:cs="Calibri"/>
              <w:sz w:val="22"/>
              <w:szCs w:val="22"/>
            </w:rPr>
          </w:pPr>
          <w:r>
            <w:rPr/>
            <w:t>7.1.</w:t>
          </w:r>
          <w:r>
            <w:rPr>
              <w:lang w:val="en-US" w:eastAsia="en-US"/>
            </w:rPr>
            <w:t>2</w:t>
          </w:r>
          <w:r>
            <w:rPr/>
            <w:t>.4.1</w:t>
          </w:r>
          <w:r>
            <w:rPr>
              <w:rFonts w:cs="Calibri" w:ascii="Calibri" w:hAnsi="Calibri"/>
              <w:sz w:val="22"/>
              <w:szCs w:val="22"/>
            </w:rPr>
            <w:tab/>
          </w:r>
          <w:r>
            <w:rPr/>
            <w:t>Initial conditions</w:t>
            <w:tab/>
          </w:r>
          <w:hyperlink w:anchor="__RefHeading___Toc68601164">
            <w:r>
              <w:rPr>
                <w:rStyle w:val="IndexLink"/>
              </w:rPr>
              <w:t>108</w:t>
            </w:r>
          </w:hyperlink>
        </w:p>
        <w:p>
          <w:pPr>
            <w:pStyle w:val="Contents4"/>
            <w:rPr>
              <w:rFonts w:ascii="Calibri" w:hAnsi="Calibri" w:cs="Calibri"/>
              <w:sz w:val="22"/>
              <w:szCs w:val="22"/>
            </w:rPr>
          </w:pPr>
          <w:r>
            <w:rPr/>
            <w:t>7.1.2.4.2</w:t>
          </w:r>
          <w:r>
            <w:rPr>
              <w:rFonts w:cs="Calibri" w:ascii="Calibri" w:hAnsi="Calibri"/>
              <w:sz w:val="22"/>
              <w:szCs w:val="22"/>
            </w:rPr>
            <w:tab/>
          </w:r>
          <w:r>
            <w:rPr/>
            <w:t>Procedure</w:t>
            <w:tab/>
          </w:r>
          <w:hyperlink w:anchor="__RefHeading___Toc68601165">
            <w:r>
              <w:rPr>
                <w:rStyle w:val="IndexLink"/>
              </w:rPr>
              <w:t>109</w:t>
            </w:r>
          </w:hyperlink>
        </w:p>
        <w:p>
          <w:pPr>
            <w:pStyle w:val="Contents4"/>
            <w:rPr>
              <w:rFonts w:ascii="Calibri" w:hAnsi="Calibri" w:cs="Calibri"/>
              <w:sz w:val="22"/>
              <w:szCs w:val="22"/>
            </w:rPr>
          </w:pPr>
          <w:r>
            <w:rPr/>
            <w:t>7.1.</w:t>
          </w:r>
          <w:r>
            <w:rPr>
              <w:lang w:val="en-US" w:eastAsia="en-US"/>
            </w:rPr>
            <w:t>2</w:t>
          </w:r>
          <w:r>
            <w:rPr/>
            <w:t>.4.3</w:t>
          </w:r>
          <w:r>
            <w:rPr>
              <w:rFonts w:cs="Calibri" w:ascii="Calibri" w:hAnsi="Calibri"/>
              <w:sz w:val="22"/>
              <w:szCs w:val="22"/>
            </w:rPr>
            <w:tab/>
          </w:r>
          <w:r>
            <w:rPr/>
            <w:t>Procedure, reverberation chamber method</w:t>
            <w:tab/>
          </w:r>
          <w:hyperlink w:anchor="__RefHeading___Toc68601166">
            <w:r>
              <w:rPr>
                <w:rStyle w:val="IndexLink"/>
              </w:rPr>
              <w:t>110</w:t>
            </w:r>
          </w:hyperlink>
        </w:p>
        <w:p>
          <w:pPr>
            <w:pStyle w:val="Contents4"/>
            <w:rPr>
              <w:rFonts w:ascii="Calibri" w:hAnsi="Calibri" w:cs="Calibri"/>
              <w:sz w:val="22"/>
              <w:szCs w:val="22"/>
            </w:rPr>
          </w:pPr>
          <w:r>
            <w:rPr/>
            <w:t>7.1.</w:t>
          </w:r>
          <w:r>
            <w:rPr>
              <w:lang w:val="en-US" w:eastAsia="en-US"/>
            </w:rPr>
            <w:t>2</w:t>
          </w:r>
          <w:r>
            <w:rPr/>
            <w:t>.5</w:t>
          </w:r>
          <w:r>
            <w:rPr>
              <w:rFonts w:cs="Calibri" w:ascii="Calibri" w:hAnsi="Calibri"/>
              <w:sz w:val="22"/>
              <w:szCs w:val="22"/>
            </w:rPr>
            <w:tab/>
          </w:r>
          <w:r>
            <w:rPr/>
            <w:t>Test requirements</w:t>
            <w:tab/>
          </w:r>
          <w:hyperlink w:anchor="__RefHeading___Toc68601167">
            <w:r>
              <w:rPr>
                <w:rStyle w:val="IndexLink"/>
              </w:rPr>
              <w:t>110</w:t>
            </w:r>
          </w:hyperlink>
        </w:p>
        <w:p>
          <w:pPr>
            <w:pStyle w:val="Contents3"/>
            <w:rPr>
              <w:rFonts w:ascii="Calibri" w:hAnsi="Calibri" w:cs="Calibri"/>
              <w:sz w:val="22"/>
              <w:szCs w:val="22"/>
            </w:rPr>
          </w:pPr>
          <w:r>
            <w:rPr>
              <w:lang w:val="en-US" w:eastAsia="en-US"/>
            </w:rPr>
            <w:t>7</w:t>
          </w:r>
          <w:r>
            <w:rPr/>
            <w:t>.1.3</w:t>
          </w:r>
          <w:r>
            <w:rPr>
              <w:rFonts w:cs="Calibri" w:ascii="Calibri" w:hAnsi="Calibri"/>
              <w:sz w:val="22"/>
              <w:szCs w:val="22"/>
            </w:rPr>
            <w:tab/>
          </w:r>
          <w:r>
            <w:rPr/>
            <w:t>Total Radiated Sensitivity (TRS) for UTRA FDD in Speech Mode with beside the Head and Hand Phantom</w:t>
            <w:tab/>
          </w:r>
          <w:hyperlink w:anchor="__RefHeading___Toc68601168">
            <w:r>
              <w:rPr>
                <w:rStyle w:val="IndexLink"/>
              </w:rPr>
              <w:t>110</w:t>
            </w:r>
          </w:hyperlink>
        </w:p>
        <w:p>
          <w:pPr>
            <w:pStyle w:val="Contents4"/>
            <w:rPr>
              <w:rFonts w:ascii="Calibri" w:hAnsi="Calibri" w:cs="Calibri"/>
              <w:sz w:val="22"/>
              <w:szCs w:val="22"/>
            </w:rPr>
          </w:pPr>
          <w:r>
            <w:rPr/>
            <w:t>7.1.3.1</w:t>
          </w:r>
          <w:r>
            <w:rPr>
              <w:rFonts w:cs="Calibri" w:ascii="Calibri" w:hAnsi="Calibri"/>
              <w:sz w:val="22"/>
              <w:szCs w:val="22"/>
            </w:rPr>
            <w:tab/>
          </w:r>
          <w:r>
            <w:rPr/>
            <w:t>Definition and applicability</w:t>
            <w:tab/>
          </w:r>
          <w:hyperlink w:anchor="__RefHeading___Toc68601169">
            <w:r>
              <w:rPr>
                <w:rStyle w:val="IndexLink"/>
              </w:rPr>
              <w:t>110</w:t>
            </w:r>
          </w:hyperlink>
        </w:p>
        <w:p>
          <w:pPr>
            <w:pStyle w:val="Contents4"/>
            <w:rPr>
              <w:rFonts w:ascii="Calibri" w:hAnsi="Calibri" w:cs="Calibri"/>
              <w:sz w:val="22"/>
              <w:szCs w:val="22"/>
            </w:rPr>
          </w:pPr>
          <w:r>
            <w:rPr/>
            <w:t>7.1.3.2</w:t>
          </w:r>
          <w:r>
            <w:rPr>
              <w:rFonts w:cs="Calibri" w:ascii="Calibri" w:hAnsi="Calibri"/>
              <w:sz w:val="22"/>
              <w:szCs w:val="22"/>
            </w:rPr>
            <w:tab/>
          </w:r>
          <w:r>
            <w:rPr/>
            <w:t>Minimum Requirements</w:t>
            <w:tab/>
          </w:r>
          <w:hyperlink w:anchor="__RefHeading___Toc68601170">
            <w:r>
              <w:rPr>
                <w:rStyle w:val="IndexLink"/>
              </w:rPr>
              <w:t>111</w:t>
            </w:r>
          </w:hyperlink>
        </w:p>
        <w:p>
          <w:pPr>
            <w:pStyle w:val="Contents4"/>
            <w:rPr>
              <w:rFonts w:ascii="Calibri" w:hAnsi="Calibri" w:cs="Calibri"/>
              <w:sz w:val="22"/>
              <w:szCs w:val="22"/>
            </w:rPr>
          </w:pPr>
          <w:r>
            <w:rPr/>
            <w:t>7.1.3.3</w:t>
          </w:r>
          <w:r>
            <w:rPr>
              <w:rFonts w:cs="Calibri" w:ascii="Calibri" w:hAnsi="Calibri"/>
              <w:sz w:val="22"/>
              <w:szCs w:val="22"/>
            </w:rPr>
            <w:tab/>
          </w:r>
          <w:r>
            <w:rPr/>
            <w:t>Test purpose</w:t>
            <w:tab/>
          </w:r>
          <w:hyperlink w:anchor="__RefHeading___Toc68601171">
            <w:r>
              <w:rPr>
                <w:rStyle w:val="IndexLink"/>
              </w:rPr>
              <w:t>112</w:t>
            </w:r>
          </w:hyperlink>
        </w:p>
        <w:p>
          <w:pPr>
            <w:pStyle w:val="Contents4"/>
            <w:rPr>
              <w:rFonts w:ascii="Calibri" w:hAnsi="Calibri" w:cs="Calibri"/>
              <w:sz w:val="22"/>
              <w:szCs w:val="22"/>
            </w:rPr>
          </w:pPr>
          <w:r>
            <w:rPr/>
            <w:t>7.1.3.4</w:t>
          </w:r>
          <w:r>
            <w:rPr>
              <w:rFonts w:cs="Calibri" w:ascii="Calibri" w:hAnsi="Calibri"/>
              <w:sz w:val="22"/>
              <w:szCs w:val="22"/>
            </w:rPr>
            <w:tab/>
          </w:r>
          <w:r>
            <w:rPr/>
            <w:t>Method of test</w:t>
            <w:tab/>
          </w:r>
          <w:hyperlink w:anchor="__RefHeading___Toc68601172">
            <w:r>
              <w:rPr>
                <w:rStyle w:val="IndexLink"/>
              </w:rPr>
              <w:t>112</w:t>
            </w:r>
          </w:hyperlink>
        </w:p>
        <w:p>
          <w:pPr>
            <w:pStyle w:val="Contents4"/>
            <w:rPr>
              <w:rFonts w:ascii="Calibri" w:hAnsi="Calibri" w:cs="Calibri"/>
              <w:sz w:val="22"/>
              <w:szCs w:val="22"/>
            </w:rPr>
          </w:pPr>
          <w:r>
            <w:rPr/>
            <w:t>7.1.3.4.1</w:t>
          </w:r>
          <w:r>
            <w:rPr>
              <w:rFonts w:cs="Calibri" w:ascii="Calibri" w:hAnsi="Calibri"/>
              <w:sz w:val="22"/>
              <w:szCs w:val="22"/>
            </w:rPr>
            <w:tab/>
          </w:r>
          <w:r>
            <w:rPr/>
            <w:t>Initial conditions</w:t>
            <w:tab/>
          </w:r>
          <w:hyperlink w:anchor="__RefHeading___Toc68601173">
            <w:r>
              <w:rPr>
                <w:rStyle w:val="IndexLink"/>
              </w:rPr>
              <w:t>112</w:t>
            </w:r>
          </w:hyperlink>
        </w:p>
        <w:p>
          <w:pPr>
            <w:pStyle w:val="Contents4"/>
            <w:rPr>
              <w:rFonts w:ascii="Calibri" w:hAnsi="Calibri" w:cs="Calibri"/>
              <w:sz w:val="22"/>
              <w:szCs w:val="22"/>
            </w:rPr>
          </w:pPr>
          <w:r>
            <w:rPr/>
            <w:t>7.1.3.4.2</w:t>
          </w:r>
          <w:r>
            <w:rPr>
              <w:rFonts w:cs="Calibri" w:ascii="Calibri" w:hAnsi="Calibri"/>
              <w:sz w:val="22"/>
              <w:szCs w:val="22"/>
            </w:rPr>
            <w:tab/>
          </w:r>
          <w:r>
            <w:rPr/>
            <w:t>Procedure</w:t>
            <w:tab/>
          </w:r>
          <w:hyperlink w:anchor="__RefHeading___Toc68601174">
            <w:r>
              <w:rPr>
                <w:rStyle w:val="IndexLink"/>
              </w:rPr>
              <w:t>113</w:t>
            </w:r>
          </w:hyperlink>
        </w:p>
        <w:p>
          <w:pPr>
            <w:pStyle w:val="Contents4"/>
            <w:rPr>
              <w:rFonts w:ascii="Calibri" w:hAnsi="Calibri" w:cs="Calibri"/>
              <w:sz w:val="22"/>
              <w:szCs w:val="22"/>
            </w:rPr>
          </w:pPr>
          <w:r>
            <w:rPr/>
            <w:t>7.1.3.4.3</w:t>
          </w:r>
          <w:r>
            <w:rPr>
              <w:rFonts w:cs="Calibri" w:ascii="Calibri" w:hAnsi="Calibri"/>
              <w:sz w:val="22"/>
              <w:szCs w:val="22"/>
            </w:rPr>
            <w:tab/>
          </w:r>
          <w:r>
            <w:rPr/>
            <w:t>Procedure, reverberation chamber method</w:t>
            <w:tab/>
          </w:r>
          <w:hyperlink w:anchor="__RefHeading___Toc68601175">
            <w:r>
              <w:rPr>
                <w:rStyle w:val="IndexLink"/>
              </w:rPr>
              <w:t>113</w:t>
            </w:r>
          </w:hyperlink>
        </w:p>
        <w:p>
          <w:pPr>
            <w:pStyle w:val="Contents4"/>
            <w:rPr>
              <w:rFonts w:ascii="Calibri" w:hAnsi="Calibri" w:cs="Calibri"/>
              <w:sz w:val="22"/>
              <w:szCs w:val="22"/>
            </w:rPr>
          </w:pPr>
          <w:r>
            <w:rPr/>
            <w:t>7.1.3.5</w:t>
          </w:r>
          <w:r>
            <w:rPr>
              <w:rFonts w:cs="Calibri" w:ascii="Calibri" w:hAnsi="Calibri"/>
              <w:sz w:val="22"/>
              <w:szCs w:val="22"/>
            </w:rPr>
            <w:tab/>
          </w:r>
          <w:r>
            <w:rPr/>
            <w:t>Test requirements</w:t>
            <w:tab/>
          </w:r>
          <w:hyperlink w:anchor="__RefHeading___Toc68601176">
            <w:r>
              <w:rPr>
                <w:rStyle w:val="IndexLink"/>
              </w:rPr>
              <w:t>114</w:t>
            </w:r>
          </w:hyperlink>
        </w:p>
        <w:p>
          <w:pPr>
            <w:pStyle w:val="Contents3"/>
            <w:rPr>
              <w:rFonts w:ascii="Calibri" w:hAnsi="Calibri" w:cs="Calibri"/>
              <w:sz w:val="22"/>
              <w:szCs w:val="22"/>
            </w:rPr>
          </w:pPr>
          <w:r>
            <w:rPr>
              <w:lang w:val="en-US" w:eastAsia="en-US"/>
            </w:rPr>
            <w:t>7</w:t>
          </w:r>
          <w:r>
            <w:rPr/>
            <w:t>.1.4</w:t>
          </w:r>
          <w:r>
            <w:rPr>
              <w:rFonts w:cs="Calibri" w:ascii="Calibri" w:hAnsi="Calibri"/>
              <w:sz w:val="22"/>
              <w:szCs w:val="22"/>
            </w:rPr>
            <w:tab/>
          </w:r>
          <w:r>
            <w:rPr/>
            <w:t>Total Radiated Sensitivity (TRS) for UTRA LCR TDD in Speech Mode with beside the Head and Hand Phantom</w:t>
            <w:tab/>
          </w:r>
          <w:hyperlink w:anchor="__RefHeading___Toc68601177">
            <w:r>
              <w:rPr>
                <w:rStyle w:val="IndexLink"/>
              </w:rPr>
              <w:t>115</w:t>
            </w:r>
          </w:hyperlink>
        </w:p>
        <w:p>
          <w:pPr>
            <w:pStyle w:val="Contents4"/>
            <w:rPr>
              <w:rFonts w:ascii="Calibri" w:hAnsi="Calibri" w:cs="Calibri"/>
              <w:sz w:val="22"/>
              <w:szCs w:val="22"/>
            </w:rPr>
          </w:pPr>
          <w:r>
            <w:rPr/>
            <w:t>7.1.4.1</w:t>
          </w:r>
          <w:r>
            <w:rPr>
              <w:rFonts w:cs="Calibri" w:ascii="Calibri" w:hAnsi="Calibri"/>
              <w:sz w:val="22"/>
              <w:szCs w:val="22"/>
            </w:rPr>
            <w:tab/>
          </w:r>
          <w:r>
            <w:rPr/>
            <w:t>Definition and applicability</w:t>
            <w:tab/>
          </w:r>
          <w:hyperlink w:anchor="__RefHeading___Toc68601178">
            <w:r>
              <w:rPr>
                <w:rStyle w:val="IndexLink"/>
              </w:rPr>
              <w:t>115</w:t>
            </w:r>
          </w:hyperlink>
        </w:p>
        <w:p>
          <w:pPr>
            <w:pStyle w:val="Contents4"/>
            <w:rPr>
              <w:rFonts w:ascii="Calibri" w:hAnsi="Calibri" w:cs="Calibri"/>
              <w:sz w:val="22"/>
              <w:szCs w:val="22"/>
            </w:rPr>
          </w:pPr>
          <w:r>
            <w:rPr/>
            <w:t>7.1.4.2</w:t>
          </w:r>
          <w:r>
            <w:rPr>
              <w:rFonts w:cs="Calibri" w:ascii="Calibri" w:hAnsi="Calibri"/>
              <w:sz w:val="22"/>
              <w:szCs w:val="22"/>
            </w:rPr>
            <w:tab/>
          </w:r>
          <w:r>
            <w:rPr/>
            <w:t>Minimum Requirements</w:t>
            <w:tab/>
          </w:r>
          <w:hyperlink w:anchor="__RefHeading___Toc68601179">
            <w:r>
              <w:rPr>
                <w:rStyle w:val="IndexLink"/>
              </w:rPr>
              <w:t>116</w:t>
            </w:r>
          </w:hyperlink>
        </w:p>
        <w:p>
          <w:pPr>
            <w:pStyle w:val="Contents4"/>
            <w:rPr>
              <w:rFonts w:ascii="Calibri" w:hAnsi="Calibri" w:cs="Calibri"/>
              <w:sz w:val="22"/>
              <w:szCs w:val="22"/>
            </w:rPr>
          </w:pPr>
          <w:r>
            <w:rPr/>
            <w:t>7.1.4.3</w:t>
          </w:r>
          <w:r>
            <w:rPr>
              <w:rFonts w:cs="Calibri" w:ascii="Calibri" w:hAnsi="Calibri"/>
              <w:sz w:val="22"/>
              <w:szCs w:val="22"/>
            </w:rPr>
            <w:tab/>
          </w:r>
          <w:r>
            <w:rPr/>
            <w:t>Test purpose</w:t>
            <w:tab/>
          </w:r>
          <w:hyperlink w:anchor="__RefHeading___Toc68601180">
            <w:r>
              <w:rPr>
                <w:rStyle w:val="IndexLink"/>
              </w:rPr>
              <w:t>117</w:t>
            </w:r>
          </w:hyperlink>
        </w:p>
        <w:p>
          <w:pPr>
            <w:pStyle w:val="Contents4"/>
            <w:rPr>
              <w:rFonts w:ascii="Calibri" w:hAnsi="Calibri" w:cs="Calibri"/>
              <w:sz w:val="22"/>
              <w:szCs w:val="22"/>
            </w:rPr>
          </w:pPr>
          <w:r>
            <w:rPr/>
            <w:t>7.1.5.4</w:t>
          </w:r>
          <w:r>
            <w:rPr>
              <w:rFonts w:cs="Calibri" w:ascii="Calibri" w:hAnsi="Calibri"/>
              <w:sz w:val="22"/>
              <w:szCs w:val="22"/>
            </w:rPr>
            <w:tab/>
          </w:r>
          <w:r>
            <w:rPr/>
            <w:t>Method of test</w:t>
            <w:tab/>
          </w:r>
          <w:hyperlink w:anchor="__RefHeading___Toc68601181">
            <w:r>
              <w:rPr>
                <w:rStyle w:val="IndexLink"/>
              </w:rPr>
              <w:t>117</w:t>
            </w:r>
          </w:hyperlink>
        </w:p>
        <w:p>
          <w:pPr>
            <w:pStyle w:val="Contents4"/>
            <w:rPr>
              <w:rFonts w:ascii="Calibri" w:hAnsi="Calibri" w:cs="Calibri"/>
              <w:sz w:val="22"/>
              <w:szCs w:val="22"/>
            </w:rPr>
          </w:pPr>
          <w:r>
            <w:rPr/>
            <w:t>7.1.4.4.1</w:t>
          </w:r>
          <w:r>
            <w:rPr>
              <w:rFonts w:cs="Calibri" w:ascii="Calibri" w:hAnsi="Calibri"/>
              <w:sz w:val="22"/>
              <w:szCs w:val="22"/>
            </w:rPr>
            <w:tab/>
          </w:r>
          <w:r>
            <w:rPr/>
            <w:t>Initial conditions</w:t>
            <w:tab/>
          </w:r>
          <w:hyperlink w:anchor="__RefHeading___Toc68601182">
            <w:r>
              <w:rPr>
                <w:rStyle w:val="IndexLink"/>
              </w:rPr>
              <w:t>117</w:t>
            </w:r>
          </w:hyperlink>
        </w:p>
        <w:p>
          <w:pPr>
            <w:pStyle w:val="Contents4"/>
            <w:rPr>
              <w:rFonts w:ascii="Calibri" w:hAnsi="Calibri" w:cs="Calibri"/>
              <w:sz w:val="22"/>
              <w:szCs w:val="22"/>
            </w:rPr>
          </w:pPr>
          <w:r>
            <w:rPr/>
            <w:t>7.1.4.4.2</w:t>
          </w:r>
          <w:r>
            <w:rPr>
              <w:rFonts w:cs="Calibri" w:ascii="Calibri" w:hAnsi="Calibri"/>
              <w:sz w:val="22"/>
              <w:szCs w:val="22"/>
            </w:rPr>
            <w:tab/>
          </w:r>
          <w:r>
            <w:rPr/>
            <w:t>Procedure</w:t>
            <w:tab/>
          </w:r>
          <w:hyperlink w:anchor="__RefHeading___Toc68601183">
            <w:r>
              <w:rPr>
                <w:rStyle w:val="IndexLink"/>
              </w:rPr>
              <w:t>118</w:t>
            </w:r>
          </w:hyperlink>
        </w:p>
        <w:p>
          <w:pPr>
            <w:pStyle w:val="Contents4"/>
            <w:rPr>
              <w:rFonts w:ascii="Calibri" w:hAnsi="Calibri" w:cs="Calibri"/>
              <w:sz w:val="22"/>
              <w:szCs w:val="22"/>
            </w:rPr>
          </w:pPr>
          <w:r>
            <w:rPr/>
            <w:t>7.1.4.4.3</w:t>
          </w:r>
          <w:r>
            <w:rPr>
              <w:rFonts w:cs="Calibri" w:ascii="Calibri" w:hAnsi="Calibri"/>
              <w:sz w:val="22"/>
              <w:szCs w:val="22"/>
            </w:rPr>
            <w:tab/>
          </w:r>
          <w:r>
            <w:rPr/>
            <w:t>Procedure, reverberation chamber method</w:t>
            <w:tab/>
          </w:r>
          <w:hyperlink w:anchor="__RefHeading___Toc68601184">
            <w:r>
              <w:rPr>
                <w:rStyle w:val="IndexLink"/>
              </w:rPr>
              <w:t>118</w:t>
            </w:r>
          </w:hyperlink>
        </w:p>
        <w:p>
          <w:pPr>
            <w:pStyle w:val="Contents4"/>
            <w:rPr>
              <w:rFonts w:ascii="Calibri" w:hAnsi="Calibri" w:cs="Calibri"/>
              <w:sz w:val="22"/>
              <w:szCs w:val="22"/>
            </w:rPr>
          </w:pPr>
          <w:r>
            <w:rPr/>
            <w:t>7.1.4.5</w:t>
          </w:r>
          <w:r>
            <w:rPr>
              <w:rFonts w:cs="Calibri" w:ascii="Calibri" w:hAnsi="Calibri"/>
              <w:sz w:val="22"/>
              <w:szCs w:val="22"/>
            </w:rPr>
            <w:tab/>
          </w:r>
          <w:r>
            <w:rPr/>
            <w:t>Test requirements</w:t>
            <w:tab/>
          </w:r>
          <w:hyperlink w:anchor="__RefHeading___Toc68601185">
            <w:r>
              <w:rPr>
                <w:rStyle w:val="IndexLink"/>
              </w:rPr>
              <w:t>119</w:t>
            </w:r>
          </w:hyperlink>
        </w:p>
        <w:p>
          <w:pPr>
            <w:pStyle w:val="Contents3"/>
            <w:rPr>
              <w:rFonts w:ascii="Calibri" w:hAnsi="Calibri" w:cs="Calibri"/>
              <w:sz w:val="22"/>
              <w:szCs w:val="22"/>
            </w:rPr>
          </w:pPr>
          <w:r>
            <w:rPr>
              <w:lang w:val="en-US" w:eastAsia="en-US"/>
            </w:rPr>
            <w:t>7</w:t>
          </w:r>
          <w:r>
            <w:rPr/>
            <w:t>.1.5</w:t>
          </w:r>
          <w:r>
            <w:rPr>
              <w:rFonts w:cs="Calibri" w:ascii="Calibri" w:hAnsi="Calibri"/>
              <w:sz w:val="22"/>
              <w:szCs w:val="22"/>
            </w:rPr>
            <w:tab/>
          </w:r>
          <w:r>
            <w:rPr/>
            <w:t>Total Radiated Sensitivity (TRS) for E-UTRA FDD in Speech Mode with beside the Head and Hand Phantom</w:t>
            <w:tab/>
          </w:r>
          <w:hyperlink w:anchor="__RefHeading___Toc68601186">
            <w:r>
              <w:rPr>
                <w:rStyle w:val="IndexLink"/>
              </w:rPr>
              <w:t>119</w:t>
            </w:r>
          </w:hyperlink>
        </w:p>
        <w:p>
          <w:pPr>
            <w:pStyle w:val="Contents4"/>
            <w:rPr>
              <w:rFonts w:ascii="Calibri" w:hAnsi="Calibri" w:cs="Calibri"/>
              <w:sz w:val="22"/>
              <w:szCs w:val="22"/>
            </w:rPr>
          </w:pPr>
          <w:r>
            <w:rPr/>
            <w:t>7.1.5.1</w:t>
          </w:r>
          <w:r>
            <w:rPr>
              <w:rFonts w:cs="Calibri" w:ascii="Calibri" w:hAnsi="Calibri"/>
              <w:sz w:val="22"/>
              <w:szCs w:val="22"/>
            </w:rPr>
            <w:tab/>
          </w:r>
          <w:r>
            <w:rPr/>
            <w:t>Definition and applicability</w:t>
            <w:tab/>
          </w:r>
          <w:hyperlink w:anchor="__RefHeading___Toc68601187">
            <w:r>
              <w:rPr>
                <w:rStyle w:val="IndexLink"/>
              </w:rPr>
              <w:t>119</w:t>
            </w:r>
          </w:hyperlink>
        </w:p>
        <w:p>
          <w:pPr>
            <w:pStyle w:val="Contents4"/>
            <w:rPr>
              <w:rFonts w:ascii="Calibri" w:hAnsi="Calibri" w:cs="Calibri"/>
              <w:sz w:val="22"/>
              <w:szCs w:val="22"/>
            </w:rPr>
          </w:pPr>
          <w:r>
            <w:rPr/>
            <w:t>7.1.5.2</w:t>
          </w:r>
          <w:r>
            <w:rPr>
              <w:rFonts w:cs="Calibri" w:ascii="Calibri" w:hAnsi="Calibri"/>
              <w:sz w:val="22"/>
              <w:szCs w:val="22"/>
            </w:rPr>
            <w:tab/>
          </w:r>
          <w:r>
            <w:rPr/>
            <w:t>Minimum Requirements</w:t>
            <w:tab/>
          </w:r>
          <w:hyperlink w:anchor="__RefHeading___Toc68601188">
            <w:r>
              <w:rPr>
                <w:rStyle w:val="IndexLink"/>
              </w:rPr>
              <w:t>120</w:t>
            </w:r>
          </w:hyperlink>
        </w:p>
        <w:p>
          <w:pPr>
            <w:pStyle w:val="Contents4"/>
            <w:rPr>
              <w:rFonts w:ascii="Calibri" w:hAnsi="Calibri" w:cs="Calibri"/>
              <w:sz w:val="22"/>
              <w:szCs w:val="22"/>
            </w:rPr>
          </w:pPr>
          <w:r>
            <w:rPr/>
            <w:t>7.1.5.3</w:t>
          </w:r>
          <w:r>
            <w:rPr>
              <w:rFonts w:cs="Calibri" w:ascii="Calibri" w:hAnsi="Calibri"/>
              <w:sz w:val="22"/>
              <w:szCs w:val="22"/>
            </w:rPr>
            <w:tab/>
          </w:r>
          <w:r>
            <w:rPr/>
            <w:t>Test purpose</w:t>
            <w:tab/>
          </w:r>
          <w:hyperlink w:anchor="__RefHeading___Toc68601189">
            <w:r>
              <w:rPr>
                <w:rStyle w:val="IndexLink"/>
              </w:rPr>
              <w:t>121</w:t>
            </w:r>
          </w:hyperlink>
        </w:p>
        <w:p>
          <w:pPr>
            <w:pStyle w:val="Contents4"/>
            <w:rPr>
              <w:rFonts w:ascii="Calibri" w:hAnsi="Calibri" w:cs="Calibri"/>
              <w:sz w:val="22"/>
              <w:szCs w:val="22"/>
            </w:rPr>
          </w:pPr>
          <w:r>
            <w:rPr/>
            <w:t>7.1.5.4</w:t>
          </w:r>
          <w:r>
            <w:rPr>
              <w:rFonts w:cs="Calibri" w:ascii="Calibri" w:hAnsi="Calibri"/>
              <w:sz w:val="22"/>
              <w:szCs w:val="22"/>
            </w:rPr>
            <w:tab/>
          </w:r>
          <w:r>
            <w:rPr/>
            <w:t>Method of test</w:t>
            <w:tab/>
          </w:r>
          <w:hyperlink w:anchor="__RefHeading___Toc68601190">
            <w:r>
              <w:rPr>
                <w:rStyle w:val="IndexLink"/>
              </w:rPr>
              <w:t>121</w:t>
            </w:r>
          </w:hyperlink>
        </w:p>
        <w:p>
          <w:pPr>
            <w:pStyle w:val="Contents4"/>
            <w:rPr>
              <w:rFonts w:ascii="Calibri" w:hAnsi="Calibri" w:cs="Calibri"/>
              <w:sz w:val="22"/>
              <w:szCs w:val="22"/>
            </w:rPr>
          </w:pPr>
          <w:r>
            <w:rPr/>
            <w:t>7.1.5.4.1</w:t>
          </w:r>
          <w:r>
            <w:rPr>
              <w:rFonts w:cs="Calibri" w:ascii="Calibri" w:hAnsi="Calibri"/>
              <w:sz w:val="22"/>
              <w:szCs w:val="22"/>
            </w:rPr>
            <w:tab/>
          </w:r>
          <w:r>
            <w:rPr/>
            <w:t>Initial conditions</w:t>
            <w:tab/>
          </w:r>
          <w:hyperlink w:anchor="__RefHeading___Toc68601191">
            <w:r>
              <w:rPr>
                <w:rStyle w:val="IndexLink"/>
              </w:rPr>
              <w:t>121</w:t>
            </w:r>
          </w:hyperlink>
        </w:p>
        <w:p>
          <w:pPr>
            <w:pStyle w:val="Contents4"/>
            <w:rPr>
              <w:rFonts w:ascii="Calibri" w:hAnsi="Calibri" w:cs="Calibri"/>
              <w:sz w:val="22"/>
              <w:szCs w:val="22"/>
            </w:rPr>
          </w:pPr>
          <w:r>
            <w:rPr/>
            <w:t>7.1.5.4.2</w:t>
          </w:r>
          <w:r>
            <w:rPr>
              <w:rFonts w:cs="Calibri" w:ascii="Calibri" w:hAnsi="Calibri"/>
              <w:sz w:val="22"/>
              <w:szCs w:val="22"/>
            </w:rPr>
            <w:tab/>
          </w:r>
          <w:r>
            <w:rPr/>
            <w:t>Procedure</w:t>
            <w:tab/>
          </w:r>
          <w:hyperlink w:anchor="__RefHeading___Toc68601192">
            <w:r>
              <w:rPr>
                <w:rStyle w:val="IndexLink"/>
              </w:rPr>
              <w:t>121</w:t>
            </w:r>
          </w:hyperlink>
        </w:p>
        <w:p>
          <w:pPr>
            <w:pStyle w:val="Contents4"/>
            <w:rPr>
              <w:rFonts w:ascii="Calibri" w:hAnsi="Calibri" w:cs="Calibri"/>
              <w:sz w:val="22"/>
              <w:szCs w:val="22"/>
            </w:rPr>
          </w:pPr>
          <w:r>
            <w:rPr/>
            <w:t>7.1.5.4.3</w:t>
          </w:r>
          <w:r>
            <w:rPr>
              <w:rFonts w:cs="Calibri" w:ascii="Calibri" w:hAnsi="Calibri"/>
              <w:sz w:val="22"/>
              <w:szCs w:val="22"/>
            </w:rPr>
            <w:tab/>
          </w:r>
          <w:r>
            <w:rPr/>
            <w:t>Procedure, reverberation chamber method</w:t>
            <w:tab/>
          </w:r>
          <w:hyperlink w:anchor="__RefHeading___Toc68601193">
            <w:r>
              <w:rPr>
                <w:rStyle w:val="IndexLink"/>
              </w:rPr>
              <w:t>122</w:t>
            </w:r>
          </w:hyperlink>
        </w:p>
        <w:p>
          <w:pPr>
            <w:pStyle w:val="Contents4"/>
            <w:rPr>
              <w:rFonts w:ascii="Calibri" w:hAnsi="Calibri" w:cs="Calibri"/>
              <w:sz w:val="22"/>
              <w:szCs w:val="22"/>
            </w:rPr>
          </w:pPr>
          <w:r>
            <w:rPr/>
            <w:t>7.1.5.5</w:t>
          </w:r>
          <w:r>
            <w:rPr>
              <w:rFonts w:cs="Calibri" w:ascii="Calibri" w:hAnsi="Calibri"/>
              <w:sz w:val="22"/>
              <w:szCs w:val="22"/>
            </w:rPr>
            <w:tab/>
          </w:r>
          <w:r>
            <w:rPr/>
            <w:t>Test requirements</w:t>
            <w:tab/>
          </w:r>
          <w:hyperlink w:anchor="__RefHeading___Toc68601194">
            <w:r>
              <w:rPr>
                <w:rStyle w:val="IndexLink"/>
              </w:rPr>
              <w:t>122</w:t>
            </w:r>
          </w:hyperlink>
        </w:p>
        <w:p>
          <w:pPr>
            <w:pStyle w:val="Contents3"/>
            <w:rPr>
              <w:rFonts w:ascii="Calibri" w:hAnsi="Calibri" w:cs="Calibri"/>
              <w:sz w:val="22"/>
              <w:szCs w:val="22"/>
            </w:rPr>
          </w:pPr>
          <w:r>
            <w:rPr>
              <w:lang w:val="en-US" w:eastAsia="en-US"/>
            </w:rPr>
            <w:t>7</w:t>
          </w:r>
          <w:r>
            <w:rPr/>
            <w:t>.1.6</w:t>
          </w:r>
          <w:r>
            <w:rPr>
              <w:rFonts w:cs="Calibri" w:ascii="Calibri" w:hAnsi="Calibri"/>
              <w:sz w:val="22"/>
              <w:szCs w:val="22"/>
            </w:rPr>
            <w:tab/>
          </w:r>
          <w:r>
            <w:rPr/>
            <w:t>Total Radiated Sensitivity (TRS) for E-UTRA TDD in Speech Mode with beside the Head and Hand Phantom</w:t>
            <w:tab/>
          </w:r>
          <w:hyperlink w:anchor="__RefHeading___Toc68601195">
            <w:r>
              <w:rPr>
                <w:rStyle w:val="IndexLink"/>
              </w:rPr>
              <w:t>122</w:t>
            </w:r>
          </w:hyperlink>
        </w:p>
        <w:p>
          <w:pPr>
            <w:pStyle w:val="Contents4"/>
            <w:rPr>
              <w:rFonts w:ascii="Calibri" w:hAnsi="Calibri" w:cs="Calibri"/>
              <w:sz w:val="22"/>
              <w:szCs w:val="22"/>
            </w:rPr>
          </w:pPr>
          <w:r>
            <w:rPr/>
            <w:t>7.1.6.1</w:t>
          </w:r>
          <w:r>
            <w:rPr>
              <w:rFonts w:cs="Calibri" w:ascii="Calibri" w:hAnsi="Calibri"/>
              <w:sz w:val="22"/>
              <w:szCs w:val="22"/>
            </w:rPr>
            <w:tab/>
          </w:r>
          <w:r>
            <w:rPr/>
            <w:t>Definition and applicability</w:t>
            <w:tab/>
          </w:r>
          <w:hyperlink w:anchor="__RefHeading___Toc68601196">
            <w:r>
              <w:rPr>
                <w:rStyle w:val="IndexLink"/>
              </w:rPr>
              <w:t>122</w:t>
            </w:r>
          </w:hyperlink>
        </w:p>
        <w:p>
          <w:pPr>
            <w:pStyle w:val="Contents4"/>
            <w:rPr>
              <w:rFonts w:ascii="Calibri" w:hAnsi="Calibri" w:cs="Calibri"/>
              <w:sz w:val="22"/>
              <w:szCs w:val="22"/>
            </w:rPr>
          </w:pPr>
          <w:r>
            <w:rPr/>
            <w:t>7.1.6.2</w:t>
          </w:r>
          <w:r>
            <w:rPr>
              <w:rFonts w:cs="Calibri" w:ascii="Calibri" w:hAnsi="Calibri"/>
              <w:sz w:val="22"/>
              <w:szCs w:val="22"/>
            </w:rPr>
            <w:tab/>
          </w:r>
          <w:r>
            <w:rPr/>
            <w:t>Minimum Requirements</w:t>
            <w:tab/>
          </w:r>
          <w:hyperlink w:anchor="__RefHeading___Toc68601197">
            <w:r>
              <w:rPr>
                <w:rStyle w:val="IndexLink"/>
              </w:rPr>
              <w:t>123</w:t>
            </w:r>
          </w:hyperlink>
        </w:p>
        <w:p>
          <w:pPr>
            <w:pStyle w:val="Contents4"/>
            <w:rPr>
              <w:rFonts w:ascii="Calibri" w:hAnsi="Calibri" w:cs="Calibri"/>
              <w:sz w:val="22"/>
              <w:szCs w:val="22"/>
            </w:rPr>
          </w:pPr>
          <w:r>
            <w:rPr/>
            <w:t>7.1.6.3</w:t>
          </w:r>
          <w:r>
            <w:rPr>
              <w:rFonts w:cs="Calibri" w:ascii="Calibri" w:hAnsi="Calibri"/>
              <w:sz w:val="22"/>
              <w:szCs w:val="22"/>
            </w:rPr>
            <w:tab/>
          </w:r>
          <w:r>
            <w:rPr/>
            <w:t>Test purpose</w:t>
            <w:tab/>
          </w:r>
          <w:hyperlink w:anchor="__RefHeading___Toc68601198">
            <w:r>
              <w:rPr>
                <w:rStyle w:val="IndexLink"/>
              </w:rPr>
              <w:t>124</w:t>
            </w:r>
          </w:hyperlink>
        </w:p>
        <w:p>
          <w:pPr>
            <w:pStyle w:val="Contents4"/>
            <w:rPr>
              <w:rFonts w:ascii="Calibri" w:hAnsi="Calibri" w:cs="Calibri"/>
              <w:sz w:val="22"/>
              <w:szCs w:val="22"/>
            </w:rPr>
          </w:pPr>
          <w:r>
            <w:rPr/>
            <w:t>7.1.6.4</w:t>
          </w:r>
          <w:r>
            <w:rPr>
              <w:rFonts w:cs="Calibri" w:ascii="Calibri" w:hAnsi="Calibri"/>
              <w:sz w:val="22"/>
              <w:szCs w:val="22"/>
            </w:rPr>
            <w:tab/>
          </w:r>
          <w:r>
            <w:rPr/>
            <w:t>Method of test</w:t>
            <w:tab/>
          </w:r>
          <w:hyperlink w:anchor="__RefHeading___Toc68601199">
            <w:r>
              <w:rPr>
                <w:rStyle w:val="IndexLink"/>
              </w:rPr>
              <w:t>124</w:t>
            </w:r>
          </w:hyperlink>
        </w:p>
        <w:p>
          <w:pPr>
            <w:pStyle w:val="Contents4"/>
            <w:rPr>
              <w:rFonts w:ascii="Calibri" w:hAnsi="Calibri" w:cs="Calibri"/>
              <w:sz w:val="22"/>
              <w:szCs w:val="22"/>
            </w:rPr>
          </w:pPr>
          <w:r>
            <w:rPr/>
            <w:t>7.1.6.4.1</w:t>
          </w:r>
          <w:r>
            <w:rPr>
              <w:rFonts w:cs="Calibri" w:ascii="Calibri" w:hAnsi="Calibri"/>
              <w:sz w:val="22"/>
              <w:szCs w:val="22"/>
            </w:rPr>
            <w:tab/>
          </w:r>
          <w:r>
            <w:rPr/>
            <w:t>Initial conditions</w:t>
            <w:tab/>
          </w:r>
          <w:hyperlink w:anchor="__RefHeading___Toc68601200">
            <w:r>
              <w:rPr>
                <w:rStyle w:val="IndexLink"/>
              </w:rPr>
              <w:t>124</w:t>
            </w:r>
          </w:hyperlink>
        </w:p>
        <w:p>
          <w:pPr>
            <w:pStyle w:val="Contents4"/>
            <w:rPr>
              <w:rFonts w:ascii="Calibri" w:hAnsi="Calibri" w:cs="Calibri"/>
              <w:sz w:val="22"/>
              <w:szCs w:val="22"/>
            </w:rPr>
          </w:pPr>
          <w:r>
            <w:rPr/>
            <w:t>7.1.6.4.2</w:t>
          </w:r>
          <w:r>
            <w:rPr>
              <w:rFonts w:cs="Calibri" w:ascii="Calibri" w:hAnsi="Calibri"/>
              <w:sz w:val="22"/>
              <w:szCs w:val="22"/>
            </w:rPr>
            <w:tab/>
          </w:r>
          <w:r>
            <w:rPr/>
            <w:t>Procedure</w:t>
            <w:tab/>
          </w:r>
          <w:hyperlink w:anchor="__RefHeading___Toc68601201">
            <w:r>
              <w:rPr>
                <w:rStyle w:val="IndexLink"/>
              </w:rPr>
              <w:t>124</w:t>
            </w:r>
          </w:hyperlink>
        </w:p>
        <w:p>
          <w:pPr>
            <w:pStyle w:val="Contents4"/>
            <w:rPr>
              <w:rFonts w:ascii="Calibri" w:hAnsi="Calibri" w:cs="Calibri"/>
              <w:sz w:val="22"/>
              <w:szCs w:val="22"/>
            </w:rPr>
          </w:pPr>
          <w:r>
            <w:rPr/>
            <w:t>7.1.6.4.3</w:t>
          </w:r>
          <w:r>
            <w:rPr>
              <w:rFonts w:cs="Calibri" w:ascii="Calibri" w:hAnsi="Calibri"/>
              <w:sz w:val="22"/>
              <w:szCs w:val="22"/>
            </w:rPr>
            <w:tab/>
          </w:r>
          <w:r>
            <w:rPr/>
            <w:t>Procedure, reverberation chamber method</w:t>
            <w:tab/>
          </w:r>
          <w:hyperlink w:anchor="__RefHeading___Toc68601202">
            <w:r>
              <w:rPr>
                <w:rStyle w:val="IndexLink"/>
              </w:rPr>
              <w:t>124</w:t>
            </w:r>
          </w:hyperlink>
        </w:p>
        <w:p>
          <w:pPr>
            <w:pStyle w:val="Contents4"/>
            <w:rPr>
              <w:rFonts w:ascii="Calibri" w:hAnsi="Calibri" w:cs="Calibri"/>
              <w:sz w:val="22"/>
              <w:szCs w:val="22"/>
            </w:rPr>
          </w:pPr>
          <w:r>
            <w:rPr/>
            <w:t>7.1.6.5</w:t>
          </w:r>
          <w:r>
            <w:rPr>
              <w:rFonts w:cs="Calibri" w:ascii="Calibri" w:hAnsi="Calibri"/>
              <w:sz w:val="22"/>
              <w:szCs w:val="22"/>
            </w:rPr>
            <w:tab/>
          </w:r>
          <w:r>
            <w:rPr/>
            <w:t>Test requirements</w:t>
            <w:tab/>
          </w:r>
          <w:hyperlink w:anchor="__RefHeading___Toc68601203">
            <w:r>
              <w:rPr>
                <w:rStyle w:val="IndexLink"/>
              </w:rPr>
              <w:t>125</w:t>
            </w:r>
          </w:hyperlink>
        </w:p>
        <w:p>
          <w:pPr>
            <w:pStyle w:val="Contents3"/>
            <w:rPr>
              <w:rFonts w:ascii="Calibri" w:hAnsi="Calibri" w:cs="Calibri"/>
              <w:sz w:val="22"/>
              <w:szCs w:val="22"/>
            </w:rPr>
          </w:pPr>
          <w:r>
            <w:rPr>
              <w:lang w:val="en-US" w:eastAsia="en-US"/>
            </w:rPr>
            <w:t>7</w:t>
          </w:r>
          <w:r>
            <w:rPr/>
            <w:t>.1.7</w:t>
          </w:r>
          <w:r>
            <w:rPr>
              <w:rFonts w:cs="Calibri" w:ascii="Calibri" w:hAnsi="Calibri"/>
              <w:sz w:val="22"/>
              <w:szCs w:val="22"/>
            </w:rPr>
            <w:tab/>
          </w:r>
          <w:r>
            <w:rPr>
              <w:rFonts w:cs="Arial"/>
              <w:color w:val="000000"/>
            </w:rPr>
            <w:t xml:space="preserve">Total Radiated Sensitivity (TRS) for </w:t>
          </w:r>
          <w:r>
            <w:rPr/>
            <w:t>UTRA FDD in Browsing Mode with Hand Phantom</w:t>
            <w:tab/>
          </w:r>
          <w:hyperlink w:anchor="__RefHeading___Toc68601204">
            <w:r>
              <w:rPr>
                <w:rStyle w:val="IndexLink"/>
              </w:rPr>
              <w:t>125</w:t>
            </w:r>
          </w:hyperlink>
        </w:p>
        <w:p>
          <w:pPr>
            <w:pStyle w:val="Contents4"/>
            <w:rPr>
              <w:rFonts w:ascii="Calibri" w:hAnsi="Calibri" w:cs="Calibri"/>
              <w:sz w:val="22"/>
              <w:szCs w:val="22"/>
            </w:rPr>
          </w:pPr>
          <w:r>
            <w:rPr/>
            <w:t>7.1.7.1</w:t>
          </w:r>
          <w:r>
            <w:rPr>
              <w:rFonts w:cs="Calibri" w:ascii="Calibri" w:hAnsi="Calibri"/>
              <w:sz w:val="22"/>
              <w:szCs w:val="22"/>
            </w:rPr>
            <w:tab/>
          </w:r>
          <w:r>
            <w:rPr/>
            <w:t>Definition and applicability</w:t>
            <w:tab/>
          </w:r>
          <w:hyperlink w:anchor="__RefHeading___Toc68601205">
            <w:r>
              <w:rPr>
                <w:rStyle w:val="IndexLink"/>
              </w:rPr>
              <w:t>125</w:t>
            </w:r>
          </w:hyperlink>
        </w:p>
        <w:p>
          <w:pPr>
            <w:pStyle w:val="Contents4"/>
            <w:rPr>
              <w:rFonts w:ascii="Calibri" w:hAnsi="Calibri" w:cs="Calibri"/>
              <w:sz w:val="22"/>
              <w:szCs w:val="22"/>
            </w:rPr>
          </w:pPr>
          <w:r>
            <w:rPr/>
            <w:t>7.1.7.2</w:t>
          </w:r>
          <w:r>
            <w:rPr>
              <w:rFonts w:cs="Calibri" w:ascii="Calibri" w:hAnsi="Calibri"/>
              <w:sz w:val="22"/>
              <w:szCs w:val="22"/>
            </w:rPr>
            <w:tab/>
          </w:r>
          <w:r>
            <w:rPr/>
            <w:t>Minimum Requirements</w:t>
            <w:tab/>
          </w:r>
          <w:hyperlink w:anchor="__RefHeading___Toc68601206">
            <w:r>
              <w:rPr>
                <w:rStyle w:val="IndexLink"/>
              </w:rPr>
              <w:t>126</w:t>
            </w:r>
          </w:hyperlink>
        </w:p>
        <w:p>
          <w:pPr>
            <w:pStyle w:val="Contents4"/>
            <w:rPr>
              <w:rFonts w:ascii="Calibri" w:hAnsi="Calibri" w:cs="Calibri"/>
              <w:sz w:val="22"/>
              <w:szCs w:val="22"/>
            </w:rPr>
          </w:pPr>
          <w:r>
            <w:rPr/>
            <w:t>7.1.7.3</w:t>
          </w:r>
          <w:r>
            <w:rPr>
              <w:rFonts w:cs="Calibri" w:ascii="Calibri" w:hAnsi="Calibri"/>
              <w:sz w:val="22"/>
              <w:szCs w:val="22"/>
            </w:rPr>
            <w:tab/>
          </w:r>
          <w:r>
            <w:rPr/>
            <w:t>Test purpose</w:t>
            <w:tab/>
          </w:r>
          <w:hyperlink w:anchor="__RefHeading___Toc68601207">
            <w:r>
              <w:rPr>
                <w:rStyle w:val="IndexLink"/>
              </w:rPr>
              <w:t>126</w:t>
            </w:r>
          </w:hyperlink>
        </w:p>
        <w:p>
          <w:pPr>
            <w:pStyle w:val="Contents4"/>
            <w:rPr>
              <w:rFonts w:ascii="Calibri" w:hAnsi="Calibri" w:cs="Calibri"/>
              <w:sz w:val="22"/>
              <w:szCs w:val="22"/>
            </w:rPr>
          </w:pPr>
          <w:r>
            <w:rPr/>
            <w:t>7.1.7.4</w:t>
          </w:r>
          <w:r>
            <w:rPr>
              <w:rFonts w:cs="Calibri" w:ascii="Calibri" w:hAnsi="Calibri"/>
              <w:sz w:val="22"/>
              <w:szCs w:val="22"/>
            </w:rPr>
            <w:tab/>
          </w:r>
          <w:r>
            <w:rPr/>
            <w:t>Method of test</w:t>
            <w:tab/>
          </w:r>
          <w:hyperlink w:anchor="__RefHeading___Toc68601208">
            <w:r>
              <w:rPr>
                <w:rStyle w:val="IndexLink"/>
              </w:rPr>
              <w:t>127</w:t>
            </w:r>
          </w:hyperlink>
        </w:p>
        <w:p>
          <w:pPr>
            <w:pStyle w:val="Contents4"/>
            <w:rPr>
              <w:rFonts w:ascii="Calibri" w:hAnsi="Calibri" w:cs="Calibri"/>
              <w:sz w:val="22"/>
              <w:szCs w:val="22"/>
            </w:rPr>
          </w:pPr>
          <w:r>
            <w:rPr/>
            <w:t>7.1.7.4.1</w:t>
          </w:r>
          <w:r>
            <w:rPr>
              <w:rFonts w:cs="Calibri" w:ascii="Calibri" w:hAnsi="Calibri"/>
              <w:sz w:val="22"/>
              <w:szCs w:val="22"/>
            </w:rPr>
            <w:tab/>
          </w:r>
          <w:r>
            <w:rPr/>
            <w:t>Initial conditions</w:t>
            <w:tab/>
          </w:r>
          <w:hyperlink w:anchor="__RefHeading___Toc68601209">
            <w:r>
              <w:rPr>
                <w:rStyle w:val="IndexLink"/>
              </w:rPr>
              <w:t>127</w:t>
            </w:r>
          </w:hyperlink>
        </w:p>
        <w:p>
          <w:pPr>
            <w:pStyle w:val="Contents4"/>
            <w:rPr>
              <w:rFonts w:ascii="Calibri" w:hAnsi="Calibri" w:cs="Calibri"/>
              <w:sz w:val="22"/>
              <w:szCs w:val="22"/>
            </w:rPr>
          </w:pPr>
          <w:r>
            <w:rPr/>
            <w:t>7.1.7.4.2</w:t>
          </w:r>
          <w:r>
            <w:rPr>
              <w:rFonts w:cs="Calibri" w:ascii="Calibri" w:hAnsi="Calibri"/>
              <w:sz w:val="22"/>
              <w:szCs w:val="22"/>
            </w:rPr>
            <w:tab/>
          </w:r>
          <w:r>
            <w:rPr/>
            <w:t>Procedure</w:t>
            <w:tab/>
          </w:r>
          <w:hyperlink w:anchor="__RefHeading___Toc68601210">
            <w:r>
              <w:rPr>
                <w:rStyle w:val="IndexLink"/>
              </w:rPr>
              <w:t>127</w:t>
            </w:r>
          </w:hyperlink>
        </w:p>
        <w:p>
          <w:pPr>
            <w:pStyle w:val="Contents4"/>
            <w:rPr>
              <w:rFonts w:ascii="Calibri" w:hAnsi="Calibri" w:cs="Calibri"/>
              <w:sz w:val="22"/>
              <w:szCs w:val="22"/>
            </w:rPr>
          </w:pPr>
          <w:r>
            <w:rPr/>
            <w:t>7.1.7.4.3</w:t>
          </w:r>
          <w:r>
            <w:rPr>
              <w:rFonts w:cs="Calibri" w:ascii="Calibri" w:hAnsi="Calibri"/>
              <w:sz w:val="22"/>
              <w:szCs w:val="22"/>
            </w:rPr>
            <w:tab/>
          </w:r>
          <w:r>
            <w:rPr/>
            <w:t>Procedure, reverberation chamber method</w:t>
            <w:tab/>
          </w:r>
          <w:hyperlink w:anchor="__RefHeading___Toc68601211">
            <w:r>
              <w:rPr>
                <w:rStyle w:val="IndexLink"/>
              </w:rPr>
              <w:t>128</w:t>
            </w:r>
          </w:hyperlink>
        </w:p>
        <w:p>
          <w:pPr>
            <w:pStyle w:val="Contents4"/>
            <w:rPr>
              <w:rFonts w:ascii="Calibri" w:hAnsi="Calibri" w:cs="Calibri"/>
              <w:sz w:val="22"/>
              <w:szCs w:val="22"/>
            </w:rPr>
          </w:pPr>
          <w:r>
            <w:rPr/>
            <w:t>7.1.7.5</w:t>
          </w:r>
          <w:r>
            <w:rPr>
              <w:rFonts w:cs="Calibri" w:ascii="Calibri" w:hAnsi="Calibri"/>
              <w:sz w:val="22"/>
              <w:szCs w:val="22"/>
            </w:rPr>
            <w:tab/>
          </w:r>
          <w:r>
            <w:rPr/>
            <w:t>Test requirements</w:t>
            <w:tab/>
          </w:r>
          <w:hyperlink w:anchor="__RefHeading___Toc68601212">
            <w:r>
              <w:rPr>
                <w:rStyle w:val="IndexLink"/>
              </w:rPr>
              <w:t>128</w:t>
            </w:r>
          </w:hyperlink>
        </w:p>
        <w:p>
          <w:pPr>
            <w:pStyle w:val="Contents3"/>
            <w:rPr>
              <w:rFonts w:ascii="Calibri" w:hAnsi="Calibri" w:cs="Calibri"/>
              <w:sz w:val="22"/>
              <w:szCs w:val="22"/>
            </w:rPr>
          </w:pPr>
          <w:r>
            <w:rPr>
              <w:lang w:val="en-US" w:eastAsia="en-US"/>
            </w:rPr>
            <w:t>7</w:t>
          </w:r>
          <w:r>
            <w:rPr/>
            <w:t>.1.8</w:t>
          </w:r>
          <w:r>
            <w:rPr>
              <w:rFonts w:cs="Calibri" w:ascii="Calibri" w:hAnsi="Calibri"/>
              <w:sz w:val="22"/>
              <w:szCs w:val="22"/>
            </w:rPr>
            <w:tab/>
          </w:r>
          <w:r>
            <w:rPr/>
            <w:t>Total Radiated Sensitivity (TRS) for UTRA LCR TDD in Browsing Mode with Hand Phantom</w:t>
            <w:tab/>
          </w:r>
          <w:hyperlink w:anchor="__RefHeading___Toc68601213">
            <w:r>
              <w:rPr>
                <w:rStyle w:val="IndexLink"/>
              </w:rPr>
              <w:t>129</w:t>
            </w:r>
          </w:hyperlink>
        </w:p>
        <w:p>
          <w:pPr>
            <w:pStyle w:val="Contents4"/>
            <w:rPr>
              <w:rFonts w:ascii="Calibri" w:hAnsi="Calibri" w:cs="Calibri"/>
              <w:sz w:val="22"/>
              <w:szCs w:val="22"/>
            </w:rPr>
          </w:pPr>
          <w:r>
            <w:rPr/>
            <w:t>7.1.8.1</w:t>
          </w:r>
          <w:r>
            <w:rPr>
              <w:rFonts w:cs="Calibri" w:ascii="Calibri" w:hAnsi="Calibri"/>
              <w:sz w:val="22"/>
              <w:szCs w:val="22"/>
            </w:rPr>
            <w:tab/>
          </w:r>
          <w:r>
            <w:rPr/>
            <w:t>Definition and applicability</w:t>
            <w:tab/>
          </w:r>
          <w:hyperlink w:anchor="__RefHeading___Toc68601214">
            <w:r>
              <w:rPr>
                <w:rStyle w:val="IndexLink"/>
              </w:rPr>
              <w:t>129</w:t>
            </w:r>
          </w:hyperlink>
        </w:p>
        <w:p>
          <w:pPr>
            <w:pStyle w:val="Contents4"/>
            <w:rPr>
              <w:rFonts w:ascii="Calibri" w:hAnsi="Calibri" w:cs="Calibri"/>
              <w:sz w:val="22"/>
              <w:szCs w:val="22"/>
            </w:rPr>
          </w:pPr>
          <w:r>
            <w:rPr/>
            <w:t>7.1.8.2</w:t>
          </w:r>
          <w:r>
            <w:rPr>
              <w:rFonts w:cs="Calibri" w:ascii="Calibri" w:hAnsi="Calibri"/>
              <w:sz w:val="22"/>
              <w:szCs w:val="22"/>
            </w:rPr>
            <w:tab/>
          </w:r>
          <w:r>
            <w:rPr/>
            <w:t>Minimum Requirements</w:t>
            <w:tab/>
          </w:r>
          <w:hyperlink w:anchor="__RefHeading___Toc68601215">
            <w:r>
              <w:rPr>
                <w:rStyle w:val="IndexLink"/>
              </w:rPr>
              <w:t>129</w:t>
            </w:r>
          </w:hyperlink>
        </w:p>
        <w:p>
          <w:pPr>
            <w:pStyle w:val="Contents4"/>
            <w:rPr>
              <w:rFonts w:ascii="Calibri" w:hAnsi="Calibri" w:cs="Calibri"/>
              <w:sz w:val="22"/>
              <w:szCs w:val="22"/>
            </w:rPr>
          </w:pPr>
          <w:r>
            <w:rPr/>
            <w:t>7.1.8.3</w:t>
          </w:r>
          <w:r>
            <w:rPr>
              <w:rFonts w:cs="Calibri" w:ascii="Calibri" w:hAnsi="Calibri"/>
              <w:sz w:val="22"/>
              <w:szCs w:val="22"/>
            </w:rPr>
            <w:tab/>
          </w:r>
          <w:r>
            <w:rPr/>
            <w:t>Test purpose</w:t>
            <w:tab/>
          </w:r>
          <w:hyperlink w:anchor="__RefHeading___Toc68601216">
            <w:r>
              <w:rPr>
                <w:rStyle w:val="IndexLink"/>
              </w:rPr>
              <w:t>130</w:t>
            </w:r>
          </w:hyperlink>
        </w:p>
        <w:p>
          <w:pPr>
            <w:pStyle w:val="Contents4"/>
            <w:rPr>
              <w:rFonts w:ascii="Calibri" w:hAnsi="Calibri" w:cs="Calibri"/>
              <w:sz w:val="22"/>
              <w:szCs w:val="22"/>
            </w:rPr>
          </w:pPr>
          <w:r>
            <w:rPr/>
            <w:t>7.1.8.4</w:t>
          </w:r>
          <w:r>
            <w:rPr>
              <w:rFonts w:cs="Calibri" w:ascii="Calibri" w:hAnsi="Calibri"/>
              <w:sz w:val="22"/>
              <w:szCs w:val="22"/>
            </w:rPr>
            <w:tab/>
          </w:r>
          <w:r>
            <w:rPr/>
            <w:t>Method of test</w:t>
            <w:tab/>
          </w:r>
          <w:hyperlink w:anchor="__RefHeading___Toc68601217">
            <w:r>
              <w:rPr>
                <w:rStyle w:val="IndexLink"/>
              </w:rPr>
              <w:t>130</w:t>
            </w:r>
          </w:hyperlink>
        </w:p>
        <w:p>
          <w:pPr>
            <w:pStyle w:val="Contents4"/>
            <w:rPr>
              <w:rFonts w:ascii="Calibri" w:hAnsi="Calibri" w:cs="Calibri"/>
              <w:sz w:val="22"/>
              <w:szCs w:val="22"/>
            </w:rPr>
          </w:pPr>
          <w:r>
            <w:rPr/>
            <w:t>7.1.8.4.1</w:t>
          </w:r>
          <w:r>
            <w:rPr>
              <w:rFonts w:cs="Calibri" w:ascii="Calibri" w:hAnsi="Calibri"/>
              <w:sz w:val="22"/>
              <w:szCs w:val="22"/>
            </w:rPr>
            <w:tab/>
          </w:r>
          <w:r>
            <w:rPr/>
            <w:t>Initial conditions</w:t>
            <w:tab/>
          </w:r>
          <w:hyperlink w:anchor="__RefHeading___Toc68601218">
            <w:r>
              <w:rPr>
                <w:rStyle w:val="IndexLink"/>
              </w:rPr>
              <w:t>130</w:t>
            </w:r>
          </w:hyperlink>
        </w:p>
        <w:p>
          <w:pPr>
            <w:pStyle w:val="Contents4"/>
            <w:rPr>
              <w:rFonts w:ascii="Calibri" w:hAnsi="Calibri" w:cs="Calibri"/>
              <w:sz w:val="22"/>
              <w:szCs w:val="22"/>
            </w:rPr>
          </w:pPr>
          <w:r>
            <w:rPr/>
            <w:t>7.1.8.4.2</w:t>
          </w:r>
          <w:r>
            <w:rPr>
              <w:rFonts w:cs="Calibri" w:ascii="Calibri" w:hAnsi="Calibri"/>
              <w:sz w:val="22"/>
              <w:szCs w:val="22"/>
            </w:rPr>
            <w:tab/>
          </w:r>
          <w:r>
            <w:rPr/>
            <w:t>Procedure</w:t>
            <w:tab/>
          </w:r>
          <w:hyperlink w:anchor="__RefHeading___Toc68601219">
            <w:r>
              <w:rPr>
                <w:rStyle w:val="IndexLink"/>
              </w:rPr>
              <w:t>131</w:t>
            </w:r>
          </w:hyperlink>
        </w:p>
        <w:p>
          <w:pPr>
            <w:pStyle w:val="Contents4"/>
            <w:rPr>
              <w:rFonts w:ascii="Calibri" w:hAnsi="Calibri" w:cs="Calibri"/>
              <w:sz w:val="22"/>
              <w:szCs w:val="22"/>
            </w:rPr>
          </w:pPr>
          <w:r>
            <w:rPr/>
            <w:t>7.1.8.4.3</w:t>
          </w:r>
          <w:r>
            <w:rPr>
              <w:rFonts w:cs="Calibri" w:ascii="Calibri" w:hAnsi="Calibri"/>
              <w:sz w:val="22"/>
              <w:szCs w:val="22"/>
            </w:rPr>
            <w:tab/>
          </w:r>
          <w:r>
            <w:rPr/>
            <w:t>Procedure, reverberation chamber method</w:t>
            <w:tab/>
          </w:r>
          <w:hyperlink w:anchor="__RefHeading___Toc68601220">
            <w:r>
              <w:rPr>
                <w:rStyle w:val="IndexLink"/>
              </w:rPr>
              <w:t>131</w:t>
            </w:r>
          </w:hyperlink>
        </w:p>
        <w:p>
          <w:pPr>
            <w:pStyle w:val="Contents4"/>
            <w:rPr>
              <w:rFonts w:ascii="Calibri" w:hAnsi="Calibri" w:cs="Calibri"/>
              <w:sz w:val="22"/>
              <w:szCs w:val="22"/>
            </w:rPr>
          </w:pPr>
          <w:r>
            <w:rPr/>
            <w:t>7.1.8.5</w:t>
          </w:r>
          <w:r>
            <w:rPr>
              <w:rFonts w:cs="Calibri" w:ascii="Calibri" w:hAnsi="Calibri"/>
              <w:sz w:val="22"/>
              <w:szCs w:val="22"/>
            </w:rPr>
            <w:tab/>
          </w:r>
          <w:r>
            <w:rPr/>
            <w:t>Test requirements</w:t>
            <w:tab/>
          </w:r>
          <w:hyperlink w:anchor="__RefHeading___Toc68601221">
            <w:r>
              <w:rPr>
                <w:rStyle w:val="IndexLink"/>
              </w:rPr>
              <w:t>131</w:t>
            </w:r>
          </w:hyperlink>
        </w:p>
        <w:p>
          <w:pPr>
            <w:pStyle w:val="Contents3"/>
            <w:rPr>
              <w:rFonts w:ascii="Calibri" w:hAnsi="Calibri" w:cs="Calibri"/>
              <w:sz w:val="22"/>
              <w:szCs w:val="22"/>
            </w:rPr>
          </w:pPr>
          <w:r>
            <w:rPr>
              <w:lang w:val="en-US" w:eastAsia="en-US"/>
            </w:rPr>
            <w:t>7</w:t>
          </w:r>
          <w:r>
            <w:rPr/>
            <w:t>.1.9</w:t>
          </w:r>
          <w:r>
            <w:rPr>
              <w:rFonts w:cs="Calibri" w:ascii="Calibri" w:hAnsi="Calibri"/>
              <w:sz w:val="22"/>
              <w:szCs w:val="22"/>
            </w:rPr>
            <w:tab/>
          </w:r>
          <w:r>
            <w:rPr>
              <w:rFonts w:cs="Arial"/>
              <w:color w:val="000000"/>
            </w:rPr>
            <w:t xml:space="preserve">Total Radiated Sensitivity (TRS) for </w:t>
          </w:r>
          <w:r>
            <w:rPr/>
            <w:t>E-UTRA FDD in Browsing Mode with Hand Phantom</w:t>
            <w:tab/>
          </w:r>
          <w:hyperlink w:anchor="__RefHeading___Toc68601222">
            <w:r>
              <w:rPr>
                <w:rStyle w:val="IndexLink"/>
              </w:rPr>
              <w:t>132</w:t>
            </w:r>
          </w:hyperlink>
        </w:p>
        <w:p>
          <w:pPr>
            <w:pStyle w:val="Contents4"/>
            <w:rPr>
              <w:rFonts w:ascii="Calibri" w:hAnsi="Calibri" w:cs="Calibri"/>
              <w:sz w:val="22"/>
              <w:szCs w:val="22"/>
            </w:rPr>
          </w:pPr>
          <w:r>
            <w:rPr/>
            <w:t>7.1.9.1</w:t>
          </w:r>
          <w:r>
            <w:rPr>
              <w:rFonts w:cs="Calibri" w:ascii="Calibri" w:hAnsi="Calibri"/>
              <w:sz w:val="22"/>
              <w:szCs w:val="22"/>
            </w:rPr>
            <w:tab/>
          </w:r>
          <w:r>
            <w:rPr/>
            <w:t>Definition and applicability</w:t>
            <w:tab/>
          </w:r>
          <w:hyperlink w:anchor="__RefHeading___Toc68601223">
            <w:r>
              <w:rPr>
                <w:rStyle w:val="IndexLink"/>
              </w:rPr>
              <w:t>132</w:t>
            </w:r>
          </w:hyperlink>
        </w:p>
        <w:p>
          <w:pPr>
            <w:pStyle w:val="Contents4"/>
            <w:rPr>
              <w:rFonts w:ascii="Calibri" w:hAnsi="Calibri" w:cs="Calibri"/>
              <w:sz w:val="22"/>
              <w:szCs w:val="22"/>
            </w:rPr>
          </w:pPr>
          <w:r>
            <w:rPr/>
            <w:t>7.1.9.2</w:t>
          </w:r>
          <w:r>
            <w:rPr>
              <w:rFonts w:cs="Calibri" w:ascii="Calibri" w:hAnsi="Calibri"/>
              <w:sz w:val="22"/>
              <w:szCs w:val="22"/>
            </w:rPr>
            <w:tab/>
          </w:r>
          <w:r>
            <w:rPr/>
            <w:t>Minimum Requirements</w:t>
            <w:tab/>
          </w:r>
          <w:hyperlink w:anchor="__RefHeading___Toc68601224">
            <w:r>
              <w:rPr>
                <w:rStyle w:val="IndexLink"/>
              </w:rPr>
              <w:t>133</w:t>
            </w:r>
          </w:hyperlink>
        </w:p>
        <w:p>
          <w:pPr>
            <w:pStyle w:val="Contents4"/>
            <w:rPr>
              <w:rFonts w:ascii="Calibri" w:hAnsi="Calibri" w:cs="Calibri"/>
              <w:sz w:val="22"/>
              <w:szCs w:val="22"/>
            </w:rPr>
          </w:pPr>
          <w:r>
            <w:rPr/>
            <w:t>7.1.9.3</w:t>
          </w:r>
          <w:r>
            <w:rPr>
              <w:rFonts w:cs="Calibri" w:ascii="Calibri" w:hAnsi="Calibri"/>
              <w:sz w:val="22"/>
              <w:szCs w:val="22"/>
            </w:rPr>
            <w:tab/>
          </w:r>
          <w:r>
            <w:rPr/>
            <w:t>Test purpose</w:t>
            <w:tab/>
          </w:r>
          <w:hyperlink w:anchor="__RefHeading___Toc68601225">
            <w:r>
              <w:rPr>
                <w:rStyle w:val="IndexLink"/>
              </w:rPr>
              <w:t>133</w:t>
            </w:r>
          </w:hyperlink>
        </w:p>
        <w:p>
          <w:pPr>
            <w:pStyle w:val="Contents4"/>
            <w:rPr>
              <w:rFonts w:ascii="Calibri" w:hAnsi="Calibri" w:cs="Calibri"/>
              <w:sz w:val="22"/>
              <w:szCs w:val="22"/>
            </w:rPr>
          </w:pPr>
          <w:r>
            <w:rPr/>
            <w:t>7.1.9.4</w:t>
          </w:r>
          <w:r>
            <w:rPr>
              <w:rFonts w:cs="Calibri" w:ascii="Calibri" w:hAnsi="Calibri"/>
              <w:sz w:val="22"/>
              <w:szCs w:val="22"/>
            </w:rPr>
            <w:tab/>
          </w:r>
          <w:r>
            <w:rPr/>
            <w:t>Method of test</w:t>
            <w:tab/>
          </w:r>
          <w:hyperlink w:anchor="__RefHeading___Toc68601226">
            <w:r>
              <w:rPr>
                <w:rStyle w:val="IndexLink"/>
              </w:rPr>
              <w:t>133</w:t>
            </w:r>
          </w:hyperlink>
        </w:p>
        <w:p>
          <w:pPr>
            <w:pStyle w:val="Contents4"/>
            <w:rPr>
              <w:rFonts w:ascii="Calibri" w:hAnsi="Calibri" w:cs="Calibri"/>
              <w:sz w:val="22"/>
              <w:szCs w:val="22"/>
            </w:rPr>
          </w:pPr>
          <w:r>
            <w:rPr/>
            <w:t>7.1.9.4.1</w:t>
          </w:r>
          <w:r>
            <w:rPr>
              <w:rFonts w:cs="Calibri" w:ascii="Calibri" w:hAnsi="Calibri"/>
              <w:sz w:val="22"/>
              <w:szCs w:val="22"/>
            </w:rPr>
            <w:tab/>
          </w:r>
          <w:r>
            <w:rPr/>
            <w:t>Initial conditions</w:t>
            <w:tab/>
          </w:r>
          <w:hyperlink w:anchor="__RefHeading___Toc68601227">
            <w:r>
              <w:rPr>
                <w:rStyle w:val="IndexLink"/>
              </w:rPr>
              <w:t>133</w:t>
            </w:r>
          </w:hyperlink>
        </w:p>
        <w:p>
          <w:pPr>
            <w:pStyle w:val="Contents4"/>
            <w:rPr>
              <w:rFonts w:ascii="Calibri" w:hAnsi="Calibri" w:cs="Calibri"/>
              <w:sz w:val="22"/>
              <w:szCs w:val="22"/>
            </w:rPr>
          </w:pPr>
          <w:r>
            <w:rPr/>
            <w:t>7.1.9.4.2</w:t>
          </w:r>
          <w:r>
            <w:rPr>
              <w:rFonts w:cs="Calibri" w:ascii="Calibri" w:hAnsi="Calibri"/>
              <w:sz w:val="22"/>
              <w:szCs w:val="22"/>
            </w:rPr>
            <w:tab/>
          </w:r>
          <w:r>
            <w:rPr/>
            <w:t>Procedure</w:t>
            <w:tab/>
          </w:r>
          <w:hyperlink w:anchor="__RefHeading___Toc68601228">
            <w:r>
              <w:rPr>
                <w:rStyle w:val="IndexLink"/>
              </w:rPr>
              <w:t>133</w:t>
            </w:r>
          </w:hyperlink>
        </w:p>
        <w:p>
          <w:pPr>
            <w:pStyle w:val="Contents4"/>
            <w:rPr>
              <w:rFonts w:ascii="Calibri" w:hAnsi="Calibri" w:cs="Calibri"/>
              <w:sz w:val="22"/>
              <w:szCs w:val="22"/>
            </w:rPr>
          </w:pPr>
          <w:r>
            <w:rPr/>
            <w:t>7.1.9.4.3</w:t>
          </w:r>
          <w:r>
            <w:rPr>
              <w:rFonts w:cs="Calibri" w:ascii="Calibri" w:hAnsi="Calibri"/>
              <w:sz w:val="22"/>
              <w:szCs w:val="22"/>
            </w:rPr>
            <w:tab/>
          </w:r>
          <w:r>
            <w:rPr/>
            <w:t>Procedure, reverberation chamber method</w:t>
            <w:tab/>
          </w:r>
          <w:hyperlink w:anchor="__RefHeading___Toc68601229">
            <w:r>
              <w:rPr>
                <w:rStyle w:val="IndexLink"/>
              </w:rPr>
              <w:t>134</w:t>
            </w:r>
          </w:hyperlink>
        </w:p>
        <w:p>
          <w:pPr>
            <w:pStyle w:val="Contents4"/>
            <w:rPr>
              <w:rFonts w:ascii="Calibri" w:hAnsi="Calibri" w:cs="Calibri"/>
              <w:sz w:val="22"/>
              <w:szCs w:val="22"/>
            </w:rPr>
          </w:pPr>
          <w:r>
            <w:rPr/>
            <w:t>7.1.9.5</w:t>
          </w:r>
          <w:r>
            <w:rPr>
              <w:rFonts w:cs="Calibri" w:ascii="Calibri" w:hAnsi="Calibri"/>
              <w:sz w:val="22"/>
              <w:szCs w:val="22"/>
            </w:rPr>
            <w:tab/>
          </w:r>
          <w:r>
            <w:rPr/>
            <w:t>Test requirements</w:t>
            <w:tab/>
          </w:r>
          <w:hyperlink w:anchor="__RefHeading___Toc68601230">
            <w:r>
              <w:rPr>
                <w:rStyle w:val="IndexLink"/>
              </w:rPr>
              <w:t>134</w:t>
            </w:r>
          </w:hyperlink>
        </w:p>
        <w:p>
          <w:pPr>
            <w:pStyle w:val="Contents3"/>
            <w:rPr>
              <w:rFonts w:ascii="Calibri" w:hAnsi="Calibri" w:cs="Calibri"/>
              <w:sz w:val="22"/>
              <w:szCs w:val="22"/>
            </w:rPr>
          </w:pPr>
          <w:r>
            <w:rPr>
              <w:lang w:val="en-US" w:eastAsia="en-US"/>
            </w:rPr>
            <w:t>7</w:t>
          </w:r>
          <w:r>
            <w:rPr/>
            <w:t>.1.10</w:t>
          </w:r>
          <w:r>
            <w:rPr>
              <w:rFonts w:cs="Calibri" w:ascii="Calibri" w:hAnsi="Calibri"/>
              <w:sz w:val="22"/>
              <w:szCs w:val="22"/>
            </w:rPr>
            <w:tab/>
          </w:r>
          <w:r>
            <w:rPr>
              <w:rFonts w:cs="Arial"/>
              <w:color w:val="000000"/>
            </w:rPr>
            <w:t xml:space="preserve">Total Radiated Sensitivity (TRS) for </w:t>
          </w:r>
          <w:r>
            <w:rPr/>
            <w:t>E-UTRA TDD in Browsing Mode with Hand Phantom</w:t>
            <w:tab/>
          </w:r>
          <w:hyperlink w:anchor="__RefHeading___Toc68601231">
            <w:r>
              <w:rPr>
                <w:rStyle w:val="IndexLink"/>
              </w:rPr>
              <w:t>134</w:t>
            </w:r>
          </w:hyperlink>
        </w:p>
        <w:p>
          <w:pPr>
            <w:pStyle w:val="Contents4"/>
            <w:rPr>
              <w:rFonts w:ascii="Calibri" w:hAnsi="Calibri" w:cs="Calibri"/>
              <w:sz w:val="22"/>
              <w:szCs w:val="22"/>
            </w:rPr>
          </w:pPr>
          <w:r>
            <w:rPr/>
            <w:t>7.1.10.1</w:t>
          </w:r>
          <w:r>
            <w:rPr>
              <w:rFonts w:cs="Calibri" w:ascii="Calibri" w:hAnsi="Calibri"/>
              <w:sz w:val="22"/>
              <w:szCs w:val="22"/>
            </w:rPr>
            <w:tab/>
          </w:r>
          <w:r>
            <w:rPr/>
            <w:t>Definition and applicability</w:t>
            <w:tab/>
          </w:r>
          <w:hyperlink w:anchor="__RefHeading___Toc68601232">
            <w:r>
              <w:rPr>
                <w:rStyle w:val="IndexLink"/>
              </w:rPr>
              <w:t>134</w:t>
            </w:r>
          </w:hyperlink>
        </w:p>
        <w:p>
          <w:pPr>
            <w:pStyle w:val="Contents4"/>
            <w:rPr>
              <w:rFonts w:ascii="Calibri" w:hAnsi="Calibri" w:cs="Calibri"/>
              <w:sz w:val="22"/>
              <w:szCs w:val="22"/>
            </w:rPr>
          </w:pPr>
          <w:r>
            <w:rPr/>
            <w:t>7.1.10.2</w:t>
          </w:r>
          <w:r>
            <w:rPr>
              <w:rFonts w:cs="Calibri" w:ascii="Calibri" w:hAnsi="Calibri"/>
              <w:sz w:val="22"/>
              <w:szCs w:val="22"/>
            </w:rPr>
            <w:tab/>
          </w:r>
          <w:r>
            <w:rPr/>
            <w:t>Minimum Requirements</w:t>
            <w:tab/>
          </w:r>
          <w:hyperlink w:anchor="__RefHeading___Toc68601233">
            <w:r>
              <w:rPr>
                <w:rStyle w:val="IndexLink"/>
              </w:rPr>
              <w:t>135</w:t>
            </w:r>
          </w:hyperlink>
        </w:p>
        <w:p>
          <w:pPr>
            <w:pStyle w:val="Contents4"/>
            <w:rPr>
              <w:rFonts w:ascii="Calibri" w:hAnsi="Calibri" w:cs="Calibri"/>
              <w:sz w:val="22"/>
              <w:szCs w:val="22"/>
            </w:rPr>
          </w:pPr>
          <w:r>
            <w:rPr/>
            <w:t>7.1.10.3</w:t>
          </w:r>
          <w:r>
            <w:rPr>
              <w:rFonts w:cs="Calibri" w:ascii="Calibri" w:hAnsi="Calibri"/>
              <w:sz w:val="22"/>
              <w:szCs w:val="22"/>
            </w:rPr>
            <w:tab/>
          </w:r>
          <w:r>
            <w:rPr/>
            <w:t>Test purpose</w:t>
            <w:tab/>
          </w:r>
          <w:hyperlink w:anchor="__RefHeading___Toc68601234">
            <w:r>
              <w:rPr>
                <w:rStyle w:val="IndexLink"/>
              </w:rPr>
              <w:t>135</w:t>
            </w:r>
          </w:hyperlink>
        </w:p>
        <w:p>
          <w:pPr>
            <w:pStyle w:val="Contents4"/>
            <w:rPr>
              <w:rFonts w:ascii="Calibri" w:hAnsi="Calibri" w:cs="Calibri"/>
              <w:sz w:val="22"/>
              <w:szCs w:val="22"/>
            </w:rPr>
          </w:pPr>
          <w:r>
            <w:rPr/>
            <w:t>7.1.10.4</w:t>
          </w:r>
          <w:r>
            <w:rPr>
              <w:rFonts w:cs="Calibri" w:ascii="Calibri" w:hAnsi="Calibri"/>
              <w:sz w:val="22"/>
              <w:szCs w:val="22"/>
            </w:rPr>
            <w:tab/>
          </w:r>
          <w:r>
            <w:rPr/>
            <w:t>Method of test</w:t>
            <w:tab/>
          </w:r>
          <w:hyperlink w:anchor="__RefHeading___Toc68601235">
            <w:r>
              <w:rPr>
                <w:rStyle w:val="IndexLink"/>
              </w:rPr>
              <w:t>135</w:t>
            </w:r>
          </w:hyperlink>
        </w:p>
        <w:p>
          <w:pPr>
            <w:pStyle w:val="Contents4"/>
            <w:rPr>
              <w:rFonts w:ascii="Calibri" w:hAnsi="Calibri" w:cs="Calibri"/>
              <w:sz w:val="22"/>
              <w:szCs w:val="22"/>
            </w:rPr>
          </w:pPr>
          <w:r>
            <w:rPr/>
            <w:t>7.1.10.4.1</w:t>
          </w:r>
          <w:r>
            <w:rPr>
              <w:rFonts w:cs="Calibri" w:ascii="Calibri" w:hAnsi="Calibri"/>
              <w:sz w:val="22"/>
              <w:szCs w:val="22"/>
            </w:rPr>
            <w:tab/>
          </w:r>
          <w:r>
            <w:rPr/>
            <w:t>Initial conditions</w:t>
            <w:tab/>
          </w:r>
          <w:hyperlink w:anchor="__RefHeading___Toc68601236">
            <w:r>
              <w:rPr>
                <w:rStyle w:val="IndexLink"/>
              </w:rPr>
              <w:t>135</w:t>
            </w:r>
          </w:hyperlink>
        </w:p>
        <w:p>
          <w:pPr>
            <w:pStyle w:val="Contents4"/>
            <w:rPr>
              <w:rFonts w:ascii="Calibri" w:hAnsi="Calibri" w:cs="Calibri"/>
              <w:sz w:val="22"/>
              <w:szCs w:val="22"/>
            </w:rPr>
          </w:pPr>
          <w:r>
            <w:rPr/>
            <w:t>7.1.10.4.2</w:t>
          </w:r>
          <w:r>
            <w:rPr>
              <w:rFonts w:cs="Calibri" w:ascii="Calibri" w:hAnsi="Calibri"/>
              <w:sz w:val="22"/>
              <w:szCs w:val="22"/>
            </w:rPr>
            <w:tab/>
          </w:r>
          <w:r>
            <w:rPr/>
            <w:t>Procedure</w:t>
            <w:tab/>
          </w:r>
          <w:hyperlink w:anchor="__RefHeading___Toc68601237">
            <w:r>
              <w:rPr>
                <w:rStyle w:val="IndexLink"/>
              </w:rPr>
              <w:t>136</w:t>
            </w:r>
          </w:hyperlink>
        </w:p>
        <w:p>
          <w:pPr>
            <w:pStyle w:val="Contents4"/>
            <w:rPr>
              <w:rFonts w:ascii="Calibri" w:hAnsi="Calibri" w:cs="Calibri"/>
              <w:sz w:val="22"/>
              <w:szCs w:val="22"/>
            </w:rPr>
          </w:pPr>
          <w:r>
            <w:rPr/>
            <w:t>7.1.10.4.3</w:t>
          </w:r>
          <w:r>
            <w:rPr>
              <w:rFonts w:cs="Calibri" w:ascii="Calibri" w:hAnsi="Calibri"/>
              <w:sz w:val="22"/>
              <w:szCs w:val="22"/>
            </w:rPr>
            <w:tab/>
          </w:r>
          <w:r>
            <w:rPr/>
            <w:t>Procedure, reverberation chamber method</w:t>
            <w:tab/>
          </w:r>
          <w:hyperlink w:anchor="__RefHeading___Toc68601238">
            <w:r>
              <w:rPr>
                <w:rStyle w:val="IndexLink"/>
              </w:rPr>
              <w:t>136</w:t>
            </w:r>
          </w:hyperlink>
        </w:p>
        <w:p>
          <w:pPr>
            <w:pStyle w:val="Contents4"/>
            <w:rPr>
              <w:rFonts w:ascii="Calibri" w:hAnsi="Calibri" w:cs="Calibri"/>
              <w:sz w:val="22"/>
              <w:szCs w:val="22"/>
            </w:rPr>
          </w:pPr>
          <w:r>
            <w:rPr/>
            <w:t>7.1.10.5</w:t>
          </w:r>
          <w:r>
            <w:rPr>
              <w:rFonts w:cs="Calibri" w:ascii="Calibri" w:hAnsi="Calibri"/>
              <w:sz w:val="22"/>
              <w:szCs w:val="22"/>
            </w:rPr>
            <w:tab/>
          </w:r>
          <w:r>
            <w:rPr/>
            <w:t>Test requirements</w:t>
            <w:tab/>
          </w:r>
          <w:hyperlink w:anchor="__RefHeading___Toc68601239">
            <w:r>
              <w:rPr>
                <w:rStyle w:val="IndexLink"/>
              </w:rPr>
              <w:t>136</w:t>
            </w:r>
          </w:hyperlink>
        </w:p>
        <w:p>
          <w:pPr>
            <w:pStyle w:val="Contents2"/>
            <w:rPr>
              <w:rFonts w:ascii="Calibri" w:hAnsi="Calibri" w:cs="Calibri"/>
              <w:sz w:val="22"/>
              <w:szCs w:val="22"/>
            </w:rPr>
          </w:pPr>
          <w:r>
            <w:rPr/>
            <w:t>7.2</w:t>
          </w:r>
          <w:r>
            <w:rPr>
              <w:rFonts w:cs="Calibri" w:ascii="Calibri" w:hAnsi="Calibri"/>
              <w:sz w:val="22"/>
              <w:szCs w:val="22"/>
            </w:rPr>
            <w:tab/>
          </w:r>
          <w:r>
            <w:rPr/>
            <w:t>Performance for LME</w:t>
            <w:tab/>
          </w:r>
          <w:hyperlink w:anchor="__RefHeading___Toc68601240">
            <w:r>
              <w:rPr>
                <w:rStyle w:val="IndexLink"/>
              </w:rPr>
              <w:t>136</w:t>
            </w:r>
          </w:hyperlink>
        </w:p>
        <w:p>
          <w:pPr>
            <w:pStyle w:val="Contents3"/>
            <w:rPr>
              <w:rFonts w:ascii="Calibri" w:hAnsi="Calibri" w:cs="Calibri"/>
              <w:sz w:val="22"/>
              <w:szCs w:val="22"/>
            </w:rPr>
          </w:pPr>
          <w:r>
            <w:rPr>
              <w:lang w:val="en-US" w:eastAsia="en-US"/>
            </w:rPr>
            <w:t>7</w:t>
          </w:r>
          <w:r>
            <w:rPr/>
            <w:t>.</w:t>
          </w:r>
          <w:r>
            <w:rPr>
              <w:lang w:val="en-US" w:eastAsia="en-US"/>
            </w:rPr>
            <w:t>2</w:t>
          </w:r>
          <w:r>
            <w:rPr/>
            <w:t>.1</w:t>
          </w:r>
          <w:r>
            <w:rPr>
              <w:rFonts w:cs="Calibri" w:ascii="Calibri" w:hAnsi="Calibri"/>
              <w:sz w:val="22"/>
              <w:szCs w:val="22"/>
            </w:rPr>
            <w:tab/>
          </w:r>
          <w:r>
            <w:rPr>
              <w:rFonts w:cs="Arial"/>
              <w:color w:val="000000"/>
            </w:rPr>
            <w:t>Total Radiated Sensitivity (TRS) for UTRA FDD LME</w:t>
          </w:r>
          <w:r>
            <w:rPr/>
            <w:tab/>
          </w:r>
          <w:hyperlink w:anchor="__RefHeading___Toc68601241">
            <w:r>
              <w:rPr>
                <w:rStyle w:val="IndexLink"/>
              </w:rPr>
              <w:t>136</w:t>
            </w:r>
          </w:hyperlink>
        </w:p>
        <w:p>
          <w:pPr>
            <w:pStyle w:val="Contents4"/>
            <w:rPr>
              <w:rFonts w:ascii="Calibri" w:hAnsi="Calibri" w:cs="Calibri"/>
              <w:sz w:val="22"/>
              <w:szCs w:val="22"/>
            </w:rPr>
          </w:pPr>
          <w:r>
            <w:rPr/>
            <w:t>7.2.1.1</w:t>
          </w:r>
          <w:r>
            <w:rPr>
              <w:rFonts w:cs="Calibri" w:ascii="Calibri" w:hAnsi="Calibri"/>
              <w:sz w:val="22"/>
              <w:szCs w:val="22"/>
            </w:rPr>
            <w:tab/>
          </w:r>
          <w:r>
            <w:rPr/>
            <w:t>Definition and applicability</w:t>
            <w:tab/>
          </w:r>
          <w:hyperlink w:anchor="__RefHeading___Toc68601242">
            <w:r>
              <w:rPr>
                <w:rStyle w:val="IndexLink"/>
              </w:rPr>
              <w:t>137</w:t>
            </w:r>
          </w:hyperlink>
        </w:p>
        <w:p>
          <w:pPr>
            <w:pStyle w:val="Contents4"/>
            <w:rPr>
              <w:rFonts w:ascii="Calibri" w:hAnsi="Calibri" w:cs="Calibri"/>
              <w:sz w:val="22"/>
              <w:szCs w:val="22"/>
            </w:rPr>
          </w:pPr>
          <w:r>
            <w:rPr/>
            <w:t>7.2.1.2</w:t>
          </w:r>
          <w:r>
            <w:rPr>
              <w:rFonts w:cs="Calibri" w:ascii="Calibri" w:hAnsi="Calibri"/>
              <w:sz w:val="22"/>
              <w:szCs w:val="22"/>
            </w:rPr>
            <w:tab/>
          </w:r>
          <w:r>
            <w:rPr/>
            <w:t>Minimum Requirements</w:t>
            <w:tab/>
          </w:r>
          <w:hyperlink w:anchor="__RefHeading___Toc68601243">
            <w:r>
              <w:rPr>
                <w:rStyle w:val="IndexLink"/>
              </w:rPr>
              <w:t>137</w:t>
            </w:r>
          </w:hyperlink>
        </w:p>
        <w:p>
          <w:pPr>
            <w:pStyle w:val="Contents4"/>
            <w:rPr>
              <w:rFonts w:ascii="Calibri" w:hAnsi="Calibri" w:cs="Calibri"/>
              <w:sz w:val="22"/>
              <w:szCs w:val="22"/>
            </w:rPr>
          </w:pPr>
          <w:r>
            <w:rPr/>
            <w:t>7.2.1.3</w:t>
          </w:r>
          <w:r>
            <w:rPr>
              <w:rFonts w:cs="Calibri" w:ascii="Calibri" w:hAnsi="Calibri"/>
              <w:sz w:val="22"/>
              <w:szCs w:val="22"/>
            </w:rPr>
            <w:tab/>
          </w:r>
          <w:r>
            <w:rPr/>
            <w:t>Test purpose</w:t>
            <w:tab/>
          </w:r>
          <w:hyperlink w:anchor="__RefHeading___Toc68601244">
            <w:r>
              <w:rPr>
                <w:rStyle w:val="IndexLink"/>
              </w:rPr>
              <w:t>138</w:t>
            </w:r>
          </w:hyperlink>
        </w:p>
        <w:p>
          <w:pPr>
            <w:pStyle w:val="Contents4"/>
            <w:rPr>
              <w:rFonts w:ascii="Calibri" w:hAnsi="Calibri" w:cs="Calibri"/>
              <w:sz w:val="22"/>
              <w:szCs w:val="22"/>
            </w:rPr>
          </w:pPr>
          <w:r>
            <w:rPr/>
            <w:t>7.2.1.4</w:t>
          </w:r>
          <w:r>
            <w:rPr>
              <w:rFonts w:cs="Calibri" w:ascii="Calibri" w:hAnsi="Calibri"/>
              <w:sz w:val="22"/>
              <w:szCs w:val="22"/>
            </w:rPr>
            <w:tab/>
          </w:r>
          <w:r>
            <w:rPr/>
            <w:t>Method of test</w:t>
            <w:tab/>
          </w:r>
          <w:hyperlink w:anchor="__RefHeading___Toc68601245">
            <w:r>
              <w:rPr>
                <w:rStyle w:val="IndexLink"/>
              </w:rPr>
              <w:t>138</w:t>
            </w:r>
          </w:hyperlink>
        </w:p>
        <w:p>
          <w:pPr>
            <w:pStyle w:val="Contents4"/>
            <w:rPr>
              <w:rFonts w:ascii="Calibri" w:hAnsi="Calibri" w:cs="Calibri"/>
              <w:sz w:val="22"/>
              <w:szCs w:val="22"/>
            </w:rPr>
          </w:pPr>
          <w:r>
            <w:rPr>
              <w:lang w:val="en-US" w:eastAsia="en-US"/>
            </w:rPr>
            <w:t>7.2.1</w:t>
          </w:r>
          <w:r>
            <w:rPr/>
            <w:t>.4.1</w:t>
          </w:r>
          <w:r>
            <w:rPr>
              <w:rFonts w:cs="Calibri" w:ascii="Calibri" w:hAnsi="Calibri"/>
              <w:sz w:val="22"/>
              <w:szCs w:val="22"/>
            </w:rPr>
            <w:tab/>
          </w:r>
          <w:r>
            <w:rPr/>
            <w:t>Initial conditions</w:t>
            <w:tab/>
          </w:r>
          <w:hyperlink w:anchor="__RefHeading___Toc68601246">
            <w:r>
              <w:rPr>
                <w:rStyle w:val="IndexLink"/>
              </w:rPr>
              <w:t>138</w:t>
            </w:r>
          </w:hyperlink>
        </w:p>
        <w:p>
          <w:pPr>
            <w:pStyle w:val="Contents4"/>
            <w:rPr>
              <w:rFonts w:ascii="Calibri" w:hAnsi="Calibri" w:cs="Calibri"/>
              <w:sz w:val="22"/>
              <w:szCs w:val="22"/>
            </w:rPr>
          </w:pPr>
          <w:r>
            <w:rPr>
              <w:lang w:val="en-US" w:eastAsia="en-US"/>
            </w:rPr>
            <w:t>7.2.1</w:t>
          </w:r>
          <w:r>
            <w:rPr/>
            <w:t>.4.2</w:t>
          </w:r>
          <w:r>
            <w:rPr>
              <w:rFonts w:cs="Calibri" w:ascii="Calibri" w:hAnsi="Calibri"/>
              <w:sz w:val="22"/>
              <w:szCs w:val="22"/>
            </w:rPr>
            <w:tab/>
          </w:r>
          <w:r>
            <w:rPr/>
            <w:t>Procedure</w:t>
            <w:tab/>
          </w:r>
          <w:hyperlink w:anchor="__RefHeading___Toc68601247">
            <w:r>
              <w:rPr>
                <w:rStyle w:val="IndexLink"/>
              </w:rPr>
              <w:t>139</w:t>
            </w:r>
          </w:hyperlink>
        </w:p>
        <w:p>
          <w:pPr>
            <w:pStyle w:val="Contents4"/>
            <w:rPr>
              <w:rFonts w:ascii="Calibri" w:hAnsi="Calibri" w:cs="Calibri"/>
              <w:sz w:val="22"/>
              <w:szCs w:val="22"/>
            </w:rPr>
          </w:pPr>
          <w:r>
            <w:rPr>
              <w:rFonts w:cs="Arial"/>
              <w:lang w:val="en-US" w:eastAsia="en-US"/>
            </w:rPr>
            <w:t>7.2.1</w:t>
          </w:r>
          <w:r>
            <w:rPr>
              <w:rFonts w:cs="Arial"/>
            </w:rPr>
            <w:t>.4.3</w:t>
          </w:r>
          <w:r>
            <w:rPr>
              <w:rFonts w:cs="Calibri" w:ascii="Calibri" w:hAnsi="Calibri"/>
              <w:sz w:val="22"/>
              <w:szCs w:val="22"/>
            </w:rPr>
            <w:tab/>
          </w:r>
          <w:r>
            <w:rPr>
              <w:rFonts w:cs="Arial"/>
            </w:rPr>
            <w:t>Test procedure, reverberation chamber method</w:t>
          </w:r>
          <w:r>
            <w:rPr/>
            <w:tab/>
          </w:r>
          <w:hyperlink w:anchor="__RefHeading___Toc68601248">
            <w:r>
              <w:rPr>
                <w:rStyle w:val="IndexLink"/>
              </w:rPr>
              <w:t>139</w:t>
            </w:r>
          </w:hyperlink>
        </w:p>
        <w:p>
          <w:pPr>
            <w:pStyle w:val="Contents4"/>
            <w:rPr>
              <w:rFonts w:ascii="Calibri" w:hAnsi="Calibri" w:cs="Calibri"/>
              <w:sz w:val="22"/>
              <w:szCs w:val="22"/>
            </w:rPr>
          </w:pPr>
          <w:r>
            <w:rPr/>
            <w:t>7.2.1.5</w:t>
          </w:r>
          <w:r>
            <w:rPr>
              <w:rFonts w:cs="Calibri" w:ascii="Calibri" w:hAnsi="Calibri"/>
              <w:sz w:val="22"/>
              <w:szCs w:val="22"/>
            </w:rPr>
            <w:tab/>
          </w:r>
          <w:r>
            <w:rPr/>
            <w:t>Test requirements</w:t>
            <w:tab/>
          </w:r>
          <w:hyperlink w:anchor="__RefHeading___Toc68601249">
            <w:r>
              <w:rPr>
                <w:rStyle w:val="IndexLink"/>
              </w:rPr>
              <w:t>139</w:t>
            </w:r>
          </w:hyperlink>
        </w:p>
        <w:p>
          <w:pPr>
            <w:pStyle w:val="Contents3"/>
            <w:rPr>
              <w:rFonts w:ascii="Calibri" w:hAnsi="Calibri" w:cs="Calibri"/>
              <w:sz w:val="22"/>
              <w:szCs w:val="22"/>
            </w:rPr>
          </w:pPr>
          <w:r>
            <w:rPr>
              <w:lang w:val="en-US" w:eastAsia="en-US"/>
            </w:rPr>
            <w:t>7</w:t>
          </w:r>
          <w:r>
            <w:rPr/>
            <w:t>.</w:t>
          </w:r>
          <w:r>
            <w:rPr>
              <w:lang w:val="en-US" w:eastAsia="en-US"/>
            </w:rPr>
            <w:t>2</w:t>
          </w:r>
          <w:r>
            <w:rPr/>
            <w:t>.2</w:t>
          </w:r>
          <w:r>
            <w:rPr>
              <w:rFonts w:cs="Calibri" w:ascii="Calibri" w:hAnsi="Calibri"/>
              <w:sz w:val="22"/>
              <w:szCs w:val="22"/>
            </w:rPr>
            <w:tab/>
          </w:r>
          <w:r>
            <w:rPr>
              <w:rFonts w:cs="Arial"/>
              <w:color w:val="000000"/>
            </w:rPr>
            <w:t>Total Radiated Sensitivity (TRS) for</w:t>
          </w:r>
          <w:r>
            <w:rPr/>
            <w:t xml:space="preserve"> UTRA LCR TDD LME</w:t>
            <w:tab/>
          </w:r>
          <w:hyperlink w:anchor="__RefHeading___Toc68601250">
            <w:r>
              <w:rPr>
                <w:rStyle w:val="IndexLink"/>
              </w:rPr>
              <w:t>140</w:t>
            </w:r>
          </w:hyperlink>
        </w:p>
        <w:p>
          <w:pPr>
            <w:pStyle w:val="Contents4"/>
            <w:rPr>
              <w:rFonts w:ascii="Calibri" w:hAnsi="Calibri" w:cs="Calibri"/>
              <w:sz w:val="22"/>
              <w:szCs w:val="22"/>
            </w:rPr>
          </w:pPr>
          <w:r>
            <w:rPr>
              <w:lang w:val="en-US" w:eastAsia="en-US"/>
            </w:rPr>
            <w:t>7.2.2</w:t>
          </w:r>
          <w:r>
            <w:rPr/>
            <w:t>.1</w:t>
          </w:r>
          <w:r>
            <w:rPr>
              <w:rFonts w:cs="Calibri" w:ascii="Calibri" w:hAnsi="Calibri"/>
              <w:sz w:val="22"/>
              <w:szCs w:val="22"/>
            </w:rPr>
            <w:tab/>
          </w:r>
          <w:r>
            <w:rPr/>
            <w:t>Definition and applicability</w:t>
            <w:tab/>
          </w:r>
          <w:hyperlink w:anchor="__RefHeading___Toc68601251">
            <w:r>
              <w:rPr>
                <w:rStyle w:val="IndexLink"/>
              </w:rPr>
              <w:t>140</w:t>
            </w:r>
          </w:hyperlink>
        </w:p>
        <w:p>
          <w:pPr>
            <w:pStyle w:val="Contents4"/>
            <w:rPr>
              <w:rFonts w:ascii="Calibri" w:hAnsi="Calibri" w:cs="Calibri"/>
              <w:sz w:val="22"/>
              <w:szCs w:val="22"/>
            </w:rPr>
          </w:pPr>
          <w:r>
            <w:rPr>
              <w:lang w:val="en-US" w:eastAsia="en-US"/>
            </w:rPr>
            <w:t>7.2.2.2</w:t>
          </w:r>
          <w:r>
            <w:rPr>
              <w:rFonts w:cs="Calibri" w:ascii="Calibri" w:hAnsi="Calibri"/>
              <w:sz w:val="22"/>
              <w:szCs w:val="22"/>
            </w:rPr>
            <w:tab/>
          </w:r>
          <w:r>
            <w:rPr>
              <w:lang w:val="en-US" w:eastAsia="en-US"/>
            </w:rPr>
            <w:t>Minimum Requirements</w:t>
          </w:r>
          <w:r>
            <w:rPr/>
            <w:tab/>
          </w:r>
          <w:hyperlink w:anchor="__RefHeading___Toc68601252">
            <w:r>
              <w:rPr>
                <w:rStyle w:val="IndexLink"/>
              </w:rPr>
              <w:t>141</w:t>
            </w:r>
          </w:hyperlink>
        </w:p>
        <w:p>
          <w:pPr>
            <w:pStyle w:val="Contents4"/>
            <w:rPr>
              <w:rFonts w:ascii="Calibri" w:hAnsi="Calibri" w:cs="Calibri"/>
              <w:sz w:val="22"/>
              <w:szCs w:val="22"/>
            </w:rPr>
          </w:pPr>
          <w:r>
            <w:rPr>
              <w:lang w:val="en-US" w:eastAsia="en-US"/>
            </w:rPr>
            <w:t>7.2.2.3</w:t>
          </w:r>
          <w:r>
            <w:rPr>
              <w:rFonts w:cs="Calibri" w:ascii="Calibri" w:hAnsi="Calibri"/>
              <w:sz w:val="22"/>
              <w:szCs w:val="22"/>
            </w:rPr>
            <w:tab/>
          </w:r>
          <w:r>
            <w:rPr>
              <w:lang w:val="en-US" w:eastAsia="en-US"/>
            </w:rPr>
            <w:t>Test purpose</w:t>
          </w:r>
          <w:r>
            <w:rPr/>
            <w:tab/>
          </w:r>
          <w:hyperlink w:anchor="__RefHeading___Toc68601253">
            <w:r>
              <w:rPr>
                <w:rStyle w:val="IndexLink"/>
              </w:rPr>
              <w:t>141</w:t>
            </w:r>
          </w:hyperlink>
        </w:p>
        <w:p>
          <w:pPr>
            <w:pStyle w:val="Contents4"/>
            <w:rPr>
              <w:rFonts w:ascii="Calibri" w:hAnsi="Calibri" w:cs="Calibri"/>
              <w:sz w:val="22"/>
              <w:szCs w:val="22"/>
            </w:rPr>
          </w:pPr>
          <w:r>
            <w:rPr>
              <w:lang w:val="en-US" w:eastAsia="en-US"/>
            </w:rPr>
            <w:t>7.2.2.4</w:t>
          </w:r>
          <w:r>
            <w:rPr>
              <w:rFonts w:cs="Calibri" w:ascii="Calibri" w:hAnsi="Calibri"/>
              <w:sz w:val="22"/>
              <w:szCs w:val="22"/>
            </w:rPr>
            <w:tab/>
          </w:r>
          <w:r>
            <w:rPr>
              <w:lang w:val="en-US" w:eastAsia="en-US"/>
            </w:rPr>
            <w:t>Method of test</w:t>
          </w:r>
          <w:r>
            <w:rPr/>
            <w:tab/>
          </w:r>
          <w:hyperlink w:anchor="__RefHeading___Toc68601254">
            <w:r>
              <w:rPr>
                <w:rStyle w:val="IndexLink"/>
              </w:rPr>
              <w:t>141</w:t>
            </w:r>
          </w:hyperlink>
        </w:p>
        <w:p>
          <w:pPr>
            <w:pStyle w:val="Contents4"/>
            <w:rPr>
              <w:rFonts w:ascii="Calibri" w:hAnsi="Calibri" w:cs="Calibri"/>
              <w:sz w:val="22"/>
              <w:szCs w:val="22"/>
            </w:rPr>
          </w:pPr>
          <w:r>
            <w:rPr>
              <w:lang w:val="en-US" w:eastAsia="en-US"/>
            </w:rPr>
            <w:t>7.2.2</w:t>
          </w:r>
          <w:r>
            <w:rPr/>
            <w:t>.4.1</w:t>
          </w:r>
          <w:r>
            <w:rPr>
              <w:rFonts w:cs="Calibri" w:ascii="Calibri" w:hAnsi="Calibri"/>
              <w:sz w:val="22"/>
              <w:szCs w:val="22"/>
            </w:rPr>
            <w:tab/>
          </w:r>
          <w:r>
            <w:rPr/>
            <w:t>Initial conditions</w:t>
            <w:tab/>
          </w:r>
          <w:hyperlink w:anchor="__RefHeading___Toc68601255">
            <w:r>
              <w:rPr>
                <w:rStyle w:val="IndexLink"/>
              </w:rPr>
              <w:t>141</w:t>
            </w:r>
          </w:hyperlink>
        </w:p>
        <w:p>
          <w:pPr>
            <w:pStyle w:val="Contents4"/>
            <w:rPr>
              <w:rFonts w:ascii="Calibri" w:hAnsi="Calibri" w:cs="Calibri"/>
              <w:sz w:val="22"/>
              <w:szCs w:val="22"/>
            </w:rPr>
          </w:pPr>
          <w:r>
            <w:rPr>
              <w:lang w:val="en-US" w:eastAsia="en-US"/>
            </w:rPr>
            <w:t>7.2.2</w:t>
          </w:r>
          <w:r>
            <w:rPr/>
            <w:t>.4.2</w:t>
          </w:r>
          <w:r>
            <w:rPr>
              <w:rFonts w:cs="Calibri" w:ascii="Calibri" w:hAnsi="Calibri"/>
              <w:sz w:val="22"/>
              <w:szCs w:val="22"/>
            </w:rPr>
            <w:tab/>
          </w:r>
          <w:r>
            <w:rPr/>
            <w:t>Procedure</w:t>
            <w:tab/>
          </w:r>
          <w:hyperlink w:anchor="__RefHeading___Toc68601256">
            <w:r>
              <w:rPr>
                <w:rStyle w:val="IndexLink"/>
              </w:rPr>
              <w:t>142</w:t>
            </w:r>
          </w:hyperlink>
        </w:p>
        <w:p>
          <w:pPr>
            <w:pStyle w:val="Contents4"/>
            <w:rPr>
              <w:rFonts w:ascii="Calibri" w:hAnsi="Calibri" w:cs="Calibri"/>
              <w:sz w:val="22"/>
              <w:szCs w:val="22"/>
            </w:rPr>
          </w:pPr>
          <w:r>
            <w:rPr>
              <w:lang w:val="en-US" w:eastAsia="en-US"/>
            </w:rPr>
            <w:t>7.2.2</w:t>
          </w:r>
          <w:r>
            <w:rPr>
              <w:rFonts w:cs="Arial"/>
            </w:rPr>
            <w:t>.4.3</w:t>
          </w:r>
          <w:r>
            <w:rPr>
              <w:rFonts w:cs="Calibri" w:ascii="Calibri" w:hAnsi="Calibri"/>
              <w:sz w:val="22"/>
              <w:szCs w:val="22"/>
            </w:rPr>
            <w:tab/>
          </w:r>
          <w:r>
            <w:rPr>
              <w:rFonts w:cs="Arial"/>
            </w:rPr>
            <w:t>Test procedure, reverberation chamber method</w:t>
          </w:r>
          <w:r>
            <w:rPr/>
            <w:tab/>
          </w:r>
          <w:hyperlink w:anchor="__RefHeading___Toc68601257">
            <w:r>
              <w:rPr>
                <w:rStyle w:val="IndexLink"/>
              </w:rPr>
              <w:t>143</w:t>
            </w:r>
          </w:hyperlink>
        </w:p>
        <w:p>
          <w:pPr>
            <w:pStyle w:val="Contents4"/>
            <w:rPr>
              <w:rFonts w:ascii="Calibri" w:hAnsi="Calibri" w:cs="Calibri"/>
              <w:sz w:val="22"/>
              <w:szCs w:val="22"/>
            </w:rPr>
          </w:pPr>
          <w:r>
            <w:rPr>
              <w:lang w:val="en-US" w:eastAsia="en-US"/>
            </w:rPr>
            <w:t>7.2.2.5</w:t>
          </w:r>
          <w:r>
            <w:rPr>
              <w:rFonts w:cs="Calibri" w:ascii="Calibri" w:hAnsi="Calibri"/>
              <w:sz w:val="22"/>
              <w:szCs w:val="22"/>
            </w:rPr>
            <w:tab/>
          </w:r>
          <w:r>
            <w:rPr>
              <w:lang w:val="en-US" w:eastAsia="en-US"/>
            </w:rPr>
            <w:t>Test requirements</w:t>
          </w:r>
          <w:r>
            <w:rPr/>
            <w:tab/>
          </w:r>
          <w:hyperlink w:anchor="__RefHeading___Toc68601258">
            <w:r>
              <w:rPr>
                <w:rStyle w:val="IndexLink"/>
              </w:rPr>
              <w:t>143</w:t>
            </w:r>
          </w:hyperlink>
        </w:p>
        <w:p>
          <w:pPr>
            <w:pStyle w:val="Contents3"/>
            <w:rPr>
              <w:rFonts w:ascii="Calibri" w:hAnsi="Calibri" w:cs="Calibri"/>
              <w:sz w:val="22"/>
              <w:szCs w:val="22"/>
            </w:rPr>
          </w:pPr>
          <w:r>
            <w:rPr>
              <w:lang w:val="en-US" w:eastAsia="en-US"/>
            </w:rPr>
            <w:t>7</w:t>
          </w:r>
          <w:r>
            <w:rPr/>
            <w:t>.</w:t>
          </w:r>
          <w:r>
            <w:rPr>
              <w:lang w:val="en-US" w:eastAsia="en-US"/>
            </w:rPr>
            <w:t>2</w:t>
          </w:r>
          <w:r>
            <w:rPr/>
            <w:t>.3</w:t>
          </w:r>
          <w:r>
            <w:rPr>
              <w:rFonts w:cs="Calibri" w:ascii="Calibri" w:hAnsi="Calibri"/>
              <w:sz w:val="22"/>
              <w:szCs w:val="22"/>
            </w:rPr>
            <w:tab/>
          </w:r>
          <w:r>
            <w:rPr>
              <w:rFonts w:cs="Arial"/>
              <w:color w:val="000000"/>
            </w:rPr>
            <w:t>Total Radiated Sensitivity (TRS) for</w:t>
          </w:r>
          <w:r>
            <w:rPr/>
            <w:t xml:space="preserve"> E-UTRA FDD LME</w:t>
            <w:tab/>
          </w:r>
          <w:hyperlink w:anchor="__RefHeading___Toc68601259">
            <w:r>
              <w:rPr>
                <w:rStyle w:val="IndexLink"/>
              </w:rPr>
              <w:t>143</w:t>
            </w:r>
          </w:hyperlink>
        </w:p>
        <w:p>
          <w:pPr>
            <w:pStyle w:val="Contents4"/>
            <w:rPr>
              <w:rFonts w:ascii="Calibri" w:hAnsi="Calibri" w:cs="Calibri"/>
              <w:sz w:val="22"/>
              <w:szCs w:val="22"/>
            </w:rPr>
          </w:pPr>
          <w:r>
            <w:rPr/>
            <w:t>7.</w:t>
          </w:r>
          <w:r>
            <w:rPr>
              <w:lang w:val="en-US" w:eastAsia="en-US"/>
            </w:rPr>
            <w:t>2</w:t>
          </w:r>
          <w:r>
            <w:rPr/>
            <w:t>.3.1</w:t>
          </w:r>
          <w:r>
            <w:rPr>
              <w:rFonts w:cs="Calibri" w:ascii="Calibri" w:hAnsi="Calibri"/>
              <w:sz w:val="22"/>
              <w:szCs w:val="22"/>
            </w:rPr>
            <w:tab/>
          </w:r>
          <w:r>
            <w:rPr/>
            <w:t>Definition and applicability</w:t>
            <w:tab/>
          </w:r>
          <w:hyperlink w:anchor="__RefHeading___Toc68601260">
            <w:r>
              <w:rPr>
                <w:rStyle w:val="IndexLink"/>
              </w:rPr>
              <w:t>143</w:t>
            </w:r>
          </w:hyperlink>
        </w:p>
        <w:p>
          <w:pPr>
            <w:pStyle w:val="Contents4"/>
            <w:rPr>
              <w:rFonts w:ascii="Calibri" w:hAnsi="Calibri" w:cs="Calibri"/>
              <w:sz w:val="22"/>
              <w:szCs w:val="22"/>
            </w:rPr>
          </w:pPr>
          <w:r>
            <w:rPr/>
            <w:t>7.</w:t>
          </w:r>
          <w:r>
            <w:rPr>
              <w:lang w:val="en-US" w:eastAsia="en-US"/>
            </w:rPr>
            <w:t>2</w:t>
          </w:r>
          <w:r>
            <w:rPr/>
            <w:t>.3.2</w:t>
          </w:r>
          <w:r>
            <w:rPr>
              <w:rFonts w:cs="Calibri" w:ascii="Calibri" w:hAnsi="Calibri"/>
              <w:sz w:val="22"/>
              <w:szCs w:val="22"/>
            </w:rPr>
            <w:tab/>
          </w:r>
          <w:r>
            <w:rPr/>
            <w:t>Minimum Requirements</w:t>
            <w:tab/>
          </w:r>
          <w:hyperlink w:anchor="__RefHeading___Toc68601261">
            <w:r>
              <w:rPr>
                <w:rStyle w:val="IndexLink"/>
              </w:rPr>
              <w:t>144</w:t>
            </w:r>
          </w:hyperlink>
        </w:p>
        <w:p>
          <w:pPr>
            <w:pStyle w:val="Contents4"/>
            <w:rPr>
              <w:rFonts w:ascii="Calibri" w:hAnsi="Calibri" w:cs="Calibri"/>
              <w:sz w:val="22"/>
              <w:szCs w:val="22"/>
            </w:rPr>
          </w:pPr>
          <w:r>
            <w:rPr/>
            <w:t>7.</w:t>
          </w:r>
          <w:r>
            <w:rPr>
              <w:lang w:val="en-US" w:eastAsia="en-US"/>
            </w:rPr>
            <w:t>2</w:t>
          </w:r>
          <w:r>
            <w:rPr/>
            <w:t>.3.3</w:t>
          </w:r>
          <w:r>
            <w:rPr>
              <w:rFonts w:cs="Calibri" w:ascii="Calibri" w:hAnsi="Calibri"/>
              <w:sz w:val="22"/>
              <w:szCs w:val="22"/>
            </w:rPr>
            <w:tab/>
          </w:r>
          <w:r>
            <w:rPr/>
            <w:t>Test purpose</w:t>
            <w:tab/>
          </w:r>
          <w:hyperlink w:anchor="__RefHeading___Toc68601262">
            <w:r>
              <w:rPr>
                <w:rStyle w:val="IndexLink"/>
              </w:rPr>
              <w:t>144</w:t>
            </w:r>
          </w:hyperlink>
        </w:p>
        <w:p>
          <w:pPr>
            <w:pStyle w:val="Contents4"/>
            <w:rPr>
              <w:rFonts w:ascii="Calibri" w:hAnsi="Calibri" w:cs="Calibri"/>
              <w:sz w:val="22"/>
              <w:szCs w:val="22"/>
            </w:rPr>
          </w:pPr>
          <w:r>
            <w:rPr/>
            <w:t>7.</w:t>
          </w:r>
          <w:r>
            <w:rPr>
              <w:lang w:val="en-US" w:eastAsia="en-US"/>
            </w:rPr>
            <w:t>2</w:t>
          </w:r>
          <w:r>
            <w:rPr/>
            <w:t>.3.4</w:t>
          </w:r>
          <w:r>
            <w:rPr>
              <w:rFonts w:cs="Calibri" w:ascii="Calibri" w:hAnsi="Calibri"/>
              <w:sz w:val="22"/>
              <w:szCs w:val="22"/>
            </w:rPr>
            <w:tab/>
          </w:r>
          <w:r>
            <w:rPr/>
            <w:t>Method of test</w:t>
            <w:tab/>
          </w:r>
          <w:hyperlink w:anchor="__RefHeading___Toc68601263">
            <w:r>
              <w:rPr>
                <w:rStyle w:val="IndexLink"/>
              </w:rPr>
              <w:t>144</w:t>
            </w:r>
          </w:hyperlink>
        </w:p>
        <w:p>
          <w:pPr>
            <w:pStyle w:val="Contents4"/>
            <w:rPr>
              <w:rFonts w:ascii="Calibri" w:hAnsi="Calibri" w:cs="Calibri"/>
              <w:sz w:val="22"/>
              <w:szCs w:val="22"/>
            </w:rPr>
          </w:pPr>
          <w:r>
            <w:rPr/>
            <w:t>7.</w:t>
          </w:r>
          <w:r>
            <w:rPr>
              <w:lang w:val="en-US" w:eastAsia="en-US"/>
            </w:rPr>
            <w:t>2</w:t>
          </w:r>
          <w:r>
            <w:rPr/>
            <w:t>.3.4.1</w:t>
          </w:r>
          <w:r>
            <w:rPr>
              <w:rFonts w:cs="Calibri" w:ascii="Calibri" w:hAnsi="Calibri"/>
              <w:sz w:val="22"/>
              <w:szCs w:val="22"/>
            </w:rPr>
            <w:tab/>
          </w:r>
          <w:r>
            <w:rPr/>
            <w:t>Initial conditions</w:t>
            <w:tab/>
          </w:r>
          <w:hyperlink w:anchor="__RefHeading___Toc68601264">
            <w:r>
              <w:rPr>
                <w:rStyle w:val="IndexLink"/>
              </w:rPr>
              <w:t>144</w:t>
            </w:r>
          </w:hyperlink>
        </w:p>
        <w:p>
          <w:pPr>
            <w:pStyle w:val="Contents4"/>
            <w:rPr>
              <w:rFonts w:ascii="Calibri" w:hAnsi="Calibri" w:cs="Calibri"/>
              <w:sz w:val="22"/>
              <w:szCs w:val="22"/>
            </w:rPr>
          </w:pPr>
          <w:r>
            <w:rPr/>
            <w:t>7.</w:t>
          </w:r>
          <w:r>
            <w:rPr>
              <w:lang w:val="en-US" w:eastAsia="en-US"/>
            </w:rPr>
            <w:t>2</w:t>
          </w:r>
          <w:r>
            <w:rPr/>
            <w:t>.3.4.2</w:t>
          </w:r>
          <w:r>
            <w:rPr>
              <w:rFonts w:cs="Calibri" w:ascii="Calibri" w:hAnsi="Calibri"/>
              <w:sz w:val="22"/>
              <w:szCs w:val="22"/>
            </w:rPr>
            <w:tab/>
          </w:r>
          <w:r>
            <w:rPr/>
            <w:t>Procedure</w:t>
            <w:tab/>
          </w:r>
          <w:hyperlink w:anchor="__RefHeading___Toc68601265">
            <w:r>
              <w:rPr>
                <w:rStyle w:val="IndexLink"/>
              </w:rPr>
              <w:t>145</w:t>
            </w:r>
          </w:hyperlink>
        </w:p>
        <w:p>
          <w:pPr>
            <w:pStyle w:val="Contents4"/>
            <w:rPr>
              <w:rFonts w:ascii="Calibri" w:hAnsi="Calibri" w:cs="Calibri"/>
              <w:sz w:val="22"/>
              <w:szCs w:val="22"/>
            </w:rPr>
          </w:pPr>
          <w:r>
            <w:rPr/>
            <w:t>7.</w:t>
          </w:r>
          <w:r>
            <w:rPr>
              <w:lang w:val="en-US" w:eastAsia="en-US"/>
            </w:rPr>
            <w:t>2</w:t>
          </w:r>
          <w:r>
            <w:rPr/>
            <w:t>.3.4.3</w:t>
          </w:r>
          <w:r>
            <w:rPr>
              <w:rFonts w:cs="Calibri" w:ascii="Calibri" w:hAnsi="Calibri"/>
              <w:sz w:val="22"/>
              <w:szCs w:val="22"/>
            </w:rPr>
            <w:tab/>
          </w:r>
          <w:r>
            <w:rPr/>
            <w:t>Procedure, reverberation chamber method</w:t>
            <w:tab/>
          </w:r>
          <w:hyperlink w:anchor="__RefHeading___Toc68601266">
            <w:r>
              <w:rPr>
                <w:rStyle w:val="IndexLink"/>
              </w:rPr>
              <w:t>145</w:t>
            </w:r>
          </w:hyperlink>
        </w:p>
        <w:p>
          <w:pPr>
            <w:pStyle w:val="Contents4"/>
            <w:rPr>
              <w:rFonts w:ascii="Calibri" w:hAnsi="Calibri" w:cs="Calibri"/>
              <w:sz w:val="22"/>
              <w:szCs w:val="22"/>
            </w:rPr>
          </w:pPr>
          <w:r>
            <w:rPr/>
            <w:t>7.</w:t>
          </w:r>
          <w:r>
            <w:rPr>
              <w:lang w:val="en-US" w:eastAsia="en-US"/>
            </w:rPr>
            <w:t>2</w:t>
          </w:r>
          <w:r>
            <w:rPr/>
            <w:t>.3.5</w:t>
          </w:r>
          <w:r>
            <w:rPr>
              <w:rFonts w:cs="Calibri" w:ascii="Calibri" w:hAnsi="Calibri"/>
              <w:sz w:val="22"/>
              <w:szCs w:val="22"/>
            </w:rPr>
            <w:tab/>
          </w:r>
          <w:r>
            <w:rPr/>
            <w:t>Test requirements</w:t>
            <w:tab/>
          </w:r>
          <w:hyperlink w:anchor="__RefHeading___Toc68601267">
            <w:r>
              <w:rPr>
                <w:rStyle w:val="IndexLink"/>
              </w:rPr>
              <w:t>145</w:t>
            </w:r>
          </w:hyperlink>
        </w:p>
        <w:p>
          <w:pPr>
            <w:pStyle w:val="Contents3"/>
            <w:rPr>
              <w:rFonts w:ascii="Calibri" w:hAnsi="Calibri" w:cs="Calibri"/>
              <w:sz w:val="22"/>
              <w:szCs w:val="22"/>
            </w:rPr>
          </w:pPr>
          <w:r>
            <w:rPr>
              <w:lang w:val="en-US" w:eastAsia="en-US"/>
            </w:rPr>
            <w:t>7</w:t>
          </w:r>
          <w:r>
            <w:rPr/>
            <w:t>.</w:t>
          </w:r>
          <w:r>
            <w:rPr>
              <w:lang w:val="en-US" w:eastAsia="en-US"/>
            </w:rPr>
            <w:t>2</w:t>
          </w:r>
          <w:r>
            <w:rPr/>
            <w:t>.4</w:t>
          </w:r>
          <w:r>
            <w:rPr>
              <w:rFonts w:cs="Calibri" w:ascii="Calibri" w:hAnsi="Calibri"/>
              <w:sz w:val="22"/>
              <w:szCs w:val="22"/>
            </w:rPr>
            <w:tab/>
          </w:r>
          <w:r>
            <w:rPr>
              <w:rFonts w:cs="Arial"/>
              <w:color w:val="000000"/>
            </w:rPr>
            <w:t>Total Radiated Sensitivity (TRS) for</w:t>
          </w:r>
          <w:r>
            <w:rPr/>
            <w:t xml:space="preserve"> E-UTRA TDD LME</w:t>
            <w:tab/>
          </w:r>
          <w:hyperlink w:anchor="__RefHeading___Toc68601268">
            <w:r>
              <w:rPr>
                <w:rStyle w:val="IndexLink"/>
              </w:rPr>
              <w:t>145</w:t>
            </w:r>
          </w:hyperlink>
        </w:p>
        <w:p>
          <w:pPr>
            <w:pStyle w:val="Contents4"/>
            <w:rPr>
              <w:rFonts w:ascii="Calibri" w:hAnsi="Calibri" w:cs="Calibri"/>
              <w:sz w:val="22"/>
              <w:szCs w:val="22"/>
            </w:rPr>
          </w:pPr>
          <w:r>
            <w:rPr/>
            <w:t>7.</w:t>
          </w:r>
          <w:r>
            <w:rPr>
              <w:lang w:val="en-US" w:eastAsia="en-US"/>
            </w:rPr>
            <w:t>2</w:t>
          </w:r>
          <w:r>
            <w:rPr/>
            <w:t>.4.1</w:t>
          </w:r>
          <w:r>
            <w:rPr>
              <w:rFonts w:cs="Calibri" w:ascii="Calibri" w:hAnsi="Calibri"/>
              <w:sz w:val="22"/>
              <w:szCs w:val="22"/>
            </w:rPr>
            <w:tab/>
          </w:r>
          <w:r>
            <w:rPr/>
            <w:t>Definition and applicability</w:t>
            <w:tab/>
          </w:r>
          <w:hyperlink w:anchor="__RefHeading___Toc68601269">
            <w:r>
              <w:rPr>
                <w:rStyle w:val="IndexLink"/>
              </w:rPr>
              <w:t>146</w:t>
            </w:r>
          </w:hyperlink>
        </w:p>
        <w:p>
          <w:pPr>
            <w:pStyle w:val="Contents4"/>
            <w:rPr>
              <w:rFonts w:ascii="Calibri" w:hAnsi="Calibri" w:cs="Calibri"/>
              <w:sz w:val="22"/>
              <w:szCs w:val="22"/>
            </w:rPr>
          </w:pPr>
          <w:r>
            <w:rPr/>
            <w:t>7.</w:t>
          </w:r>
          <w:r>
            <w:rPr>
              <w:lang w:val="en-US" w:eastAsia="en-US"/>
            </w:rPr>
            <w:t>2</w:t>
          </w:r>
          <w:r>
            <w:rPr/>
            <w:t>.4.2</w:t>
          </w:r>
          <w:r>
            <w:rPr>
              <w:rFonts w:cs="Calibri" w:ascii="Calibri" w:hAnsi="Calibri"/>
              <w:sz w:val="22"/>
              <w:szCs w:val="22"/>
            </w:rPr>
            <w:tab/>
          </w:r>
          <w:r>
            <w:rPr/>
            <w:t>Minimum Requirements</w:t>
            <w:tab/>
          </w:r>
          <w:hyperlink w:anchor="__RefHeading___Toc68601270">
            <w:r>
              <w:rPr>
                <w:rStyle w:val="IndexLink"/>
              </w:rPr>
              <w:t>146</w:t>
            </w:r>
          </w:hyperlink>
        </w:p>
        <w:p>
          <w:pPr>
            <w:pStyle w:val="Contents4"/>
            <w:rPr>
              <w:rFonts w:ascii="Calibri" w:hAnsi="Calibri" w:cs="Calibri"/>
              <w:sz w:val="22"/>
              <w:szCs w:val="22"/>
            </w:rPr>
          </w:pPr>
          <w:r>
            <w:rPr/>
            <w:t>7.</w:t>
          </w:r>
          <w:r>
            <w:rPr>
              <w:lang w:val="en-US" w:eastAsia="en-US"/>
            </w:rPr>
            <w:t>2</w:t>
          </w:r>
          <w:r>
            <w:rPr/>
            <w:t>.4.3</w:t>
          </w:r>
          <w:r>
            <w:rPr>
              <w:rFonts w:cs="Calibri" w:ascii="Calibri" w:hAnsi="Calibri"/>
              <w:sz w:val="22"/>
              <w:szCs w:val="22"/>
            </w:rPr>
            <w:tab/>
          </w:r>
          <w:r>
            <w:rPr/>
            <w:t>Test purpose</w:t>
            <w:tab/>
          </w:r>
          <w:hyperlink w:anchor="__RefHeading___Toc68601271">
            <w:r>
              <w:rPr>
                <w:rStyle w:val="IndexLink"/>
              </w:rPr>
              <w:t>146</w:t>
            </w:r>
          </w:hyperlink>
        </w:p>
        <w:p>
          <w:pPr>
            <w:pStyle w:val="Contents4"/>
            <w:rPr>
              <w:rFonts w:ascii="Calibri" w:hAnsi="Calibri" w:cs="Calibri"/>
              <w:sz w:val="22"/>
              <w:szCs w:val="22"/>
            </w:rPr>
          </w:pPr>
          <w:r>
            <w:rPr/>
            <w:t>7.</w:t>
          </w:r>
          <w:r>
            <w:rPr>
              <w:lang w:val="en-US" w:eastAsia="en-US"/>
            </w:rPr>
            <w:t>2</w:t>
          </w:r>
          <w:r>
            <w:rPr/>
            <w:t>.</w:t>
          </w:r>
          <w:r>
            <w:rPr>
              <w:lang w:val="en-US" w:eastAsia="en-US"/>
            </w:rPr>
            <w:t>4</w:t>
          </w:r>
          <w:r>
            <w:rPr/>
            <w:t>.4</w:t>
          </w:r>
          <w:r>
            <w:rPr>
              <w:rFonts w:cs="Calibri" w:ascii="Calibri" w:hAnsi="Calibri"/>
              <w:sz w:val="22"/>
              <w:szCs w:val="22"/>
            </w:rPr>
            <w:tab/>
          </w:r>
          <w:r>
            <w:rPr/>
            <w:t>Method of test</w:t>
            <w:tab/>
          </w:r>
          <w:hyperlink w:anchor="__RefHeading___Toc68601272">
            <w:r>
              <w:rPr>
                <w:rStyle w:val="IndexLink"/>
              </w:rPr>
              <w:t>147</w:t>
            </w:r>
          </w:hyperlink>
        </w:p>
        <w:p>
          <w:pPr>
            <w:pStyle w:val="Contents4"/>
            <w:rPr>
              <w:rFonts w:ascii="Calibri" w:hAnsi="Calibri" w:cs="Calibri"/>
              <w:sz w:val="22"/>
              <w:szCs w:val="22"/>
            </w:rPr>
          </w:pPr>
          <w:r>
            <w:rPr/>
            <w:t>7.</w:t>
          </w:r>
          <w:r>
            <w:rPr>
              <w:lang w:val="en-US" w:eastAsia="en-US"/>
            </w:rPr>
            <w:t>2</w:t>
          </w:r>
          <w:r>
            <w:rPr/>
            <w:t>.4.4.1</w:t>
          </w:r>
          <w:r>
            <w:rPr>
              <w:rFonts w:cs="Calibri" w:ascii="Calibri" w:hAnsi="Calibri"/>
              <w:sz w:val="22"/>
              <w:szCs w:val="22"/>
            </w:rPr>
            <w:tab/>
          </w:r>
          <w:r>
            <w:rPr/>
            <w:t>Initial conditions</w:t>
            <w:tab/>
          </w:r>
          <w:hyperlink w:anchor="__RefHeading___Toc68601273">
            <w:r>
              <w:rPr>
                <w:rStyle w:val="IndexLink"/>
              </w:rPr>
              <w:t>147</w:t>
            </w:r>
          </w:hyperlink>
        </w:p>
        <w:p>
          <w:pPr>
            <w:pStyle w:val="Contents4"/>
            <w:rPr>
              <w:rFonts w:ascii="Calibri" w:hAnsi="Calibri" w:cs="Calibri"/>
              <w:sz w:val="22"/>
              <w:szCs w:val="22"/>
            </w:rPr>
          </w:pPr>
          <w:r>
            <w:rPr/>
            <w:t>7.</w:t>
          </w:r>
          <w:r>
            <w:rPr>
              <w:lang w:val="en-US" w:eastAsia="en-US"/>
            </w:rPr>
            <w:t>2</w:t>
          </w:r>
          <w:r>
            <w:rPr/>
            <w:t>.4.4.2</w:t>
          </w:r>
          <w:r>
            <w:rPr>
              <w:rFonts w:cs="Calibri" w:ascii="Calibri" w:hAnsi="Calibri"/>
              <w:sz w:val="22"/>
              <w:szCs w:val="22"/>
            </w:rPr>
            <w:tab/>
          </w:r>
          <w:r>
            <w:rPr/>
            <w:t>Procedure</w:t>
            <w:tab/>
          </w:r>
          <w:hyperlink w:anchor="__RefHeading___Toc68601274">
            <w:r>
              <w:rPr>
                <w:rStyle w:val="IndexLink"/>
              </w:rPr>
              <w:t>147</w:t>
            </w:r>
          </w:hyperlink>
        </w:p>
        <w:p>
          <w:pPr>
            <w:pStyle w:val="Contents4"/>
            <w:rPr>
              <w:rFonts w:ascii="Calibri" w:hAnsi="Calibri" w:cs="Calibri"/>
              <w:sz w:val="22"/>
              <w:szCs w:val="22"/>
            </w:rPr>
          </w:pPr>
          <w:r>
            <w:rPr/>
            <w:t>7.</w:t>
          </w:r>
          <w:r>
            <w:rPr>
              <w:lang w:val="en-US" w:eastAsia="en-US"/>
            </w:rPr>
            <w:t>2</w:t>
          </w:r>
          <w:r>
            <w:rPr/>
            <w:t>.4.4.3</w:t>
          </w:r>
          <w:r>
            <w:rPr>
              <w:rFonts w:cs="Calibri" w:ascii="Calibri" w:hAnsi="Calibri"/>
              <w:sz w:val="22"/>
              <w:szCs w:val="22"/>
            </w:rPr>
            <w:tab/>
          </w:r>
          <w:r>
            <w:rPr/>
            <w:t>Procedure, reverberation chamber method</w:t>
            <w:tab/>
          </w:r>
          <w:hyperlink w:anchor="__RefHeading___Toc68601275">
            <w:r>
              <w:rPr>
                <w:rStyle w:val="IndexLink"/>
              </w:rPr>
              <w:t>147</w:t>
            </w:r>
          </w:hyperlink>
        </w:p>
        <w:p>
          <w:pPr>
            <w:pStyle w:val="Contents4"/>
            <w:rPr>
              <w:rFonts w:ascii="Calibri" w:hAnsi="Calibri" w:cs="Calibri"/>
              <w:sz w:val="22"/>
              <w:szCs w:val="22"/>
            </w:rPr>
          </w:pPr>
          <w:r>
            <w:rPr/>
            <w:t>7.</w:t>
          </w:r>
          <w:r>
            <w:rPr>
              <w:lang w:val="en-US" w:eastAsia="en-US"/>
            </w:rPr>
            <w:t>2</w:t>
          </w:r>
          <w:r>
            <w:rPr/>
            <w:t>.4.5</w:t>
          </w:r>
          <w:r>
            <w:rPr>
              <w:rFonts w:cs="Calibri" w:ascii="Calibri" w:hAnsi="Calibri"/>
              <w:sz w:val="22"/>
              <w:szCs w:val="22"/>
            </w:rPr>
            <w:tab/>
          </w:r>
          <w:r>
            <w:rPr/>
            <w:t>Test requirements</w:t>
            <w:tab/>
          </w:r>
          <w:hyperlink w:anchor="__RefHeading___Toc68601276">
            <w:r>
              <w:rPr>
                <w:rStyle w:val="IndexLink"/>
              </w:rPr>
              <w:t>147</w:t>
            </w:r>
          </w:hyperlink>
        </w:p>
        <w:p>
          <w:pPr>
            <w:pStyle w:val="Contents2"/>
            <w:rPr>
              <w:rFonts w:ascii="Calibri" w:hAnsi="Calibri" w:cs="Calibri"/>
              <w:sz w:val="22"/>
              <w:szCs w:val="22"/>
            </w:rPr>
          </w:pPr>
          <w:r>
            <w:rPr/>
            <w:t>7.3</w:t>
          </w:r>
          <w:r>
            <w:rPr>
              <w:rFonts w:cs="Calibri" w:ascii="Calibri" w:hAnsi="Calibri"/>
              <w:sz w:val="22"/>
              <w:szCs w:val="22"/>
            </w:rPr>
            <w:tab/>
          </w:r>
          <w:r>
            <w:rPr/>
            <w:t>Performance for LEE</w:t>
            <w:tab/>
          </w:r>
          <w:hyperlink w:anchor="__RefHeading___Toc68601277">
            <w:r>
              <w:rPr>
                <w:rStyle w:val="IndexLink"/>
              </w:rPr>
              <w:t>148</w:t>
            </w:r>
          </w:hyperlink>
        </w:p>
        <w:p>
          <w:pPr>
            <w:pStyle w:val="Contents3"/>
            <w:rPr>
              <w:rFonts w:ascii="Calibri" w:hAnsi="Calibri" w:cs="Calibri"/>
              <w:sz w:val="22"/>
              <w:szCs w:val="22"/>
            </w:rPr>
          </w:pPr>
          <w:r>
            <w:rPr>
              <w:lang w:val="en-US" w:eastAsia="en-US"/>
            </w:rPr>
            <w:t>7</w:t>
          </w:r>
          <w:r>
            <w:rPr/>
            <w:t>.</w:t>
          </w:r>
          <w:r>
            <w:rPr>
              <w:lang w:val="en-US" w:eastAsia="en-US"/>
            </w:rPr>
            <w:t>3</w:t>
          </w:r>
          <w:r>
            <w:rPr/>
            <w:t>.1</w:t>
          </w:r>
          <w:r>
            <w:rPr>
              <w:rFonts w:cs="Calibri" w:ascii="Calibri" w:hAnsi="Calibri"/>
              <w:sz w:val="22"/>
              <w:szCs w:val="22"/>
            </w:rPr>
            <w:tab/>
          </w:r>
          <w:r>
            <w:rPr>
              <w:rFonts w:cs="Arial"/>
              <w:color w:val="000000"/>
            </w:rPr>
            <w:t>Total Radiated Sensitivity (TRS) for</w:t>
          </w:r>
          <w:r>
            <w:rPr/>
            <w:t xml:space="preserve"> UTRA FDD LEE</w:t>
            <w:tab/>
          </w:r>
          <w:hyperlink w:anchor="__RefHeading___Toc68601278">
            <w:r>
              <w:rPr>
                <w:rStyle w:val="IndexLink"/>
              </w:rPr>
              <w:t>148</w:t>
            </w:r>
          </w:hyperlink>
        </w:p>
        <w:p>
          <w:pPr>
            <w:pStyle w:val="Contents4"/>
            <w:rPr>
              <w:rFonts w:ascii="Calibri" w:hAnsi="Calibri" w:cs="Calibri"/>
              <w:sz w:val="22"/>
              <w:szCs w:val="22"/>
            </w:rPr>
          </w:pPr>
          <w:r>
            <w:rPr/>
            <w:t>7.3.1.1</w:t>
          </w:r>
          <w:r>
            <w:rPr>
              <w:rFonts w:cs="Calibri" w:ascii="Calibri" w:hAnsi="Calibri"/>
              <w:sz w:val="22"/>
              <w:szCs w:val="22"/>
            </w:rPr>
            <w:tab/>
          </w:r>
          <w:r>
            <w:rPr/>
            <w:t>Definition and applicability</w:t>
            <w:tab/>
          </w:r>
          <w:hyperlink w:anchor="__RefHeading___Toc68601279">
            <w:r>
              <w:rPr>
                <w:rStyle w:val="IndexLink"/>
              </w:rPr>
              <w:t>148</w:t>
            </w:r>
          </w:hyperlink>
        </w:p>
        <w:p>
          <w:pPr>
            <w:pStyle w:val="Contents4"/>
            <w:rPr>
              <w:rFonts w:ascii="Calibri" w:hAnsi="Calibri" w:cs="Calibri"/>
              <w:sz w:val="22"/>
              <w:szCs w:val="22"/>
            </w:rPr>
          </w:pPr>
          <w:r>
            <w:rPr/>
            <w:t>7.3.1.2</w:t>
          </w:r>
          <w:r>
            <w:rPr>
              <w:rFonts w:cs="Calibri" w:ascii="Calibri" w:hAnsi="Calibri"/>
              <w:sz w:val="22"/>
              <w:szCs w:val="22"/>
            </w:rPr>
            <w:tab/>
          </w:r>
          <w:r>
            <w:rPr/>
            <w:t>Minimum Requirements</w:t>
            <w:tab/>
          </w:r>
          <w:hyperlink w:anchor="__RefHeading___Toc68601280">
            <w:r>
              <w:rPr>
                <w:rStyle w:val="IndexLink"/>
              </w:rPr>
              <w:t>149</w:t>
            </w:r>
          </w:hyperlink>
        </w:p>
        <w:p>
          <w:pPr>
            <w:pStyle w:val="Contents4"/>
            <w:rPr>
              <w:rFonts w:ascii="Calibri" w:hAnsi="Calibri" w:cs="Calibri"/>
              <w:sz w:val="22"/>
              <w:szCs w:val="22"/>
            </w:rPr>
          </w:pPr>
          <w:r>
            <w:rPr/>
            <w:t>7.3.1.3</w:t>
          </w:r>
          <w:r>
            <w:rPr>
              <w:rFonts w:cs="Calibri" w:ascii="Calibri" w:hAnsi="Calibri"/>
              <w:sz w:val="22"/>
              <w:szCs w:val="22"/>
            </w:rPr>
            <w:tab/>
          </w:r>
          <w:r>
            <w:rPr/>
            <w:t>Test purpose</w:t>
            <w:tab/>
          </w:r>
          <w:hyperlink w:anchor="__RefHeading___Toc68601281">
            <w:r>
              <w:rPr>
                <w:rStyle w:val="IndexLink"/>
              </w:rPr>
              <w:t>150</w:t>
            </w:r>
          </w:hyperlink>
        </w:p>
        <w:p>
          <w:pPr>
            <w:pStyle w:val="Contents4"/>
            <w:rPr>
              <w:rFonts w:ascii="Calibri" w:hAnsi="Calibri" w:cs="Calibri"/>
              <w:sz w:val="22"/>
              <w:szCs w:val="22"/>
            </w:rPr>
          </w:pPr>
          <w:r>
            <w:rPr/>
            <w:t>7.3.1.4</w:t>
          </w:r>
          <w:r>
            <w:rPr>
              <w:rFonts w:cs="Calibri" w:ascii="Calibri" w:hAnsi="Calibri"/>
              <w:sz w:val="22"/>
              <w:szCs w:val="22"/>
            </w:rPr>
            <w:tab/>
          </w:r>
          <w:r>
            <w:rPr/>
            <w:t>Method of test</w:t>
            <w:tab/>
          </w:r>
          <w:hyperlink w:anchor="__RefHeading___Toc68601282">
            <w:r>
              <w:rPr>
                <w:rStyle w:val="IndexLink"/>
              </w:rPr>
              <w:t>150</w:t>
            </w:r>
          </w:hyperlink>
        </w:p>
        <w:p>
          <w:pPr>
            <w:pStyle w:val="Contents4"/>
            <w:rPr>
              <w:rFonts w:ascii="Calibri" w:hAnsi="Calibri" w:cs="Calibri"/>
              <w:sz w:val="22"/>
              <w:szCs w:val="22"/>
            </w:rPr>
          </w:pPr>
          <w:r>
            <w:rPr/>
            <w:t>7.3.1.4.1</w:t>
          </w:r>
          <w:r>
            <w:rPr>
              <w:rFonts w:cs="Calibri" w:ascii="Calibri" w:hAnsi="Calibri"/>
              <w:sz w:val="22"/>
              <w:szCs w:val="22"/>
            </w:rPr>
            <w:tab/>
          </w:r>
          <w:r>
            <w:rPr/>
            <w:t>Initial conditions</w:t>
            <w:tab/>
          </w:r>
          <w:hyperlink w:anchor="__RefHeading___Toc68601283">
            <w:r>
              <w:rPr>
                <w:rStyle w:val="IndexLink"/>
              </w:rPr>
              <w:t>150</w:t>
            </w:r>
          </w:hyperlink>
        </w:p>
        <w:p>
          <w:pPr>
            <w:pStyle w:val="Contents4"/>
            <w:rPr>
              <w:rFonts w:ascii="Calibri" w:hAnsi="Calibri" w:cs="Calibri"/>
              <w:sz w:val="22"/>
              <w:szCs w:val="22"/>
            </w:rPr>
          </w:pPr>
          <w:r>
            <w:rPr/>
            <w:t>7.3.1.4.2</w:t>
          </w:r>
          <w:r>
            <w:rPr>
              <w:rFonts w:cs="Calibri" w:ascii="Calibri" w:hAnsi="Calibri"/>
              <w:sz w:val="22"/>
              <w:szCs w:val="22"/>
            </w:rPr>
            <w:tab/>
          </w:r>
          <w:r>
            <w:rPr/>
            <w:t>Procedure</w:t>
            <w:tab/>
          </w:r>
          <w:hyperlink w:anchor="__RefHeading___Toc68601284">
            <w:r>
              <w:rPr>
                <w:rStyle w:val="IndexLink"/>
              </w:rPr>
              <w:t>151</w:t>
            </w:r>
          </w:hyperlink>
        </w:p>
        <w:p>
          <w:pPr>
            <w:pStyle w:val="Contents4"/>
            <w:rPr>
              <w:rFonts w:ascii="Calibri" w:hAnsi="Calibri" w:cs="Calibri"/>
              <w:sz w:val="22"/>
              <w:szCs w:val="22"/>
            </w:rPr>
          </w:pPr>
          <w:r>
            <w:rPr/>
            <w:t>7.3.1.4.3</w:t>
          </w:r>
          <w:r>
            <w:rPr>
              <w:rFonts w:cs="Calibri" w:ascii="Calibri" w:hAnsi="Calibri"/>
              <w:sz w:val="22"/>
              <w:szCs w:val="22"/>
            </w:rPr>
            <w:tab/>
          </w:r>
          <w:r>
            <w:rPr/>
            <w:t>Procedure, reverberation chamber method</w:t>
            <w:tab/>
          </w:r>
          <w:hyperlink w:anchor="__RefHeading___Toc68601285">
            <w:r>
              <w:rPr>
                <w:rStyle w:val="IndexLink"/>
              </w:rPr>
              <w:t>151</w:t>
            </w:r>
          </w:hyperlink>
        </w:p>
        <w:p>
          <w:pPr>
            <w:pStyle w:val="Contents4"/>
            <w:rPr>
              <w:rFonts w:ascii="Calibri" w:hAnsi="Calibri" w:cs="Calibri"/>
              <w:sz w:val="22"/>
              <w:szCs w:val="22"/>
            </w:rPr>
          </w:pPr>
          <w:r>
            <w:rPr/>
            <w:t>7.3.1.5</w:t>
          </w:r>
          <w:r>
            <w:rPr>
              <w:rFonts w:cs="Calibri" w:ascii="Calibri" w:hAnsi="Calibri"/>
              <w:sz w:val="22"/>
              <w:szCs w:val="22"/>
            </w:rPr>
            <w:tab/>
          </w:r>
          <w:r>
            <w:rPr/>
            <w:t>Test requirements</w:t>
            <w:tab/>
          </w:r>
          <w:hyperlink w:anchor="__RefHeading___Toc68601286">
            <w:r>
              <w:rPr>
                <w:rStyle w:val="IndexLink"/>
              </w:rPr>
              <w:t>152</w:t>
            </w:r>
          </w:hyperlink>
        </w:p>
        <w:p>
          <w:pPr>
            <w:pStyle w:val="Contents3"/>
            <w:rPr>
              <w:rFonts w:ascii="Calibri" w:hAnsi="Calibri" w:cs="Calibri"/>
              <w:sz w:val="22"/>
              <w:szCs w:val="22"/>
            </w:rPr>
          </w:pPr>
          <w:r>
            <w:rPr>
              <w:lang w:val="en-US" w:eastAsia="en-US"/>
            </w:rPr>
            <w:t>7</w:t>
          </w:r>
          <w:r>
            <w:rPr/>
            <w:t>.</w:t>
          </w:r>
          <w:r>
            <w:rPr>
              <w:lang w:val="en-US" w:eastAsia="en-US"/>
            </w:rPr>
            <w:t>3</w:t>
          </w:r>
          <w:r>
            <w:rPr/>
            <w:t>.2</w:t>
          </w:r>
          <w:r>
            <w:rPr>
              <w:rFonts w:cs="Calibri" w:ascii="Calibri" w:hAnsi="Calibri"/>
              <w:sz w:val="22"/>
              <w:szCs w:val="22"/>
            </w:rPr>
            <w:tab/>
          </w:r>
          <w:r>
            <w:rPr>
              <w:rFonts w:cs="Arial"/>
              <w:color w:val="000000"/>
            </w:rPr>
            <w:t>Total Radiated Sensitivity (TRS) for</w:t>
          </w:r>
          <w:r>
            <w:rPr/>
            <w:t xml:space="preserve"> UTRA LCR TDD LEE</w:t>
            <w:tab/>
          </w:r>
          <w:hyperlink w:anchor="__RefHeading___Toc68601287">
            <w:r>
              <w:rPr>
                <w:rStyle w:val="IndexLink"/>
              </w:rPr>
              <w:t>153</w:t>
            </w:r>
          </w:hyperlink>
        </w:p>
        <w:p>
          <w:pPr>
            <w:pStyle w:val="Contents4"/>
            <w:rPr>
              <w:rFonts w:ascii="Calibri" w:hAnsi="Calibri" w:cs="Calibri"/>
              <w:sz w:val="22"/>
              <w:szCs w:val="22"/>
            </w:rPr>
          </w:pPr>
          <w:r>
            <w:rPr/>
            <w:t>7.3.2.1</w:t>
          </w:r>
          <w:r>
            <w:rPr>
              <w:rFonts w:cs="Calibri" w:ascii="Calibri" w:hAnsi="Calibri"/>
              <w:sz w:val="22"/>
              <w:szCs w:val="22"/>
            </w:rPr>
            <w:tab/>
          </w:r>
          <w:r>
            <w:rPr/>
            <w:t>Definition and applicability</w:t>
            <w:tab/>
          </w:r>
          <w:hyperlink w:anchor="__RefHeading___Toc68601288">
            <w:r>
              <w:rPr>
                <w:rStyle w:val="IndexLink"/>
              </w:rPr>
              <w:t>153</w:t>
            </w:r>
          </w:hyperlink>
        </w:p>
        <w:p>
          <w:pPr>
            <w:pStyle w:val="Contents4"/>
            <w:rPr>
              <w:rFonts w:ascii="Calibri" w:hAnsi="Calibri" w:cs="Calibri"/>
              <w:sz w:val="22"/>
              <w:szCs w:val="22"/>
            </w:rPr>
          </w:pPr>
          <w:r>
            <w:rPr/>
            <w:t>7.3.2.2</w:t>
          </w:r>
          <w:r>
            <w:rPr>
              <w:rFonts w:cs="Calibri" w:ascii="Calibri" w:hAnsi="Calibri"/>
              <w:sz w:val="22"/>
              <w:szCs w:val="22"/>
            </w:rPr>
            <w:tab/>
          </w:r>
          <w:r>
            <w:rPr/>
            <w:t>Minimum Requirements</w:t>
            <w:tab/>
          </w:r>
          <w:hyperlink w:anchor="__RefHeading___Toc68601289">
            <w:r>
              <w:rPr>
                <w:rStyle w:val="IndexLink"/>
              </w:rPr>
              <w:t>154</w:t>
            </w:r>
          </w:hyperlink>
        </w:p>
        <w:p>
          <w:pPr>
            <w:pStyle w:val="Contents4"/>
            <w:rPr>
              <w:rFonts w:ascii="Calibri" w:hAnsi="Calibri" w:cs="Calibri"/>
              <w:sz w:val="22"/>
              <w:szCs w:val="22"/>
            </w:rPr>
          </w:pPr>
          <w:r>
            <w:rPr/>
            <w:t>7.3.2.3</w:t>
          </w:r>
          <w:r>
            <w:rPr>
              <w:rFonts w:cs="Calibri" w:ascii="Calibri" w:hAnsi="Calibri"/>
              <w:sz w:val="22"/>
              <w:szCs w:val="22"/>
            </w:rPr>
            <w:tab/>
          </w:r>
          <w:r>
            <w:rPr/>
            <w:t>Test purpose</w:t>
            <w:tab/>
          </w:r>
          <w:hyperlink w:anchor="__RefHeading___Toc68601290">
            <w:r>
              <w:rPr>
                <w:rStyle w:val="IndexLink"/>
              </w:rPr>
              <w:t>155</w:t>
            </w:r>
          </w:hyperlink>
        </w:p>
        <w:p>
          <w:pPr>
            <w:pStyle w:val="Contents4"/>
            <w:rPr>
              <w:rFonts w:ascii="Calibri" w:hAnsi="Calibri" w:cs="Calibri"/>
              <w:sz w:val="22"/>
              <w:szCs w:val="22"/>
            </w:rPr>
          </w:pPr>
          <w:r>
            <w:rPr/>
            <w:t>7.3.2.4</w:t>
          </w:r>
          <w:r>
            <w:rPr>
              <w:rFonts w:cs="Calibri" w:ascii="Calibri" w:hAnsi="Calibri"/>
              <w:sz w:val="22"/>
              <w:szCs w:val="22"/>
            </w:rPr>
            <w:tab/>
          </w:r>
          <w:r>
            <w:rPr/>
            <w:t>Method of test</w:t>
            <w:tab/>
          </w:r>
          <w:hyperlink w:anchor="__RefHeading___Toc68601291">
            <w:r>
              <w:rPr>
                <w:rStyle w:val="IndexLink"/>
              </w:rPr>
              <w:t>155</w:t>
            </w:r>
          </w:hyperlink>
        </w:p>
        <w:p>
          <w:pPr>
            <w:pStyle w:val="Contents4"/>
            <w:rPr>
              <w:rFonts w:ascii="Calibri" w:hAnsi="Calibri" w:cs="Calibri"/>
              <w:sz w:val="22"/>
              <w:szCs w:val="22"/>
            </w:rPr>
          </w:pPr>
          <w:r>
            <w:rPr/>
            <w:t>7.3.2.4.1</w:t>
          </w:r>
          <w:r>
            <w:rPr>
              <w:rFonts w:cs="Calibri" w:ascii="Calibri" w:hAnsi="Calibri"/>
              <w:sz w:val="22"/>
              <w:szCs w:val="22"/>
            </w:rPr>
            <w:tab/>
          </w:r>
          <w:r>
            <w:rPr/>
            <w:t>Initial conditions</w:t>
            <w:tab/>
          </w:r>
          <w:hyperlink w:anchor="__RefHeading___Toc68601292">
            <w:r>
              <w:rPr>
                <w:rStyle w:val="IndexLink"/>
              </w:rPr>
              <w:t>155</w:t>
            </w:r>
          </w:hyperlink>
        </w:p>
        <w:p>
          <w:pPr>
            <w:pStyle w:val="Contents4"/>
            <w:rPr>
              <w:rFonts w:ascii="Calibri" w:hAnsi="Calibri" w:cs="Calibri"/>
              <w:sz w:val="22"/>
              <w:szCs w:val="22"/>
            </w:rPr>
          </w:pPr>
          <w:r>
            <w:rPr/>
            <w:t>7.3.2.4.2</w:t>
          </w:r>
          <w:r>
            <w:rPr>
              <w:rFonts w:cs="Calibri" w:ascii="Calibri" w:hAnsi="Calibri"/>
              <w:sz w:val="22"/>
              <w:szCs w:val="22"/>
            </w:rPr>
            <w:tab/>
          </w:r>
          <w:r>
            <w:rPr/>
            <w:t>Procedure</w:t>
            <w:tab/>
          </w:r>
          <w:hyperlink w:anchor="__RefHeading___Toc68601293">
            <w:r>
              <w:rPr>
                <w:rStyle w:val="IndexLink"/>
              </w:rPr>
              <w:t>156</w:t>
            </w:r>
          </w:hyperlink>
        </w:p>
        <w:p>
          <w:pPr>
            <w:pStyle w:val="Contents4"/>
            <w:rPr>
              <w:rFonts w:ascii="Calibri" w:hAnsi="Calibri" w:cs="Calibri"/>
              <w:sz w:val="22"/>
              <w:szCs w:val="22"/>
            </w:rPr>
          </w:pPr>
          <w:r>
            <w:rPr/>
            <w:t>7.3.2.4.3</w:t>
          </w:r>
          <w:r>
            <w:rPr>
              <w:rFonts w:cs="Calibri" w:ascii="Calibri" w:hAnsi="Calibri"/>
              <w:sz w:val="22"/>
              <w:szCs w:val="22"/>
            </w:rPr>
            <w:tab/>
          </w:r>
          <w:r>
            <w:rPr/>
            <w:t>Procedure, reverberation chamber method</w:t>
            <w:tab/>
          </w:r>
          <w:hyperlink w:anchor="__RefHeading___Toc68601294">
            <w:r>
              <w:rPr>
                <w:rStyle w:val="IndexLink"/>
              </w:rPr>
              <w:t>156</w:t>
            </w:r>
          </w:hyperlink>
        </w:p>
        <w:p>
          <w:pPr>
            <w:pStyle w:val="Contents4"/>
            <w:rPr>
              <w:rFonts w:ascii="Calibri" w:hAnsi="Calibri" w:cs="Calibri"/>
              <w:sz w:val="22"/>
              <w:szCs w:val="22"/>
            </w:rPr>
          </w:pPr>
          <w:r>
            <w:rPr/>
            <w:t>7.3.2.5</w:t>
          </w:r>
          <w:r>
            <w:rPr>
              <w:rFonts w:cs="Calibri" w:ascii="Calibri" w:hAnsi="Calibri"/>
              <w:sz w:val="22"/>
              <w:szCs w:val="22"/>
            </w:rPr>
            <w:tab/>
          </w:r>
          <w:r>
            <w:rPr/>
            <w:t>Test requirements</w:t>
            <w:tab/>
          </w:r>
          <w:hyperlink w:anchor="__RefHeading___Toc68601295">
            <w:r>
              <w:rPr>
                <w:rStyle w:val="IndexLink"/>
              </w:rPr>
              <w:t>157</w:t>
            </w:r>
          </w:hyperlink>
        </w:p>
        <w:p>
          <w:pPr>
            <w:pStyle w:val="Contents3"/>
            <w:rPr>
              <w:rFonts w:ascii="Calibri" w:hAnsi="Calibri" w:cs="Calibri"/>
              <w:sz w:val="22"/>
              <w:szCs w:val="22"/>
            </w:rPr>
          </w:pPr>
          <w:r>
            <w:rPr>
              <w:lang w:val="en-US" w:eastAsia="en-US"/>
            </w:rPr>
            <w:t>7</w:t>
          </w:r>
          <w:r>
            <w:rPr/>
            <w:t>.</w:t>
          </w:r>
          <w:r>
            <w:rPr>
              <w:lang w:val="en-US" w:eastAsia="en-US"/>
            </w:rPr>
            <w:t>3</w:t>
          </w:r>
          <w:r>
            <w:rPr/>
            <w:t>.3</w:t>
          </w:r>
          <w:r>
            <w:rPr>
              <w:rFonts w:cs="Calibri" w:ascii="Calibri" w:hAnsi="Calibri"/>
              <w:sz w:val="22"/>
              <w:szCs w:val="22"/>
            </w:rPr>
            <w:tab/>
          </w:r>
          <w:r>
            <w:rPr>
              <w:rFonts w:cs="Arial"/>
              <w:color w:val="000000"/>
            </w:rPr>
            <w:t>Total Radiated Sensitivity (TRS) for</w:t>
          </w:r>
          <w:r>
            <w:rPr/>
            <w:t xml:space="preserve"> E-UTRA FDD LEE</w:t>
            <w:tab/>
          </w:r>
          <w:hyperlink w:anchor="__RefHeading___Toc68601296">
            <w:r>
              <w:rPr>
                <w:rStyle w:val="IndexLink"/>
              </w:rPr>
              <w:t>158</w:t>
            </w:r>
          </w:hyperlink>
        </w:p>
        <w:p>
          <w:pPr>
            <w:pStyle w:val="Contents4"/>
            <w:rPr>
              <w:rFonts w:ascii="Calibri" w:hAnsi="Calibri" w:cs="Calibri"/>
              <w:sz w:val="22"/>
              <w:szCs w:val="22"/>
            </w:rPr>
          </w:pPr>
          <w:r>
            <w:rPr/>
            <w:t>7.3.3.1</w:t>
          </w:r>
          <w:r>
            <w:rPr>
              <w:rFonts w:cs="Calibri" w:ascii="Calibri" w:hAnsi="Calibri"/>
              <w:sz w:val="22"/>
              <w:szCs w:val="22"/>
            </w:rPr>
            <w:tab/>
          </w:r>
          <w:r>
            <w:rPr/>
            <w:t>Definition and applicability</w:t>
            <w:tab/>
          </w:r>
          <w:hyperlink w:anchor="__RefHeading___Toc68601297">
            <w:r>
              <w:rPr>
                <w:rStyle w:val="IndexLink"/>
              </w:rPr>
              <w:t>158</w:t>
            </w:r>
          </w:hyperlink>
        </w:p>
        <w:p>
          <w:pPr>
            <w:pStyle w:val="Contents4"/>
            <w:rPr>
              <w:rFonts w:ascii="Calibri" w:hAnsi="Calibri" w:cs="Calibri"/>
              <w:sz w:val="22"/>
              <w:szCs w:val="22"/>
            </w:rPr>
          </w:pPr>
          <w:r>
            <w:rPr/>
            <w:t>7.3.3.2</w:t>
          </w:r>
          <w:r>
            <w:rPr>
              <w:rFonts w:cs="Calibri" w:ascii="Calibri" w:hAnsi="Calibri"/>
              <w:sz w:val="22"/>
              <w:szCs w:val="22"/>
            </w:rPr>
            <w:tab/>
          </w:r>
          <w:r>
            <w:rPr/>
            <w:t>Minimum Requirements</w:t>
            <w:tab/>
          </w:r>
          <w:hyperlink w:anchor="__RefHeading___Toc68601298">
            <w:r>
              <w:rPr>
                <w:rStyle w:val="IndexLink"/>
              </w:rPr>
              <w:t>159</w:t>
            </w:r>
          </w:hyperlink>
        </w:p>
        <w:p>
          <w:pPr>
            <w:pStyle w:val="Contents4"/>
            <w:rPr>
              <w:rFonts w:ascii="Calibri" w:hAnsi="Calibri" w:cs="Calibri"/>
              <w:sz w:val="22"/>
              <w:szCs w:val="22"/>
            </w:rPr>
          </w:pPr>
          <w:r>
            <w:rPr/>
            <w:t>7.3.3.3</w:t>
          </w:r>
          <w:r>
            <w:rPr>
              <w:rFonts w:cs="Calibri" w:ascii="Calibri" w:hAnsi="Calibri"/>
              <w:sz w:val="22"/>
              <w:szCs w:val="22"/>
            </w:rPr>
            <w:tab/>
          </w:r>
          <w:r>
            <w:rPr/>
            <w:t>Test purpose</w:t>
            <w:tab/>
          </w:r>
          <w:hyperlink w:anchor="__RefHeading___Toc68601299">
            <w:r>
              <w:rPr>
                <w:rStyle w:val="IndexLink"/>
              </w:rPr>
              <w:t>160</w:t>
            </w:r>
          </w:hyperlink>
        </w:p>
        <w:p>
          <w:pPr>
            <w:pStyle w:val="Contents4"/>
            <w:rPr>
              <w:rFonts w:ascii="Calibri" w:hAnsi="Calibri" w:cs="Calibri"/>
              <w:sz w:val="22"/>
              <w:szCs w:val="22"/>
            </w:rPr>
          </w:pPr>
          <w:r>
            <w:rPr/>
            <w:t>7.3.3.4</w:t>
          </w:r>
          <w:r>
            <w:rPr>
              <w:rFonts w:cs="Calibri" w:ascii="Calibri" w:hAnsi="Calibri"/>
              <w:sz w:val="22"/>
              <w:szCs w:val="22"/>
            </w:rPr>
            <w:tab/>
          </w:r>
          <w:r>
            <w:rPr/>
            <w:t>Method of test</w:t>
            <w:tab/>
          </w:r>
          <w:hyperlink w:anchor="__RefHeading___Toc68601300">
            <w:r>
              <w:rPr>
                <w:rStyle w:val="IndexLink"/>
              </w:rPr>
              <w:t>160</w:t>
            </w:r>
          </w:hyperlink>
        </w:p>
        <w:p>
          <w:pPr>
            <w:pStyle w:val="Contents4"/>
            <w:rPr>
              <w:rFonts w:ascii="Calibri" w:hAnsi="Calibri" w:cs="Calibri"/>
              <w:sz w:val="22"/>
              <w:szCs w:val="22"/>
            </w:rPr>
          </w:pPr>
          <w:r>
            <w:rPr/>
            <w:t>7.3.3.4.1</w:t>
          </w:r>
          <w:r>
            <w:rPr>
              <w:rFonts w:cs="Calibri" w:ascii="Calibri" w:hAnsi="Calibri"/>
              <w:sz w:val="22"/>
              <w:szCs w:val="22"/>
            </w:rPr>
            <w:tab/>
          </w:r>
          <w:r>
            <w:rPr/>
            <w:t>Initial conditions</w:t>
            <w:tab/>
          </w:r>
          <w:hyperlink w:anchor="__RefHeading___Toc68601301">
            <w:r>
              <w:rPr>
                <w:rStyle w:val="IndexLink"/>
              </w:rPr>
              <w:t>160</w:t>
            </w:r>
          </w:hyperlink>
        </w:p>
        <w:p>
          <w:pPr>
            <w:pStyle w:val="Contents4"/>
            <w:rPr>
              <w:rFonts w:ascii="Calibri" w:hAnsi="Calibri" w:cs="Calibri"/>
              <w:sz w:val="22"/>
              <w:szCs w:val="22"/>
            </w:rPr>
          </w:pPr>
          <w:r>
            <w:rPr/>
            <w:t>7.3.3.4.2</w:t>
          </w:r>
          <w:r>
            <w:rPr>
              <w:rFonts w:cs="Calibri" w:ascii="Calibri" w:hAnsi="Calibri"/>
              <w:sz w:val="22"/>
              <w:szCs w:val="22"/>
            </w:rPr>
            <w:tab/>
          </w:r>
          <w:r>
            <w:rPr/>
            <w:t>Procedure</w:t>
            <w:tab/>
          </w:r>
          <w:hyperlink w:anchor="__RefHeading___Toc68601302">
            <w:r>
              <w:rPr>
                <w:rStyle w:val="IndexLink"/>
              </w:rPr>
              <w:t>161</w:t>
            </w:r>
          </w:hyperlink>
        </w:p>
        <w:p>
          <w:pPr>
            <w:pStyle w:val="Contents4"/>
            <w:rPr>
              <w:rFonts w:ascii="Calibri" w:hAnsi="Calibri" w:cs="Calibri"/>
              <w:sz w:val="22"/>
              <w:szCs w:val="22"/>
            </w:rPr>
          </w:pPr>
          <w:r>
            <w:rPr/>
            <w:t>7.3.3.4.3</w:t>
          </w:r>
          <w:r>
            <w:rPr>
              <w:rFonts w:cs="Calibri" w:ascii="Calibri" w:hAnsi="Calibri"/>
              <w:sz w:val="22"/>
              <w:szCs w:val="22"/>
            </w:rPr>
            <w:tab/>
          </w:r>
          <w:r>
            <w:rPr/>
            <w:t>Procedure, reverberation chamber method</w:t>
            <w:tab/>
          </w:r>
          <w:hyperlink w:anchor="__RefHeading___Toc68601303">
            <w:r>
              <w:rPr>
                <w:rStyle w:val="IndexLink"/>
              </w:rPr>
              <w:t>161</w:t>
            </w:r>
          </w:hyperlink>
        </w:p>
        <w:p>
          <w:pPr>
            <w:pStyle w:val="Contents4"/>
            <w:rPr>
              <w:rFonts w:ascii="Calibri" w:hAnsi="Calibri" w:cs="Calibri"/>
              <w:sz w:val="22"/>
              <w:szCs w:val="22"/>
            </w:rPr>
          </w:pPr>
          <w:r>
            <w:rPr/>
            <w:t>7.3.3.5</w:t>
          </w:r>
          <w:r>
            <w:rPr>
              <w:rFonts w:cs="Calibri" w:ascii="Calibri" w:hAnsi="Calibri"/>
              <w:sz w:val="22"/>
              <w:szCs w:val="22"/>
            </w:rPr>
            <w:tab/>
          </w:r>
          <w:r>
            <w:rPr/>
            <w:t>Test requirements</w:t>
            <w:tab/>
          </w:r>
          <w:hyperlink w:anchor="__RefHeading___Toc68601304">
            <w:r>
              <w:rPr>
                <w:rStyle w:val="IndexLink"/>
              </w:rPr>
              <w:t>161</w:t>
            </w:r>
          </w:hyperlink>
        </w:p>
        <w:p>
          <w:pPr>
            <w:pStyle w:val="Contents3"/>
            <w:rPr>
              <w:rFonts w:ascii="Calibri" w:hAnsi="Calibri" w:cs="Calibri"/>
              <w:sz w:val="22"/>
              <w:szCs w:val="22"/>
            </w:rPr>
          </w:pPr>
          <w:r>
            <w:rPr>
              <w:lang w:val="en-US" w:eastAsia="en-US"/>
            </w:rPr>
            <w:t>7</w:t>
          </w:r>
          <w:r>
            <w:rPr/>
            <w:t>.</w:t>
          </w:r>
          <w:r>
            <w:rPr>
              <w:lang w:val="en-US" w:eastAsia="en-US"/>
            </w:rPr>
            <w:t>3</w:t>
          </w:r>
          <w:r>
            <w:rPr/>
            <w:t>.4</w:t>
          </w:r>
          <w:r>
            <w:rPr>
              <w:rFonts w:cs="Calibri" w:ascii="Calibri" w:hAnsi="Calibri"/>
              <w:sz w:val="22"/>
              <w:szCs w:val="22"/>
            </w:rPr>
            <w:tab/>
          </w:r>
          <w:r>
            <w:rPr>
              <w:rFonts w:cs="Arial"/>
              <w:color w:val="000000"/>
            </w:rPr>
            <w:t>Total Radiated Sensitivity (TRS) for</w:t>
          </w:r>
          <w:r>
            <w:rPr/>
            <w:t xml:space="preserve"> E-UTRA TDD LEE</w:t>
            <w:tab/>
          </w:r>
          <w:hyperlink w:anchor="__RefHeading___Toc68601305">
            <w:r>
              <w:rPr>
                <w:rStyle w:val="IndexLink"/>
              </w:rPr>
              <w:t>162</w:t>
            </w:r>
          </w:hyperlink>
        </w:p>
        <w:p>
          <w:pPr>
            <w:pStyle w:val="Contents4"/>
            <w:rPr>
              <w:rFonts w:ascii="Calibri" w:hAnsi="Calibri" w:cs="Calibri"/>
              <w:sz w:val="22"/>
              <w:szCs w:val="22"/>
            </w:rPr>
          </w:pPr>
          <w:r>
            <w:rPr/>
            <w:t>7.3.4.1</w:t>
          </w:r>
          <w:r>
            <w:rPr>
              <w:rFonts w:cs="Calibri" w:ascii="Calibri" w:hAnsi="Calibri"/>
              <w:sz w:val="22"/>
              <w:szCs w:val="22"/>
            </w:rPr>
            <w:tab/>
          </w:r>
          <w:r>
            <w:rPr/>
            <w:t>Definition and applicability</w:t>
            <w:tab/>
          </w:r>
          <w:hyperlink w:anchor="__RefHeading___Toc68601306">
            <w:r>
              <w:rPr>
                <w:rStyle w:val="IndexLink"/>
              </w:rPr>
              <w:t>162</w:t>
            </w:r>
          </w:hyperlink>
        </w:p>
        <w:p>
          <w:pPr>
            <w:pStyle w:val="Contents4"/>
            <w:rPr>
              <w:rFonts w:ascii="Calibri" w:hAnsi="Calibri" w:cs="Calibri"/>
              <w:sz w:val="22"/>
              <w:szCs w:val="22"/>
            </w:rPr>
          </w:pPr>
          <w:r>
            <w:rPr/>
            <w:t>7.3.4.2</w:t>
          </w:r>
          <w:r>
            <w:rPr>
              <w:rFonts w:cs="Calibri" w:ascii="Calibri" w:hAnsi="Calibri"/>
              <w:sz w:val="22"/>
              <w:szCs w:val="22"/>
            </w:rPr>
            <w:tab/>
          </w:r>
          <w:r>
            <w:rPr/>
            <w:t>Minimum Requirements</w:t>
            <w:tab/>
          </w:r>
          <w:hyperlink w:anchor="__RefHeading___Toc68601307">
            <w:r>
              <w:rPr>
                <w:rStyle w:val="IndexLink"/>
              </w:rPr>
              <w:t>163</w:t>
            </w:r>
          </w:hyperlink>
        </w:p>
        <w:p>
          <w:pPr>
            <w:pStyle w:val="Contents4"/>
            <w:rPr>
              <w:rFonts w:ascii="Calibri" w:hAnsi="Calibri" w:cs="Calibri"/>
              <w:sz w:val="22"/>
              <w:szCs w:val="22"/>
            </w:rPr>
          </w:pPr>
          <w:r>
            <w:rPr/>
            <w:t>7.3.4.3</w:t>
          </w:r>
          <w:r>
            <w:rPr>
              <w:rFonts w:cs="Calibri" w:ascii="Calibri" w:hAnsi="Calibri"/>
              <w:sz w:val="22"/>
              <w:szCs w:val="22"/>
            </w:rPr>
            <w:tab/>
          </w:r>
          <w:r>
            <w:rPr/>
            <w:t>Test purpose</w:t>
            <w:tab/>
          </w:r>
          <w:hyperlink w:anchor="__RefHeading___Toc68601308">
            <w:r>
              <w:rPr>
                <w:rStyle w:val="IndexLink"/>
              </w:rPr>
              <w:t>163</w:t>
            </w:r>
          </w:hyperlink>
        </w:p>
        <w:p>
          <w:pPr>
            <w:pStyle w:val="Contents4"/>
            <w:rPr>
              <w:rFonts w:ascii="Calibri" w:hAnsi="Calibri" w:cs="Calibri"/>
              <w:sz w:val="22"/>
              <w:szCs w:val="22"/>
            </w:rPr>
          </w:pPr>
          <w:r>
            <w:rPr/>
            <w:t>7.3.5.4</w:t>
          </w:r>
          <w:r>
            <w:rPr>
              <w:rFonts w:cs="Calibri" w:ascii="Calibri" w:hAnsi="Calibri"/>
              <w:sz w:val="22"/>
              <w:szCs w:val="22"/>
            </w:rPr>
            <w:tab/>
          </w:r>
          <w:r>
            <w:rPr/>
            <w:t>Method of test</w:t>
            <w:tab/>
          </w:r>
          <w:hyperlink w:anchor="__RefHeading___Toc68601309">
            <w:r>
              <w:rPr>
                <w:rStyle w:val="IndexLink"/>
              </w:rPr>
              <w:t>164</w:t>
            </w:r>
          </w:hyperlink>
        </w:p>
        <w:p>
          <w:pPr>
            <w:pStyle w:val="Contents4"/>
            <w:rPr>
              <w:rFonts w:ascii="Calibri" w:hAnsi="Calibri" w:cs="Calibri"/>
              <w:sz w:val="22"/>
              <w:szCs w:val="22"/>
            </w:rPr>
          </w:pPr>
          <w:r>
            <w:rPr/>
            <w:t>7.3.4.4.1</w:t>
          </w:r>
          <w:r>
            <w:rPr>
              <w:rFonts w:cs="Calibri" w:ascii="Calibri" w:hAnsi="Calibri"/>
              <w:sz w:val="22"/>
              <w:szCs w:val="22"/>
            </w:rPr>
            <w:tab/>
          </w:r>
          <w:r>
            <w:rPr/>
            <w:t>Initial conditions</w:t>
            <w:tab/>
          </w:r>
          <w:hyperlink w:anchor="__RefHeading___Toc68601310">
            <w:r>
              <w:rPr>
                <w:rStyle w:val="IndexLink"/>
              </w:rPr>
              <w:t>164</w:t>
            </w:r>
          </w:hyperlink>
        </w:p>
        <w:p>
          <w:pPr>
            <w:pStyle w:val="Contents4"/>
            <w:rPr>
              <w:rFonts w:ascii="Calibri" w:hAnsi="Calibri" w:cs="Calibri"/>
              <w:sz w:val="22"/>
              <w:szCs w:val="22"/>
            </w:rPr>
          </w:pPr>
          <w:r>
            <w:rPr/>
            <w:t>7.3.4.4.2</w:t>
          </w:r>
          <w:r>
            <w:rPr>
              <w:rFonts w:cs="Calibri" w:ascii="Calibri" w:hAnsi="Calibri"/>
              <w:sz w:val="22"/>
              <w:szCs w:val="22"/>
            </w:rPr>
            <w:tab/>
          </w:r>
          <w:r>
            <w:rPr/>
            <w:t>Procedure</w:t>
            <w:tab/>
          </w:r>
          <w:hyperlink w:anchor="__RefHeading___Toc68601311">
            <w:r>
              <w:rPr>
                <w:rStyle w:val="IndexLink"/>
              </w:rPr>
              <w:t>164</w:t>
            </w:r>
          </w:hyperlink>
        </w:p>
        <w:p>
          <w:pPr>
            <w:pStyle w:val="Contents4"/>
            <w:rPr>
              <w:rFonts w:ascii="Calibri" w:hAnsi="Calibri" w:cs="Calibri"/>
              <w:sz w:val="22"/>
              <w:szCs w:val="22"/>
            </w:rPr>
          </w:pPr>
          <w:r>
            <w:rPr/>
            <w:t>7.3.4.4.3</w:t>
          </w:r>
          <w:r>
            <w:rPr>
              <w:rFonts w:cs="Calibri" w:ascii="Calibri" w:hAnsi="Calibri"/>
              <w:sz w:val="22"/>
              <w:szCs w:val="22"/>
            </w:rPr>
            <w:tab/>
          </w:r>
          <w:r>
            <w:rPr/>
            <w:t>Procedure, reverberation chamber method</w:t>
            <w:tab/>
          </w:r>
          <w:hyperlink w:anchor="__RefHeading___Toc68601312">
            <w:r>
              <w:rPr>
                <w:rStyle w:val="IndexLink"/>
              </w:rPr>
              <w:t>164</w:t>
            </w:r>
          </w:hyperlink>
        </w:p>
        <w:p>
          <w:pPr>
            <w:pStyle w:val="Contents4"/>
            <w:rPr>
              <w:rFonts w:ascii="Calibri" w:hAnsi="Calibri" w:cs="Calibri"/>
              <w:sz w:val="22"/>
              <w:szCs w:val="22"/>
            </w:rPr>
          </w:pPr>
          <w:r>
            <w:rPr/>
            <w:t>7.3.4.5</w:t>
          </w:r>
          <w:r>
            <w:rPr>
              <w:rFonts w:cs="Calibri" w:ascii="Calibri" w:hAnsi="Calibri"/>
              <w:sz w:val="22"/>
              <w:szCs w:val="22"/>
            </w:rPr>
            <w:tab/>
          </w:r>
          <w:r>
            <w:rPr/>
            <w:t>Test requirements</w:t>
            <w:tab/>
          </w:r>
          <w:hyperlink w:anchor="__RefHeading___Toc68601313">
            <w:r>
              <w:rPr>
                <w:rStyle w:val="IndexLink"/>
              </w:rPr>
              <w:t>164</w:t>
            </w:r>
          </w:hyperlink>
        </w:p>
        <w:p>
          <w:pPr>
            <w:pStyle w:val="Contents2"/>
            <w:rPr>
              <w:rFonts w:ascii="Calibri" w:hAnsi="Calibri" w:cs="Calibri"/>
              <w:sz w:val="22"/>
              <w:szCs w:val="22"/>
            </w:rPr>
          </w:pPr>
          <w:r>
            <w:rPr/>
            <w:t>7.4</w:t>
          </w:r>
          <w:r>
            <w:rPr>
              <w:rFonts w:cs="Calibri" w:ascii="Calibri" w:hAnsi="Calibri"/>
              <w:sz w:val="22"/>
              <w:szCs w:val="22"/>
            </w:rPr>
            <w:tab/>
          </w:r>
          <w:r>
            <w:rPr/>
            <w:t>Radiated Performance of Multiple-antenna Receivers in the UE</w:t>
            <w:tab/>
          </w:r>
          <w:hyperlink w:anchor="__RefHeading___Toc68601314">
            <w:r>
              <w:rPr>
                <w:rStyle w:val="IndexLink"/>
              </w:rPr>
              <w:t>165</w:t>
            </w:r>
          </w:hyperlink>
        </w:p>
        <w:p>
          <w:pPr>
            <w:pStyle w:val="Contents3"/>
            <w:rPr>
              <w:rFonts w:ascii="Calibri" w:hAnsi="Calibri" w:cs="Calibri"/>
              <w:sz w:val="22"/>
              <w:szCs w:val="22"/>
            </w:rPr>
          </w:pPr>
          <w:r>
            <w:rPr/>
            <w:t>7.4.1</w:t>
          </w:r>
          <w:r>
            <w:rPr>
              <w:rFonts w:cs="Calibri" w:ascii="Calibri" w:hAnsi="Calibri"/>
              <w:sz w:val="22"/>
              <w:szCs w:val="22"/>
            </w:rPr>
            <w:tab/>
          </w:r>
          <w:r>
            <w:rPr/>
            <w:t>Total Radiated Multi-antenna Sensitivity (TRMS) for E-UTRA FDD for Handheld UE in Free Space</w:t>
            <w:tab/>
          </w:r>
          <w:hyperlink w:anchor="__RefHeading___Toc68601315">
            <w:r>
              <w:rPr>
                <w:rStyle w:val="IndexLink"/>
              </w:rPr>
              <w:t>165</w:t>
            </w:r>
          </w:hyperlink>
        </w:p>
        <w:p>
          <w:pPr>
            <w:pStyle w:val="Contents4"/>
            <w:rPr>
              <w:rFonts w:ascii="Calibri" w:hAnsi="Calibri" w:cs="Calibri"/>
              <w:sz w:val="22"/>
              <w:szCs w:val="22"/>
            </w:rPr>
          </w:pPr>
          <w:r>
            <w:rPr>
              <w:lang w:val="en-US" w:eastAsia="en-US"/>
            </w:rPr>
            <w:t>7.4.1</w:t>
          </w:r>
          <w:r>
            <w:rPr/>
            <w:t>.1</w:t>
          </w:r>
          <w:r>
            <w:rPr>
              <w:rFonts w:cs="Calibri" w:ascii="Calibri" w:hAnsi="Calibri"/>
              <w:sz w:val="22"/>
              <w:szCs w:val="22"/>
            </w:rPr>
            <w:tab/>
          </w:r>
          <w:r>
            <w:rPr/>
            <w:t>Definition and applicability</w:t>
            <w:tab/>
          </w:r>
          <w:hyperlink w:anchor="__RefHeading___Toc68601316">
            <w:r>
              <w:rPr>
                <w:rStyle w:val="IndexLink"/>
              </w:rPr>
              <w:t>165</w:t>
            </w:r>
          </w:hyperlink>
        </w:p>
        <w:p>
          <w:pPr>
            <w:pStyle w:val="Contents4"/>
            <w:rPr>
              <w:rFonts w:ascii="Calibri" w:hAnsi="Calibri" w:cs="Calibri"/>
              <w:sz w:val="22"/>
              <w:szCs w:val="22"/>
            </w:rPr>
          </w:pPr>
          <w:r>
            <w:rPr>
              <w:lang w:val="en-US" w:eastAsia="en-US"/>
            </w:rPr>
            <w:t>7.4.1.2</w:t>
          </w:r>
          <w:r>
            <w:rPr>
              <w:rFonts w:cs="Calibri" w:ascii="Calibri" w:hAnsi="Calibri"/>
              <w:sz w:val="22"/>
              <w:szCs w:val="22"/>
            </w:rPr>
            <w:tab/>
          </w:r>
          <w:r>
            <w:rPr>
              <w:lang w:val="en-US" w:eastAsia="en-US"/>
            </w:rPr>
            <w:t>Minimum requirements</w:t>
          </w:r>
          <w:r>
            <w:rPr/>
            <w:tab/>
          </w:r>
          <w:hyperlink w:anchor="__RefHeading___Toc68601317">
            <w:r>
              <w:rPr>
                <w:rStyle w:val="IndexLink"/>
              </w:rPr>
              <w:t>166</w:t>
            </w:r>
          </w:hyperlink>
        </w:p>
        <w:p>
          <w:pPr>
            <w:pStyle w:val="Contents4"/>
            <w:rPr>
              <w:rFonts w:ascii="Calibri" w:hAnsi="Calibri" w:cs="Calibri"/>
              <w:sz w:val="22"/>
              <w:szCs w:val="22"/>
            </w:rPr>
          </w:pPr>
          <w:r>
            <w:rPr>
              <w:lang w:val="en-US" w:eastAsia="en-US"/>
            </w:rPr>
            <w:t>7.4.1.3</w:t>
          </w:r>
          <w:r>
            <w:rPr>
              <w:rFonts w:cs="Calibri" w:ascii="Calibri" w:hAnsi="Calibri"/>
              <w:sz w:val="22"/>
              <w:szCs w:val="22"/>
            </w:rPr>
            <w:tab/>
          </w:r>
          <w:r>
            <w:rPr>
              <w:lang w:val="en-US" w:eastAsia="en-US"/>
            </w:rPr>
            <w:t>Test Purpose</w:t>
          </w:r>
          <w:r>
            <w:rPr/>
            <w:tab/>
          </w:r>
          <w:hyperlink w:anchor="__RefHeading___Toc68601318">
            <w:r>
              <w:rPr>
                <w:rStyle w:val="IndexLink"/>
              </w:rPr>
              <w:t>166</w:t>
            </w:r>
          </w:hyperlink>
        </w:p>
        <w:p>
          <w:pPr>
            <w:pStyle w:val="Contents4"/>
            <w:rPr>
              <w:rFonts w:ascii="Calibri" w:hAnsi="Calibri" w:cs="Calibri"/>
              <w:sz w:val="22"/>
              <w:szCs w:val="22"/>
            </w:rPr>
          </w:pPr>
          <w:r>
            <w:rPr>
              <w:lang w:val="en-US" w:eastAsia="en-US"/>
            </w:rPr>
            <w:t>7.4.1.4</w:t>
          </w:r>
          <w:r>
            <w:rPr>
              <w:rFonts w:cs="Calibri" w:ascii="Calibri" w:hAnsi="Calibri"/>
              <w:sz w:val="22"/>
              <w:szCs w:val="22"/>
            </w:rPr>
            <w:tab/>
          </w:r>
          <w:r>
            <w:rPr>
              <w:lang w:val="en-US" w:eastAsia="en-US"/>
            </w:rPr>
            <w:t xml:space="preserve">Method of test for </w:t>
          </w:r>
          <w:r>
            <w:rPr/>
            <w:t>Multi-probe Anechoic Chamber</w:t>
            <w:tab/>
          </w:r>
          <w:hyperlink w:anchor="__RefHeading___Toc68601319">
            <w:r>
              <w:rPr>
                <w:rStyle w:val="IndexLink"/>
              </w:rPr>
              <w:t>166</w:t>
            </w:r>
          </w:hyperlink>
        </w:p>
        <w:p>
          <w:pPr>
            <w:pStyle w:val="Contents4"/>
            <w:rPr>
              <w:rFonts w:ascii="Calibri" w:hAnsi="Calibri" w:cs="Calibri"/>
              <w:sz w:val="22"/>
              <w:szCs w:val="22"/>
            </w:rPr>
          </w:pPr>
          <w:r>
            <w:rPr/>
            <w:t>7.4.1.4.1</w:t>
          </w:r>
          <w:r>
            <w:rPr>
              <w:rFonts w:cs="Calibri" w:ascii="Calibri" w:hAnsi="Calibri"/>
              <w:sz w:val="22"/>
              <w:szCs w:val="22"/>
            </w:rPr>
            <w:tab/>
          </w:r>
          <w:r>
            <w:rPr/>
            <w:t>Initial conditions</w:t>
            <w:tab/>
          </w:r>
          <w:hyperlink w:anchor="__RefHeading___Toc68601320">
            <w:r>
              <w:rPr>
                <w:rStyle w:val="IndexLink"/>
              </w:rPr>
              <w:t>166</w:t>
            </w:r>
          </w:hyperlink>
        </w:p>
        <w:p>
          <w:pPr>
            <w:pStyle w:val="Contents4"/>
            <w:rPr>
              <w:rFonts w:ascii="Calibri" w:hAnsi="Calibri" w:cs="Calibri"/>
              <w:sz w:val="22"/>
              <w:szCs w:val="22"/>
            </w:rPr>
          </w:pPr>
          <w:r>
            <w:rPr/>
            <w:t>7.4.1.4.2</w:t>
          </w:r>
          <w:r>
            <w:rPr>
              <w:rFonts w:cs="Calibri" w:ascii="Calibri" w:hAnsi="Calibri"/>
              <w:sz w:val="22"/>
              <w:szCs w:val="22"/>
            </w:rPr>
            <w:tab/>
          </w:r>
          <w:r>
            <w:rPr/>
            <w:t>Procedure</w:t>
            <w:tab/>
          </w:r>
          <w:hyperlink w:anchor="__RefHeading___Toc68601321">
            <w:r>
              <w:rPr>
                <w:rStyle w:val="IndexLink"/>
              </w:rPr>
              <w:t>167</w:t>
            </w:r>
          </w:hyperlink>
        </w:p>
        <w:p>
          <w:pPr>
            <w:pStyle w:val="Contents4"/>
            <w:rPr>
              <w:rFonts w:ascii="Calibri" w:hAnsi="Calibri" w:cs="Calibri"/>
              <w:sz w:val="22"/>
              <w:szCs w:val="22"/>
            </w:rPr>
          </w:pPr>
          <w:r>
            <w:rPr>
              <w:lang w:val="en-US" w:eastAsia="en-US"/>
            </w:rPr>
            <w:t>7.4.1.4A</w:t>
          </w:r>
          <w:r>
            <w:rPr>
              <w:rFonts w:cs="Calibri" w:ascii="Calibri" w:hAnsi="Calibri"/>
              <w:sz w:val="22"/>
              <w:szCs w:val="22"/>
            </w:rPr>
            <w:tab/>
          </w:r>
          <w:r>
            <w:rPr>
              <w:lang w:val="en-US" w:eastAsia="en-US"/>
            </w:rPr>
            <w:t xml:space="preserve">Method of test for </w:t>
          </w:r>
          <w:r>
            <w:rPr/>
            <w:t>Radiated Two-Stage</w:t>
            <w:tab/>
          </w:r>
          <w:hyperlink w:anchor="__RefHeading___Toc68601322">
            <w:r>
              <w:rPr>
                <w:rStyle w:val="IndexLink"/>
              </w:rPr>
              <w:t>167</w:t>
            </w:r>
          </w:hyperlink>
        </w:p>
        <w:p>
          <w:pPr>
            <w:pStyle w:val="Contents5"/>
            <w:rPr>
              <w:rFonts w:ascii="Calibri" w:hAnsi="Calibri" w:cs="Calibri"/>
              <w:sz w:val="22"/>
              <w:szCs w:val="22"/>
            </w:rPr>
          </w:pPr>
          <w:r>
            <w:rPr/>
            <w:t>7.4.1.4A.1</w:t>
          </w:r>
          <w:r>
            <w:rPr>
              <w:rFonts w:cs="Calibri" w:ascii="Calibri" w:hAnsi="Calibri"/>
              <w:sz w:val="22"/>
              <w:szCs w:val="22"/>
            </w:rPr>
            <w:tab/>
          </w:r>
          <w:r>
            <w:rPr/>
            <w:t>Initial conditions</w:t>
            <w:tab/>
          </w:r>
          <w:hyperlink w:anchor="__RefHeading___Toc68601323">
            <w:r>
              <w:rPr>
                <w:rStyle w:val="IndexLink"/>
              </w:rPr>
              <w:t>168</w:t>
            </w:r>
          </w:hyperlink>
        </w:p>
        <w:p>
          <w:pPr>
            <w:pStyle w:val="Contents5"/>
            <w:rPr>
              <w:rFonts w:ascii="Calibri" w:hAnsi="Calibri" w:cs="Calibri"/>
              <w:sz w:val="22"/>
              <w:szCs w:val="22"/>
            </w:rPr>
          </w:pPr>
          <w:r>
            <w:rPr/>
            <w:t>7.4.1.4A.2</w:t>
          </w:r>
          <w:r>
            <w:rPr>
              <w:rFonts w:cs="Calibri" w:ascii="Calibri" w:hAnsi="Calibri"/>
              <w:sz w:val="22"/>
              <w:szCs w:val="22"/>
            </w:rPr>
            <w:tab/>
          </w:r>
          <w:r>
            <w:rPr/>
            <w:t>Procedure</w:t>
            <w:tab/>
          </w:r>
          <w:hyperlink w:anchor="__RefHeading___Toc68601324">
            <w:r>
              <w:rPr>
                <w:rStyle w:val="IndexLink"/>
              </w:rPr>
              <w:t>168</w:t>
            </w:r>
          </w:hyperlink>
        </w:p>
        <w:p>
          <w:pPr>
            <w:pStyle w:val="Contents4"/>
            <w:rPr>
              <w:rFonts w:ascii="Calibri" w:hAnsi="Calibri" w:cs="Calibri"/>
              <w:sz w:val="22"/>
              <w:szCs w:val="22"/>
            </w:rPr>
          </w:pPr>
          <w:r>
            <w:rPr>
              <w:lang w:val="en-US" w:eastAsia="en-US"/>
            </w:rPr>
            <w:t>7.4.1.5</w:t>
          </w:r>
          <w:r>
            <w:rPr>
              <w:rFonts w:cs="Calibri" w:ascii="Calibri" w:hAnsi="Calibri"/>
              <w:sz w:val="22"/>
              <w:szCs w:val="22"/>
            </w:rPr>
            <w:tab/>
          </w:r>
          <w:r>
            <w:rPr>
              <w:lang w:val="en-US" w:eastAsia="en-US"/>
            </w:rPr>
            <w:t>Test requirements</w:t>
          </w:r>
          <w:r>
            <w:rPr/>
            <w:tab/>
          </w:r>
          <w:hyperlink w:anchor="__RefHeading___Toc68601325">
            <w:r>
              <w:rPr>
                <w:rStyle w:val="IndexLink"/>
              </w:rPr>
              <w:t>169</w:t>
            </w:r>
          </w:hyperlink>
        </w:p>
        <w:p>
          <w:pPr>
            <w:pStyle w:val="Contents3"/>
            <w:rPr>
              <w:rFonts w:ascii="Calibri" w:hAnsi="Calibri" w:cs="Calibri"/>
              <w:sz w:val="22"/>
              <w:szCs w:val="22"/>
            </w:rPr>
          </w:pPr>
          <w:r>
            <w:rPr/>
            <w:t>7.4.2</w:t>
          </w:r>
          <w:r>
            <w:rPr>
              <w:rFonts w:cs="Calibri" w:ascii="Calibri" w:hAnsi="Calibri"/>
              <w:sz w:val="22"/>
              <w:szCs w:val="22"/>
            </w:rPr>
            <w:tab/>
          </w:r>
          <w:r>
            <w:rPr/>
            <w:t>Total Radiated Multi-antenna Sensitivity (TRMS) for E-UTRA TDD for Handheld UE in Free Space</w:t>
            <w:tab/>
          </w:r>
          <w:hyperlink w:anchor="__RefHeading___Toc68601326">
            <w:r>
              <w:rPr>
                <w:rStyle w:val="IndexLink"/>
              </w:rPr>
              <w:t>169</w:t>
            </w:r>
          </w:hyperlink>
        </w:p>
        <w:p>
          <w:pPr>
            <w:pStyle w:val="Contents4"/>
            <w:rPr>
              <w:rFonts w:ascii="Calibri" w:hAnsi="Calibri" w:cs="Calibri"/>
              <w:sz w:val="22"/>
              <w:szCs w:val="22"/>
            </w:rPr>
          </w:pPr>
          <w:r>
            <w:rPr>
              <w:lang w:val="en-US" w:eastAsia="en-US"/>
            </w:rPr>
            <w:t>7.4.2</w:t>
          </w:r>
          <w:r>
            <w:rPr/>
            <w:t>.1</w:t>
          </w:r>
          <w:r>
            <w:rPr>
              <w:rFonts w:cs="Calibri" w:ascii="Calibri" w:hAnsi="Calibri"/>
              <w:sz w:val="22"/>
              <w:szCs w:val="22"/>
            </w:rPr>
            <w:tab/>
          </w:r>
          <w:r>
            <w:rPr/>
            <w:t>Definition and applicability</w:t>
            <w:tab/>
          </w:r>
          <w:hyperlink w:anchor="__RefHeading___Toc68601327">
            <w:r>
              <w:rPr>
                <w:rStyle w:val="IndexLink"/>
              </w:rPr>
              <w:t>169</w:t>
            </w:r>
          </w:hyperlink>
        </w:p>
        <w:p>
          <w:pPr>
            <w:pStyle w:val="Contents4"/>
            <w:rPr>
              <w:rFonts w:ascii="Calibri" w:hAnsi="Calibri" w:cs="Calibri"/>
              <w:sz w:val="22"/>
              <w:szCs w:val="22"/>
            </w:rPr>
          </w:pPr>
          <w:r>
            <w:rPr>
              <w:lang w:val="en-US" w:eastAsia="en-US"/>
            </w:rPr>
            <w:t>7.4.2.2</w:t>
          </w:r>
          <w:r>
            <w:rPr>
              <w:rFonts w:cs="Calibri" w:ascii="Calibri" w:hAnsi="Calibri"/>
              <w:sz w:val="22"/>
              <w:szCs w:val="22"/>
            </w:rPr>
            <w:tab/>
          </w:r>
          <w:r>
            <w:rPr>
              <w:lang w:val="en-US" w:eastAsia="en-US"/>
            </w:rPr>
            <w:t>Minimum requirements</w:t>
          </w:r>
          <w:r>
            <w:rPr/>
            <w:tab/>
          </w:r>
          <w:hyperlink w:anchor="__RefHeading___Toc68601328">
            <w:r>
              <w:rPr>
                <w:rStyle w:val="IndexLink"/>
              </w:rPr>
              <w:t>170</w:t>
            </w:r>
          </w:hyperlink>
        </w:p>
        <w:p>
          <w:pPr>
            <w:pStyle w:val="Contents4"/>
            <w:rPr>
              <w:rFonts w:ascii="Calibri" w:hAnsi="Calibri" w:cs="Calibri"/>
              <w:sz w:val="22"/>
              <w:szCs w:val="22"/>
            </w:rPr>
          </w:pPr>
          <w:r>
            <w:rPr>
              <w:lang w:val="en-US" w:eastAsia="en-US"/>
            </w:rPr>
            <w:t>7.4.2.3</w:t>
          </w:r>
          <w:r>
            <w:rPr>
              <w:rFonts w:cs="Calibri" w:ascii="Calibri" w:hAnsi="Calibri"/>
              <w:sz w:val="22"/>
              <w:szCs w:val="22"/>
            </w:rPr>
            <w:tab/>
          </w:r>
          <w:r>
            <w:rPr>
              <w:lang w:val="en-US" w:eastAsia="en-US"/>
            </w:rPr>
            <w:t>Test Purpose</w:t>
          </w:r>
          <w:r>
            <w:rPr/>
            <w:tab/>
          </w:r>
          <w:hyperlink w:anchor="__RefHeading___Toc68601329">
            <w:r>
              <w:rPr>
                <w:rStyle w:val="IndexLink"/>
              </w:rPr>
              <w:t>170</w:t>
            </w:r>
          </w:hyperlink>
        </w:p>
        <w:p>
          <w:pPr>
            <w:pStyle w:val="Contents4"/>
            <w:rPr>
              <w:rFonts w:ascii="Calibri" w:hAnsi="Calibri" w:cs="Calibri"/>
              <w:sz w:val="22"/>
              <w:szCs w:val="22"/>
            </w:rPr>
          </w:pPr>
          <w:r>
            <w:rPr>
              <w:lang w:val="en-US" w:eastAsia="en-US"/>
            </w:rPr>
            <w:t>7.4.2.4</w:t>
          </w:r>
          <w:r>
            <w:rPr>
              <w:rFonts w:cs="Calibri" w:ascii="Calibri" w:hAnsi="Calibri"/>
              <w:sz w:val="22"/>
              <w:szCs w:val="22"/>
            </w:rPr>
            <w:tab/>
          </w:r>
          <w:r>
            <w:rPr>
              <w:lang w:val="en-US" w:eastAsia="en-US"/>
            </w:rPr>
            <w:t xml:space="preserve">Method of test for </w:t>
          </w:r>
          <w:r>
            <w:rPr/>
            <w:t>Multi-probe Anechoic Chamber</w:t>
            <w:tab/>
          </w:r>
          <w:hyperlink w:anchor="__RefHeading___Toc68601330">
            <w:r>
              <w:rPr>
                <w:rStyle w:val="IndexLink"/>
              </w:rPr>
              <w:t>170</w:t>
            </w:r>
          </w:hyperlink>
        </w:p>
        <w:p>
          <w:pPr>
            <w:pStyle w:val="Contents5"/>
            <w:rPr>
              <w:rFonts w:ascii="Calibri" w:hAnsi="Calibri" w:cs="Calibri"/>
              <w:sz w:val="22"/>
              <w:szCs w:val="22"/>
            </w:rPr>
          </w:pPr>
          <w:r>
            <w:rPr/>
            <w:t>7.4.2.4.1</w:t>
          </w:r>
          <w:r>
            <w:rPr>
              <w:rFonts w:cs="Calibri" w:ascii="Calibri" w:hAnsi="Calibri"/>
              <w:sz w:val="22"/>
              <w:szCs w:val="22"/>
            </w:rPr>
            <w:tab/>
          </w:r>
          <w:r>
            <w:rPr/>
            <w:t>Initial conditions</w:t>
            <w:tab/>
          </w:r>
          <w:hyperlink w:anchor="__RefHeading___Toc68601331">
            <w:r>
              <w:rPr>
                <w:rStyle w:val="IndexLink"/>
              </w:rPr>
              <w:t>170</w:t>
            </w:r>
          </w:hyperlink>
        </w:p>
        <w:p>
          <w:pPr>
            <w:pStyle w:val="Contents5"/>
            <w:rPr>
              <w:rFonts w:ascii="Calibri" w:hAnsi="Calibri" w:cs="Calibri"/>
              <w:sz w:val="22"/>
              <w:szCs w:val="22"/>
            </w:rPr>
          </w:pPr>
          <w:r>
            <w:rPr/>
            <w:t>7.4.2.4.2</w:t>
          </w:r>
          <w:r>
            <w:rPr>
              <w:rFonts w:cs="Calibri" w:ascii="Calibri" w:hAnsi="Calibri"/>
              <w:sz w:val="22"/>
              <w:szCs w:val="22"/>
            </w:rPr>
            <w:tab/>
          </w:r>
          <w:r>
            <w:rPr/>
            <w:t>Procedure</w:t>
            <w:tab/>
          </w:r>
          <w:hyperlink w:anchor="__RefHeading___Toc68601332">
            <w:r>
              <w:rPr>
                <w:rStyle w:val="IndexLink"/>
              </w:rPr>
              <w:t>171</w:t>
            </w:r>
          </w:hyperlink>
        </w:p>
        <w:p>
          <w:pPr>
            <w:pStyle w:val="Contents4"/>
            <w:rPr>
              <w:rFonts w:ascii="Calibri" w:hAnsi="Calibri" w:cs="Calibri"/>
              <w:sz w:val="22"/>
              <w:szCs w:val="22"/>
            </w:rPr>
          </w:pPr>
          <w:r>
            <w:rPr>
              <w:lang w:val="en-US" w:eastAsia="en-US"/>
            </w:rPr>
            <w:t>7.4.2.4A</w:t>
          </w:r>
          <w:r>
            <w:rPr>
              <w:rFonts w:cs="Calibri" w:ascii="Calibri" w:hAnsi="Calibri"/>
              <w:sz w:val="22"/>
              <w:szCs w:val="22"/>
            </w:rPr>
            <w:tab/>
          </w:r>
          <w:r>
            <w:rPr>
              <w:lang w:val="en-US" w:eastAsia="en-US"/>
            </w:rPr>
            <w:t xml:space="preserve">Method of test for </w:t>
          </w:r>
          <w:r>
            <w:rPr/>
            <w:t>Radiated Two-Stage</w:t>
            <w:tab/>
          </w:r>
          <w:hyperlink w:anchor="__RefHeading___Toc68601333">
            <w:r>
              <w:rPr>
                <w:rStyle w:val="IndexLink"/>
              </w:rPr>
              <w:t>172</w:t>
            </w:r>
          </w:hyperlink>
        </w:p>
        <w:p>
          <w:pPr>
            <w:pStyle w:val="Contents5"/>
            <w:rPr>
              <w:rFonts w:ascii="Calibri" w:hAnsi="Calibri" w:cs="Calibri"/>
              <w:sz w:val="22"/>
              <w:szCs w:val="22"/>
            </w:rPr>
          </w:pPr>
          <w:r>
            <w:rPr/>
            <w:t>7.4.2.4A.1</w:t>
          </w:r>
          <w:r>
            <w:rPr>
              <w:rFonts w:cs="Calibri" w:ascii="Calibri" w:hAnsi="Calibri"/>
              <w:sz w:val="22"/>
              <w:szCs w:val="22"/>
            </w:rPr>
            <w:tab/>
          </w:r>
          <w:r>
            <w:rPr/>
            <w:t>Initial conditions</w:t>
            <w:tab/>
          </w:r>
          <w:hyperlink w:anchor="__RefHeading___Toc68601334">
            <w:r>
              <w:rPr>
                <w:rStyle w:val="IndexLink"/>
              </w:rPr>
              <w:t>172</w:t>
            </w:r>
          </w:hyperlink>
        </w:p>
        <w:p>
          <w:pPr>
            <w:pStyle w:val="Contents5"/>
            <w:rPr>
              <w:rFonts w:ascii="Calibri" w:hAnsi="Calibri" w:cs="Calibri"/>
              <w:sz w:val="22"/>
              <w:szCs w:val="22"/>
            </w:rPr>
          </w:pPr>
          <w:r>
            <w:rPr/>
            <w:t>7.4.2.4A.2</w:t>
          </w:r>
          <w:r>
            <w:rPr>
              <w:rFonts w:cs="Calibri" w:ascii="Calibri" w:hAnsi="Calibri"/>
              <w:sz w:val="22"/>
              <w:szCs w:val="22"/>
            </w:rPr>
            <w:tab/>
          </w:r>
          <w:r>
            <w:rPr/>
            <w:t>Procedure</w:t>
            <w:tab/>
          </w:r>
          <w:hyperlink w:anchor="__RefHeading___Toc68601335">
            <w:r>
              <w:rPr>
                <w:rStyle w:val="IndexLink"/>
              </w:rPr>
              <w:t>172</w:t>
            </w:r>
          </w:hyperlink>
        </w:p>
        <w:p>
          <w:pPr>
            <w:pStyle w:val="Contents4"/>
            <w:rPr>
              <w:rFonts w:ascii="Calibri" w:hAnsi="Calibri" w:cs="Calibri"/>
              <w:sz w:val="22"/>
              <w:szCs w:val="22"/>
            </w:rPr>
          </w:pPr>
          <w:r>
            <w:rPr>
              <w:lang w:val="en-US" w:eastAsia="en-US"/>
            </w:rPr>
            <w:t>7.4.2.5</w:t>
          </w:r>
          <w:r>
            <w:rPr>
              <w:rFonts w:cs="Calibri" w:ascii="Calibri" w:hAnsi="Calibri"/>
              <w:sz w:val="22"/>
              <w:szCs w:val="22"/>
            </w:rPr>
            <w:tab/>
          </w:r>
          <w:r>
            <w:rPr>
              <w:lang w:val="en-US" w:eastAsia="en-US"/>
            </w:rPr>
            <w:t>Test requirements</w:t>
          </w:r>
          <w:r>
            <w:rPr/>
            <w:tab/>
          </w:r>
          <w:hyperlink w:anchor="__RefHeading___Toc68601336">
            <w:r>
              <w:rPr>
                <w:rStyle w:val="IndexLink"/>
              </w:rPr>
              <w:t>173</w:t>
            </w:r>
          </w:hyperlink>
        </w:p>
        <w:p>
          <w:pPr>
            <w:pStyle w:val="Contents8"/>
            <w:rPr>
              <w:rFonts w:ascii="Calibri" w:hAnsi="Calibri" w:cs="Calibri"/>
              <w:b w:val="false"/>
              <w:b w:val="false"/>
              <w:szCs w:val="22"/>
            </w:rPr>
          </w:pPr>
          <w:r>
            <w:rPr/>
            <w:t>Annex A (normative): Test system characterization and environmental requirements</w:t>
            <w:tab/>
          </w:r>
          <w:hyperlink w:anchor="__RefHeading___Toc68601337">
            <w:r>
              <w:rPr>
                <w:rStyle w:val="IndexLink"/>
              </w:rPr>
              <w:t>174</w:t>
            </w:r>
          </w:hyperlink>
        </w:p>
        <w:p>
          <w:pPr>
            <w:pStyle w:val="Contents1"/>
            <w:rPr>
              <w:rFonts w:ascii="Calibri" w:hAnsi="Calibri" w:cs="Calibri"/>
              <w:szCs w:val="22"/>
            </w:rPr>
          </w:pPr>
          <w:r>
            <w:rPr/>
            <w:t>A.1</w:t>
          </w:r>
          <w:r>
            <w:rPr>
              <w:rFonts w:cs="Calibri" w:ascii="Calibri" w:hAnsi="Calibri"/>
              <w:szCs w:val="22"/>
            </w:rPr>
            <w:tab/>
          </w:r>
          <w:r>
            <w:rPr/>
            <w:t>General</w:t>
            <w:tab/>
          </w:r>
          <w:hyperlink w:anchor="__RefHeading___Toc68601338">
            <w:r>
              <w:rPr>
                <w:rStyle w:val="IndexLink"/>
              </w:rPr>
              <w:t>174</w:t>
            </w:r>
          </w:hyperlink>
        </w:p>
        <w:p>
          <w:pPr>
            <w:pStyle w:val="Contents1"/>
            <w:rPr>
              <w:rFonts w:ascii="Calibri" w:hAnsi="Calibri" w:cs="Calibri"/>
              <w:szCs w:val="22"/>
            </w:rPr>
          </w:pPr>
          <w:r>
            <w:rPr/>
            <w:t>A.2</w:t>
          </w:r>
          <w:r>
            <w:rPr>
              <w:rFonts w:cs="Calibri" w:ascii="Calibri" w:hAnsi="Calibri"/>
              <w:szCs w:val="22"/>
            </w:rPr>
            <w:tab/>
          </w:r>
          <w:r>
            <w:rPr/>
            <w:t>Phantom specifications</w:t>
            <w:tab/>
          </w:r>
          <w:hyperlink w:anchor="__RefHeading___Toc68601339">
            <w:r>
              <w:rPr>
                <w:rStyle w:val="IndexLink"/>
              </w:rPr>
              <w:t>174</w:t>
            </w:r>
          </w:hyperlink>
        </w:p>
        <w:p>
          <w:pPr>
            <w:pStyle w:val="Contents2"/>
            <w:rPr>
              <w:rFonts w:ascii="Calibri" w:hAnsi="Calibri" w:cs="Calibri"/>
              <w:sz w:val="22"/>
              <w:szCs w:val="22"/>
            </w:rPr>
          </w:pPr>
          <w:r>
            <w:rPr/>
            <w:t>A.2.1</w:t>
          </w:r>
          <w:r>
            <w:rPr>
              <w:rFonts w:cs="Calibri" w:ascii="Calibri" w:hAnsi="Calibri"/>
              <w:sz w:val="22"/>
              <w:szCs w:val="22"/>
            </w:rPr>
            <w:tab/>
          </w:r>
          <w:r>
            <w:rPr/>
            <w:t>Head phantom</w:t>
            <w:tab/>
          </w:r>
          <w:hyperlink w:anchor="__RefHeading___Toc68601340">
            <w:r>
              <w:rPr>
                <w:rStyle w:val="IndexLink"/>
              </w:rPr>
              <w:t>174</w:t>
            </w:r>
          </w:hyperlink>
        </w:p>
        <w:p>
          <w:pPr>
            <w:pStyle w:val="Contents2"/>
            <w:rPr>
              <w:rFonts w:ascii="Calibri" w:hAnsi="Calibri" w:cs="Calibri"/>
              <w:sz w:val="22"/>
              <w:szCs w:val="22"/>
            </w:rPr>
          </w:pPr>
          <w:r>
            <w:rPr/>
            <w:t>A.2.2</w:t>
          </w:r>
          <w:r>
            <w:rPr>
              <w:rFonts w:cs="Calibri" w:ascii="Calibri" w:hAnsi="Calibri"/>
              <w:sz w:val="22"/>
              <w:szCs w:val="22"/>
            </w:rPr>
            <w:tab/>
          </w:r>
          <w:r>
            <w:rPr/>
            <w:t>Hand phantom</w:t>
            <w:tab/>
          </w:r>
          <w:hyperlink w:anchor="__RefHeading___Toc68601341">
            <w:r>
              <w:rPr>
                <w:rStyle w:val="IndexLink"/>
              </w:rPr>
              <w:t>174</w:t>
            </w:r>
          </w:hyperlink>
        </w:p>
        <w:p>
          <w:pPr>
            <w:pStyle w:val="Contents3"/>
            <w:rPr>
              <w:rFonts w:ascii="Calibri" w:hAnsi="Calibri" w:cs="Calibri"/>
              <w:sz w:val="22"/>
              <w:szCs w:val="22"/>
            </w:rPr>
          </w:pPr>
          <w:r>
            <w:rPr/>
            <w:t>A.2.2.1</w:t>
          </w:r>
          <w:r>
            <w:rPr>
              <w:rFonts w:cs="Calibri" w:ascii="Calibri" w:hAnsi="Calibri"/>
              <w:sz w:val="22"/>
              <w:szCs w:val="22"/>
            </w:rPr>
            <w:tab/>
          </w:r>
          <w:r>
            <w:rPr/>
            <w:t>General</w:t>
            <w:tab/>
          </w:r>
          <w:hyperlink w:anchor="__RefHeading___Toc68601342">
            <w:r>
              <w:rPr>
                <w:rStyle w:val="IndexLink"/>
              </w:rPr>
              <w:t>174</w:t>
            </w:r>
          </w:hyperlink>
        </w:p>
        <w:p>
          <w:pPr>
            <w:pStyle w:val="Contents3"/>
            <w:rPr>
              <w:rFonts w:ascii="Calibri" w:hAnsi="Calibri" w:cs="Calibri"/>
              <w:sz w:val="22"/>
              <w:szCs w:val="22"/>
            </w:rPr>
          </w:pPr>
          <w:r>
            <w:rPr/>
            <w:t>A.2.2.2</w:t>
          </w:r>
          <w:r>
            <w:rPr>
              <w:rFonts w:cs="Calibri" w:ascii="Calibri" w:hAnsi="Calibri"/>
              <w:sz w:val="22"/>
              <w:szCs w:val="22"/>
            </w:rPr>
            <w:tab/>
          </w:r>
          <w:r>
            <w:rPr/>
            <w:t>Dimensions</w:t>
            <w:tab/>
          </w:r>
          <w:hyperlink w:anchor="__RefHeading___Toc68601343">
            <w:r>
              <w:rPr>
                <w:rStyle w:val="IndexLink"/>
              </w:rPr>
              <w:t>174</w:t>
            </w:r>
          </w:hyperlink>
        </w:p>
        <w:p>
          <w:pPr>
            <w:pStyle w:val="Contents4"/>
            <w:rPr>
              <w:rFonts w:ascii="Calibri" w:hAnsi="Calibri" w:cs="Calibri"/>
              <w:sz w:val="22"/>
              <w:szCs w:val="22"/>
            </w:rPr>
          </w:pPr>
          <w:r>
            <w:rPr/>
            <w:t>A.2.2.3</w:t>
          </w:r>
          <w:r>
            <w:rPr>
              <w:rFonts w:cs="Calibri" w:ascii="Calibri" w:hAnsi="Calibri"/>
              <w:sz w:val="22"/>
              <w:szCs w:val="22"/>
            </w:rPr>
            <w:tab/>
          </w:r>
          <w:r>
            <w:rPr/>
            <w:t>Dielectric properties</w:t>
            <w:tab/>
          </w:r>
          <w:hyperlink w:anchor="__RefHeading___Toc68601344">
            <w:r>
              <w:rPr>
                <w:rStyle w:val="IndexLink"/>
              </w:rPr>
              <w:t>176</w:t>
            </w:r>
          </w:hyperlink>
        </w:p>
        <w:p>
          <w:pPr>
            <w:pStyle w:val="Contents3"/>
            <w:rPr>
              <w:rFonts w:ascii="Calibri" w:hAnsi="Calibri" w:cs="Calibri"/>
              <w:sz w:val="22"/>
              <w:szCs w:val="22"/>
            </w:rPr>
          </w:pPr>
          <w:r>
            <w:rPr/>
            <w:t>A.2.2.4</w:t>
          </w:r>
          <w:r>
            <w:rPr>
              <w:rFonts w:cs="Calibri" w:ascii="Calibri" w:hAnsi="Calibri"/>
              <w:sz w:val="22"/>
              <w:szCs w:val="22"/>
            </w:rPr>
            <w:tab/>
          </w:r>
          <w:r>
            <w:rPr/>
            <w:t>Hand phantom grips</w:t>
            <w:tab/>
          </w:r>
          <w:hyperlink w:anchor="__RefHeading___Toc68601345">
            <w:r>
              <w:rPr>
                <w:rStyle w:val="IndexLink"/>
              </w:rPr>
              <w:t>176</w:t>
            </w:r>
          </w:hyperlink>
        </w:p>
        <w:p>
          <w:pPr>
            <w:pStyle w:val="Contents4"/>
            <w:rPr>
              <w:rFonts w:ascii="Calibri" w:hAnsi="Calibri" w:cs="Calibri"/>
              <w:sz w:val="22"/>
              <w:szCs w:val="22"/>
            </w:rPr>
          </w:pPr>
          <w:r>
            <w:rPr>
              <w:lang w:val="en-US" w:eastAsia="en-US"/>
            </w:rPr>
            <w:t>A.2.2.5</w:t>
          </w:r>
          <w:r>
            <w:rPr>
              <w:rFonts w:cs="Calibri" w:ascii="Calibri" w:hAnsi="Calibri"/>
              <w:sz w:val="22"/>
              <w:szCs w:val="22"/>
            </w:rPr>
            <w:tab/>
          </w:r>
          <w:r>
            <w:rPr>
              <w:lang w:val="en-US" w:eastAsia="en-US"/>
            </w:rPr>
            <w:t>Mechanical Requirements of Hand Phantoms</w:t>
          </w:r>
          <w:r>
            <w:rPr/>
            <w:tab/>
          </w:r>
          <w:hyperlink w:anchor="__RefHeading___Toc68601346">
            <w:r>
              <w:rPr>
                <w:rStyle w:val="IndexLink"/>
              </w:rPr>
              <w:t>178</w:t>
            </w:r>
          </w:hyperlink>
        </w:p>
        <w:p>
          <w:pPr>
            <w:pStyle w:val="Contents2"/>
            <w:rPr>
              <w:rFonts w:ascii="Calibri" w:hAnsi="Calibri" w:cs="Calibri"/>
              <w:sz w:val="22"/>
              <w:szCs w:val="22"/>
            </w:rPr>
          </w:pPr>
          <w:r>
            <w:rPr/>
            <w:t>A.2.3</w:t>
          </w:r>
          <w:r>
            <w:rPr>
              <w:rFonts w:cs="Calibri" w:ascii="Calibri" w:hAnsi="Calibri"/>
              <w:sz w:val="22"/>
              <w:szCs w:val="22"/>
            </w:rPr>
            <w:tab/>
          </w:r>
          <w:r>
            <w:rPr/>
            <w:t>Laptop Ground Plane Phantom</w:t>
            <w:tab/>
          </w:r>
          <w:hyperlink w:anchor="__RefHeading___Toc68601347">
            <w:r>
              <w:rPr>
                <w:rStyle w:val="IndexLink"/>
              </w:rPr>
              <w:t>179</w:t>
            </w:r>
          </w:hyperlink>
        </w:p>
        <w:p>
          <w:pPr>
            <w:pStyle w:val="Contents2"/>
            <w:rPr>
              <w:rFonts w:ascii="Calibri" w:hAnsi="Calibri" w:cs="Calibri"/>
              <w:sz w:val="22"/>
              <w:szCs w:val="22"/>
            </w:rPr>
          </w:pPr>
          <w:r>
            <w:rPr/>
            <w:t>A.2.4</w:t>
          </w:r>
          <w:r>
            <w:rPr>
              <w:rFonts w:cs="Calibri" w:ascii="Calibri" w:hAnsi="Calibri"/>
              <w:sz w:val="22"/>
              <w:szCs w:val="22"/>
            </w:rPr>
            <w:tab/>
          </w:r>
          <w:r>
            <w:rPr/>
            <w:t>Parameters for embedded devices</w:t>
            <w:tab/>
          </w:r>
          <w:hyperlink w:anchor="__RefHeading___Toc68601348">
            <w:r>
              <w:rPr>
                <w:rStyle w:val="IndexLink"/>
              </w:rPr>
              <w:t>181</w:t>
            </w:r>
          </w:hyperlink>
        </w:p>
        <w:p>
          <w:pPr>
            <w:pStyle w:val="Contents3"/>
            <w:rPr>
              <w:rFonts w:ascii="Calibri" w:hAnsi="Calibri" w:cs="Calibri"/>
              <w:sz w:val="22"/>
              <w:szCs w:val="22"/>
            </w:rPr>
          </w:pPr>
          <w:r>
            <w:rPr/>
            <w:t>A.2.4.1</w:t>
          </w:r>
          <w:r>
            <w:rPr>
              <w:rFonts w:cs="Calibri" w:ascii="Calibri" w:hAnsi="Calibri"/>
              <w:sz w:val="22"/>
              <w:szCs w:val="22"/>
            </w:rPr>
            <w:tab/>
          </w:r>
          <w:r>
            <w:rPr/>
            <w:t>General</w:t>
            <w:tab/>
          </w:r>
          <w:hyperlink w:anchor="__RefHeading___Toc68601349">
            <w:r>
              <w:rPr>
                <w:rStyle w:val="IndexLink"/>
              </w:rPr>
              <w:t>181</w:t>
            </w:r>
          </w:hyperlink>
        </w:p>
        <w:p>
          <w:pPr>
            <w:pStyle w:val="Contents3"/>
            <w:rPr>
              <w:rFonts w:ascii="Calibri" w:hAnsi="Calibri" w:cs="Calibri"/>
              <w:sz w:val="22"/>
              <w:szCs w:val="22"/>
            </w:rPr>
          </w:pPr>
          <w:r>
            <w:rPr/>
            <w:t>A.2.4.2</w:t>
          </w:r>
          <w:r>
            <w:rPr>
              <w:rFonts w:cs="Calibri" w:ascii="Calibri" w:hAnsi="Calibri"/>
              <w:sz w:val="22"/>
              <w:szCs w:val="22"/>
            </w:rPr>
            <w:tab/>
          </w:r>
          <w:r>
            <w:rPr/>
            <w:t>Notebook</w:t>
            <w:tab/>
          </w:r>
          <w:hyperlink w:anchor="__RefHeading___Toc68601350">
            <w:r>
              <w:rPr>
                <w:rStyle w:val="IndexLink"/>
              </w:rPr>
              <w:t>181</w:t>
            </w:r>
          </w:hyperlink>
        </w:p>
        <w:p>
          <w:pPr>
            <w:pStyle w:val="Contents3"/>
            <w:rPr>
              <w:rFonts w:ascii="Calibri" w:hAnsi="Calibri" w:cs="Calibri"/>
              <w:sz w:val="22"/>
              <w:szCs w:val="22"/>
            </w:rPr>
          </w:pPr>
          <w:r>
            <w:rPr/>
            <w:t>A.2.4.3</w:t>
          </w:r>
          <w:r>
            <w:rPr>
              <w:rFonts w:cs="Calibri" w:ascii="Calibri" w:hAnsi="Calibri"/>
              <w:sz w:val="22"/>
              <w:szCs w:val="22"/>
            </w:rPr>
            <w:tab/>
          </w:r>
          <w:r>
            <w:rPr/>
            <w:t>Tablet</w:t>
            <w:tab/>
          </w:r>
          <w:hyperlink w:anchor="__RefHeading___Toc68601351">
            <w:r>
              <w:rPr>
                <w:rStyle w:val="IndexLink"/>
              </w:rPr>
              <w:t>182</w:t>
            </w:r>
          </w:hyperlink>
        </w:p>
        <w:p>
          <w:pPr>
            <w:pStyle w:val="Contents1"/>
            <w:rPr>
              <w:rFonts w:ascii="Calibri" w:hAnsi="Calibri" w:cs="Calibri"/>
              <w:szCs w:val="22"/>
            </w:rPr>
          </w:pPr>
          <w:r>
            <w:rPr/>
            <w:t>A.3</w:t>
          </w:r>
          <w:r>
            <w:rPr>
              <w:rFonts w:cs="Calibri" w:ascii="Calibri" w:hAnsi="Calibri"/>
              <w:szCs w:val="22"/>
            </w:rPr>
            <w:tab/>
          </w:r>
          <w:r>
            <w:rPr/>
            <w:t>Anechoic chamber constraints</w:t>
            <w:tab/>
          </w:r>
          <w:hyperlink w:anchor="__RefHeading___Toc68601352">
            <w:r>
              <w:rPr>
                <w:rStyle w:val="IndexLink"/>
              </w:rPr>
              <w:t>182</w:t>
            </w:r>
          </w:hyperlink>
        </w:p>
        <w:p>
          <w:pPr>
            <w:pStyle w:val="Contents2"/>
            <w:rPr>
              <w:rFonts w:ascii="Calibri" w:hAnsi="Calibri" w:cs="Calibri"/>
              <w:sz w:val="22"/>
              <w:szCs w:val="22"/>
            </w:rPr>
          </w:pPr>
          <w:r>
            <w:rPr/>
            <w:t>A.3.1</w:t>
          </w:r>
          <w:r>
            <w:rPr>
              <w:rFonts w:cs="Calibri" w:ascii="Calibri" w:hAnsi="Calibri"/>
              <w:sz w:val="22"/>
              <w:szCs w:val="22"/>
            </w:rPr>
            <w:tab/>
          </w:r>
          <w:r>
            <w:rPr/>
            <w:t>General</w:t>
            <w:tab/>
          </w:r>
          <w:hyperlink w:anchor="__RefHeading___Toc68601353">
            <w:r>
              <w:rPr>
                <w:rStyle w:val="IndexLink"/>
              </w:rPr>
              <w:t>182</w:t>
            </w:r>
          </w:hyperlink>
        </w:p>
        <w:p>
          <w:pPr>
            <w:pStyle w:val="Contents2"/>
            <w:rPr>
              <w:rFonts w:ascii="Calibri" w:hAnsi="Calibri" w:cs="Calibri"/>
              <w:sz w:val="22"/>
              <w:szCs w:val="22"/>
            </w:rPr>
          </w:pPr>
          <w:r>
            <w:rPr/>
            <w:t>A.3.2</w:t>
          </w:r>
          <w:r>
            <w:rPr>
              <w:rFonts w:cs="Calibri" w:ascii="Calibri" w:hAnsi="Calibri"/>
              <w:sz w:val="22"/>
              <w:szCs w:val="22"/>
            </w:rPr>
            <w:tab/>
          </w:r>
          <w:r>
            <w:rPr/>
            <w:t>Quiet zone dimension</w:t>
            <w:tab/>
          </w:r>
          <w:hyperlink w:anchor="__RefHeading___Toc68601354">
            <w:r>
              <w:rPr>
                <w:rStyle w:val="IndexLink"/>
              </w:rPr>
              <w:t>185</w:t>
            </w:r>
          </w:hyperlink>
        </w:p>
        <w:p>
          <w:pPr>
            <w:pStyle w:val="Contents2"/>
            <w:rPr>
              <w:rFonts w:ascii="Calibri" w:hAnsi="Calibri" w:cs="Calibri"/>
              <w:sz w:val="22"/>
              <w:szCs w:val="22"/>
            </w:rPr>
          </w:pPr>
          <w:r>
            <w:rPr/>
            <w:t>A.3.3</w:t>
          </w:r>
          <w:r>
            <w:rPr>
              <w:rFonts w:cs="Calibri" w:ascii="Calibri" w:hAnsi="Calibri"/>
              <w:sz w:val="22"/>
              <w:szCs w:val="22"/>
            </w:rPr>
            <w:tab/>
          </w:r>
          <w:r>
            <w:rPr/>
            <w:t>Minimum distance between the DUT and the measurement antenna</w:t>
            <w:tab/>
          </w:r>
          <w:hyperlink w:anchor="__RefHeading___Toc68601355">
            <w:r>
              <w:rPr>
                <w:rStyle w:val="IndexLink"/>
              </w:rPr>
              <w:t>185</w:t>
            </w:r>
          </w:hyperlink>
        </w:p>
        <w:p>
          <w:pPr>
            <w:pStyle w:val="Contents2"/>
            <w:rPr>
              <w:rFonts w:ascii="Calibri" w:hAnsi="Calibri" w:cs="Calibri"/>
              <w:sz w:val="22"/>
              <w:szCs w:val="22"/>
            </w:rPr>
          </w:pPr>
          <w:r>
            <w:rPr/>
            <w:t>A.3.4</w:t>
          </w:r>
          <w:r>
            <w:rPr>
              <w:rFonts w:cs="Calibri" w:ascii="Calibri" w:hAnsi="Calibri"/>
              <w:sz w:val="22"/>
              <w:szCs w:val="22"/>
            </w:rPr>
            <w:tab/>
          </w:r>
          <w:r>
            <w:rPr/>
            <w:t>Reflectivity of the quiet zone</w:t>
            <w:tab/>
          </w:r>
          <w:hyperlink w:anchor="__RefHeading___Toc68601356">
            <w:r>
              <w:rPr>
                <w:rStyle w:val="IndexLink"/>
              </w:rPr>
              <w:t>185</w:t>
            </w:r>
          </w:hyperlink>
        </w:p>
        <w:p>
          <w:pPr>
            <w:pStyle w:val="Contents2"/>
            <w:rPr>
              <w:rFonts w:ascii="Calibri" w:hAnsi="Calibri" w:cs="Calibri"/>
              <w:sz w:val="22"/>
              <w:szCs w:val="22"/>
            </w:rPr>
          </w:pPr>
          <w:r>
            <w:rPr/>
            <w:t>A.3.5</w:t>
          </w:r>
          <w:r>
            <w:rPr>
              <w:rFonts w:cs="Calibri" w:ascii="Calibri" w:hAnsi="Calibri"/>
              <w:sz w:val="22"/>
              <w:szCs w:val="22"/>
            </w:rPr>
            <w:tab/>
          </w:r>
          <w:r>
            <w:rPr/>
            <w:t>Shielding effectiveness of the chamber</w:t>
            <w:tab/>
          </w:r>
          <w:hyperlink w:anchor="__RefHeading___Toc68601357">
            <w:r>
              <w:rPr>
                <w:rStyle w:val="IndexLink"/>
              </w:rPr>
              <w:t>185</w:t>
            </w:r>
          </w:hyperlink>
        </w:p>
        <w:p>
          <w:pPr>
            <w:pStyle w:val="Contents1"/>
            <w:rPr>
              <w:rFonts w:ascii="Calibri" w:hAnsi="Calibri" w:cs="Calibri"/>
              <w:szCs w:val="22"/>
            </w:rPr>
          </w:pPr>
          <w:r>
            <w:rPr/>
            <w:t>A.4</w:t>
          </w:r>
          <w:r>
            <w:rPr>
              <w:rFonts w:cs="Calibri" w:ascii="Calibri" w:hAnsi="Calibri"/>
              <w:szCs w:val="22"/>
            </w:rPr>
            <w:tab/>
          </w:r>
          <w:r>
            <w:rPr/>
            <w:t>Reverberation chamber constraints</w:t>
            <w:tab/>
          </w:r>
          <w:hyperlink w:anchor="__RefHeading___Toc68601358">
            <w:r>
              <w:rPr>
                <w:rStyle w:val="IndexLink"/>
              </w:rPr>
              <w:t>185</w:t>
            </w:r>
          </w:hyperlink>
        </w:p>
        <w:p>
          <w:pPr>
            <w:pStyle w:val="Contents2"/>
            <w:rPr>
              <w:rFonts w:ascii="Calibri" w:hAnsi="Calibri" w:cs="Calibri"/>
              <w:sz w:val="22"/>
              <w:szCs w:val="22"/>
            </w:rPr>
          </w:pPr>
          <w:r>
            <w:rPr/>
            <w:t>A.4.1</w:t>
          </w:r>
          <w:r>
            <w:rPr>
              <w:rFonts w:cs="Calibri" w:ascii="Calibri" w:hAnsi="Calibri"/>
              <w:sz w:val="22"/>
              <w:szCs w:val="22"/>
            </w:rPr>
            <w:tab/>
          </w:r>
          <w:r>
            <w:rPr/>
            <w:t>General</w:t>
            <w:tab/>
          </w:r>
          <w:hyperlink w:anchor="__RefHeading___Toc68601359">
            <w:r>
              <w:rPr>
                <w:rStyle w:val="IndexLink"/>
              </w:rPr>
              <w:t>185</w:t>
            </w:r>
          </w:hyperlink>
        </w:p>
        <w:p>
          <w:pPr>
            <w:pStyle w:val="Contents2"/>
            <w:rPr>
              <w:rFonts w:ascii="Calibri" w:hAnsi="Calibri" w:cs="Calibri"/>
              <w:sz w:val="22"/>
              <w:szCs w:val="22"/>
            </w:rPr>
          </w:pPr>
          <w:r>
            <w:rPr/>
            <w:t>A.4.2</w:t>
          </w:r>
          <w:r>
            <w:rPr>
              <w:rFonts w:cs="Calibri" w:ascii="Calibri" w:hAnsi="Calibri"/>
              <w:sz w:val="22"/>
              <w:szCs w:val="22"/>
            </w:rPr>
            <w:tab/>
          </w:r>
          <w:r>
            <w:rPr/>
            <w:t>Positioning and mode stirring facilities</w:t>
            <w:tab/>
          </w:r>
          <w:hyperlink w:anchor="__RefHeading___Toc68601360">
            <w:r>
              <w:rPr>
                <w:rStyle w:val="IndexLink"/>
              </w:rPr>
              <w:t>186</w:t>
            </w:r>
          </w:hyperlink>
        </w:p>
        <w:p>
          <w:pPr>
            <w:pStyle w:val="Contents2"/>
            <w:rPr>
              <w:rFonts w:ascii="Calibri" w:hAnsi="Calibri" w:cs="Calibri"/>
              <w:sz w:val="22"/>
              <w:szCs w:val="22"/>
            </w:rPr>
          </w:pPr>
          <w:r>
            <w:rPr/>
            <w:t>A.4.3</w:t>
          </w:r>
          <w:r>
            <w:rPr>
              <w:rFonts w:cs="Calibri" w:ascii="Calibri" w:hAnsi="Calibri"/>
              <w:sz w:val="22"/>
              <w:szCs w:val="22"/>
            </w:rPr>
            <w:tab/>
          </w:r>
          <w:r>
            <w:rPr/>
            <w:t>Polarization imbalance and receiving antennas</w:t>
            <w:tab/>
          </w:r>
          <w:hyperlink w:anchor="__RefHeading___Toc68601361">
            <w:r>
              <w:rPr>
                <w:rStyle w:val="IndexLink"/>
              </w:rPr>
              <w:t>186</w:t>
            </w:r>
          </w:hyperlink>
        </w:p>
        <w:p>
          <w:pPr>
            <w:pStyle w:val="Contents2"/>
            <w:rPr>
              <w:rFonts w:ascii="Calibri" w:hAnsi="Calibri" w:cs="Calibri"/>
              <w:sz w:val="22"/>
              <w:szCs w:val="22"/>
            </w:rPr>
          </w:pPr>
          <w:r>
            <w:rPr/>
            <w:t>A.4.4</w:t>
          </w:r>
          <w:r>
            <w:rPr>
              <w:rFonts w:cs="Calibri" w:ascii="Calibri" w:hAnsi="Calibri"/>
              <w:sz w:val="22"/>
              <w:szCs w:val="22"/>
            </w:rPr>
            <w:tab/>
          </w:r>
          <w:r>
            <w:rPr/>
            <w:t>Measurement antennas</w:t>
            <w:tab/>
          </w:r>
          <w:hyperlink w:anchor="__RefHeading___Toc68601362">
            <w:r>
              <w:rPr>
                <w:rStyle w:val="IndexLink"/>
              </w:rPr>
              <w:t>187</w:t>
            </w:r>
          </w:hyperlink>
        </w:p>
        <w:p>
          <w:pPr>
            <w:pStyle w:val="Contents2"/>
            <w:rPr>
              <w:rFonts w:ascii="Calibri" w:hAnsi="Calibri" w:cs="Calibri"/>
              <w:sz w:val="22"/>
              <w:szCs w:val="22"/>
            </w:rPr>
          </w:pPr>
          <w:r>
            <w:rPr/>
            <w:t>A.4.5</w:t>
          </w:r>
          <w:r>
            <w:rPr>
              <w:rFonts w:cs="Calibri" w:ascii="Calibri" w:hAnsi="Calibri"/>
              <w:sz w:val="22"/>
              <w:szCs w:val="22"/>
            </w:rPr>
            <w:tab/>
          </w:r>
          <w:r>
            <w:rPr/>
            <w:t>Chamber size and characteristics</w:t>
            <w:tab/>
          </w:r>
          <w:hyperlink w:anchor="__RefHeading___Toc68601363">
            <w:r>
              <w:rPr>
                <w:rStyle w:val="IndexLink"/>
              </w:rPr>
              <w:t>187</w:t>
            </w:r>
          </w:hyperlink>
        </w:p>
        <w:p>
          <w:pPr>
            <w:pStyle w:val="Contents2"/>
            <w:rPr>
              <w:rFonts w:ascii="Calibri" w:hAnsi="Calibri" w:cs="Calibri"/>
              <w:sz w:val="22"/>
              <w:szCs w:val="22"/>
            </w:rPr>
          </w:pPr>
          <w:r>
            <w:rPr/>
            <w:t>A.4.6</w:t>
          </w:r>
          <w:r>
            <w:rPr>
              <w:rFonts w:cs="Calibri" w:ascii="Calibri" w:hAnsi="Calibri"/>
              <w:sz w:val="22"/>
              <w:szCs w:val="22"/>
            </w:rPr>
            <w:tab/>
          </w:r>
          <w:r>
            <w:rPr/>
            <w:t xml:space="preserve"> Shielding effectiveness of the chamber</w:t>
            <w:tab/>
          </w:r>
          <w:hyperlink w:anchor="__RefHeading___Toc68601364">
            <w:r>
              <w:rPr>
                <w:rStyle w:val="IndexLink"/>
              </w:rPr>
              <w:t>187</w:t>
            </w:r>
          </w:hyperlink>
        </w:p>
        <w:p>
          <w:pPr>
            <w:pStyle w:val="Contents1"/>
            <w:rPr>
              <w:rFonts w:ascii="Calibri" w:hAnsi="Calibri" w:cs="Calibri"/>
              <w:szCs w:val="22"/>
            </w:rPr>
          </w:pPr>
          <w:r>
            <w:rPr/>
            <w:t>A.5</w:t>
          </w:r>
          <w:r>
            <w:rPr>
              <w:rFonts w:cs="Calibri" w:ascii="Calibri" w:hAnsi="Calibri"/>
              <w:szCs w:val="22"/>
            </w:rPr>
            <w:tab/>
          </w:r>
          <w:r>
            <w:rPr/>
            <w:t>Anechoic chamber constraints for Radiated Performance of Multiple-antenna Receivers</w:t>
            <w:tab/>
          </w:r>
          <w:hyperlink w:anchor="__RefHeading___Toc68601365">
            <w:r>
              <w:rPr>
                <w:rStyle w:val="IndexLink"/>
              </w:rPr>
              <w:t>187</w:t>
            </w:r>
          </w:hyperlink>
        </w:p>
        <w:p>
          <w:pPr>
            <w:pStyle w:val="Contents2"/>
            <w:rPr>
              <w:rFonts w:ascii="Calibri" w:hAnsi="Calibri" w:cs="Calibri"/>
              <w:sz w:val="22"/>
              <w:szCs w:val="22"/>
            </w:rPr>
          </w:pPr>
          <w:r>
            <w:rPr/>
            <w:t>A.5.1</w:t>
          </w:r>
          <w:r>
            <w:rPr>
              <w:rFonts w:cs="Calibri" w:ascii="Calibri" w:hAnsi="Calibri"/>
              <w:sz w:val="22"/>
              <w:szCs w:val="22"/>
            </w:rPr>
            <w:tab/>
          </w:r>
          <w:r>
            <w:rPr/>
            <w:t>General</w:t>
            <w:tab/>
          </w:r>
          <w:hyperlink w:anchor="__RefHeading___Toc68601366">
            <w:r>
              <w:rPr>
                <w:rStyle w:val="IndexLink"/>
              </w:rPr>
              <w:t>187</w:t>
            </w:r>
          </w:hyperlink>
        </w:p>
        <w:p>
          <w:pPr>
            <w:pStyle w:val="Contents3"/>
            <w:rPr>
              <w:rFonts w:ascii="Calibri" w:hAnsi="Calibri" w:cs="Calibri"/>
              <w:sz w:val="22"/>
              <w:szCs w:val="22"/>
            </w:rPr>
          </w:pPr>
          <w:r>
            <w:rPr>
              <w:lang w:val="en-US" w:eastAsia="en-US"/>
            </w:rPr>
            <w:t>A.5.1.1</w:t>
          </w:r>
          <w:r>
            <w:rPr>
              <w:rFonts w:cs="Calibri" w:ascii="Calibri" w:hAnsi="Calibri"/>
              <w:sz w:val="22"/>
              <w:szCs w:val="22"/>
            </w:rPr>
            <w:tab/>
          </w:r>
          <w:r>
            <w:rPr/>
            <w:t>Multi-probe Anechoic Chamber</w:t>
            <w:tab/>
          </w:r>
          <w:hyperlink w:anchor="__RefHeading___Toc68601367">
            <w:r>
              <w:rPr>
                <w:rStyle w:val="IndexLink"/>
              </w:rPr>
              <w:t>188</w:t>
            </w:r>
          </w:hyperlink>
        </w:p>
        <w:p>
          <w:pPr>
            <w:pStyle w:val="Contents4"/>
            <w:rPr>
              <w:rFonts w:ascii="Calibri" w:hAnsi="Calibri" w:cs="Calibri"/>
              <w:sz w:val="22"/>
              <w:szCs w:val="22"/>
            </w:rPr>
          </w:pPr>
          <w:r>
            <w:rPr/>
            <w:t>A.5.1.1.1</w:t>
          </w:r>
          <w:r>
            <w:rPr>
              <w:rFonts w:cs="Calibri" w:ascii="Calibri" w:hAnsi="Calibri"/>
              <w:sz w:val="22"/>
              <w:szCs w:val="22"/>
            </w:rPr>
            <w:tab/>
          </w:r>
          <w:r>
            <w:rPr/>
            <w:t>Concept and configuration</w:t>
            <w:tab/>
          </w:r>
          <w:hyperlink w:anchor="__RefHeading___Toc68601368">
            <w:r>
              <w:rPr>
                <w:rStyle w:val="IndexLink"/>
              </w:rPr>
              <w:t>189</w:t>
            </w:r>
          </w:hyperlink>
        </w:p>
        <w:p>
          <w:pPr>
            <w:pStyle w:val="Contents4"/>
            <w:rPr>
              <w:rFonts w:ascii="Calibri" w:hAnsi="Calibri" w:cs="Calibri"/>
              <w:sz w:val="22"/>
              <w:szCs w:val="22"/>
            </w:rPr>
          </w:pPr>
          <w:r>
            <w:rPr>
              <w:lang w:val="en-US" w:eastAsia="en-US"/>
            </w:rPr>
            <w:t>A.5.1.2</w:t>
          </w:r>
          <w:r>
            <w:rPr>
              <w:rFonts w:cs="Calibri" w:ascii="Calibri" w:hAnsi="Calibri"/>
              <w:sz w:val="22"/>
              <w:szCs w:val="22"/>
            </w:rPr>
            <w:tab/>
          </w:r>
          <w:r>
            <w:rPr/>
            <w:t>Radiated Two-Stage</w:t>
            <w:tab/>
          </w:r>
          <w:hyperlink w:anchor="__RefHeading___Toc68601369">
            <w:r>
              <w:rPr>
                <w:rStyle w:val="IndexLink"/>
              </w:rPr>
              <w:t>190</w:t>
            </w:r>
          </w:hyperlink>
        </w:p>
        <w:p>
          <w:pPr>
            <w:pStyle w:val="Contents5"/>
            <w:rPr>
              <w:rFonts w:ascii="Calibri" w:hAnsi="Calibri" w:cs="Calibri"/>
              <w:sz w:val="22"/>
              <w:szCs w:val="22"/>
            </w:rPr>
          </w:pPr>
          <w:r>
            <w:rPr/>
            <w:t>A.5.1.2.1</w:t>
          </w:r>
          <w:r>
            <w:rPr>
              <w:rFonts w:cs="Calibri" w:ascii="Calibri" w:hAnsi="Calibri"/>
              <w:sz w:val="22"/>
              <w:szCs w:val="22"/>
            </w:rPr>
            <w:tab/>
          </w:r>
          <w:r>
            <w:rPr/>
            <w:t>Concept and configuration</w:t>
            <w:tab/>
          </w:r>
          <w:hyperlink w:anchor="__RefHeading___Toc68601370">
            <w:r>
              <w:rPr>
                <w:rStyle w:val="IndexLink"/>
              </w:rPr>
              <w:t>191</w:t>
            </w:r>
          </w:hyperlink>
        </w:p>
        <w:p>
          <w:pPr>
            <w:pStyle w:val="Contents2"/>
            <w:rPr>
              <w:rFonts w:ascii="Calibri" w:hAnsi="Calibri" w:cs="Calibri"/>
              <w:sz w:val="22"/>
              <w:szCs w:val="22"/>
            </w:rPr>
          </w:pPr>
          <w:r>
            <w:rPr/>
            <w:t>A.5.2</w:t>
          </w:r>
          <w:r>
            <w:rPr>
              <w:rFonts w:cs="Calibri" w:ascii="Calibri" w:hAnsi="Calibri"/>
              <w:sz w:val="22"/>
              <w:szCs w:val="22"/>
            </w:rPr>
            <w:tab/>
          </w:r>
          <w:r>
            <w:rPr/>
            <w:t>Testing environment conditions</w:t>
            <w:tab/>
          </w:r>
          <w:hyperlink w:anchor="__RefHeading___Toc68601371">
            <w:r>
              <w:rPr>
                <w:rStyle w:val="IndexLink"/>
              </w:rPr>
              <w:t>192</w:t>
            </w:r>
          </w:hyperlink>
        </w:p>
        <w:p>
          <w:pPr>
            <w:pStyle w:val="Contents3"/>
            <w:rPr>
              <w:rFonts w:ascii="Calibri" w:hAnsi="Calibri" w:cs="Calibri"/>
              <w:sz w:val="22"/>
              <w:szCs w:val="22"/>
            </w:rPr>
          </w:pPr>
          <w:r>
            <w:rPr/>
            <w:t>A.5.2.1</w:t>
          </w:r>
          <w:r>
            <w:rPr>
              <w:rFonts w:cs="Calibri" w:ascii="Calibri" w:hAnsi="Calibri"/>
              <w:sz w:val="22"/>
              <w:szCs w:val="22"/>
            </w:rPr>
            <w:tab/>
          </w:r>
          <w:r>
            <w:rPr/>
            <w:t>MPAC Positioning Guidelines</w:t>
            <w:tab/>
          </w:r>
          <w:hyperlink w:anchor="__RefHeading___Toc68601372">
            <w:r>
              <w:rPr>
                <w:rStyle w:val="IndexLink"/>
              </w:rPr>
              <w:t>198</w:t>
            </w:r>
          </w:hyperlink>
        </w:p>
        <w:p>
          <w:pPr>
            <w:pStyle w:val="Contents3"/>
            <w:rPr>
              <w:rFonts w:ascii="Calibri" w:hAnsi="Calibri" w:cs="Calibri"/>
              <w:sz w:val="22"/>
              <w:szCs w:val="22"/>
            </w:rPr>
          </w:pPr>
          <w:r>
            <w:rPr/>
            <w:t>A.5.2.2</w:t>
          </w:r>
          <w:r>
            <w:rPr>
              <w:rFonts w:cs="Calibri" w:ascii="Calibri" w:hAnsi="Calibri"/>
              <w:sz w:val="22"/>
              <w:szCs w:val="22"/>
            </w:rPr>
            <w:tab/>
          </w:r>
          <w:r>
            <w:rPr/>
            <w:t>RTS Positioning Guidelines and test zone dimensions</w:t>
            <w:tab/>
          </w:r>
          <w:hyperlink w:anchor="__RefHeading___Toc68601373">
            <w:r>
              <w:rPr>
                <w:rStyle w:val="IndexLink"/>
              </w:rPr>
              <w:t>202</w:t>
            </w:r>
          </w:hyperlink>
        </w:p>
        <w:p>
          <w:pPr>
            <w:pStyle w:val="Contents8"/>
            <w:rPr>
              <w:rFonts w:ascii="Calibri" w:hAnsi="Calibri" w:cs="Calibri"/>
              <w:b w:val="false"/>
              <w:b w:val="false"/>
              <w:szCs w:val="22"/>
            </w:rPr>
          </w:pPr>
          <w:r>
            <w:rPr/>
            <w:t>Annex B (normative): Calibration</w:t>
            <w:tab/>
          </w:r>
          <w:hyperlink w:anchor="__RefHeading___Toc68601374">
            <w:r>
              <w:rPr>
                <w:rStyle w:val="IndexLink"/>
              </w:rPr>
              <w:t>202</w:t>
            </w:r>
          </w:hyperlink>
        </w:p>
        <w:p>
          <w:pPr>
            <w:pStyle w:val="Contents1"/>
            <w:rPr>
              <w:rFonts w:ascii="Calibri" w:hAnsi="Calibri" w:cs="Calibri"/>
              <w:szCs w:val="22"/>
            </w:rPr>
          </w:pPr>
          <w:r>
            <w:rPr/>
            <w:t>B.1</w:t>
          </w:r>
          <w:r>
            <w:rPr>
              <w:rFonts w:cs="Calibri" w:ascii="Calibri" w:hAnsi="Calibri"/>
              <w:szCs w:val="22"/>
            </w:rPr>
            <w:tab/>
          </w:r>
          <w:r>
            <w:rPr/>
            <w:t>General</w:t>
            <w:tab/>
          </w:r>
          <w:hyperlink w:anchor="__RefHeading___Toc68601375">
            <w:r>
              <w:rPr>
                <w:rStyle w:val="IndexLink"/>
              </w:rPr>
              <w:t>202</w:t>
            </w:r>
          </w:hyperlink>
        </w:p>
        <w:p>
          <w:pPr>
            <w:pStyle w:val="Contents2"/>
            <w:rPr>
              <w:rFonts w:ascii="Calibri" w:hAnsi="Calibri" w:cs="Calibri"/>
              <w:sz w:val="22"/>
              <w:szCs w:val="22"/>
            </w:rPr>
          </w:pPr>
          <w:r>
            <w:rPr/>
            <w:t>B.2.1</w:t>
          </w:r>
          <w:r>
            <w:rPr>
              <w:rFonts w:cs="Calibri" w:ascii="Calibri" w:hAnsi="Calibri"/>
              <w:sz w:val="22"/>
              <w:szCs w:val="22"/>
            </w:rPr>
            <w:tab/>
          </w:r>
          <w:r>
            <w:rPr/>
            <w:t>Calibration procedure for Anechoic chamber method</w:t>
            <w:tab/>
          </w:r>
          <w:hyperlink w:anchor="__RefHeading___Toc68601376">
            <w:r>
              <w:rPr>
                <w:rStyle w:val="IndexLink"/>
              </w:rPr>
              <w:t>203</w:t>
            </w:r>
          </w:hyperlink>
        </w:p>
        <w:p>
          <w:pPr>
            <w:pStyle w:val="Contents2"/>
            <w:rPr>
              <w:rFonts w:ascii="Calibri" w:hAnsi="Calibri" w:cs="Calibri"/>
              <w:sz w:val="22"/>
              <w:szCs w:val="22"/>
            </w:rPr>
          </w:pPr>
          <w:r>
            <w:rPr/>
            <w:t>B.2.2</w:t>
          </w:r>
          <w:r>
            <w:rPr>
              <w:rFonts w:cs="Calibri" w:ascii="Calibri" w:hAnsi="Calibri"/>
              <w:sz w:val="22"/>
              <w:szCs w:val="22"/>
            </w:rPr>
            <w:tab/>
          </w:r>
          <w:r>
            <w:rPr/>
            <w:t>Calibration procedure for Reverberation chamber method</w:t>
            <w:tab/>
          </w:r>
          <w:hyperlink w:anchor="__RefHeading___Toc68601377">
            <w:r>
              <w:rPr>
                <w:rStyle w:val="IndexLink"/>
              </w:rPr>
              <w:t>204</w:t>
            </w:r>
          </w:hyperlink>
        </w:p>
        <w:p>
          <w:pPr>
            <w:pStyle w:val="Contents3"/>
            <w:rPr>
              <w:rFonts w:ascii="Calibri" w:hAnsi="Calibri" w:cs="Calibri"/>
              <w:sz w:val="22"/>
              <w:szCs w:val="22"/>
            </w:rPr>
          </w:pPr>
          <w:r>
            <w:rPr/>
            <w:t>B.2.2.1</w:t>
          </w:r>
          <w:r>
            <w:rPr>
              <w:rFonts w:cs="Calibri" w:ascii="Calibri" w:hAnsi="Calibri"/>
              <w:sz w:val="22"/>
              <w:szCs w:val="22"/>
            </w:rPr>
            <w:tab/>
          </w:r>
          <w:r>
            <w:rPr/>
            <w:t>Measurement of S-parameters through the chamber for a complete stirring sequence</w:t>
            <w:tab/>
          </w:r>
          <w:hyperlink w:anchor="__RefHeading___Toc68601378">
            <w:r>
              <w:rPr>
                <w:rStyle w:val="IndexLink"/>
              </w:rPr>
              <w:t>204</w:t>
            </w:r>
          </w:hyperlink>
        </w:p>
        <w:p>
          <w:pPr>
            <w:pStyle w:val="Contents3"/>
            <w:rPr>
              <w:rFonts w:ascii="Calibri" w:hAnsi="Calibri" w:cs="Calibri"/>
              <w:sz w:val="22"/>
              <w:szCs w:val="22"/>
            </w:rPr>
          </w:pPr>
          <w:r>
            <w:rPr/>
            <w:t>B.2.2.2</w:t>
          </w:r>
          <w:r>
            <w:rPr>
              <w:rFonts w:cs="Calibri" w:ascii="Calibri" w:hAnsi="Calibri"/>
              <w:sz w:val="22"/>
              <w:szCs w:val="22"/>
            </w:rPr>
            <w:tab/>
          </w:r>
          <w:r>
            <w:rPr/>
            <w:t>Calculation of the chamber reference transfer function</w:t>
            <w:tab/>
          </w:r>
          <w:hyperlink w:anchor="__RefHeading___Toc68601379">
            <w:r>
              <w:rPr>
                <w:rStyle w:val="IndexLink"/>
              </w:rPr>
              <w:t>205</w:t>
            </w:r>
          </w:hyperlink>
        </w:p>
        <w:p>
          <w:pPr>
            <w:pStyle w:val="Contents3"/>
            <w:rPr>
              <w:rFonts w:ascii="Calibri" w:hAnsi="Calibri" w:cs="Calibri"/>
              <w:sz w:val="22"/>
              <w:szCs w:val="22"/>
            </w:rPr>
          </w:pPr>
          <w:r>
            <w:rPr>
              <w:rFonts w:eastAsia="Arial"/>
            </w:rPr>
            <w:t>B.2.2.3</w:t>
          </w:r>
          <w:r>
            <w:rPr>
              <w:rFonts w:cs="Calibri" w:ascii="Calibri" w:hAnsi="Calibri"/>
              <w:sz w:val="22"/>
              <w:szCs w:val="22"/>
            </w:rPr>
            <w:tab/>
          </w:r>
          <w:r>
            <w:rPr>
              <w:rFonts w:eastAsia="Arial"/>
            </w:rPr>
            <w:t>Cable calibration</w:t>
          </w:r>
          <w:r>
            <w:rPr/>
            <w:tab/>
          </w:r>
          <w:hyperlink w:anchor="__RefHeading___Toc68601380">
            <w:r>
              <w:rPr>
                <w:rStyle w:val="IndexLink"/>
              </w:rPr>
              <w:t>206</w:t>
            </w:r>
          </w:hyperlink>
        </w:p>
        <w:p>
          <w:pPr>
            <w:pStyle w:val="Contents2"/>
            <w:rPr>
              <w:rFonts w:ascii="Calibri" w:hAnsi="Calibri" w:cs="Calibri"/>
              <w:sz w:val="22"/>
              <w:szCs w:val="22"/>
            </w:rPr>
          </w:pPr>
          <w:r>
            <w:rPr/>
            <w:t>B.2.3</w:t>
          </w:r>
          <w:r>
            <w:rPr>
              <w:rFonts w:cs="Calibri" w:ascii="Calibri" w:hAnsi="Calibri"/>
              <w:sz w:val="22"/>
              <w:szCs w:val="22"/>
            </w:rPr>
            <w:tab/>
          </w:r>
          <w:r>
            <w:rPr/>
            <w:t>Calibration procedure for Anechoic chamber method with Multiprobe configuration</w:t>
            <w:tab/>
          </w:r>
          <w:hyperlink w:anchor="__RefHeading___Toc68601381">
            <w:r>
              <w:rPr>
                <w:rStyle w:val="IndexLink"/>
              </w:rPr>
              <w:t>206</w:t>
            </w:r>
          </w:hyperlink>
        </w:p>
        <w:p>
          <w:pPr>
            <w:pStyle w:val="Contents3"/>
            <w:rPr>
              <w:rFonts w:ascii="Calibri" w:hAnsi="Calibri" w:cs="Calibri"/>
              <w:sz w:val="22"/>
              <w:szCs w:val="22"/>
            </w:rPr>
          </w:pPr>
          <w:r>
            <w:rPr>
              <w:rFonts w:eastAsia="Arial"/>
            </w:rPr>
            <w:t>B.2.3.1</w:t>
          </w:r>
          <w:r>
            <w:rPr>
              <w:rFonts w:cs="Calibri" w:ascii="Calibri" w:hAnsi="Calibri"/>
              <w:sz w:val="22"/>
              <w:szCs w:val="22"/>
            </w:rPr>
            <w:tab/>
          </w:r>
          <w:r>
            <w:rPr>
              <w:rFonts w:eastAsia="Arial"/>
            </w:rPr>
            <w:t>Example Calibration Procedure</w:t>
          </w:r>
          <w:r>
            <w:rPr/>
            <w:tab/>
          </w:r>
          <w:hyperlink w:anchor="__RefHeading___Toc68601382">
            <w:r>
              <w:rPr>
                <w:rStyle w:val="IndexLink"/>
              </w:rPr>
              <w:t>207</w:t>
            </w:r>
          </w:hyperlink>
        </w:p>
        <w:p>
          <w:pPr>
            <w:pStyle w:val="Contents2"/>
            <w:rPr>
              <w:rFonts w:ascii="Calibri" w:hAnsi="Calibri" w:cs="Calibri"/>
              <w:sz w:val="22"/>
              <w:szCs w:val="22"/>
            </w:rPr>
          </w:pPr>
          <w:r>
            <w:rPr/>
            <w:t>B.2.4</w:t>
          </w:r>
          <w:r>
            <w:rPr>
              <w:rFonts w:cs="Calibri" w:ascii="Calibri" w:hAnsi="Calibri"/>
              <w:sz w:val="22"/>
              <w:szCs w:val="22"/>
            </w:rPr>
            <w:tab/>
          </w:r>
          <w:r>
            <w:rPr/>
            <w:t>Calibration procedure for RTS method</w:t>
            <w:tab/>
          </w:r>
          <w:hyperlink w:anchor="__RefHeading___Toc68601383">
            <w:r>
              <w:rPr>
                <w:rStyle w:val="IndexLink"/>
              </w:rPr>
              <w:t>208</w:t>
            </w:r>
          </w:hyperlink>
        </w:p>
        <w:p>
          <w:pPr>
            <w:pStyle w:val="Contents8"/>
            <w:rPr>
              <w:rFonts w:ascii="Calibri" w:hAnsi="Calibri" w:cs="Calibri"/>
              <w:b w:val="false"/>
              <w:b w:val="false"/>
              <w:szCs w:val="22"/>
            </w:rPr>
          </w:pPr>
          <w:r>
            <w:rPr/>
            <w:t>Annex C (informative): Measurement test report</w:t>
            <w:tab/>
          </w:r>
          <w:hyperlink w:anchor="__RefHeading___Toc68601384">
            <w:r>
              <w:rPr>
                <w:rStyle w:val="IndexLink"/>
              </w:rPr>
              <w:t>209</w:t>
            </w:r>
          </w:hyperlink>
        </w:p>
        <w:p>
          <w:pPr>
            <w:pStyle w:val="Contents1"/>
            <w:rPr>
              <w:rFonts w:ascii="Calibri" w:hAnsi="Calibri" w:cs="Calibri"/>
              <w:szCs w:val="22"/>
            </w:rPr>
          </w:pPr>
          <w:r>
            <w:rPr/>
            <w:t>C.1</w:t>
          </w:r>
          <w:r>
            <w:rPr>
              <w:rFonts w:cs="Calibri" w:ascii="Calibri" w:hAnsi="Calibri"/>
              <w:szCs w:val="22"/>
            </w:rPr>
            <w:tab/>
          </w:r>
          <w:r>
            <w:rPr/>
            <w:t>General</w:t>
            <w:tab/>
          </w:r>
          <w:hyperlink w:anchor="__RefHeading___Toc68601385">
            <w:r>
              <w:rPr>
                <w:rStyle w:val="IndexLink"/>
              </w:rPr>
              <w:t>209</w:t>
            </w:r>
          </w:hyperlink>
        </w:p>
        <w:p>
          <w:pPr>
            <w:pStyle w:val="Contents8"/>
            <w:rPr>
              <w:rFonts w:ascii="Calibri" w:hAnsi="Calibri" w:cs="Calibri"/>
              <w:b w:val="false"/>
              <w:b w:val="false"/>
              <w:szCs w:val="22"/>
            </w:rPr>
          </w:pPr>
          <w:r>
            <w:rPr/>
            <w:t>Annex D (normative): Maximum uncertainty of test system and test tolerance</w:t>
            <w:tab/>
          </w:r>
          <w:hyperlink w:anchor="__RefHeading___Toc68601386">
            <w:r>
              <w:rPr>
                <w:rStyle w:val="IndexLink"/>
              </w:rPr>
              <w:t>210</w:t>
            </w:r>
          </w:hyperlink>
        </w:p>
        <w:p>
          <w:pPr>
            <w:pStyle w:val="Contents1"/>
            <w:rPr>
              <w:rFonts w:ascii="Calibri" w:hAnsi="Calibri" w:cs="Calibri"/>
              <w:szCs w:val="22"/>
            </w:rPr>
          </w:pPr>
          <w:r>
            <w:rPr/>
            <w:t>D.1</w:t>
          </w:r>
          <w:r>
            <w:rPr>
              <w:rFonts w:cs="Calibri" w:ascii="Calibri" w:hAnsi="Calibri"/>
              <w:szCs w:val="22"/>
            </w:rPr>
            <w:tab/>
          </w:r>
          <w:r>
            <w:rPr/>
            <w:t>Maximum uncertainty of test system</w:t>
            <w:tab/>
          </w:r>
          <w:hyperlink w:anchor="__RefHeading___Toc68601387">
            <w:r>
              <w:rPr>
                <w:rStyle w:val="IndexLink"/>
              </w:rPr>
              <w:t>210</w:t>
            </w:r>
          </w:hyperlink>
        </w:p>
        <w:p>
          <w:pPr>
            <w:pStyle w:val="Contents1"/>
            <w:rPr>
              <w:rFonts w:ascii="Calibri" w:hAnsi="Calibri" w:cs="Calibri"/>
              <w:szCs w:val="22"/>
            </w:rPr>
          </w:pPr>
          <w:r>
            <w:rPr/>
            <w:t>D.2</w:t>
          </w:r>
          <w:r>
            <w:rPr>
              <w:rFonts w:cs="Calibri" w:ascii="Calibri" w:hAnsi="Calibri"/>
              <w:szCs w:val="22"/>
            </w:rPr>
            <w:tab/>
          </w:r>
          <w:r>
            <w:rPr/>
            <w:t>Test tolerances</w:t>
            <w:tab/>
          </w:r>
          <w:hyperlink w:anchor="__RefHeading___Toc68601388">
            <w:r>
              <w:rPr>
                <w:rStyle w:val="IndexLink"/>
              </w:rPr>
              <w:t>212</w:t>
            </w:r>
          </w:hyperlink>
        </w:p>
        <w:p>
          <w:pPr>
            <w:pStyle w:val="Contents8"/>
            <w:rPr>
              <w:rFonts w:ascii="Calibri" w:hAnsi="Calibri" w:cs="Calibri"/>
              <w:b w:val="false"/>
              <w:b w:val="false"/>
              <w:szCs w:val="22"/>
            </w:rPr>
          </w:pPr>
          <w:r>
            <w:rPr/>
            <w:t>Annex E (informative): Estimation of measurement uncertainty</w:t>
            <w:tab/>
          </w:r>
          <w:hyperlink w:anchor="__RefHeading___Toc68601389">
            <w:r>
              <w:rPr>
                <w:rStyle w:val="IndexLink"/>
              </w:rPr>
              <w:t>214</w:t>
            </w:r>
          </w:hyperlink>
        </w:p>
        <w:p>
          <w:pPr>
            <w:pStyle w:val="Contents1"/>
            <w:rPr>
              <w:rFonts w:ascii="Calibri" w:hAnsi="Calibri" w:cs="Calibri"/>
              <w:szCs w:val="22"/>
            </w:rPr>
          </w:pPr>
          <w:r>
            <w:rPr/>
            <w:t>E.1</w:t>
          </w:r>
          <w:r>
            <w:rPr>
              <w:rFonts w:cs="Calibri" w:ascii="Calibri" w:hAnsi="Calibri"/>
              <w:szCs w:val="22"/>
            </w:rPr>
            <w:tab/>
          </w:r>
          <w:r>
            <w:rPr/>
            <w:t>General</w:t>
            <w:tab/>
          </w:r>
          <w:hyperlink w:anchor="__RefHeading___Toc68601390">
            <w:r>
              <w:rPr>
                <w:rStyle w:val="IndexLink"/>
              </w:rPr>
              <w:t>214</w:t>
            </w:r>
          </w:hyperlink>
        </w:p>
        <w:p>
          <w:pPr>
            <w:pStyle w:val="Contents1"/>
            <w:rPr>
              <w:rFonts w:ascii="Calibri" w:hAnsi="Calibri" w:cs="Calibri"/>
              <w:szCs w:val="22"/>
            </w:rPr>
          </w:pPr>
          <w:r>
            <w:rPr/>
            <w:t>E.2</w:t>
          </w:r>
          <w:r>
            <w:rPr>
              <w:rFonts w:cs="Calibri" w:ascii="Calibri" w:hAnsi="Calibri"/>
              <w:szCs w:val="22"/>
            </w:rPr>
            <w:tab/>
          </w:r>
          <w:r>
            <w:rPr/>
            <w:t>Mismatch uncertainty between measurement receiver and the probe antenna</w:t>
            <w:tab/>
          </w:r>
          <w:hyperlink w:anchor="__RefHeading___Toc68601391">
            <w:r>
              <w:rPr>
                <w:rStyle w:val="IndexLink"/>
              </w:rPr>
              <w:t>220</w:t>
            </w:r>
          </w:hyperlink>
        </w:p>
        <w:p>
          <w:pPr>
            <w:pStyle w:val="Contents2"/>
            <w:rPr>
              <w:rFonts w:ascii="Calibri" w:hAnsi="Calibri" w:cs="Calibri"/>
              <w:sz w:val="22"/>
              <w:szCs w:val="22"/>
            </w:rPr>
          </w:pPr>
          <w:r>
            <w:rPr/>
            <w:t>E.2.1</w:t>
          </w:r>
          <w:r>
            <w:rPr>
              <w:rFonts w:cs="Calibri" w:ascii="Calibri" w:hAnsi="Calibri"/>
              <w:sz w:val="22"/>
              <w:szCs w:val="22"/>
            </w:rPr>
            <w:tab/>
          </w:r>
          <w:r>
            <w:rPr/>
            <w:t>Total combined mismatch uncertainty calculations</w:t>
            <w:tab/>
          </w:r>
          <w:hyperlink w:anchor="__RefHeading___Toc68601392">
            <w:r>
              <w:rPr>
                <w:rStyle w:val="IndexLink"/>
              </w:rPr>
              <w:t>220</w:t>
            </w:r>
          </w:hyperlink>
        </w:p>
        <w:p>
          <w:pPr>
            <w:pStyle w:val="Contents3"/>
            <w:rPr>
              <w:rFonts w:ascii="Calibri" w:hAnsi="Calibri" w:cs="Calibri"/>
              <w:sz w:val="22"/>
              <w:szCs w:val="22"/>
            </w:rPr>
          </w:pPr>
          <w:r>
            <w:rPr>
              <w:lang w:val="en-US" w:eastAsia="en-US"/>
            </w:rPr>
            <w:t>E</w:t>
          </w:r>
          <w:r>
            <w:rPr/>
            <w:t>.2.1.1</w:t>
          </w:r>
          <w:r>
            <w:rPr>
              <w:rFonts w:cs="Calibri" w:ascii="Calibri" w:hAnsi="Calibri"/>
              <w:sz w:val="22"/>
              <w:szCs w:val="22"/>
            </w:rPr>
            <w:tab/>
          </w:r>
          <w:r>
            <w:rPr/>
            <w:t>Mismatch uncertainty through the connector between two elements</w:t>
            <w:tab/>
          </w:r>
          <w:hyperlink w:anchor="__RefHeading___Toc68601393">
            <w:r>
              <w:rPr>
                <w:rStyle w:val="IndexLink"/>
              </w:rPr>
              <w:t>220</w:t>
            </w:r>
          </w:hyperlink>
        </w:p>
        <w:p>
          <w:pPr>
            <w:pStyle w:val="Contents3"/>
            <w:rPr>
              <w:rFonts w:ascii="Calibri" w:hAnsi="Calibri" w:cs="Calibri"/>
              <w:sz w:val="22"/>
              <w:szCs w:val="22"/>
            </w:rPr>
          </w:pPr>
          <w:r>
            <w:rPr>
              <w:lang w:val="en-US" w:eastAsia="en-US"/>
            </w:rPr>
            <w:t>E</w:t>
          </w:r>
          <w:r>
            <w:rPr/>
            <w:t>.2.1.2</w:t>
          </w:r>
          <w:r>
            <w:rPr>
              <w:rFonts w:cs="Calibri" w:ascii="Calibri" w:hAnsi="Calibri"/>
              <w:sz w:val="22"/>
              <w:szCs w:val="22"/>
            </w:rPr>
            <w:tab/>
          </w:r>
          <w:r>
            <w:rPr/>
            <w:t>Mismatch uncertainty due to the interaction of several elements</w:t>
            <w:tab/>
          </w:r>
          <w:hyperlink w:anchor="__RefHeading___Toc68601394">
            <w:r>
              <w:rPr>
                <w:rStyle w:val="IndexLink"/>
              </w:rPr>
              <w:t>221</w:t>
            </w:r>
          </w:hyperlink>
        </w:p>
        <w:p>
          <w:pPr>
            <w:pStyle w:val="Contents2"/>
            <w:rPr>
              <w:rFonts w:ascii="Calibri" w:hAnsi="Calibri" w:cs="Calibri"/>
              <w:sz w:val="22"/>
              <w:szCs w:val="22"/>
            </w:rPr>
          </w:pPr>
          <w:r>
            <w:rPr/>
            <w:t>E.2.2</w:t>
          </w:r>
          <w:r>
            <w:rPr>
              <w:rFonts w:cs="Calibri" w:ascii="Calibri" w:hAnsi="Calibri"/>
              <w:sz w:val="22"/>
              <w:szCs w:val="22"/>
            </w:rPr>
            <w:tab/>
          </w:r>
          <w:r>
            <w:rPr/>
            <w:t>Total combined mismatch uncertainty</w:t>
            <w:tab/>
          </w:r>
          <w:hyperlink w:anchor="__RefHeading___Toc68601395">
            <w:r>
              <w:rPr>
                <w:rStyle w:val="IndexLink"/>
              </w:rPr>
              <w:t>222</w:t>
            </w:r>
          </w:hyperlink>
        </w:p>
        <w:p>
          <w:pPr>
            <w:pStyle w:val="Contents1"/>
            <w:rPr>
              <w:rFonts w:ascii="Calibri" w:hAnsi="Calibri" w:cs="Calibri"/>
              <w:szCs w:val="22"/>
            </w:rPr>
          </w:pPr>
          <w:r>
            <w:rPr/>
            <w:t>E.3</w:t>
          </w:r>
          <w:r>
            <w:rPr>
              <w:rFonts w:cs="Calibri" w:ascii="Calibri" w:hAnsi="Calibri"/>
              <w:szCs w:val="22"/>
            </w:rPr>
            <w:tab/>
          </w:r>
          <w:r>
            <w:rPr/>
            <w:t>Mismatch uncertainty of the RF relay</w:t>
            <w:tab/>
          </w:r>
          <w:hyperlink w:anchor="__RefHeading___Toc68601396">
            <w:r>
              <w:rPr>
                <w:rStyle w:val="IndexLink"/>
              </w:rPr>
              <w:t>222</w:t>
            </w:r>
          </w:hyperlink>
        </w:p>
        <w:p>
          <w:pPr>
            <w:pStyle w:val="Contents2"/>
            <w:rPr>
              <w:rFonts w:ascii="Calibri" w:hAnsi="Calibri" w:cs="Calibri"/>
              <w:sz w:val="22"/>
              <w:szCs w:val="22"/>
            </w:rPr>
          </w:pPr>
          <w:r>
            <w:rPr/>
            <w:t>E.3.1</w:t>
          </w:r>
          <w:r>
            <w:rPr>
              <w:rFonts w:cs="Calibri" w:ascii="Calibri" w:hAnsi="Calibri"/>
              <w:sz w:val="22"/>
              <w:szCs w:val="22"/>
            </w:rPr>
            <w:tab/>
          </w:r>
          <w:r>
            <w:rPr/>
            <w:t>First part: RF Relay switched on the co-polarized signal</w:t>
            <w:tab/>
          </w:r>
          <w:hyperlink w:anchor="__RefHeading___Toc68601397">
            <w:r>
              <w:rPr>
                <w:rStyle w:val="IndexLink"/>
              </w:rPr>
              <w:t>223</w:t>
            </w:r>
          </w:hyperlink>
        </w:p>
        <w:p>
          <w:pPr>
            <w:pStyle w:val="Contents3"/>
            <w:rPr>
              <w:rFonts w:ascii="Calibri" w:hAnsi="Calibri" w:cs="Calibri"/>
              <w:sz w:val="22"/>
              <w:szCs w:val="22"/>
            </w:rPr>
          </w:pPr>
          <w:r>
            <w:rPr>
              <w:lang w:val="en-US" w:eastAsia="en-US"/>
            </w:rPr>
            <w:t>E</w:t>
          </w:r>
          <w:r>
            <w:rPr/>
            <w:t>.3.1.1</w:t>
          </w:r>
          <w:r>
            <w:rPr>
              <w:rFonts w:cs="Calibri" w:ascii="Calibri" w:hAnsi="Calibri"/>
              <w:sz w:val="22"/>
              <w:szCs w:val="22"/>
            </w:rPr>
            <w:tab/>
          </w:r>
          <w:r>
            <w:rPr/>
            <w:t>The mismatch through the connector between two elements</w:t>
            <w:tab/>
          </w:r>
          <w:hyperlink w:anchor="__RefHeading___Toc68601398">
            <w:r>
              <w:rPr>
                <w:rStyle w:val="IndexLink"/>
              </w:rPr>
              <w:t>223</w:t>
            </w:r>
          </w:hyperlink>
        </w:p>
        <w:p>
          <w:pPr>
            <w:pStyle w:val="Contents3"/>
            <w:rPr>
              <w:rFonts w:ascii="Calibri" w:hAnsi="Calibri" w:cs="Calibri"/>
              <w:sz w:val="22"/>
              <w:szCs w:val="22"/>
            </w:rPr>
          </w:pPr>
          <w:r>
            <w:rPr>
              <w:lang w:val="en-US" w:eastAsia="en-US"/>
            </w:rPr>
            <w:t>E</w:t>
          </w:r>
          <w:r>
            <w:rPr/>
            <w:t>.3.1.2</w:t>
          </w:r>
          <w:r>
            <w:rPr>
              <w:rFonts w:cs="Calibri" w:ascii="Calibri" w:hAnsi="Calibri"/>
              <w:sz w:val="22"/>
              <w:szCs w:val="22"/>
            </w:rPr>
            <w:tab/>
          </w:r>
          <w:r>
            <w:rPr/>
            <w:t>Mismatch due to the interaction between two elements or more</w:t>
            <w:tab/>
          </w:r>
          <w:hyperlink w:anchor="__RefHeading___Toc68601399">
            <w:r>
              <w:rPr>
                <w:rStyle w:val="IndexLink"/>
              </w:rPr>
              <w:t>223</w:t>
            </w:r>
          </w:hyperlink>
        </w:p>
        <w:p>
          <w:pPr>
            <w:pStyle w:val="Contents2"/>
            <w:rPr>
              <w:rFonts w:ascii="Calibri" w:hAnsi="Calibri" w:cs="Calibri"/>
              <w:sz w:val="22"/>
              <w:szCs w:val="22"/>
            </w:rPr>
          </w:pPr>
          <w:r>
            <w:rPr/>
            <w:t>E.3.2</w:t>
          </w:r>
          <w:r>
            <w:rPr>
              <w:rFonts w:cs="Calibri" w:ascii="Calibri" w:hAnsi="Calibri"/>
              <w:sz w:val="22"/>
              <w:szCs w:val="22"/>
            </w:rPr>
            <w:tab/>
          </w:r>
          <w:r>
            <w:rPr/>
            <w:t>Second part: RF relay switched on the cross-polarized signal</w:t>
            <w:tab/>
          </w:r>
          <w:hyperlink w:anchor="__RefHeading___Toc68601400">
            <w:r>
              <w:rPr>
                <w:rStyle w:val="IndexLink"/>
              </w:rPr>
              <w:t>224</w:t>
            </w:r>
          </w:hyperlink>
        </w:p>
        <w:p>
          <w:pPr>
            <w:pStyle w:val="Contents3"/>
            <w:rPr>
              <w:rFonts w:ascii="Calibri" w:hAnsi="Calibri" w:cs="Calibri"/>
              <w:sz w:val="22"/>
              <w:szCs w:val="22"/>
            </w:rPr>
          </w:pPr>
          <w:r>
            <w:rPr>
              <w:lang w:val="en-US" w:eastAsia="en-US"/>
            </w:rPr>
            <w:t>E</w:t>
          </w:r>
          <w:r>
            <w:rPr/>
            <w:t>.3.2.1</w:t>
          </w:r>
          <w:r>
            <w:rPr>
              <w:rFonts w:cs="Calibri" w:ascii="Calibri" w:hAnsi="Calibri"/>
              <w:sz w:val="22"/>
              <w:szCs w:val="22"/>
            </w:rPr>
            <w:tab/>
          </w:r>
          <w:r>
            <w:rPr/>
            <w:t>The mismatch through the connector between two elements</w:t>
            <w:tab/>
          </w:r>
          <w:hyperlink w:anchor="__RefHeading___Toc68601401">
            <w:r>
              <w:rPr>
                <w:rStyle w:val="IndexLink"/>
              </w:rPr>
              <w:t>224</w:t>
            </w:r>
          </w:hyperlink>
        </w:p>
        <w:p>
          <w:pPr>
            <w:pStyle w:val="Contents3"/>
            <w:rPr>
              <w:rFonts w:ascii="Calibri" w:hAnsi="Calibri" w:cs="Calibri"/>
              <w:sz w:val="22"/>
              <w:szCs w:val="22"/>
            </w:rPr>
          </w:pPr>
          <w:r>
            <w:rPr>
              <w:lang w:val="en-US" w:eastAsia="en-US"/>
            </w:rPr>
            <w:t>E</w:t>
          </w:r>
          <w:r>
            <w:rPr/>
            <w:t>.3.2.2</w:t>
          </w:r>
          <w:r>
            <w:rPr>
              <w:rFonts w:cs="Calibri" w:ascii="Calibri" w:hAnsi="Calibri"/>
              <w:sz w:val="22"/>
              <w:szCs w:val="22"/>
            </w:rPr>
            <w:tab/>
          </w:r>
          <w:r>
            <w:rPr/>
            <w:t>Mismatch due to the interaction between two elements or more</w:t>
            <w:tab/>
          </w:r>
          <w:hyperlink w:anchor="__RefHeading___Toc68601402">
            <w:r>
              <w:rPr>
                <w:rStyle w:val="IndexLink"/>
              </w:rPr>
              <w:t>224</w:t>
            </w:r>
          </w:hyperlink>
        </w:p>
        <w:p>
          <w:pPr>
            <w:pStyle w:val="Contents2"/>
            <w:rPr>
              <w:rFonts w:ascii="Calibri" w:hAnsi="Calibri" w:cs="Calibri"/>
              <w:sz w:val="22"/>
              <w:szCs w:val="22"/>
            </w:rPr>
          </w:pPr>
          <w:r>
            <w:rPr/>
            <w:t>E.3.3</w:t>
          </w:r>
          <w:r>
            <w:rPr>
              <w:rFonts w:cs="Calibri" w:ascii="Calibri" w:hAnsi="Calibri"/>
              <w:sz w:val="22"/>
              <w:szCs w:val="22"/>
            </w:rPr>
            <w:tab/>
          </w:r>
          <w:r>
            <w:rPr/>
            <w:t>Total combined mismatch uncertainty</w:t>
            <w:tab/>
          </w:r>
          <w:hyperlink w:anchor="__RefHeading___Toc68601403">
            <w:r>
              <w:rPr>
                <w:rStyle w:val="IndexLink"/>
              </w:rPr>
              <w:t>225</w:t>
            </w:r>
          </w:hyperlink>
        </w:p>
        <w:p>
          <w:pPr>
            <w:pStyle w:val="Contents1"/>
            <w:rPr>
              <w:rFonts w:ascii="Calibri" w:hAnsi="Calibri" w:cs="Calibri"/>
              <w:szCs w:val="22"/>
            </w:rPr>
          </w:pPr>
          <w:r>
            <w:rPr/>
            <w:t>E.4</w:t>
          </w:r>
          <w:r>
            <w:rPr>
              <w:rFonts w:cs="Calibri" w:ascii="Calibri" w:hAnsi="Calibri"/>
              <w:szCs w:val="22"/>
            </w:rPr>
            <w:tab/>
          </w:r>
          <w:r>
            <w:rPr/>
            <w:t>Insertion loss of the probe antenna cable</w:t>
            <w:tab/>
          </w:r>
          <w:hyperlink w:anchor="__RefHeading___Toc68601404">
            <w:r>
              <w:rPr>
                <w:rStyle w:val="IndexLink"/>
              </w:rPr>
              <w:t>225</w:t>
            </w:r>
          </w:hyperlink>
        </w:p>
        <w:p>
          <w:pPr>
            <w:pStyle w:val="Contents1"/>
            <w:rPr>
              <w:rFonts w:ascii="Calibri" w:hAnsi="Calibri" w:cs="Calibri"/>
              <w:szCs w:val="22"/>
            </w:rPr>
          </w:pPr>
          <w:r>
            <w:rPr/>
            <w:t>E.5</w:t>
          </w:r>
          <w:r>
            <w:rPr>
              <w:rFonts w:cs="Calibri" w:ascii="Calibri" w:hAnsi="Calibri"/>
              <w:szCs w:val="22"/>
            </w:rPr>
            <w:tab/>
          </w:r>
          <w:r>
            <w:rPr/>
            <w:t>Insertion loss of the probe antenna attenuator (if used)</w:t>
            <w:tab/>
          </w:r>
          <w:hyperlink w:anchor="__RefHeading___Toc68601405">
            <w:r>
              <w:rPr>
                <w:rStyle w:val="IndexLink"/>
              </w:rPr>
              <w:t>225</w:t>
            </w:r>
          </w:hyperlink>
        </w:p>
        <w:p>
          <w:pPr>
            <w:pStyle w:val="Contents1"/>
            <w:rPr>
              <w:rFonts w:ascii="Calibri" w:hAnsi="Calibri" w:cs="Calibri"/>
              <w:szCs w:val="22"/>
            </w:rPr>
          </w:pPr>
          <w:r>
            <w:rPr/>
            <w:t>E.6</w:t>
          </w:r>
          <w:r>
            <w:rPr>
              <w:rFonts w:cs="Calibri" w:ascii="Calibri" w:hAnsi="Calibri"/>
              <w:szCs w:val="22"/>
            </w:rPr>
            <w:tab/>
          </w:r>
          <w:r>
            <w:rPr/>
            <w:t>Insertion loss of the RF relays (if used)</w:t>
            <w:tab/>
          </w:r>
          <w:hyperlink w:anchor="__RefHeading___Toc68601406">
            <w:r>
              <w:rPr>
                <w:rStyle w:val="IndexLink"/>
              </w:rPr>
              <w:t>225</w:t>
            </w:r>
          </w:hyperlink>
        </w:p>
        <w:p>
          <w:pPr>
            <w:pStyle w:val="Contents1"/>
            <w:rPr>
              <w:rFonts w:ascii="Calibri" w:hAnsi="Calibri" w:cs="Calibri"/>
              <w:szCs w:val="22"/>
            </w:rPr>
          </w:pPr>
          <w:r>
            <w:rPr/>
            <w:t>E.7</w:t>
          </w:r>
          <w:r>
            <w:rPr>
              <w:rFonts w:cs="Calibri" w:ascii="Calibri" w:hAnsi="Calibri"/>
              <w:szCs w:val="22"/>
            </w:rPr>
            <w:tab/>
          </w:r>
          <w:r>
            <w:rPr/>
            <w:t>Influence of the antenna cable</w:t>
            <w:tab/>
          </w:r>
          <w:hyperlink w:anchor="__RefHeading___Toc68601407">
            <w:r>
              <w:rPr>
                <w:rStyle w:val="IndexLink"/>
              </w:rPr>
              <w:t>226</w:t>
            </w:r>
          </w:hyperlink>
        </w:p>
        <w:p>
          <w:pPr>
            <w:pStyle w:val="Contents2"/>
            <w:rPr>
              <w:rFonts w:ascii="Calibri" w:hAnsi="Calibri" w:cs="Calibri"/>
              <w:sz w:val="22"/>
              <w:szCs w:val="22"/>
            </w:rPr>
          </w:pPr>
          <w:r>
            <w:rPr/>
            <w:t>E.7.1</w:t>
          </w:r>
          <w:r>
            <w:rPr>
              <w:rFonts w:cs="Calibri" w:ascii="Calibri" w:hAnsi="Calibri"/>
              <w:sz w:val="22"/>
              <w:szCs w:val="22"/>
            </w:rPr>
            <w:tab/>
          </w:r>
          <w:r>
            <w:rPr/>
            <w:t>Probe antenna cable</w:t>
            <w:tab/>
          </w:r>
          <w:hyperlink w:anchor="__RefHeading___Toc68601408">
            <w:r>
              <w:rPr>
                <w:rStyle w:val="IndexLink"/>
              </w:rPr>
              <w:t>226</w:t>
            </w:r>
          </w:hyperlink>
        </w:p>
        <w:p>
          <w:pPr>
            <w:pStyle w:val="Contents2"/>
            <w:rPr>
              <w:rFonts w:ascii="Calibri" w:hAnsi="Calibri" w:cs="Calibri"/>
              <w:sz w:val="22"/>
              <w:szCs w:val="22"/>
            </w:rPr>
          </w:pPr>
          <w:r>
            <w:rPr/>
            <w:t>E.7.2</w:t>
          </w:r>
          <w:r>
            <w:rPr>
              <w:rFonts w:cs="Calibri" w:ascii="Calibri" w:hAnsi="Calibri"/>
              <w:sz w:val="22"/>
              <w:szCs w:val="22"/>
            </w:rPr>
            <w:tab/>
          </w:r>
          <w:r>
            <w:rPr/>
            <w:t>Calibration antenna cable</w:t>
            <w:tab/>
          </w:r>
          <w:hyperlink w:anchor="__RefHeading___Toc68601409">
            <w:r>
              <w:rPr>
                <w:rStyle w:val="IndexLink"/>
              </w:rPr>
              <w:t>226</w:t>
            </w:r>
          </w:hyperlink>
        </w:p>
        <w:p>
          <w:pPr>
            <w:pStyle w:val="Contents1"/>
            <w:rPr>
              <w:rFonts w:ascii="Calibri" w:hAnsi="Calibri" w:cs="Calibri"/>
              <w:szCs w:val="22"/>
            </w:rPr>
          </w:pPr>
          <w:r>
            <w:rPr/>
            <w:t>E.8</w:t>
          </w:r>
          <w:r>
            <w:rPr>
              <w:rFonts w:cs="Calibri" w:ascii="Calibri" w:hAnsi="Calibri"/>
              <w:szCs w:val="22"/>
            </w:rPr>
            <w:tab/>
          </w:r>
          <w:r>
            <w:rPr/>
            <w:t>Absolute gain of the probe antenna</w:t>
            <w:tab/>
          </w:r>
          <w:hyperlink w:anchor="__RefHeading___Toc68601410">
            <w:r>
              <w:rPr>
                <w:rStyle w:val="IndexLink"/>
              </w:rPr>
              <w:t>226</w:t>
            </w:r>
          </w:hyperlink>
        </w:p>
        <w:p>
          <w:pPr>
            <w:pStyle w:val="Contents1"/>
            <w:rPr>
              <w:rFonts w:ascii="Calibri" w:hAnsi="Calibri" w:cs="Calibri"/>
              <w:szCs w:val="22"/>
            </w:rPr>
          </w:pPr>
          <w:r>
            <w:rPr/>
            <w:t>E.9</w:t>
          </w:r>
          <w:r>
            <w:rPr>
              <w:rFonts w:cs="Calibri" w:ascii="Calibri" w:hAnsi="Calibri"/>
              <w:szCs w:val="22"/>
            </w:rPr>
            <w:tab/>
          </w:r>
          <w:r>
            <w:rPr/>
            <w:t>Measurement receiver: uncertainty of absolute level</w:t>
            <w:tab/>
          </w:r>
          <w:hyperlink w:anchor="__RefHeading___Toc68601411">
            <w:r>
              <w:rPr>
                <w:rStyle w:val="IndexLink"/>
              </w:rPr>
              <w:t>226</w:t>
            </w:r>
          </w:hyperlink>
        </w:p>
        <w:p>
          <w:pPr>
            <w:pStyle w:val="Contents1"/>
            <w:rPr>
              <w:rFonts w:ascii="Calibri" w:hAnsi="Calibri" w:cs="Calibri"/>
              <w:szCs w:val="22"/>
            </w:rPr>
          </w:pPr>
          <w:r>
            <w:rPr/>
            <w:t>E.10</w:t>
          </w:r>
          <w:r>
            <w:rPr>
              <w:rFonts w:cs="Calibri" w:ascii="Calibri" w:hAnsi="Calibri"/>
              <w:szCs w:val="22"/>
            </w:rPr>
            <w:tab/>
          </w:r>
          <w:r>
            <w:rPr/>
            <w:t>Measurement distance</w:t>
            <w:tab/>
          </w:r>
          <w:hyperlink w:anchor="__RefHeading___Toc68601412">
            <w:r>
              <w:rPr>
                <w:rStyle w:val="IndexLink"/>
              </w:rPr>
              <w:t>226</w:t>
            </w:r>
          </w:hyperlink>
        </w:p>
        <w:p>
          <w:pPr>
            <w:pStyle w:val="Contents2"/>
            <w:rPr>
              <w:rFonts w:ascii="Calibri" w:hAnsi="Calibri" w:cs="Calibri"/>
              <w:sz w:val="22"/>
              <w:szCs w:val="22"/>
            </w:rPr>
          </w:pPr>
          <w:r>
            <w:rPr/>
            <w:t>E.10.1</w:t>
          </w:r>
          <w:r>
            <w:rPr>
              <w:rFonts w:cs="Calibri" w:ascii="Calibri" w:hAnsi="Calibri"/>
              <w:sz w:val="22"/>
              <w:szCs w:val="22"/>
            </w:rPr>
            <w:tab/>
          </w:r>
          <w:r>
            <w:rPr/>
            <w:t>Offset of DUT phase centre from axis(es) of rotation</w:t>
            <w:tab/>
          </w:r>
          <w:hyperlink w:anchor="__RefHeading___Toc68601413">
            <w:r>
              <w:rPr>
                <w:rStyle w:val="IndexLink"/>
              </w:rPr>
              <w:t>226</w:t>
            </w:r>
          </w:hyperlink>
        </w:p>
        <w:p>
          <w:pPr>
            <w:pStyle w:val="Contents2"/>
            <w:rPr>
              <w:rFonts w:ascii="Calibri" w:hAnsi="Calibri" w:cs="Calibri"/>
              <w:sz w:val="22"/>
              <w:szCs w:val="22"/>
            </w:rPr>
          </w:pPr>
          <w:r>
            <w:rPr/>
            <w:t>E.10.2</w:t>
          </w:r>
          <w:r>
            <w:rPr>
              <w:rFonts w:cs="Calibri" w:ascii="Calibri" w:hAnsi="Calibri"/>
              <w:sz w:val="22"/>
              <w:szCs w:val="22"/>
            </w:rPr>
            <w:tab/>
          </w:r>
          <w:r>
            <w:rPr/>
            <w:t>Mutual coupling</w:t>
            <w:tab/>
          </w:r>
          <w:hyperlink w:anchor="__RefHeading___Toc68601414">
            <w:r>
              <w:rPr>
                <w:rStyle w:val="IndexLink"/>
              </w:rPr>
              <w:t>227</w:t>
            </w:r>
          </w:hyperlink>
        </w:p>
        <w:p>
          <w:pPr>
            <w:pStyle w:val="Contents2"/>
            <w:rPr>
              <w:rFonts w:ascii="Calibri" w:hAnsi="Calibri" w:cs="Calibri"/>
              <w:sz w:val="22"/>
              <w:szCs w:val="22"/>
            </w:rPr>
          </w:pPr>
          <w:r>
            <w:rPr/>
            <w:t>E.10.3</w:t>
          </w:r>
          <w:r>
            <w:rPr>
              <w:rFonts w:cs="Calibri" w:ascii="Calibri" w:hAnsi="Calibri"/>
              <w:sz w:val="22"/>
              <w:szCs w:val="22"/>
            </w:rPr>
            <w:tab/>
          </w:r>
          <w:r>
            <w:rPr/>
            <w:t>Phase curvature</w:t>
            <w:tab/>
          </w:r>
          <w:hyperlink w:anchor="__RefHeading___Toc68601415">
            <w:r>
              <w:rPr>
                <w:rStyle w:val="IndexLink"/>
              </w:rPr>
              <w:t>227</w:t>
            </w:r>
          </w:hyperlink>
        </w:p>
        <w:p>
          <w:pPr>
            <w:pStyle w:val="Contents1"/>
            <w:rPr>
              <w:rFonts w:ascii="Calibri" w:hAnsi="Calibri" w:cs="Calibri"/>
              <w:szCs w:val="22"/>
            </w:rPr>
          </w:pPr>
          <w:r>
            <w:rPr/>
            <w:t>E.11</w:t>
          </w:r>
          <w:r>
            <w:rPr>
              <w:rFonts w:cs="Calibri" w:ascii="Calibri" w:hAnsi="Calibri"/>
              <w:szCs w:val="22"/>
            </w:rPr>
            <w:tab/>
          </w:r>
          <w:r>
            <w:rPr/>
            <w:t>Quality of quiet zone</w:t>
            <w:tab/>
          </w:r>
          <w:hyperlink w:anchor="__RefHeading___Toc68601416">
            <w:r>
              <w:rPr>
                <w:rStyle w:val="IndexLink"/>
              </w:rPr>
              <w:t>227</w:t>
            </w:r>
          </w:hyperlink>
        </w:p>
        <w:p>
          <w:pPr>
            <w:pStyle w:val="Contents1"/>
            <w:rPr>
              <w:rFonts w:ascii="Calibri" w:hAnsi="Calibri" w:cs="Calibri"/>
              <w:szCs w:val="22"/>
            </w:rPr>
          </w:pPr>
          <w:r>
            <w:rPr/>
            <w:t>E.12</w:t>
          </w:r>
          <w:r>
            <w:rPr>
              <w:rFonts w:cs="Calibri" w:ascii="Calibri" w:hAnsi="Calibri"/>
              <w:szCs w:val="22"/>
            </w:rPr>
            <w:tab/>
          </w:r>
          <w:r>
            <w:rPr/>
            <w:t>Tx-power drift of DUT</w:t>
            <w:tab/>
          </w:r>
          <w:hyperlink w:anchor="__RefHeading___Toc68601417">
            <w:r>
              <w:rPr>
                <w:rStyle w:val="IndexLink"/>
              </w:rPr>
              <w:t>227</w:t>
            </w:r>
          </w:hyperlink>
        </w:p>
        <w:p>
          <w:pPr>
            <w:pStyle w:val="Contents2"/>
            <w:rPr>
              <w:rFonts w:ascii="Calibri" w:hAnsi="Calibri" w:cs="Calibri"/>
              <w:sz w:val="22"/>
              <w:szCs w:val="22"/>
            </w:rPr>
          </w:pPr>
          <w:r>
            <w:rPr/>
            <w:t>E.13</w:t>
          </w:r>
          <w:r>
            <w:rPr>
              <w:rFonts w:cs="Calibri" w:ascii="Calibri" w:hAnsi="Calibri"/>
              <w:sz w:val="22"/>
              <w:szCs w:val="22"/>
            </w:rPr>
            <w:tab/>
          </w:r>
          <w:r>
            <w:rPr/>
            <w:t>Uncertainty related to the use of phantoms</w:t>
            <w:tab/>
          </w:r>
          <w:hyperlink w:anchor="__RefHeading___Toc68601418">
            <w:r>
              <w:rPr>
                <w:rStyle w:val="IndexLink"/>
              </w:rPr>
              <w:t>228</w:t>
            </w:r>
          </w:hyperlink>
        </w:p>
        <w:p>
          <w:pPr>
            <w:pStyle w:val="Contents3"/>
            <w:rPr>
              <w:rFonts w:ascii="Calibri" w:hAnsi="Calibri" w:cs="Calibri"/>
              <w:sz w:val="22"/>
              <w:szCs w:val="22"/>
            </w:rPr>
          </w:pPr>
          <w:r>
            <w:rPr/>
            <w:t>E.13.1</w:t>
          </w:r>
          <w:r>
            <w:rPr>
              <w:rFonts w:cs="Calibri" w:ascii="Calibri" w:hAnsi="Calibri"/>
              <w:sz w:val="22"/>
              <w:szCs w:val="22"/>
            </w:rPr>
            <w:tab/>
          </w:r>
          <w:r>
            <w:rPr/>
            <w:t>Uncertainty from using different types of SAM phantom</w:t>
            <w:tab/>
          </w:r>
          <w:hyperlink w:anchor="__RefHeading___Toc68601419">
            <w:r>
              <w:rPr>
                <w:rStyle w:val="IndexLink"/>
              </w:rPr>
              <w:t>228</w:t>
            </w:r>
          </w:hyperlink>
        </w:p>
        <w:p>
          <w:pPr>
            <w:pStyle w:val="Contents3"/>
            <w:rPr>
              <w:rFonts w:ascii="Calibri" w:hAnsi="Calibri" w:cs="Calibri"/>
              <w:sz w:val="22"/>
              <w:szCs w:val="22"/>
            </w:rPr>
          </w:pPr>
          <w:r>
            <w:rPr/>
            <w:t>E.13.2</w:t>
          </w:r>
          <w:r>
            <w:rPr>
              <w:rFonts w:cs="Calibri" w:ascii="Calibri" w:hAnsi="Calibri"/>
              <w:sz w:val="22"/>
              <w:szCs w:val="22"/>
            </w:rPr>
            <w:tab/>
          </w:r>
          <w:r>
            <w:rPr/>
            <w:t>Simulated tissue liquid uncertainty</w:t>
            <w:tab/>
          </w:r>
          <w:hyperlink w:anchor="__RefHeading___Toc68601420">
            <w:r>
              <w:rPr>
                <w:rStyle w:val="IndexLink"/>
              </w:rPr>
              <w:t>228</w:t>
            </w:r>
          </w:hyperlink>
        </w:p>
        <w:p>
          <w:pPr>
            <w:pStyle w:val="Contents3"/>
            <w:rPr>
              <w:rFonts w:ascii="Calibri" w:hAnsi="Calibri" w:cs="Calibri"/>
              <w:sz w:val="22"/>
              <w:szCs w:val="22"/>
            </w:rPr>
          </w:pPr>
          <w:r>
            <w:rPr/>
            <w:t>E.13.3</w:t>
          </w:r>
          <w:r>
            <w:rPr>
              <w:rFonts w:cs="Calibri" w:ascii="Calibri" w:hAnsi="Calibri"/>
              <w:sz w:val="22"/>
              <w:szCs w:val="22"/>
            </w:rPr>
            <w:tab/>
          </w:r>
          <w:r>
            <w:rPr/>
            <w:t>Uncertainty of dielectric properties and shape of the hand phantom</w:t>
            <w:tab/>
          </w:r>
          <w:hyperlink w:anchor="__RefHeading___Toc68601421">
            <w:r>
              <w:rPr>
                <w:rStyle w:val="IndexLink"/>
              </w:rPr>
              <w:t>228</w:t>
            </w:r>
          </w:hyperlink>
        </w:p>
        <w:p>
          <w:pPr>
            <w:pStyle w:val="Contents3"/>
            <w:rPr>
              <w:rFonts w:ascii="Calibri" w:hAnsi="Calibri" w:cs="Calibri"/>
              <w:sz w:val="22"/>
              <w:szCs w:val="22"/>
            </w:rPr>
          </w:pPr>
          <w:r>
            <w:rPr/>
            <w:t>E.13.4</w:t>
          </w:r>
          <w:r>
            <w:rPr>
              <w:rFonts w:cs="Calibri" w:ascii="Calibri" w:hAnsi="Calibri"/>
              <w:sz w:val="22"/>
              <w:szCs w:val="22"/>
            </w:rPr>
            <w:tab/>
          </w:r>
          <w:r>
            <w:rPr/>
            <w:t>Uncertainty from using different types of Laptop Ground Plane phantom</w:t>
            <w:tab/>
          </w:r>
          <w:hyperlink w:anchor="__RefHeading___Toc68601422">
            <w:r>
              <w:rPr>
                <w:rStyle w:val="IndexLink"/>
              </w:rPr>
              <w:t>230</w:t>
            </w:r>
          </w:hyperlink>
        </w:p>
        <w:p>
          <w:pPr>
            <w:pStyle w:val="Contents2"/>
            <w:rPr>
              <w:rFonts w:ascii="Calibri" w:hAnsi="Calibri" w:cs="Calibri"/>
              <w:sz w:val="22"/>
              <w:szCs w:val="22"/>
            </w:rPr>
          </w:pPr>
          <w:r>
            <w:rPr/>
            <w:t>E.14</w:t>
          </w:r>
          <w:r>
            <w:rPr>
              <w:rFonts w:cs="Calibri" w:ascii="Calibri" w:hAnsi="Calibri"/>
              <w:sz w:val="22"/>
              <w:szCs w:val="22"/>
            </w:rPr>
            <w:tab/>
          </w:r>
          <w:r>
            <w:rPr/>
            <w:t>Coarse sampling grid</w:t>
            <w:tab/>
          </w:r>
          <w:hyperlink w:anchor="__RefHeading___Toc68601423">
            <w:r>
              <w:rPr>
                <w:rStyle w:val="IndexLink"/>
              </w:rPr>
              <w:t>230</w:t>
            </w:r>
          </w:hyperlink>
        </w:p>
        <w:p>
          <w:pPr>
            <w:pStyle w:val="Contents2"/>
            <w:rPr>
              <w:rFonts w:ascii="Calibri" w:hAnsi="Calibri" w:cs="Calibri"/>
              <w:sz w:val="22"/>
              <w:szCs w:val="22"/>
            </w:rPr>
          </w:pPr>
          <w:r>
            <w:rPr/>
            <w:t>E.15</w:t>
          </w:r>
          <w:r>
            <w:rPr>
              <w:rFonts w:cs="Calibri" w:ascii="Calibri" w:hAnsi="Calibri"/>
              <w:sz w:val="22"/>
              <w:szCs w:val="22"/>
            </w:rPr>
            <w:tab/>
          </w:r>
          <w:r>
            <w:rPr/>
            <w:t>Random uncertainty</w:t>
            <w:tab/>
          </w:r>
          <w:hyperlink w:anchor="__RefHeading___Toc68601424">
            <w:r>
              <w:rPr>
                <w:rStyle w:val="IndexLink"/>
              </w:rPr>
              <w:t>231</w:t>
            </w:r>
          </w:hyperlink>
        </w:p>
        <w:p>
          <w:pPr>
            <w:pStyle w:val="Contents2"/>
            <w:rPr>
              <w:rFonts w:ascii="Calibri" w:hAnsi="Calibri" w:cs="Calibri"/>
              <w:sz w:val="22"/>
              <w:szCs w:val="22"/>
            </w:rPr>
          </w:pPr>
          <w:r>
            <w:rPr/>
            <w:t>E.16</w:t>
          </w:r>
          <w:r>
            <w:rPr>
              <w:rFonts w:cs="Calibri" w:ascii="Calibri" w:hAnsi="Calibri"/>
              <w:sz w:val="22"/>
              <w:szCs w:val="22"/>
            </w:rPr>
            <w:tab/>
          </w:r>
          <w:r>
            <w:rPr/>
            <w:t>Uncertainty of network analyzer</w:t>
            <w:tab/>
          </w:r>
          <w:hyperlink w:anchor="__RefHeading___Toc68601425">
            <w:r>
              <w:rPr>
                <w:rStyle w:val="IndexLink"/>
              </w:rPr>
              <w:t>232</w:t>
            </w:r>
          </w:hyperlink>
        </w:p>
        <w:p>
          <w:pPr>
            <w:pStyle w:val="Contents2"/>
            <w:rPr>
              <w:rFonts w:ascii="Calibri" w:hAnsi="Calibri" w:cs="Calibri"/>
              <w:sz w:val="22"/>
              <w:szCs w:val="22"/>
            </w:rPr>
          </w:pPr>
          <w:r>
            <w:rPr/>
            <w:t>E.17</w:t>
          </w:r>
          <w:r>
            <w:rPr>
              <w:rFonts w:cs="Calibri" w:ascii="Calibri" w:hAnsi="Calibri"/>
              <w:sz w:val="22"/>
              <w:szCs w:val="22"/>
            </w:rPr>
            <w:tab/>
          </w:r>
          <w:r>
            <w:rPr/>
            <w:t>Uncertainty of the gain/efficiency of the calibration antenna</w:t>
            <w:tab/>
          </w:r>
          <w:hyperlink w:anchor="__RefHeading___Toc68601426">
            <w:r>
              <w:rPr>
                <w:rStyle w:val="IndexLink"/>
              </w:rPr>
              <w:t>232</w:t>
            </w:r>
          </w:hyperlink>
        </w:p>
        <w:p>
          <w:pPr>
            <w:pStyle w:val="Contents2"/>
            <w:rPr>
              <w:rFonts w:ascii="Calibri" w:hAnsi="Calibri" w:cs="Calibri"/>
              <w:sz w:val="22"/>
              <w:szCs w:val="22"/>
            </w:rPr>
          </w:pPr>
          <w:r>
            <w:rPr/>
            <w:t>E.18</w:t>
          </w:r>
          <w:r>
            <w:rPr>
              <w:rFonts w:cs="Calibri" w:ascii="Calibri" w:hAnsi="Calibri"/>
              <w:sz w:val="22"/>
              <w:szCs w:val="22"/>
            </w:rPr>
            <w:tab/>
          </w:r>
          <w:r>
            <w:rPr/>
            <w:t>Base station simulator: uncertainty of the absolute level</w:t>
            <w:tab/>
          </w:r>
          <w:hyperlink w:anchor="__RefHeading___Toc68601427">
            <w:r>
              <w:rPr>
                <w:rStyle w:val="IndexLink"/>
              </w:rPr>
              <w:t>232</w:t>
            </w:r>
          </w:hyperlink>
        </w:p>
        <w:p>
          <w:pPr>
            <w:pStyle w:val="Contents2"/>
            <w:rPr>
              <w:rFonts w:ascii="Calibri" w:hAnsi="Calibri" w:cs="Calibri"/>
              <w:sz w:val="22"/>
              <w:szCs w:val="22"/>
            </w:rPr>
          </w:pPr>
          <w:r>
            <w:rPr/>
            <w:t>E.19</w:t>
          </w:r>
          <w:r>
            <w:rPr>
              <w:rFonts w:cs="Calibri" w:ascii="Calibri" w:hAnsi="Calibri"/>
              <w:sz w:val="22"/>
              <w:szCs w:val="22"/>
            </w:rPr>
            <w:tab/>
          </w:r>
          <w:r>
            <w:rPr/>
            <w:t>BER measurement: output level step resolution</w:t>
            <w:tab/>
          </w:r>
          <w:hyperlink w:anchor="__RefHeading___Toc68601428">
            <w:r>
              <w:rPr>
                <w:rStyle w:val="IndexLink"/>
              </w:rPr>
              <w:t>232</w:t>
            </w:r>
          </w:hyperlink>
        </w:p>
        <w:p>
          <w:pPr>
            <w:pStyle w:val="Contents2"/>
            <w:rPr>
              <w:rFonts w:ascii="Calibri" w:hAnsi="Calibri" w:cs="Calibri"/>
              <w:sz w:val="22"/>
              <w:szCs w:val="22"/>
            </w:rPr>
          </w:pPr>
          <w:r>
            <w:rPr/>
            <w:t>E.20</w:t>
          </w:r>
          <w:r>
            <w:rPr>
              <w:rFonts w:cs="Calibri" w:ascii="Calibri" w:hAnsi="Calibri"/>
              <w:sz w:val="22"/>
              <w:szCs w:val="22"/>
            </w:rPr>
            <w:tab/>
          </w:r>
          <w:r>
            <w:rPr/>
            <w:t>Statistical uncertainty of the BER measurement</w:t>
            <w:tab/>
          </w:r>
          <w:hyperlink w:anchor="__RefHeading___Toc68601429">
            <w:r>
              <w:rPr>
                <w:rStyle w:val="IndexLink"/>
              </w:rPr>
              <w:t>232</w:t>
            </w:r>
          </w:hyperlink>
        </w:p>
        <w:p>
          <w:pPr>
            <w:pStyle w:val="Contents2"/>
            <w:rPr>
              <w:rFonts w:ascii="Calibri" w:hAnsi="Calibri" w:cs="Calibri"/>
              <w:sz w:val="22"/>
              <w:szCs w:val="22"/>
            </w:rPr>
          </w:pPr>
          <w:r>
            <w:rPr/>
            <w:t>E.21</w:t>
          </w:r>
          <w:r>
            <w:rPr>
              <w:rFonts w:cs="Calibri" w:ascii="Calibri" w:hAnsi="Calibri"/>
              <w:sz w:val="22"/>
              <w:szCs w:val="22"/>
            </w:rPr>
            <w:tab/>
          </w:r>
          <w:r>
            <w:rPr/>
            <w:t>BER data rate normalization uncertainty</w:t>
            <w:tab/>
          </w:r>
          <w:hyperlink w:anchor="__RefHeading___Toc68601430">
            <w:r>
              <w:rPr>
                <w:rStyle w:val="IndexLink"/>
              </w:rPr>
              <w:t>233</w:t>
            </w:r>
          </w:hyperlink>
        </w:p>
        <w:p>
          <w:pPr>
            <w:pStyle w:val="Contents2"/>
            <w:rPr>
              <w:rFonts w:ascii="Calibri" w:hAnsi="Calibri" w:cs="Calibri"/>
              <w:sz w:val="22"/>
              <w:szCs w:val="22"/>
            </w:rPr>
          </w:pPr>
          <w:r>
            <w:rPr/>
            <w:t>E.22</w:t>
          </w:r>
          <w:r>
            <w:rPr>
              <w:rFonts w:cs="Calibri" w:ascii="Calibri" w:hAnsi="Calibri"/>
              <w:sz w:val="22"/>
              <w:szCs w:val="22"/>
            </w:rPr>
            <w:tab/>
          </w:r>
          <w:r>
            <w:rPr/>
            <w:t>DUT sensitivity drift</w:t>
            <w:tab/>
          </w:r>
          <w:hyperlink w:anchor="__RefHeading___Toc68601431">
            <w:r>
              <w:rPr>
                <w:rStyle w:val="IndexLink"/>
              </w:rPr>
              <w:t>233</w:t>
            </w:r>
          </w:hyperlink>
        </w:p>
        <w:p>
          <w:pPr>
            <w:pStyle w:val="Contents2"/>
            <w:rPr>
              <w:rFonts w:ascii="Calibri" w:hAnsi="Calibri" w:cs="Calibri"/>
              <w:sz w:val="22"/>
              <w:szCs w:val="22"/>
            </w:rPr>
          </w:pPr>
          <w:r>
            <w:rPr/>
            <w:t>E.23</w:t>
          </w:r>
          <w:r>
            <w:rPr>
              <w:rFonts w:cs="Calibri" w:ascii="Calibri" w:hAnsi="Calibri"/>
              <w:sz w:val="22"/>
              <w:szCs w:val="22"/>
            </w:rPr>
            <w:tab/>
          </w:r>
          <w:r>
            <w:rPr/>
            <w:t>Cable loss measurement uncertainty</w:t>
            <w:tab/>
          </w:r>
          <w:hyperlink w:anchor="__RefHeading___Toc68601432">
            <w:r>
              <w:rPr>
                <w:rStyle w:val="IndexLink"/>
              </w:rPr>
              <w:t>233</w:t>
            </w:r>
          </w:hyperlink>
        </w:p>
        <w:p>
          <w:pPr>
            <w:pStyle w:val="Contents2"/>
            <w:rPr>
              <w:rFonts w:ascii="Calibri" w:hAnsi="Calibri" w:cs="Calibri"/>
              <w:sz w:val="22"/>
              <w:szCs w:val="22"/>
            </w:rPr>
          </w:pPr>
          <w:r>
            <w:rPr/>
            <w:t>E.24</w:t>
          </w:r>
          <w:r>
            <w:rPr>
              <w:rFonts w:cs="Calibri" w:ascii="Calibri" w:hAnsi="Calibri"/>
              <w:sz w:val="22"/>
              <w:szCs w:val="22"/>
            </w:rPr>
            <w:tab/>
          </w:r>
          <w:r>
            <w:rPr/>
            <w:t>Signal generator: uncertainty of the absolute output level</w:t>
            <w:tab/>
          </w:r>
          <w:hyperlink w:anchor="__RefHeading___Toc68601433">
            <w:r>
              <w:rPr>
                <w:rStyle w:val="IndexLink"/>
              </w:rPr>
              <w:t>234</w:t>
            </w:r>
          </w:hyperlink>
        </w:p>
        <w:p>
          <w:pPr>
            <w:pStyle w:val="Contents2"/>
            <w:rPr>
              <w:rFonts w:ascii="Calibri" w:hAnsi="Calibri" w:cs="Calibri"/>
              <w:sz w:val="22"/>
              <w:szCs w:val="22"/>
            </w:rPr>
          </w:pPr>
          <w:r>
            <w:rPr/>
            <w:t>E.25</w:t>
          </w:r>
          <w:r>
            <w:rPr>
              <w:rFonts w:cs="Calibri" w:ascii="Calibri" w:hAnsi="Calibri"/>
              <w:sz w:val="22"/>
              <w:szCs w:val="22"/>
            </w:rPr>
            <w:tab/>
          </w:r>
          <w:r>
            <w:rPr/>
            <w:t>Signal generator: output level stability</w:t>
            <w:tab/>
          </w:r>
          <w:hyperlink w:anchor="__RefHeading___Toc68601434">
            <w:r>
              <w:rPr>
                <w:rStyle w:val="IndexLink"/>
              </w:rPr>
              <w:t>234</w:t>
            </w:r>
          </w:hyperlink>
        </w:p>
        <w:p>
          <w:pPr>
            <w:pStyle w:val="Contents2"/>
            <w:rPr>
              <w:rFonts w:ascii="Calibri" w:hAnsi="Calibri" w:cs="Calibri"/>
              <w:sz w:val="22"/>
              <w:szCs w:val="22"/>
            </w:rPr>
          </w:pPr>
          <w:r>
            <w:rPr/>
            <w:t>E.26</w:t>
          </w:r>
          <w:r>
            <w:rPr>
              <w:rFonts w:cs="Calibri" w:ascii="Calibri" w:hAnsi="Calibri"/>
              <w:sz w:val="22"/>
              <w:szCs w:val="22"/>
            </w:rPr>
            <w:tab/>
          </w:r>
          <w:r>
            <w:rPr/>
            <w:t>Insertion loss: calibration antenna feed cable</w:t>
            <w:tab/>
          </w:r>
          <w:hyperlink w:anchor="__RefHeading___Toc68601435">
            <w:r>
              <w:rPr>
                <w:rStyle w:val="IndexLink"/>
              </w:rPr>
              <w:t>234</w:t>
            </w:r>
          </w:hyperlink>
        </w:p>
        <w:p>
          <w:pPr>
            <w:pStyle w:val="Contents2"/>
            <w:rPr>
              <w:rFonts w:ascii="Calibri" w:hAnsi="Calibri" w:cs="Calibri"/>
              <w:sz w:val="22"/>
              <w:szCs w:val="22"/>
            </w:rPr>
          </w:pPr>
          <w:r>
            <w:rPr/>
            <w:t>E.27</w:t>
          </w:r>
          <w:r>
            <w:rPr>
              <w:rFonts w:cs="Calibri" w:ascii="Calibri" w:hAnsi="Calibri"/>
              <w:sz w:val="22"/>
              <w:szCs w:val="22"/>
            </w:rPr>
            <w:tab/>
          </w:r>
          <w:r>
            <w:rPr/>
            <w:t>Insertion loss: calibration antenna attenuator (if used)</w:t>
            <w:tab/>
          </w:r>
          <w:hyperlink w:anchor="__RefHeading___Toc68601436">
            <w:r>
              <w:rPr>
                <w:rStyle w:val="IndexLink"/>
              </w:rPr>
              <w:t>234</w:t>
            </w:r>
          </w:hyperlink>
        </w:p>
        <w:p>
          <w:pPr>
            <w:pStyle w:val="Contents2"/>
            <w:rPr>
              <w:rFonts w:ascii="Calibri" w:hAnsi="Calibri" w:cs="Calibri"/>
              <w:sz w:val="22"/>
              <w:szCs w:val="22"/>
            </w:rPr>
          </w:pPr>
          <w:r>
            <w:rPr/>
            <w:t>E.28</w:t>
          </w:r>
          <w:r>
            <w:rPr>
              <w:rFonts w:cs="Calibri" w:ascii="Calibri" w:hAnsi="Calibri"/>
              <w:sz w:val="22"/>
              <w:szCs w:val="22"/>
            </w:rPr>
            <w:tab/>
          </w:r>
          <w:r>
            <w:rPr/>
            <w:t>Chamber Statistical Ripple and Repeatability</w:t>
            <w:tab/>
          </w:r>
          <w:hyperlink w:anchor="__RefHeading___Toc68601437">
            <w:r>
              <w:rPr>
                <w:rStyle w:val="IndexLink"/>
              </w:rPr>
              <w:t>234</w:t>
            </w:r>
          </w:hyperlink>
        </w:p>
        <w:p>
          <w:pPr>
            <w:pStyle w:val="Contents2"/>
            <w:rPr>
              <w:rFonts w:ascii="Calibri" w:hAnsi="Calibri" w:cs="Calibri"/>
              <w:sz w:val="22"/>
              <w:szCs w:val="22"/>
            </w:rPr>
          </w:pPr>
          <w:r>
            <w:rPr/>
            <w:t>E.29</w:t>
          </w:r>
          <w:r>
            <w:rPr>
              <w:rFonts w:cs="Calibri" w:ascii="Calibri" w:hAnsi="Calibri"/>
              <w:sz w:val="22"/>
              <w:szCs w:val="22"/>
            </w:rPr>
            <w:tab/>
          </w:r>
          <w:r>
            <w:rPr/>
            <w:t>Additional Power Loss in EUT Chassis</w:t>
            <w:tab/>
          </w:r>
          <w:hyperlink w:anchor="__RefHeading___Toc68601438">
            <w:r>
              <w:rPr>
                <w:rStyle w:val="IndexLink"/>
              </w:rPr>
              <w:t>234</w:t>
            </w:r>
          </w:hyperlink>
        </w:p>
        <w:p>
          <w:pPr>
            <w:pStyle w:val="Contents8"/>
            <w:rPr>
              <w:rFonts w:ascii="Calibri" w:hAnsi="Calibri" w:cs="Calibri"/>
              <w:b w:val="false"/>
              <w:b w:val="false"/>
              <w:szCs w:val="22"/>
            </w:rPr>
          </w:pPr>
          <w:r>
            <w:rPr/>
            <w:t>Annex F (informative): Suggested recipes of liquid to be used inside SAM phantom</w:t>
            <w:tab/>
          </w:r>
          <w:hyperlink w:anchor="__RefHeading___Toc68601439">
            <w:r>
              <w:rPr>
                <w:rStyle w:val="IndexLink"/>
              </w:rPr>
              <w:t>246</w:t>
            </w:r>
          </w:hyperlink>
        </w:p>
        <w:p>
          <w:pPr>
            <w:pStyle w:val="Contents2"/>
            <w:rPr>
              <w:rFonts w:ascii="Calibri" w:hAnsi="Calibri" w:cs="Calibri"/>
              <w:sz w:val="22"/>
              <w:szCs w:val="22"/>
            </w:rPr>
          </w:pPr>
          <w:r>
            <w:rPr/>
            <w:t>F.1</w:t>
          </w:r>
          <w:r>
            <w:rPr>
              <w:rFonts w:cs="Calibri" w:ascii="Calibri" w:hAnsi="Calibri"/>
              <w:sz w:val="22"/>
              <w:szCs w:val="22"/>
            </w:rPr>
            <w:tab/>
          </w:r>
          <w:r>
            <w:rPr/>
            <w:t>General</w:t>
            <w:tab/>
          </w:r>
          <w:hyperlink w:anchor="__RefHeading___Toc68601440">
            <w:r>
              <w:rPr>
                <w:rStyle w:val="IndexLink"/>
              </w:rPr>
              <w:t>246</w:t>
            </w:r>
          </w:hyperlink>
        </w:p>
        <w:p>
          <w:pPr>
            <w:pStyle w:val="Contents8"/>
            <w:rPr>
              <w:rFonts w:ascii="Calibri" w:hAnsi="Calibri" w:cs="Calibri"/>
              <w:b w:val="false"/>
              <w:b w:val="false"/>
              <w:szCs w:val="22"/>
            </w:rPr>
          </w:pPr>
          <w:r>
            <w:rPr/>
            <w:t>Annex G (informative): Anechoic chamber specification and validation method</w:t>
            <w:tab/>
          </w:r>
          <w:hyperlink w:anchor="__RefHeading___Toc68601441">
            <w:r>
              <w:rPr>
                <w:rStyle w:val="IndexLink"/>
              </w:rPr>
              <w:t>246</w:t>
            </w:r>
          </w:hyperlink>
        </w:p>
        <w:p>
          <w:pPr>
            <w:pStyle w:val="Contents2"/>
            <w:rPr>
              <w:rFonts w:ascii="Calibri" w:hAnsi="Calibri" w:cs="Calibri"/>
              <w:sz w:val="22"/>
              <w:szCs w:val="22"/>
            </w:rPr>
          </w:pPr>
          <w:r>
            <w:rPr/>
            <w:t>G.1</w:t>
          </w:r>
          <w:r>
            <w:rPr>
              <w:rFonts w:cs="Calibri" w:ascii="Calibri" w:hAnsi="Calibri"/>
              <w:sz w:val="22"/>
              <w:szCs w:val="22"/>
            </w:rPr>
            <w:tab/>
          </w:r>
          <w:r>
            <w:rPr/>
            <w:t>Shielded anechoic chamber specifications</w:t>
            <w:tab/>
          </w:r>
          <w:hyperlink w:anchor="__RefHeading___Toc68601442">
            <w:r>
              <w:rPr>
                <w:rStyle w:val="IndexLink"/>
              </w:rPr>
              <w:t>246</w:t>
            </w:r>
          </w:hyperlink>
        </w:p>
        <w:p>
          <w:pPr>
            <w:pStyle w:val="Contents2"/>
            <w:rPr>
              <w:rFonts w:ascii="Calibri" w:hAnsi="Calibri" w:cs="Calibri"/>
              <w:sz w:val="22"/>
              <w:szCs w:val="22"/>
            </w:rPr>
          </w:pPr>
          <w:r>
            <w:rPr/>
            <w:t>G.2</w:t>
          </w:r>
          <w:r>
            <w:rPr>
              <w:rFonts w:cs="Calibri" w:ascii="Calibri" w:hAnsi="Calibri"/>
              <w:sz w:val="22"/>
              <w:szCs w:val="22"/>
            </w:rPr>
            <w:tab/>
          </w:r>
          <w:r>
            <w:rPr/>
            <w:t>Quiet zone reflectivity level validation</w:t>
            <w:tab/>
          </w:r>
          <w:hyperlink w:anchor="__RefHeading___Toc68601443">
            <w:r>
              <w:rPr>
                <w:rStyle w:val="IndexLink"/>
              </w:rPr>
              <w:t>247</w:t>
            </w:r>
          </w:hyperlink>
        </w:p>
        <w:p>
          <w:pPr>
            <w:pStyle w:val="Contents3"/>
            <w:rPr>
              <w:rFonts w:ascii="Calibri" w:hAnsi="Calibri" w:cs="Calibri"/>
              <w:sz w:val="22"/>
              <w:szCs w:val="22"/>
            </w:rPr>
          </w:pPr>
          <w:r>
            <w:rPr/>
            <w:t>G.2.1</w:t>
          </w:r>
          <w:r>
            <w:rPr>
              <w:rFonts w:cs="Calibri" w:ascii="Calibri" w:hAnsi="Calibri"/>
              <w:sz w:val="22"/>
              <w:szCs w:val="22"/>
            </w:rPr>
            <w:tab/>
          </w:r>
          <w:r>
            <w:rPr/>
            <w:t>Description of a practical method for Quiet Zone characterization</w:t>
            <w:tab/>
          </w:r>
          <w:hyperlink w:anchor="__RefHeading___Toc68601444">
            <w:r>
              <w:rPr>
                <w:rStyle w:val="IndexLink"/>
              </w:rPr>
              <w:t>247</w:t>
            </w:r>
          </w:hyperlink>
        </w:p>
        <w:p>
          <w:pPr>
            <w:pStyle w:val="Contents2"/>
            <w:rPr>
              <w:rFonts w:ascii="Calibri" w:hAnsi="Calibri" w:cs="Calibri"/>
              <w:sz w:val="22"/>
              <w:szCs w:val="22"/>
            </w:rPr>
          </w:pPr>
          <w:r>
            <w:rPr/>
            <w:t>G.3</w:t>
          </w:r>
          <w:r>
            <w:rPr>
              <w:rFonts w:cs="Calibri" w:ascii="Calibri" w:hAnsi="Calibri"/>
              <w:sz w:val="22"/>
              <w:szCs w:val="22"/>
            </w:rPr>
            <w:tab/>
          </w:r>
          <w:r>
            <w:rPr/>
            <w:t>Standard deviation of electric field</w:t>
            <w:tab/>
          </w:r>
          <w:hyperlink w:anchor="__RefHeading___Toc68601445">
            <w:r>
              <w:rPr>
                <w:rStyle w:val="IndexLink"/>
              </w:rPr>
              <w:t>248</w:t>
            </w:r>
          </w:hyperlink>
        </w:p>
        <w:p>
          <w:pPr>
            <w:pStyle w:val="Contents8"/>
            <w:rPr>
              <w:rFonts w:ascii="Calibri" w:hAnsi="Calibri" w:cs="Calibri"/>
              <w:b w:val="false"/>
              <w:b w:val="false"/>
              <w:szCs w:val="22"/>
            </w:rPr>
          </w:pPr>
          <w:r>
            <w:rPr/>
            <w:t>Annex H (informative): Reverberation chamber specifications and validation method</w:t>
            <w:tab/>
          </w:r>
          <w:hyperlink w:anchor="__RefHeading___Toc68601446">
            <w:r>
              <w:rPr>
                <w:rStyle w:val="IndexLink"/>
              </w:rPr>
              <w:t>248</w:t>
            </w:r>
          </w:hyperlink>
        </w:p>
        <w:p>
          <w:pPr>
            <w:pStyle w:val="Contents2"/>
            <w:rPr>
              <w:rFonts w:ascii="Calibri" w:hAnsi="Calibri" w:cs="Calibri"/>
              <w:sz w:val="22"/>
              <w:szCs w:val="22"/>
            </w:rPr>
          </w:pPr>
          <w:r>
            <w:rPr/>
            <w:t>H.1</w:t>
          </w:r>
          <w:r>
            <w:rPr>
              <w:rFonts w:cs="Calibri" w:ascii="Calibri" w:hAnsi="Calibri"/>
              <w:sz w:val="22"/>
              <w:szCs w:val="22"/>
            </w:rPr>
            <w:tab/>
          </w:r>
          <w:r>
            <w:rPr/>
            <w:t>Shielded reverberation chamber specifications</w:t>
            <w:tab/>
          </w:r>
          <w:hyperlink w:anchor="__RefHeading___Toc68601447">
            <w:r>
              <w:rPr>
                <w:rStyle w:val="IndexLink"/>
              </w:rPr>
              <w:t>248</w:t>
            </w:r>
          </w:hyperlink>
        </w:p>
        <w:p>
          <w:pPr>
            <w:pStyle w:val="Contents2"/>
            <w:rPr>
              <w:rFonts w:ascii="Calibri" w:hAnsi="Calibri" w:cs="Calibri"/>
              <w:sz w:val="22"/>
              <w:szCs w:val="22"/>
            </w:rPr>
          </w:pPr>
          <w:r>
            <w:rPr/>
            <w:t>H.2</w:t>
          </w:r>
          <w:r>
            <w:rPr>
              <w:rFonts w:cs="Calibri" w:ascii="Calibri" w:hAnsi="Calibri"/>
              <w:sz w:val="22"/>
              <w:szCs w:val="22"/>
            </w:rPr>
            <w:tab/>
          </w:r>
          <w:r>
            <w:rPr/>
            <w:t>Reverberation chamber statistical ripple and repeatability validation</w:t>
            <w:tab/>
          </w:r>
          <w:hyperlink w:anchor="__RefHeading___Toc68601448">
            <w:r>
              <w:rPr>
                <w:rStyle w:val="IndexLink"/>
              </w:rPr>
              <w:t>249</w:t>
            </w:r>
          </w:hyperlink>
        </w:p>
        <w:p>
          <w:pPr>
            <w:pStyle w:val="Contents8"/>
            <w:rPr>
              <w:rFonts w:ascii="Calibri" w:hAnsi="Calibri" w:cs="Calibri"/>
              <w:b w:val="false"/>
              <w:b w:val="false"/>
              <w:szCs w:val="22"/>
            </w:rPr>
          </w:pPr>
          <w:r>
            <w:rPr/>
            <w:t>Annex I (informative): Recommended performance for Handheld UE</w:t>
            <w:tab/>
          </w:r>
          <w:hyperlink w:anchor="__RefHeading___Toc68601449">
            <w:r>
              <w:rPr>
                <w:rStyle w:val="IndexLink"/>
              </w:rPr>
              <w:t>250</w:t>
            </w:r>
          </w:hyperlink>
        </w:p>
        <w:p>
          <w:pPr>
            <w:pStyle w:val="Contents2"/>
            <w:rPr>
              <w:rFonts w:ascii="Calibri" w:hAnsi="Calibri" w:cs="Calibri"/>
              <w:sz w:val="22"/>
              <w:szCs w:val="22"/>
            </w:rPr>
          </w:pPr>
          <w:r>
            <w:rPr/>
            <w:t>I.1</w:t>
          </w:r>
          <w:r>
            <w:rPr>
              <w:rFonts w:cs="Calibri" w:ascii="Calibri" w:hAnsi="Calibri"/>
              <w:sz w:val="22"/>
              <w:szCs w:val="22"/>
            </w:rPr>
            <w:tab/>
          </w:r>
          <w:r>
            <w:rPr/>
            <w:t>General</w:t>
            <w:tab/>
          </w:r>
          <w:hyperlink w:anchor="__RefHeading___Toc68601450">
            <w:r>
              <w:rPr>
                <w:rStyle w:val="IndexLink"/>
              </w:rPr>
              <w:t>250</w:t>
            </w:r>
          </w:hyperlink>
        </w:p>
        <w:p>
          <w:pPr>
            <w:pStyle w:val="Contents2"/>
            <w:rPr>
              <w:rFonts w:ascii="Calibri" w:hAnsi="Calibri" w:cs="Calibri"/>
              <w:sz w:val="22"/>
              <w:szCs w:val="22"/>
            </w:rPr>
          </w:pPr>
          <w:r>
            <w:rPr/>
            <w:t>I.2</w:t>
          </w:r>
          <w:r>
            <w:rPr>
              <w:rFonts w:cs="Calibri" w:ascii="Calibri" w:hAnsi="Calibri"/>
              <w:sz w:val="22"/>
              <w:szCs w:val="22"/>
            </w:rPr>
            <w:tab/>
          </w:r>
          <w:r>
            <w:rPr/>
            <w:t>Total Radiated Power</w:t>
            <w:tab/>
          </w:r>
          <w:hyperlink w:anchor="__RefHeading___Toc68601451">
            <w:r>
              <w:rPr>
                <w:rStyle w:val="IndexLink"/>
              </w:rPr>
              <w:t>250</w:t>
            </w:r>
          </w:hyperlink>
        </w:p>
        <w:p>
          <w:pPr>
            <w:pStyle w:val="Contents2"/>
            <w:rPr>
              <w:rFonts w:ascii="Calibri" w:hAnsi="Calibri" w:cs="Calibri"/>
              <w:sz w:val="22"/>
              <w:szCs w:val="22"/>
            </w:rPr>
          </w:pPr>
          <w:r>
            <w:rPr/>
            <w:t>I.2.1</w:t>
          </w:r>
          <w:r>
            <w:rPr>
              <w:rFonts w:cs="Calibri" w:ascii="Calibri" w:hAnsi="Calibri"/>
              <w:sz w:val="22"/>
              <w:szCs w:val="22"/>
            </w:rPr>
            <w:tab/>
          </w:r>
          <w:r>
            <w:rPr/>
            <w:t>Beside the head phantom position</w:t>
            <w:tab/>
          </w:r>
          <w:hyperlink w:anchor="__RefHeading___Toc68601452">
            <w:r>
              <w:rPr>
                <w:rStyle w:val="IndexLink"/>
              </w:rPr>
              <w:t>250</w:t>
            </w:r>
          </w:hyperlink>
        </w:p>
        <w:p>
          <w:pPr>
            <w:pStyle w:val="Contents3"/>
            <w:rPr>
              <w:rFonts w:ascii="Calibri" w:hAnsi="Calibri" w:cs="Calibri"/>
              <w:sz w:val="22"/>
              <w:szCs w:val="22"/>
            </w:rPr>
          </w:pPr>
          <w:r>
            <w:rPr>
              <w:lang w:val="en-US" w:eastAsia="en-US"/>
            </w:rPr>
            <w:t>I</w:t>
          </w:r>
          <w:r>
            <w:rPr/>
            <w:t>.2.1.1</w:t>
          </w:r>
          <w:r>
            <w:rPr>
              <w:rFonts w:cs="Calibri" w:ascii="Calibri" w:hAnsi="Calibri"/>
              <w:sz w:val="22"/>
              <w:szCs w:val="22"/>
            </w:rPr>
            <w:tab/>
          </w:r>
          <w:r>
            <w:rPr/>
            <w:t>UTRA FDD</w:t>
            <w:tab/>
          </w:r>
          <w:hyperlink w:anchor="__RefHeading___Toc68601453">
            <w:r>
              <w:rPr>
                <w:rStyle w:val="IndexLink"/>
              </w:rPr>
              <w:t>250</w:t>
            </w:r>
          </w:hyperlink>
        </w:p>
        <w:p>
          <w:pPr>
            <w:pStyle w:val="Contents3"/>
            <w:rPr>
              <w:rFonts w:ascii="Calibri" w:hAnsi="Calibri" w:cs="Calibri"/>
              <w:sz w:val="22"/>
              <w:szCs w:val="22"/>
            </w:rPr>
          </w:pPr>
          <w:r>
            <w:rPr>
              <w:lang w:val="en-US" w:eastAsia="en-US"/>
            </w:rPr>
            <w:t>I.2.1.2</w:t>
          </w:r>
          <w:r>
            <w:rPr>
              <w:rFonts w:cs="Calibri" w:ascii="Calibri" w:hAnsi="Calibri"/>
              <w:sz w:val="22"/>
              <w:szCs w:val="22"/>
            </w:rPr>
            <w:tab/>
          </w:r>
          <w:r>
            <w:rPr>
              <w:lang w:val="en-US" w:eastAsia="en-US"/>
            </w:rPr>
            <w:t>UTRA LCR TDD</w:t>
          </w:r>
          <w:r>
            <w:rPr/>
            <w:tab/>
          </w:r>
          <w:hyperlink w:anchor="__RefHeading___Toc68601454">
            <w:r>
              <w:rPr>
                <w:rStyle w:val="IndexLink"/>
              </w:rPr>
              <w:t>251</w:t>
            </w:r>
          </w:hyperlink>
        </w:p>
        <w:p>
          <w:pPr>
            <w:pStyle w:val="Contents2"/>
            <w:rPr>
              <w:rFonts w:ascii="Calibri" w:hAnsi="Calibri" w:cs="Calibri"/>
              <w:sz w:val="22"/>
              <w:szCs w:val="22"/>
            </w:rPr>
          </w:pPr>
          <w:r>
            <w:rPr/>
            <w:t>I.2.2</w:t>
          </w:r>
          <w:r>
            <w:rPr>
              <w:rFonts w:cs="Calibri" w:ascii="Calibri" w:hAnsi="Calibri"/>
              <w:sz w:val="22"/>
              <w:szCs w:val="22"/>
            </w:rPr>
            <w:tab/>
          </w:r>
          <w:r>
            <w:rPr/>
            <w:t>Beside the head and hand phantoms position</w:t>
            <w:tab/>
          </w:r>
          <w:hyperlink w:anchor="__RefHeading___Toc68601455">
            <w:r>
              <w:rPr>
                <w:rStyle w:val="IndexLink"/>
              </w:rPr>
              <w:t>251</w:t>
            </w:r>
          </w:hyperlink>
        </w:p>
        <w:p>
          <w:pPr>
            <w:pStyle w:val="Contents3"/>
            <w:rPr>
              <w:rFonts w:ascii="Calibri" w:hAnsi="Calibri" w:cs="Calibri"/>
              <w:sz w:val="22"/>
              <w:szCs w:val="22"/>
            </w:rPr>
          </w:pPr>
          <w:r>
            <w:rPr>
              <w:lang w:val="en-US" w:eastAsia="en-US"/>
            </w:rPr>
            <w:t>I.2.2.1</w:t>
          </w:r>
          <w:r>
            <w:rPr>
              <w:rFonts w:cs="Calibri" w:ascii="Calibri" w:hAnsi="Calibri"/>
              <w:sz w:val="22"/>
              <w:szCs w:val="22"/>
            </w:rPr>
            <w:tab/>
          </w:r>
          <w:r>
            <w:rPr>
              <w:lang w:val="en-US" w:eastAsia="en-US"/>
            </w:rPr>
            <w:t>UTRA FDD</w:t>
          </w:r>
          <w:r>
            <w:rPr/>
            <w:tab/>
          </w:r>
          <w:hyperlink w:anchor="__RefHeading___Toc68601456">
            <w:r>
              <w:rPr>
                <w:rStyle w:val="IndexLink"/>
              </w:rPr>
              <w:t>251</w:t>
            </w:r>
          </w:hyperlink>
        </w:p>
        <w:p>
          <w:pPr>
            <w:pStyle w:val="Contents3"/>
            <w:rPr>
              <w:rFonts w:ascii="Calibri" w:hAnsi="Calibri" w:cs="Calibri"/>
              <w:sz w:val="22"/>
              <w:szCs w:val="22"/>
            </w:rPr>
          </w:pPr>
          <w:r>
            <w:rPr>
              <w:lang w:val="en-US" w:eastAsia="en-US"/>
            </w:rPr>
            <w:t>I.2.2.2</w:t>
          </w:r>
          <w:r>
            <w:rPr>
              <w:rFonts w:cs="Calibri" w:ascii="Calibri" w:hAnsi="Calibri"/>
              <w:sz w:val="22"/>
              <w:szCs w:val="22"/>
            </w:rPr>
            <w:tab/>
          </w:r>
          <w:r>
            <w:rPr>
              <w:lang w:val="en-US" w:eastAsia="en-US"/>
            </w:rPr>
            <w:t>UTRA LCR TDD</w:t>
          </w:r>
          <w:r>
            <w:rPr/>
            <w:tab/>
          </w:r>
          <w:hyperlink w:anchor="__RefHeading___Toc68601457">
            <w:r>
              <w:rPr>
                <w:rStyle w:val="IndexLink"/>
              </w:rPr>
              <w:t>251</w:t>
            </w:r>
          </w:hyperlink>
        </w:p>
        <w:p>
          <w:pPr>
            <w:pStyle w:val="Contents3"/>
            <w:rPr>
              <w:rFonts w:ascii="Calibri" w:hAnsi="Calibri" w:cs="Calibri"/>
              <w:sz w:val="22"/>
              <w:szCs w:val="22"/>
            </w:rPr>
          </w:pPr>
          <w:r>
            <w:rPr>
              <w:lang w:val="en-US" w:eastAsia="en-US"/>
            </w:rPr>
            <w:t>I.2.2.3</w:t>
          </w:r>
          <w:r>
            <w:rPr>
              <w:rFonts w:cs="Calibri" w:ascii="Calibri" w:hAnsi="Calibri"/>
              <w:sz w:val="22"/>
              <w:szCs w:val="22"/>
            </w:rPr>
            <w:tab/>
          </w:r>
          <w:r>
            <w:rPr>
              <w:lang w:val="en-US" w:eastAsia="en-US"/>
            </w:rPr>
            <w:t>E-UTRA FDD</w:t>
          </w:r>
          <w:r>
            <w:rPr/>
            <w:tab/>
          </w:r>
          <w:hyperlink w:anchor="__RefHeading___Toc68601458">
            <w:r>
              <w:rPr>
                <w:rStyle w:val="IndexLink"/>
              </w:rPr>
              <w:t>252</w:t>
            </w:r>
          </w:hyperlink>
        </w:p>
        <w:p>
          <w:pPr>
            <w:pStyle w:val="Contents3"/>
            <w:rPr>
              <w:rFonts w:ascii="Calibri" w:hAnsi="Calibri" w:cs="Calibri"/>
              <w:sz w:val="22"/>
              <w:szCs w:val="22"/>
            </w:rPr>
          </w:pPr>
          <w:r>
            <w:rPr>
              <w:lang w:val="en-US" w:eastAsia="en-US"/>
            </w:rPr>
            <w:t>I.2.2.4</w:t>
          </w:r>
          <w:r>
            <w:rPr>
              <w:rFonts w:cs="Calibri" w:ascii="Calibri" w:hAnsi="Calibri"/>
              <w:sz w:val="22"/>
              <w:szCs w:val="22"/>
            </w:rPr>
            <w:tab/>
          </w:r>
          <w:r>
            <w:rPr>
              <w:lang w:val="en-US" w:eastAsia="en-US"/>
            </w:rPr>
            <w:t>E-UTRA TDD</w:t>
          </w:r>
          <w:r>
            <w:rPr/>
            <w:tab/>
          </w:r>
          <w:hyperlink w:anchor="__RefHeading___Toc68601459">
            <w:r>
              <w:rPr>
                <w:rStyle w:val="IndexLink"/>
              </w:rPr>
              <w:t>252</w:t>
            </w:r>
          </w:hyperlink>
        </w:p>
        <w:p>
          <w:pPr>
            <w:pStyle w:val="Contents2"/>
            <w:rPr>
              <w:rFonts w:ascii="Calibri" w:hAnsi="Calibri" w:cs="Calibri"/>
              <w:sz w:val="22"/>
              <w:szCs w:val="22"/>
            </w:rPr>
          </w:pPr>
          <w:r>
            <w:rPr/>
            <w:t>I.2.3</w:t>
          </w:r>
          <w:r>
            <w:rPr>
              <w:rFonts w:cs="Calibri" w:ascii="Calibri" w:hAnsi="Calibri"/>
              <w:sz w:val="22"/>
              <w:szCs w:val="22"/>
            </w:rPr>
            <w:tab/>
          </w:r>
          <w:r>
            <w:rPr/>
            <w:t>Hand phantom browsing mode position</w:t>
            <w:tab/>
          </w:r>
          <w:hyperlink w:anchor="__RefHeading___Toc68601460">
            <w:r>
              <w:rPr>
                <w:rStyle w:val="IndexLink"/>
              </w:rPr>
              <w:t>252</w:t>
            </w:r>
          </w:hyperlink>
        </w:p>
        <w:p>
          <w:pPr>
            <w:pStyle w:val="Contents3"/>
            <w:rPr>
              <w:rFonts w:ascii="Calibri" w:hAnsi="Calibri" w:cs="Calibri"/>
              <w:sz w:val="22"/>
              <w:szCs w:val="22"/>
            </w:rPr>
          </w:pPr>
          <w:r>
            <w:rPr>
              <w:lang w:val="en-US" w:eastAsia="en-US"/>
            </w:rPr>
            <w:t>I.2.3.1</w:t>
          </w:r>
          <w:r>
            <w:rPr>
              <w:rFonts w:cs="Calibri" w:ascii="Calibri" w:hAnsi="Calibri"/>
              <w:sz w:val="22"/>
              <w:szCs w:val="22"/>
            </w:rPr>
            <w:tab/>
          </w:r>
          <w:r>
            <w:rPr>
              <w:lang w:val="en-US" w:eastAsia="en-US"/>
            </w:rPr>
            <w:t>UTRA FDD</w:t>
          </w:r>
          <w:r>
            <w:rPr/>
            <w:tab/>
          </w:r>
          <w:hyperlink w:anchor="__RefHeading___Toc68601461">
            <w:r>
              <w:rPr>
                <w:rStyle w:val="IndexLink"/>
              </w:rPr>
              <w:t>252</w:t>
            </w:r>
          </w:hyperlink>
        </w:p>
        <w:p>
          <w:pPr>
            <w:pStyle w:val="Contents3"/>
            <w:rPr>
              <w:rFonts w:ascii="Calibri" w:hAnsi="Calibri" w:cs="Calibri"/>
              <w:sz w:val="22"/>
              <w:szCs w:val="22"/>
            </w:rPr>
          </w:pPr>
          <w:r>
            <w:rPr>
              <w:lang w:val="en-US" w:eastAsia="en-US"/>
            </w:rPr>
            <w:t>I.2.3.2</w:t>
          </w:r>
          <w:r>
            <w:rPr>
              <w:rFonts w:cs="Calibri" w:ascii="Calibri" w:hAnsi="Calibri"/>
              <w:sz w:val="22"/>
              <w:szCs w:val="22"/>
            </w:rPr>
            <w:tab/>
          </w:r>
          <w:r>
            <w:rPr>
              <w:lang w:val="en-US" w:eastAsia="en-US"/>
            </w:rPr>
            <w:t>UTRA LCR TDD</w:t>
          </w:r>
          <w:r>
            <w:rPr/>
            <w:tab/>
          </w:r>
          <w:hyperlink w:anchor="__RefHeading___Toc68601462">
            <w:r>
              <w:rPr>
                <w:rStyle w:val="IndexLink"/>
              </w:rPr>
              <w:t>252</w:t>
            </w:r>
          </w:hyperlink>
        </w:p>
        <w:p>
          <w:pPr>
            <w:pStyle w:val="Contents3"/>
            <w:rPr>
              <w:rFonts w:ascii="Calibri" w:hAnsi="Calibri" w:cs="Calibri"/>
              <w:sz w:val="22"/>
              <w:szCs w:val="22"/>
            </w:rPr>
          </w:pPr>
          <w:r>
            <w:rPr>
              <w:lang w:val="en-US" w:eastAsia="en-US"/>
            </w:rPr>
            <w:t>I.2.3.3</w:t>
          </w:r>
          <w:r>
            <w:rPr>
              <w:rFonts w:cs="Calibri" w:ascii="Calibri" w:hAnsi="Calibri"/>
              <w:sz w:val="22"/>
              <w:szCs w:val="22"/>
            </w:rPr>
            <w:tab/>
          </w:r>
          <w:r>
            <w:rPr>
              <w:lang w:val="en-US" w:eastAsia="en-US"/>
            </w:rPr>
            <w:t>E-UTRA FDD</w:t>
          </w:r>
          <w:r>
            <w:rPr/>
            <w:tab/>
          </w:r>
          <w:hyperlink w:anchor="__RefHeading___Toc68601463">
            <w:r>
              <w:rPr>
                <w:rStyle w:val="IndexLink"/>
              </w:rPr>
              <w:t>253</w:t>
            </w:r>
          </w:hyperlink>
        </w:p>
        <w:p>
          <w:pPr>
            <w:pStyle w:val="Contents3"/>
            <w:rPr>
              <w:rFonts w:ascii="Calibri" w:hAnsi="Calibri" w:cs="Calibri"/>
              <w:sz w:val="22"/>
              <w:szCs w:val="22"/>
            </w:rPr>
          </w:pPr>
          <w:r>
            <w:rPr>
              <w:lang w:val="en-US" w:eastAsia="en-US"/>
            </w:rPr>
            <w:t>I.2.3.4</w:t>
          </w:r>
          <w:r>
            <w:rPr>
              <w:rFonts w:cs="Calibri" w:ascii="Calibri" w:hAnsi="Calibri"/>
              <w:sz w:val="22"/>
              <w:szCs w:val="22"/>
            </w:rPr>
            <w:tab/>
          </w:r>
          <w:r>
            <w:rPr>
              <w:lang w:val="en-US" w:eastAsia="en-US"/>
            </w:rPr>
            <w:t>E-UTRA TDD</w:t>
          </w:r>
          <w:r>
            <w:rPr/>
            <w:tab/>
          </w:r>
          <w:hyperlink w:anchor="__RefHeading___Toc68601464">
            <w:r>
              <w:rPr>
                <w:rStyle w:val="IndexLink"/>
              </w:rPr>
              <w:t>253</w:t>
            </w:r>
          </w:hyperlink>
        </w:p>
        <w:p>
          <w:pPr>
            <w:pStyle w:val="Contents2"/>
            <w:rPr>
              <w:rFonts w:ascii="Calibri" w:hAnsi="Calibri" w:cs="Calibri"/>
              <w:sz w:val="22"/>
              <w:szCs w:val="22"/>
            </w:rPr>
          </w:pPr>
          <w:r>
            <w:rPr/>
            <w:t>I.3</w:t>
          </w:r>
          <w:r>
            <w:rPr>
              <w:rFonts w:cs="Calibri" w:ascii="Calibri" w:hAnsi="Calibri"/>
              <w:sz w:val="22"/>
              <w:szCs w:val="22"/>
            </w:rPr>
            <w:tab/>
          </w:r>
          <w:r>
            <w:rPr/>
            <w:t>Total Radiated Sensitivity</w:t>
            <w:tab/>
          </w:r>
          <w:hyperlink w:anchor="__RefHeading___Toc68601465">
            <w:r>
              <w:rPr>
                <w:rStyle w:val="IndexLink"/>
              </w:rPr>
              <w:t>253</w:t>
            </w:r>
          </w:hyperlink>
        </w:p>
        <w:p>
          <w:pPr>
            <w:pStyle w:val="Contents2"/>
            <w:rPr>
              <w:rFonts w:ascii="Calibri" w:hAnsi="Calibri" w:cs="Calibri"/>
              <w:sz w:val="22"/>
              <w:szCs w:val="22"/>
            </w:rPr>
          </w:pPr>
          <w:r>
            <w:rPr>
              <w:lang w:val="en-US" w:eastAsia="en-US"/>
            </w:rPr>
            <w:t>I</w:t>
          </w:r>
          <w:r>
            <w:rPr/>
            <w:t>.3.1</w:t>
          </w:r>
          <w:r>
            <w:rPr>
              <w:rFonts w:cs="Calibri" w:ascii="Calibri" w:hAnsi="Calibri"/>
              <w:sz w:val="22"/>
              <w:szCs w:val="22"/>
            </w:rPr>
            <w:tab/>
          </w:r>
          <w:r>
            <w:rPr/>
            <w:t>Beside the head phantom position</w:t>
            <w:tab/>
          </w:r>
          <w:hyperlink w:anchor="__RefHeading___Toc68601466">
            <w:r>
              <w:rPr>
                <w:rStyle w:val="IndexLink"/>
              </w:rPr>
              <w:t>253</w:t>
            </w:r>
          </w:hyperlink>
        </w:p>
        <w:p>
          <w:pPr>
            <w:pStyle w:val="Contents3"/>
            <w:rPr>
              <w:rFonts w:ascii="Calibri" w:hAnsi="Calibri" w:cs="Calibri"/>
              <w:sz w:val="22"/>
              <w:szCs w:val="22"/>
            </w:rPr>
          </w:pPr>
          <w:r>
            <w:rPr>
              <w:lang w:val="en-US" w:eastAsia="en-US"/>
            </w:rPr>
            <w:t>I.3.1.1</w:t>
          </w:r>
          <w:r>
            <w:rPr>
              <w:rFonts w:cs="Calibri" w:ascii="Calibri" w:hAnsi="Calibri"/>
              <w:sz w:val="22"/>
              <w:szCs w:val="22"/>
            </w:rPr>
            <w:tab/>
          </w:r>
          <w:r>
            <w:rPr>
              <w:lang w:val="en-US" w:eastAsia="en-US"/>
            </w:rPr>
            <w:t>UTRA FDD</w:t>
          </w:r>
          <w:r>
            <w:rPr/>
            <w:tab/>
          </w:r>
          <w:hyperlink w:anchor="__RefHeading___Toc68601467">
            <w:r>
              <w:rPr>
                <w:rStyle w:val="IndexLink"/>
              </w:rPr>
              <w:t>253</w:t>
            </w:r>
          </w:hyperlink>
        </w:p>
        <w:p>
          <w:pPr>
            <w:pStyle w:val="Contents3"/>
            <w:rPr>
              <w:rFonts w:ascii="Calibri" w:hAnsi="Calibri" w:cs="Calibri"/>
              <w:sz w:val="22"/>
              <w:szCs w:val="22"/>
            </w:rPr>
          </w:pPr>
          <w:r>
            <w:rPr>
              <w:lang w:val="en-US" w:eastAsia="en-US"/>
            </w:rPr>
            <w:t>I.3.1.2</w:t>
          </w:r>
          <w:r>
            <w:rPr>
              <w:rFonts w:cs="Calibri" w:ascii="Calibri" w:hAnsi="Calibri"/>
              <w:sz w:val="22"/>
              <w:szCs w:val="22"/>
            </w:rPr>
            <w:tab/>
          </w:r>
          <w:r>
            <w:rPr>
              <w:lang w:val="en-US" w:eastAsia="en-US"/>
            </w:rPr>
            <w:t>UTRA LCR TDD</w:t>
          </w:r>
          <w:r>
            <w:rPr/>
            <w:tab/>
          </w:r>
          <w:hyperlink w:anchor="__RefHeading___Toc68601468">
            <w:r>
              <w:rPr>
                <w:rStyle w:val="IndexLink"/>
              </w:rPr>
              <w:t>254</w:t>
            </w:r>
          </w:hyperlink>
        </w:p>
        <w:p>
          <w:pPr>
            <w:pStyle w:val="Contents3"/>
            <w:rPr>
              <w:rFonts w:ascii="Calibri" w:hAnsi="Calibri" w:cs="Calibri"/>
              <w:sz w:val="22"/>
              <w:szCs w:val="22"/>
            </w:rPr>
          </w:pPr>
          <w:r>
            <w:rPr>
              <w:lang w:val="en-US" w:eastAsia="en-US"/>
            </w:rPr>
            <w:t>I.3.2</w:t>
          </w:r>
          <w:r>
            <w:rPr>
              <w:rFonts w:cs="Calibri" w:ascii="Calibri" w:hAnsi="Calibri"/>
              <w:sz w:val="22"/>
              <w:szCs w:val="22"/>
            </w:rPr>
            <w:tab/>
          </w:r>
          <w:r>
            <w:rPr>
              <w:lang w:val="en-US" w:eastAsia="en-US"/>
            </w:rPr>
            <w:t>Beside the head and hand phantoms position</w:t>
          </w:r>
          <w:r>
            <w:rPr/>
            <w:tab/>
          </w:r>
          <w:hyperlink w:anchor="__RefHeading___Toc68601469">
            <w:r>
              <w:rPr>
                <w:rStyle w:val="IndexLink"/>
              </w:rPr>
              <w:t>254</w:t>
            </w:r>
          </w:hyperlink>
        </w:p>
        <w:p>
          <w:pPr>
            <w:pStyle w:val="Contents3"/>
            <w:rPr>
              <w:rFonts w:ascii="Calibri" w:hAnsi="Calibri" w:cs="Calibri"/>
              <w:sz w:val="22"/>
              <w:szCs w:val="22"/>
            </w:rPr>
          </w:pPr>
          <w:r>
            <w:rPr>
              <w:lang w:val="en-US" w:eastAsia="en-US"/>
            </w:rPr>
            <w:t>I.3.2.1</w:t>
          </w:r>
          <w:r>
            <w:rPr>
              <w:rFonts w:cs="Calibri" w:ascii="Calibri" w:hAnsi="Calibri"/>
              <w:sz w:val="22"/>
              <w:szCs w:val="22"/>
            </w:rPr>
            <w:tab/>
          </w:r>
          <w:r>
            <w:rPr>
              <w:lang w:val="en-US" w:eastAsia="en-US"/>
            </w:rPr>
            <w:t>UTRA FDD</w:t>
          </w:r>
          <w:r>
            <w:rPr/>
            <w:tab/>
          </w:r>
          <w:hyperlink w:anchor="__RefHeading___Toc68601470">
            <w:r>
              <w:rPr>
                <w:rStyle w:val="IndexLink"/>
              </w:rPr>
              <w:t>254</w:t>
            </w:r>
          </w:hyperlink>
        </w:p>
        <w:p>
          <w:pPr>
            <w:pStyle w:val="Contents3"/>
            <w:rPr>
              <w:rFonts w:ascii="Calibri" w:hAnsi="Calibri" w:cs="Calibri"/>
              <w:sz w:val="22"/>
              <w:szCs w:val="22"/>
            </w:rPr>
          </w:pPr>
          <w:r>
            <w:rPr>
              <w:lang w:val="en-US" w:eastAsia="en-US"/>
            </w:rPr>
            <w:t>I.3.2.2</w:t>
          </w:r>
          <w:r>
            <w:rPr>
              <w:rFonts w:cs="Calibri" w:ascii="Calibri" w:hAnsi="Calibri"/>
              <w:sz w:val="22"/>
              <w:szCs w:val="22"/>
            </w:rPr>
            <w:tab/>
          </w:r>
          <w:r>
            <w:rPr>
              <w:lang w:val="en-US" w:eastAsia="en-US"/>
            </w:rPr>
            <w:t>UTRA LCR TDD</w:t>
          </w:r>
          <w:r>
            <w:rPr/>
            <w:tab/>
          </w:r>
          <w:hyperlink w:anchor="__RefHeading___Toc68601471">
            <w:r>
              <w:rPr>
                <w:rStyle w:val="IndexLink"/>
              </w:rPr>
              <w:t>254</w:t>
            </w:r>
          </w:hyperlink>
        </w:p>
        <w:p>
          <w:pPr>
            <w:pStyle w:val="Contents3"/>
            <w:rPr>
              <w:rFonts w:ascii="Calibri" w:hAnsi="Calibri" w:cs="Calibri"/>
              <w:sz w:val="22"/>
              <w:szCs w:val="22"/>
            </w:rPr>
          </w:pPr>
          <w:r>
            <w:rPr>
              <w:lang w:val="en-US" w:eastAsia="en-US"/>
            </w:rPr>
            <w:t>I.3.2.3</w:t>
          </w:r>
          <w:r>
            <w:rPr>
              <w:rFonts w:cs="Calibri" w:ascii="Calibri" w:hAnsi="Calibri"/>
              <w:sz w:val="22"/>
              <w:szCs w:val="22"/>
            </w:rPr>
            <w:tab/>
          </w:r>
          <w:r>
            <w:rPr>
              <w:lang w:val="en-US" w:eastAsia="en-US"/>
            </w:rPr>
            <w:t>E-UTRA FDD</w:t>
          </w:r>
          <w:r>
            <w:rPr/>
            <w:tab/>
          </w:r>
          <w:hyperlink w:anchor="__RefHeading___Toc68601472">
            <w:r>
              <w:rPr>
                <w:rStyle w:val="IndexLink"/>
              </w:rPr>
              <w:t>255</w:t>
            </w:r>
          </w:hyperlink>
        </w:p>
        <w:p>
          <w:pPr>
            <w:pStyle w:val="Contents3"/>
            <w:rPr>
              <w:rFonts w:ascii="Calibri" w:hAnsi="Calibri" w:cs="Calibri"/>
              <w:sz w:val="22"/>
              <w:szCs w:val="22"/>
            </w:rPr>
          </w:pPr>
          <w:r>
            <w:rPr>
              <w:lang w:val="en-US" w:eastAsia="en-US"/>
            </w:rPr>
            <w:t>I.3.2.4</w:t>
          </w:r>
          <w:r>
            <w:rPr>
              <w:rFonts w:cs="Calibri" w:ascii="Calibri" w:hAnsi="Calibri"/>
              <w:sz w:val="22"/>
              <w:szCs w:val="22"/>
            </w:rPr>
            <w:tab/>
          </w:r>
          <w:r>
            <w:rPr>
              <w:lang w:val="en-US" w:eastAsia="en-US"/>
            </w:rPr>
            <w:t>E-UTRA TDD</w:t>
          </w:r>
          <w:r>
            <w:rPr/>
            <w:tab/>
          </w:r>
          <w:hyperlink w:anchor="__RefHeading___Toc68601473">
            <w:r>
              <w:rPr>
                <w:rStyle w:val="IndexLink"/>
              </w:rPr>
              <w:t>255</w:t>
            </w:r>
          </w:hyperlink>
        </w:p>
        <w:p>
          <w:pPr>
            <w:pStyle w:val="Contents2"/>
            <w:rPr>
              <w:rFonts w:ascii="Calibri" w:hAnsi="Calibri" w:cs="Calibri"/>
              <w:sz w:val="22"/>
              <w:szCs w:val="22"/>
            </w:rPr>
          </w:pPr>
          <w:r>
            <w:rPr>
              <w:lang w:val="en-US" w:eastAsia="en-US"/>
            </w:rPr>
            <w:t>I.3.3</w:t>
          </w:r>
          <w:r>
            <w:rPr>
              <w:rFonts w:cs="Calibri" w:ascii="Calibri" w:hAnsi="Calibri"/>
              <w:sz w:val="22"/>
              <w:szCs w:val="22"/>
            </w:rPr>
            <w:tab/>
          </w:r>
          <w:r>
            <w:rPr>
              <w:lang w:val="en-US" w:eastAsia="en-US"/>
            </w:rPr>
            <w:t>Hand phantom browsing mode position</w:t>
          </w:r>
          <w:r>
            <w:rPr/>
            <w:tab/>
          </w:r>
          <w:hyperlink w:anchor="__RefHeading___Toc68601474">
            <w:r>
              <w:rPr>
                <w:rStyle w:val="IndexLink"/>
              </w:rPr>
              <w:t>255</w:t>
            </w:r>
          </w:hyperlink>
        </w:p>
        <w:p>
          <w:pPr>
            <w:pStyle w:val="Contents3"/>
            <w:rPr>
              <w:rFonts w:ascii="Calibri" w:hAnsi="Calibri" w:cs="Calibri"/>
              <w:sz w:val="22"/>
              <w:szCs w:val="22"/>
            </w:rPr>
          </w:pPr>
          <w:r>
            <w:rPr>
              <w:lang w:val="en-US" w:eastAsia="en-US"/>
            </w:rPr>
            <w:t>I.3.3.1</w:t>
          </w:r>
          <w:r>
            <w:rPr>
              <w:rFonts w:cs="Calibri" w:ascii="Calibri" w:hAnsi="Calibri"/>
              <w:sz w:val="22"/>
              <w:szCs w:val="22"/>
            </w:rPr>
            <w:tab/>
          </w:r>
          <w:r>
            <w:rPr>
              <w:lang w:val="en-US" w:eastAsia="en-US"/>
            </w:rPr>
            <w:t>UTRA FDD</w:t>
          </w:r>
          <w:r>
            <w:rPr/>
            <w:tab/>
          </w:r>
          <w:hyperlink w:anchor="__RefHeading___Toc68601475">
            <w:r>
              <w:rPr>
                <w:rStyle w:val="IndexLink"/>
              </w:rPr>
              <w:t>255</w:t>
            </w:r>
          </w:hyperlink>
        </w:p>
        <w:p>
          <w:pPr>
            <w:pStyle w:val="Contents3"/>
            <w:rPr>
              <w:rFonts w:ascii="Calibri" w:hAnsi="Calibri" w:cs="Calibri"/>
              <w:sz w:val="22"/>
              <w:szCs w:val="22"/>
            </w:rPr>
          </w:pPr>
          <w:r>
            <w:rPr>
              <w:lang w:val="en-US" w:eastAsia="en-US"/>
            </w:rPr>
            <w:t>I.3.3.2</w:t>
          </w:r>
          <w:r>
            <w:rPr>
              <w:rFonts w:cs="Calibri" w:ascii="Calibri" w:hAnsi="Calibri"/>
              <w:sz w:val="22"/>
              <w:szCs w:val="22"/>
            </w:rPr>
            <w:tab/>
          </w:r>
          <w:r>
            <w:rPr>
              <w:lang w:val="en-US" w:eastAsia="en-US"/>
            </w:rPr>
            <w:t>UTRA LCR TDD</w:t>
          </w:r>
          <w:r>
            <w:rPr/>
            <w:tab/>
          </w:r>
          <w:hyperlink w:anchor="__RefHeading___Toc68601476">
            <w:r>
              <w:rPr>
                <w:rStyle w:val="IndexLink"/>
              </w:rPr>
              <w:t>256</w:t>
            </w:r>
          </w:hyperlink>
        </w:p>
        <w:p>
          <w:pPr>
            <w:pStyle w:val="Contents3"/>
            <w:rPr>
              <w:rFonts w:ascii="Calibri" w:hAnsi="Calibri" w:cs="Calibri"/>
              <w:sz w:val="22"/>
              <w:szCs w:val="22"/>
            </w:rPr>
          </w:pPr>
          <w:r>
            <w:rPr>
              <w:lang w:val="en-US" w:eastAsia="en-US"/>
            </w:rPr>
            <w:t>I.3.3.3</w:t>
          </w:r>
          <w:r>
            <w:rPr>
              <w:rFonts w:cs="Calibri" w:ascii="Calibri" w:hAnsi="Calibri"/>
              <w:sz w:val="22"/>
              <w:szCs w:val="22"/>
            </w:rPr>
            <w:tab/>
          </w:r>
          <w:r>
            <w:rPr>
              <w:lang w:val="en-US" w:eastAsia="en-US"/>
            </w:rPr>
            <w:t>E-UTRA FDD</w:t>
          </w:r>
          <w:r>
            <w:rPr/>
            <w:tab/>
          </w:r>
          <w:hyperlink w:anchor="__RefHeading___Toc68601477">
            <w:r>
              <w:rPr>
                <w:rStyle w:val="IndexLink"/>
              </w:rPr>
              <w:t>256</w:t>
            </w:r>
          </w:hyperlink>
        </w:p>
        <w:p>
          <w:pPr>
            <w:pStyle w:val="Contents3"/>
            <w:rPr>
              <w:rFonts w:ascii="Calibri" w:hAnsi="Calibri" w:cs="Calibri"/>
              <w:sz w:val="22"/>
              <w:szCs w:val="22"/>
            </w:rPr>
          </w:pPr>
          <w:r>
            <w:rPr>
              <w:lang w:val="en-US" w:eastAsia="en-US"/>
            </w:rPr>
            <w:t>I.3.3.4</w:t>
          </w:r>
          <w:r>
            <w:rPr>
              <w:rFonts w:cs="Calibri" w:ascii="Calibri" w:hAnsi="Calibri"/>
              <w:sz w:val="22"/>
              <w:szCs w:val="22"/>
            </w:rPr>
            <w:tab/>
          </w:r>
          <w:r>
            <w:rPr>
              <w:lang w:val="en-US" w:eastAsia="en-US"/>
            </w:rPr>
            <w:t>E-UTRA TDD</w:t>
          </w:r>
          <w:r>
            <w:rPr/>
            <w:tab/>
          </w:r>
          <w:hyperlink w:anchor="__RefHeading___Toc68601478">
            <w:r>
              <w:rPr>
                <w:rStyle w:val="IndexLink"/>
              </w:rPr>
              <w:t>256</w:t>
            </w:r>
          </w:hyperlink>
        </w:p>
        <w:p>
          <w:pPr>
            <w:pStyle w:val="Contents8"/>
            <w:rPr>
              <w:rFonts w:ascii="Calibri" w:hAnsi="Calibri" w:cs="Calibri"/>
              <w:b w:val="false"/>
              <w:b w:val="false"/>
              <w:szCs w:val="22"/>
            </w:rPr>
          </w:pPr>
          <w:r>
            <w:rPr/>
            <w:t>Annex J (informative): Recommended performance for LME</w:t>
            <w:tab/>
          </w:r>
          <w:hyperlink w:anchor="__RefHeading___Toc68601479">
            <w:r>
              <w:rPr>
                <w:rStyle w:val="IndexLink"/>
              </w:rPr>
              <w:t>256</w:t>
            </w:r>
          </w:hyperlink>
        </w:p>
        <w:p>
          <w:pPr>
            <w:pStyle w:val="Contents2"/>
            <w:rPr>
              <w:rFonts w:ascii="Calibri" w:hAnsi="Calibri" w:cs="Calibri"/>
              <w:sz w:val="22"/>
              <w:szCs w:val="22"/>
            </w:rPr>
          </w:pPr>
          <w:r>
            <w:rPr/>
            <w:t>J.1</w:t>
          </w:r>
          <w:r>
            <w:rPr>
              <w:rFonts w:cs="Calibri" w:ascii="Calibri" w:hAnsi="Calibri"/>
              <w:sz w:val="22"/>
              <w:szCs w:val="22"/>
            </w:rPr>
            <w:tab/>
          </w:r>
          <w:r>
            <w:rPr/>
            <w:t>General</w:t>
            <w:tab/>
          </w:r>
          <w:hyperlink w:anchor="__RefHeading___Toc68601480">
            <w:r>
              <w:rPr>
                <w:rStyle w:val="IndexLink"/>
              </w:rPr>
              <w:t>256</w:t>
            </w:r>
          </w:hyperlink>
        </w:p>
        <w:p>
          <w:pPr>
            <w:pStyle w:val="Contents2"/>
            <w:rPr>
              <w:rFonts w:ascii="Calibri" w:hAnsi="Calibri" w:cs="Calibri"/>
              <w:sz w:val="22"/>
              <w:szCs w:val="22"/>
            </w:rPr>
          </w:pPr>
          <w:r>
            <w:rPr/>
            <w:t>J.2</w:t>
          </w:r>
          <w:r>
            <w:rPr>
              <w:rFonts w:cs="Calibri" w:ascii="Calibri" w:hAnsi="Calibri"/>
              <w:sz w:val="22"/>
              <w:szCs w:val="22"/>
            </w:rPr>
            <w:tab/>
          </w:r>
          <w:r>
            <w:rPr/>
            <w:t>Total Radiated Power</w:t>
            <w:tab/>
          </w:r>
          <w:hyperlink w:anchor="__RefHeading___Toc68601481">
            <w:r>
              <w:rPr>
                <w:rStyle w:val="IndexLink"/>
              </w:rPr>
              <w:t>256</w:t>
            </w:r>
          </w:hyperlink>
        </w:p>
        <w:p>
          <w:pPr>
            <w:pStyle w:val="Contents3"/>
            <w:rPr>
              <w:rFonts w:ascii="Calibri" w:hAnsi="Calibri" w:cs="Calibri"/>
              <w:sz w:val="22"/>
              <w:szCs w:val="22"/>
            </w:rPr>
          </w:pPr>
          <w:r>
            <w:rPr>
              <w:rFonts w:eastAsia="PMingLiU;新細明體"/>
              <w:lang w:val="en-US" w:eastAsia="en-US"/>
            </w:rPr>
            <w:t>J</w:t>
          </w:r>
          <w:r>
            <w:rPr>
              <w:rFonts w:eastAsia="PMingLiU;新細明體"/>
            </w:rPr>
            <w:t>.2.</w:t>
          </w:r>
          <w:r>
            <w:rPr>
              <w:rFonts w:eastAsia="PMingLiU;新細明體"/>
              <w:lang w:val="en-US" w:eastAsia="en-US"/>
            </w:rPr>
            <w:t>1</w:t>
          </w:r>
          <w:r>
            <w:rPr>
              <w:rFonts w:cs="Calibri" w:ascii="Calibri" w:hAnsi="Calibri"/>
              <w:sz w:val="22"/>
              <w:szCs w:val="22"/>
            </w:rPr>
            <w:tab/>
          </w:r>
          <w:r>
            <w:rPr>
              <w:rFonts w:eastAsia="PMingLiU;新細明體"/>
            </w:rPr>
            <w:t>UTRA FDD</w:t>
          </w:r>
          <w:r>
            <w:rPr/>
            <w:tab/>
          </w:r>
          <w:hyperlink w:anchor="__RefHeading___Toc68601482">
            <w:r>
              <w:rPr>
                <w:rStyle w:val="IndexLink"/>
              </w:rPr>
              <w:t>256</w:t>
            </w:r>
          </w:hyperlink>
        </w:p>
        <w:p>
          <w:pPr>
            <w:pStyle w:val="Contents3"/>
            <w:rPr>
              <w:rFonts w:ascii="Calibri" w:hAnsi="Calibri" w:cs="Calibri"/>
              <w:sz w:val="22"/>
              <w:szCs w:val="22"/>
            </w:rPr>
          </w:pPr>
          <w:r>
            <w:rPr>
              <w:rFonts w:eastAsia="PMingLiU;新細明體"/>
              <w:lang w:val="en-US" w:eastAsia="en-US"/>
            </w:rPr>
            <w:t>J.2.2</w:t>
          </w:r>
          <w:r>
            <w:rPr>
              <w:rFonts w:cs="Calibri" w:ascii="Calibri" w:hAnsi="Calibri"/>
              <w:sz w:val="22"/>
              <w:szCs w:val="22"/>
            </w:rPr>
            <w:tab/>
          </w:r>
          <w:r>
            <w:rPr>
              <w:rFonts w:eastAsia="PMingLiU;新細明體"/>
              <w:lang w:val="en-US" w:eastAsia="en-US"/>
            </w:rPr>
            <w:t>UTRA LCR TDD</w:t>
          </w:r>
          <w:r>
            <w:rPr/>
            <w:tab/>
          </w:r>
          <w:hyperlink w:anchor="__RefHeading___Toc68601483">
            <w:r>
              <w:rPr>
                <w:rStyle w:val="IndexLink"/>
              </w:rPr>
              <w:t>257</w:t>
            </w:r>
          </w:hyperlink>
        </w:p>
        <w:p>
          <w:pPr>
            <w:pStyle w:val="Contents3"/>
            <w:rPr>
              <w:rFonts w:ascii="Calibri" w:hAnsi="Calibri" w:cs="Calibri"/>
              <w:sz w:val="22"/>
              <w:szCs w:val="22"/>
            </w:rPr>
          </w:pPr>
          <w:r>
            <w:rPr>
              <w:rFonts w:eastAsia="PMingLiU;新細明體"/>
              <w:lang w:val="en-US" w:eastAsia="en-US"/>
            </w:rPr>
            <w:t>J.2.3</w:t>
          </w:r>
          <w:r>
            <w:rPr>
              <w:rFonts w:cs="Calibri" w:ascii="Calibri" w:hAnsi="Calibri"/>
              <w:sz w:val="22"/>
              <w:szCs w:val="22"/>
            </w:rPr>
            <w:tab/>
          </w:r>
          <w:r>
            <w:rPr>
              <w:rFonts w:eastAsia="PMingLiU;新細明體"/>
              <w:lang w:val="en-US" w:eastAsia="en-US"/>
            </w:rPr>
            <w:t>E-UTRA FDD</w:t>
          </w:r>
          <w:r>
            <w:rPr/>
            <w:tab/>
          </w:r>
          <w:hyperlink w:anchor="__RefHeading___Toc68601484">
            <w:r>
              <w:rPr>
                <w:rStyle w:val="IndexLink"/>
              </w:rPr>
              <w:t>257</w:t>
            </w:r>
          </w:hyperlink>
        </w:p>
        <w:p>
          <w:pPr>
            <w:pStyle w:val="Contents3"/>
            <w:rPr>
              <w:rFonts w:ascii="Calibri" w:hAnsi="Calibri" w:cs="Calibri"/>
              <w:sz w:val="22"/>
              <w:szCs w:val="22"/>
            </w:rPr>
          </w:pPr>
          <w:r>
            <w:rPr>
              <w:rFonts w:eastAsia="PMingLiU;新細明體"/>
              <w:lang w:val="en-US" w:eastAsia="en-US"/>
            </w:rPr>
            <w:t>J.2.4</w:t>
          </w:r>
          <w:r>
            <w:rPr>
              <w:rFonts w:cs="Calibri" w:ascii="Calibri" w:hAnsi="Calibri"/>
              <w:sz w:val="22"/>
              <w:szCs w:val="22"/>
            </w:rPr>
            <w:tab/>
          </w:r>
          <w:r>
            <w:rPr>
              <w:rFonts w:eastAsia="PMingLiU;新細明體"/>
              <w:lang w:val="en-US" w:eastAsia="en-US"/>
            </w:rPr>
            <w:t>E-UTRA TDD</w:t>
          </w:r>
          <w:r>
            <w:rPr/>
            <w:tab/>
          </w:r>
          <w:hyperlink w:anchor="__RefHeading___Toc68601485">
            <w:r>
              <w:rPr>
                <w:rStyle w:val="IndexLink"/>
              </w:rPr>
              <w:t>257</w:t>
            </w:r>
          </w:hyperlink>
        </w:p>
        <w:p>
          <w:pPr>
            <w:pStyle w:val="Contents2"/>
            <w:rPr>
              <w:rFonts w:ascii="Calibri" w:hAnsi="Calibri" w:cs="Calibri"/>
              <w:sz w:val="22"/>
              <w:szCs w:val="22"/>
            </w:rPr>
          </w:pPr>
          <w:r>
            <w:rPr/>
            <w:t>J.3</w:t>
          </w:r>
          <w:r>
            <w:rPr>
              <w:rFonts w:cs="Calibri" w:ascii="Calibri" w:hAnsi="Calibri"/>
              <w:sz w:val="22"/>
              <w:szCs w:val="22"/>
            </w:rPr>
            <w:tab/>
          </w:r>
          <w:r>
            <w:rPr/>
            <w:t>Total Radiated Sensitivity</w:t>
            <w:tab/>
          </w:r>
          <w:hyperlink w:anchor="__RefHeading___Toc68601486">
            <w:r>
              <w:rPr>
                <w:rStyle w:val="IndexLink"/>
              </w:rPr>
              <w:t>257</w:t>
            </w:r>
          </w:hyperlink>
        </w:p>
        <w:p>
          <w:pPr>
            <w:pStyle w:val="Contents3"/>
            <w:rPr>
              <w:rFonts w:ascii="Calibri" w:hAnsi="Calibri" w:cs="Calibri"/>
              <w:sz w:val="22"/>
              <w:szCs w:val="22"/>
            </w:rPr>
          </w:pPr>
          <w:r>
            <w:rPr>
              <w:rFonts w:eastAsia="PMingLiU;新細明體"/>
              <w:lang w:val="en-US" w:eastAsia="en-US"/>
            </w:rPr>
            <w:t>J.3.1</w:t>
          </w:r>
          <w:r>
            <w:rPr>
              <w:rFonts w:cs="Calibri" w:ascii="Calibri" w:hAnsi="Calibri"/>
              <w:sz w:val="22"/>
              <w:szCs w:val="22"/>
            </w:rPr>
            <w:tab/>
          </w:r>
          <w:r>
            <w:rPr>
              <w:rFonts w:eastAsia="PMingLiU;新細明體"/>
              <w:lang w:val="en-US" w:eastAsia="en-US"/>
            </w:rPr>
            <w:t>UTRA FDD</w:t>
          </w:r>
          <w:r>
            <w:rPr/>
            <w:tab/>
          </w:r>
          <w:hyperlink w:anchor="__RefHeading___Toc68601487">
            <w:r>
              <w:rPr>
                <w:rStyle w:val="IndexLink"/>
              </w:rPr>
              <w:t>258</w:t>
            </w:r>
          </w:hyperlink>
        </w:p>
        <w:p>
          <w:pPr>
            <w:pStyle w:val="Contents3"/>
            <w:rPr>
              <w:rFonts w:ascii="Calibri" w:hAnsi="Calibri" w:cs="Calibri"/>
              <w:sz w:val="22"/>
              <w:szCs w:val="22"/>
            </w:rPr>
          </w:pPr>
          <w:r>
            <w:rPr>
              <w:rFonts w:eastAsia="PMingLiU;新細明體"/>
              <w:lang w:val="en-US" w:eastAsia="en-US"/>
            </w:rPr>
            <w:t>J.3.2</w:t>
          </w:r>
          <w:r>
            <w:rPr>
              <w:rFonts w:cs="Calibri" w:ascii="Calibri" w:hAnsi="Calibri"/>
              <w:sz w:val="22"/>
              <w:szCs w:val="22"/>
            </w:rPr>
            <w:tab/>
          </w:r>
          <w:r>
            <w:rPr>
              <w:rFonts w:eastAsia="PMingLiU;新細明體"/>
              <w:lang w:val="en-US" w:eastAsia="en-US"/>
            </w:rPr>
            <w:t>UTRA LCR TDD</w:t>
          </w:r>
          <w:r>
            <w:rPr/>
            <w:tab/>
          </w:r>
          <w:hyperlink w:anchor="__RefHeading___Toc68601488">
            <w:r>
              <w:rPr>
                <w:rStyle w:val="IndexLink"/>
              </w:rPr>
              <w:t>258</w:t>
            </w:r>
          </w:hyperlink>
        </w:p>
        <w:p>
          <w:pPr>
            <w:pStyle w:val="Contents3"/>
            <w:rPr>
              <w:rFonts w:ascii="Calibri" w:hAnsi="Calibri" w:cs="Calibri"/>
              <w:sz w:val="22"/>
              <w:szCs w:val="22"/>
            </w:rPr>
          </w:pPr>
          <w:r>
            <w:rPr>
              <w:rFonts w:eastAsia="PMingLiU;新細明體"/>
              <w:lang w:val="en-US" w:eastAsia="en-US"/>
            </w:rPr>
            <w:t>J.3.3</w:t>
          </w:r>
          <w:r>
            <w:rPr>
              <w:rFonts w:cs="Calibri" w:ascii="Calibri" w:hAnsi="Calibri"/>
              <w:sz w:val="22"/>
              <w:szCs w:val="22"/>
            </w:rPr>
            <w:tab/>
          </w:r>
          <w:r>
            <w:rPr>
              <w:rFonts w:eastAsia="PMingLiU;新細明體"/>
              <w:lang w:val="en-US" w:eastAsia="en-US"/>
            </w:rPr>
            <w:t>E-UTRA FDD</w:t>
          </w:r>
          <w:r>
            <w:rPr/>
            <w:tab/>
          </w:r>
          <w:hyperlink w:anchor="__RefHeading___Toc68601489">
            <w:r>
              <w:rPr>
                <w:rStyle w:val="IndexLink"/>
              </w:rPr>
              <w:t>258</w:t>
            </w:r>
          </w:hyperlink>
        </w:p>
        <w:p>
          <w:pPr>
            <w:pStyle w:val="Contents3"/>
            <w:rPr>
              <w:rFonts w:ascii="Calibri" w:hAnsi="Calibri" w:cs="Calibri"/>
              <w:sz w:val="22"/>
              <w:szCs w:val="22"/>
            </w:rPr>
          </w:pPr>
          <w:r>
            <w:rPr>
              <w:rFonts w:eastAsia="PMingLiU;新細明體"/>
              <w:lang w:val="en-US" w:eastAsia="en-US"/>
            </w:rPr>
            <w:t>J.3.4</w:t>
          </w:r>
          <w:r>
            <w:rPr>
              <w:rFonts w:cs="Calibri" w:ascii="Calibri" w:hAnsi="Calibri"/>
              <w:sz w:val="22"/>
              <w:szCs w:val="22"/>
            </w:rPr>
            <w:tab/>
          </w:r>
          <w:r>
            <w:rPr>
              <w:rFonts w:eastAsia="PMingLiU;新細明體"/>
              <w:lang w:val="en-US" w:eastAsia="en-US"/>
            </w:rPr>
            <w:t>E-UTRA TDD</w:t>
          </w:r>
          <w:r>
            <w:rPr/>
            <w:tab/>
          </w:r>
          <w:hyperlink w:anchor="__RefHeading___Toc68601490">
            <w:r>
              <w:rPr>
                <w:rStyle w:val="IndexLink"/>
              </w:rPr>
              <w:t>258</w:t>
            </w:r>
          </w:hyperlink>
        </w:p>
        <w:p>
          <w:pPr>
            <w:pStyle w:val="Contents8"/>
            <w:rPr>
              <w:rFonts w:ascii="Calibri" w:hAnsi="Calibri" w:cs="Calibri"/>
              <w:b w:val="false"/>
              <w:b w:val="false"/>
              <w:szCs w:val="22"/>
            </w:rPr>
          </w:pPr>
          <w:r>
            <w:rPr/>
            <w:t>Annex K (informative): Recommended performance for LEE</w:t>
            <w:tab/>
          </w:r>
          <w:hyperlink w:anchor="__RefHeading___Toc68601491">
            <w:r>
              <w:rPr>
                <w:rStyle w:val="IndexLink"/>
              </w:rPr>
              <w:t>258</w:t>
            </w:r>
          </w:hyperlink>
        </w:p>
        <w:p>
          <w:pPr>
            <w:pStyle w:val="Contents2"/>
            <w:rPr>
              <w:rFonts w:ascii="Calibri" w:hAnsi="Calibri" w:cs="Calibri"/>
              <w:sz w:val="22"/>
              <w:szCs w:val="22"/>
            </w:rPr>
          </w:pPr>
          <w:r>
            <w:rPr/>
            <w:t>K.1</w:t>
          </w:r>
          <w:r>
            <w:rPr>
              <w:rFonts w:cs="Calibri" w:ascii="Calibri" w:hAnsi="Calibri"/>
              <w:sz w:val="22"/>
              <w:szCs w:val="22"/>
            </w:rPr>
            <w:tab/>
          </w:r>
          <w:r>
            <w:rPr/>
            <w:t>General</w:t>
            <w:tab/>
          </w:r>
          <w:hyperlink w:anchor="__RefHeading___Toc68601492">
            <w:r>
              <w:rPr>
                <w:rStyle w:val="IndexLink"/>
              </w:rPr>
              <w:t>258</w:t>
            </w:r>
          </w:hyperlink>
        </w:p>
        <w:p>
          <w:pPr>
            <w:pStyle w:val="Contents2"/>
            <w:rPr>
              <w:rFonts w:ascii="Calibri" w:hAnsi="Calibri" w:cs="Calibri"/>
              <w:sz w:val="22"/>
              <w:szCs w:val="22"/>
            </w:rPr>
          </w:pPr>
          <w:r>
            <w:rPr/>
            <w:t>K.2</w:t>
          </w:r>
          <w:r>
            <w:rPr>
              <w:rFonts w:cs="Calibri" w:ascii="Calibri" w:hAnsi="Calibri"/>
              <w:sz w:val="22"/>
              <w:szCs w:val="22"/>
            </w:rPr>
            <w:tab/>
          </w:r>
          <w:r>
            <w:rPr/>
            <w:t>Total Radiated Power</w:t>
            <w:tab/>
          </w:r>
          <w:hyperlink w:anchor="__RefHeading___Toc68601493">
            <w:r>
              <w:rPr>
                <w:rStyle w:val="IndexLink"/>
              </w:rPr>
              <w:t>259</w:t>
            </w:r>
          </w:hyperlink>
        </w:p>
        <w:p>
          <w:pPr>
            <w:pStyle w:val="Contents3"/>
            <w:rPr>
              <w:rFonts w:ascii="Calibri" w:hAnsi="Calibri" w:cs="Calibri"/>
              <w:sz w:val="22"/>
              <w:szCs w:val="22"/>
            </w:rPr>
          </w:pPr>
          <w:r>
            <w:rPr/>
            <w:t>K.2.1</w:t>
          </w:r>
          <w:r>
            <w:rPr>
              <w:rFonts w:cs="Calibri" w:ascii="Calibri" w:hAnsi="Calibri"/>
              <w:sz w:val="22"/>
              <w:szCs w:val="22"/>
            </w:rPr>
            <w:tab/>
          </w:r>
          <w:r>
            <w:rPr/>
            <w:t>UTRA FDD</w:t>
            <w:tab/>
          </w:r>
          <w:hyperlink w:anchor="__RefHeading___Toc68601494">
            <w:r>
              <w:rPr>
                <w:rStyle w:val="IndexLink"/>
              </w:rPr>
              <w:t>259</w:t>
            </w:r>
          </w:hyperlink>
        </w:p>
        <w:p>
          <w:pPr>
            <w:pStyle w:val="Contents3"/>
            <w:rPr>
              <w:rFonts w:ascii="Calibri" w:hAnsi="Calibri" w:cs="Calibri"/>
              <w:sz w:val="22"/>
              <w:szCs w:val="22"/>
            </w:rPr>
          </w:pPr>
          <w:r>
            <w:rPr/>
            <w:t>K.2.2</w:t>
          </w:r>
          <w:r>
            <w:rPr>
              <w:rFonts w:cs="Calibri" w:ascii="Calibri" w:hAnsi="Calibri"/>
              <w:sz w:val="22"/>
              <w:szCs w:val="22"/>
            </w:rPr>
            <w:tab/>
          </w:r>
          <w:r>
            <w:rPr/>
            <w:t>UTRA LCR TDD</w:t>
            <w:tab/>
          </w:r>
          <w:hyperlink w:anchor="__RefHeading___Toc68601495">
            <w:r>
              <w:rPr>
                <w:rStyle w:val="IndexLink"/>
              </w:rPr>
              <w:t>260</w:t>
            </w:r>
          </w:hyperlink>
        </w:p>
        <w:p>
          <w:pPr>
            <w:pStyle w:val="Contents3"/>
            <w:rPr>
              <w:rFonts w:ascii="Calibri" w:hAnsi="Calibri" w:cs="Calibri"/>
              <w:sz w:val="22"/>
              <w:szCs w:val="22"/>
            </w:rPr>
          </w:pPr>
          <w:r>
            <w:rPr/>
            <w:t>K.2.3</w:t>
          </w:r>
          <w:r>
            <w:rPr>
              <w:rFonts w:cs="Calibri" w:ascii="Calibri" w:hAnsi="Calibri"/>
              <w:sz w:val="22"/>
              <w:szCs w:val="22"/>
            </w:rPr>
            <w:tab/>
          </w:r>
          <w:r>
            <w:rPr/>
            <w:t>E-UTRA FDD</w:t>
            <w:tab/>
          </w:r>
          <w:hyperlink w:anchor="__RefHeading___Toc68601496">
            <w:r>
              <w:rPr>
                <w:rStyle w:val="IndexLink"/>
              </w:rPr>
              <w:t>260</w:t>
            </w:r>
          </w:hyperlink>
        </w:p>
        <w:p>
          <w:pPr>
            <w:pStyle w:val="Contents3"/>
            <w:rPr>
              <w:rFonts w:ascii="Calibri" w:hAnsi="Calibri" w:cs="Calibri"/>
              <w:sz w:val="22"/>
              <w:szCs w:val="22"/>
            </w:rPr>
          </w:pPr>
          <w:r>
            <w:rPr/>
            <w:t>K.2.4</w:t>
          </w:r>
          <w:r>
            <w:rPr>
              <w:rFonts w:cs="Calibri" w:ascii="Calibri" w:hAnsi="Calibri"/>
              <w:sz w:val="22"/>
              <w:szCs w:val="22"/>
            </w:rPr>
            <w:tab/>
          </w:r>
          <w:r>
            <w:rPr/>
            <w:t>E-UTRA TDD</w:t>
            <w:tab/>
          </w:r>
          <w:hyperlink w:anchor="__RefHeading___Toc68601497">
            <w:r>
              <w:rPr>
                <w:rStyle w:val="IndexLink"/>
              </w:rPr>
              <w:t>260</w:t>
            </w:r>
          </w:hyperlink>
        </w:p>
        <w:p>
          <w:pPr>
            <w:pStyle w:val="Contents2"/>
            <w:rPr>
              <w:rFonts w:ascii="Calibri" w:hAnsi="Calibri" w:cs="Calibri"/>
              <w:sz w:val="22"/>
              <w:szCs w:val="22"/>
            </w:rPr>
          </w:pPr>
          <w:r>
            <w:rPr/>
            <w:t>K.3</w:t>
          </w:r>
          <w:r>
            <w:rPr>
              <w:rFonts w:cs="Calibri" w:ascii="Calibri" w:hAnsi="Calibri"/>
              <w:sz w:val="22"/>
              <w:szCs w:val="22"/>
            </w:rPr>
            <w:tab/>
          </w:r>
          <w:r>
            <w:rPr/>
            <w:t>Total Radiated Sensitivity</w:t>
            <w:tab/>
          </w:r>
          <w:hyperlink w:anchor="__RefHeading___Toc68601498">
            <w:r>
              <w:rPr>
                <w:rStyle w:val="IndexLink"/>
              </w:rPr>
              <w:t>260</w:t>
            </w:r>
          </w:hyperlink>
        </w:p>
        <w:p>
          <w:pPr>
            <w:pStyle w:val="Contents3"/>
            <w:rPr>
              <w:rFonts w:ascii="Calibri" w:hAnsi="Calibri" w:cs="Calibri"/>
              <w:sz w:val="22"/>
              <w:szCs w:val="22"/>
            </w:rPr>
          </w:pPr>
          <w:r>
            <w:rPr/>
            <w:t>K.3.1</w:t>
          </w:r>
          <w:r>
            <w:rPr>
              <w:rFonts w:cs="Calibri" w:ascii="Calibri" w:hAnsi="Calibri"/>
              <w:sz w:val="22"/>
              <w:szCs w:val="22"/>
            </w:rPr>
            <w:tab/>
          </w:r>
          <w:r>
            <w:rPr/>
            <w:t>UTRA FDD</w:t>
            <w:tab/>
          </w:r>
          <w:hyperlink w:anchor="__RefHeading___Toc68601499">
            <w:r>
              <w:rPr>
                <w:rStyle w:val="IndexLink"/>
              </w:rPr>
              <w:t>261</w:t>
            </w:r>
          </w:hyperlink>
        </w:p>
        <w:p>
          <w:pPr>
            <w:pStyle w:val="Contents3"/>
            <w:rPr>
              <w:rFonts w:ascii="Calibri" w:hAnsi="Calibri" w:cs="Calibri"/>
              <w:sz w:val="22"/>
              <w:szCs w:val="22"/>
            </w:rPr>
          </w:pPr>
          <w:r>
            <w:rPr/>
            <w:t>K.3.2</w:t>
          </w:r>
          <w:r>
            <w:rPr>
              <w:rFonts w:cs="Calibri" w:ascii="Calibri" w:hAnsi="Calibri"/>
              <w:sz w:val="22"/>
              <w:szCs w:val="22"/>
            </w:rPr>
            <w:tab/>
          </w:r>
          <w:r>
            <w:rPr/>
            <w:t>UTRA LCR TDD</w:t>
            <w:tab/>
          </w:r>
          <w:hyperlink w:anchor="__RefHeading___Toc68601500">
            <w:r>
              <w:rPr>
                <w:rStyle w:val="IndexLink"/>
              </w:rPr>
              <w:t>261</w:t>
            </w:r>
          </w:hyperlink>
        </w:p>
        <w:p>
          <w:pPr>
            <w:pStyle w:val="Contents3"/>
            <w:rPr>
              <w:rFonts w:ascii="Calibri" w:hAnsi="Calibri" w:cs="Calibri"/>
              <w:sz w:val="22"/>
              <w:szCs w:val="22"/>
            </w:rPr>
          </w:pPr>
          <w:r>
            <w:rPr/>
            <w:t>K.3.3</w:t>
          </w:r>
          <w:r>
            <w:rPr>
              <w:rFonts w:cs="Calibri" w:ascii="Calibri" w:hAnsi="Calibri"/>
              <w:sz w:val="22"/>
              <w:szCs w:val="22"/>
            </w:rPr>
            <w:tab/>
          </w:r>
          <w:r>
            <w:rPr/>
            <w:t>E-UTRA FDD</w:t>
            <w:tab/>
          </w:r>
          <w:hyperlink w:anchor="__RefHeading___Toc68601501">
            <w:r>
              <w:rPr>
                <w:rStyle w:val="IndexLink"/>
              </w:rPr>
              <w:t>262</w:t>
            </w:r>
          </w:hyperlink>
        </w:p>
        <w:p>
          <w:pPr>
            <w:pStyle w:val="Contents3"/>
            <w:rPr>
              <w:rFonts w:ascii="Calibri" w:hAnsi="Calibri" w:cs="Calibri"/>
              <w:sz w:val="22"/>
              <w:szCs w:val="22"/>
            </w:rPr>
          </w:pPr>
          <w:r>
            <w:rPr/>
            <w:t>K.3.4</w:t>
          </w:r>
          <w:r>
            <w:rPr>
              <w:rFonts w:cs="Calibri" w:ascii="Calibri" w:hAnsi="Calibri"/>
              <w:sz w:val="22"/>
              <w:szCs w:val="22"/>
            </w:rPr>
            <w:tab/>
          </w:r>
          <w:r>
            <w:rPr/>
            <w:t>E-UTRA TDD</w:t>
            <w:tab/>
          </w:r>
          <w:hyperlink w:anchor="__RefHeading___Toc68601502">
            <w:r>
              <w:rPr>
                <w:rStyle w:val="IndexLink"/>
              </w:rPr>
              <w:t>262</w:t>
            </w:r>
          </w:hyperlink>
        </w:p>
        <w:p>
          <w:pPr>
            <w:pStyle w:val="Contents8"/>
            <w:rPr>
              <w:rFonts w:ascii="Calibri" w:hAnsi="Calibri" w:cs="Calibri"/>
              <w:b w:val="false"/>
              <w:b w:val="false"/>
              <w:szCs w:val="22"/>
            </w:rPr>
          </w:pPr>
          <w:r>
            <w:rPr/>
            <w:t>Annex L (informative): Multi-Probe Anechoic Chamber Specification and Validation Method</w:t>
            <w:tab/>
          </w:r>
          <w:hyperlink w:anchor="__RefHeading___Toc68601503">
            <w:r>
              <w:rPr>
                <w:rStyle w:val="IndexLink"/>
              </w:rPr>
              <w:t>263</w:t>
            </w:r>
          </w:hyperlink>
        </w:p>
        <w:p>
          <w:pPr>
            <w:pStyle w:val="Contents2"/>
            <w:rPr>
              <w:rFonts w:ascii="Calibri" w:hAnsi="Calibri" w:cs="Calibri"/>
              <w:sz w:val="22"/>
              <w:szCs w:val="22"/>
            </w:rPr>
          </w:pPr>
          <w:r>
            <w:rPr/>
            <w:t>L.1</w:t>
          </w:r>
          <w:r>
            <w:rPr>
              <w:rFonts w:cs="Calibri" w:ascii="Calibri" w:hAnsi="Calibri"/>
              <w:sz w:val="22"/>
              <w:szCs w:val="22"/>
            </w:rPr>
            <w:tab/>
          </w:r>
          <w:r>
            <w:rPr/>
            <w:t>Multi-probe anechoic chamber specifications</w:t>
            <w:tab/>
          </w:r>
          <w:hyperlink w:anchor="__RefHeading___Toc68601504">
            <w:r>
              <w:rPr>
                <w:rStyle w:val="IndexLink"/>
              </w:rPr>
              <w:t>263</w:t>
            </w:r>
          </w:hyperlink>
        </w:p>
        <w:p>
          <w:pPr>
            <w:pStyle w:val="Contents2"/>
            <w:rPr>
              <w:rFonts w:ascii="Calibri" w:hAnsi="Calibri" w:cs="Calibri"/>
              <w:sz w:val="22"/>
              <w:szCs w:val="22"/>
            </w:rPr>
          </w:pPr>
          <w:r>
            <w:rPr/>
            <w:t>L.2</w:t>
          </w:r>
          <w:r>
            <w:rPr>
              <w:rFonts w:cs="Calibri" w:ascii="Calibri" w:hAnsi="Calibri"/>
              <w:sz w:val="22"/>
              <w:szCs w:val="22"/>
            </w:rPr>
            <w:tab/>
          </w:r>
          <w:r>
            <w:rPr/>
            <w:t>Multi-probe anechoic chamber minimum distance between the DUT and the measurement antenna</w:t>
            <w:tab/>
          </w:r>
          <w:hyperlink w:anchor="__RefHeading___Toc68601505">
            <w:r>
              <w:rPr>
                <w:rStyle w:val="IndexLink"/>
              </w:rPr>
              <w:t>263</w:t>
            </w:r>
          </w:hyperlink>
        </w:p>
        <w:p>
          <w:pPr>
            <w:pStyle w:val="Contents2"/>
            <w:rPr>
              <w:rFonts w:ascii="Calibri" w:hAnsi="Calibri" w:cs="Calibri"/>
              <w:sz w:val="22"/>
              <w:szCs w:val="22"/>
            </w:rPr>
          </w:pPr>
          <w:r>
            <w:rPr/>
            <w:t>L.3</w:t>
          </w:r>
          <w:r>
            <w:rPr>
              <w:rFonts w:cs="Calibri" w:ascii="Calibri" w:hAnsi="Calibri"/>
              <w:sz w:val="22"/>
              <w:szCs w:val="22"/>
            </w:rPr>
            <w:tab/>
          </w:r>
          <w:r>
            <w:rPr/>
            <w:t>Multi-probe anechoic chamber quiet zone reflectivity level validation</w:t>
            <w:tab/>
          </w:r>
          <w:hyperlink w:anchor="__RefHeading___Toc68601506">
            <w:r>
              <w:rPr>
                <w:rStyle w:val="IndexLink"/>
              </w:rPr>
              <w:t>263</w:t>
            </w:r>
          </w:hyperlink>
        </w:p>
        <w:p>
          <w:pPr>
            <w:pStyle w:val="Contents2"/>
            <w:rPr>
              <w:rFonts w:ascii="Calibri" w:hAnsi="Calibri" w:cs="Calibri"/>
              <w:sz w:val="22"/>
              <w:szCs w:val="22"/>
            </w:rPr>
          </w:pPr>
          <w:r>
            <w:rPr/>
            <w:t>L.4</w:t>
          </w:r>
          <w:r>
            <w:rPr>
              <w:rFonts w:cs="Calibri" w:ascii="Calibri" w:hAnsi="Calibri"/>
              <w:sz w:val="22"/>
              <w:szCs w:val="22"/>
            </w:rPr>
            <w:tab/>
          </w:r>
          <w:r>
            <w:rPr/>
            <w:t>Multi-probe anechoic chamber channel model verification</w:t>
            <w:tab/>
          </w:r>
          <w:hyperlink w:anchor="__RefHeading___Toc68601507">
            <w:r>
              <w:rPr>
                <w:rStyle w:val="IndexLink"/>
              </w:rPr>
              <w:t>263</w:t>
            </w:r>
          </w:hyperlink>
        </w:p>
        <w:p>
          <w:pPr>
            <w:pStyle w:val="Contents8"/>
            <w:rPr>
              <w:rFonts w:ascii="Calibri" w:hAnsi="Calibri" w:cs="Calibri"/>
              <w:b w:val="false"/>
              <w:b w:val="false"/>
              <w:szCs w:val="22"/>
            </w:rPr>
          </w:pPr>
          <w:r>
            <w:rPr/>
            <w:t>Annex M (normative): Channel Model emulation of the Base Station antenna pattern configuration for Radiated Performance of Multiple-antenna Receivers</w:t>
            <w:tab/>
          </w:r>
          <w:hyperlink w:anchor="__RefHeading___Toc68601508">
            <w:r>
              <w:rPr>
                <w:rStyle w:val="IndexLink"/>
              </w:rPr>
              <w:t>264</w:t>
            </w:r>
          </w:hyperlink>
        </w:p>
        <w:p>
          <w:pPr>
            <w:pStyle w:val="Contents1"/>
            <w:rPr>
              <w:rFonts w:ascii="Calibri" w:hAnsi="Calibri" w:cs="Calibri"/>
              <w:szCs w:val="22"/>
            </w:rPr>
          </w:pPr>
          <w:r>
            <w:rPr/>
            <w:t>M.1</w:t>
          </w:r>
          <w:r>
            <w:rPr>
              <w:rFonts w:cs="Calibri" w:ascii="Calibri" w:hAnsi="Calibri"/>
              <w:szCs w:val="22"/>
            </w:rPr>
            <w:tab/>
          </w:r>
          <w:r>
            <w:rPr/>
            <w:t>Channel Model(s)</w:t>
            <w:tab/>
          </w:r>
          <w:hyperlink w:anchor="__RefHeading___Toc68601509">
            <w:r>
              <w:rPr>
                <w:rStyle w:val="IndexLink"/>
              </w:rPr>
              <w:t>264</w:t>
            </w:r>
          </w:hyperlink>
        </w:p>
        <w:p>
          <w:pPr>
            <w:pStyle w:val="Contents1"/>
            <w:rPr>
              <w:rFonts w:ascii="Calibri" w:hAnsi="Calibri" w:cs="Calibri"/>
              <w:szCs w:val="22"/>
            </w:rPr>
          </w:pPr>
          <w:r>
            <w:rPr/>
            <w:t>M.2</w:t>
          </w:r>
          <w:r>
            <w:rPr>
              <w:rFonts w:cs="Calibri" w:ascii="Calibri" w:hAnsi="Calibri"/>
              <w:szCs w:val="22"/>
            </w:rPr>
            <w:tab/>
          </w:r>
          <w:r>
            <w:rPr/>
            <w:t>Base Station antenna pattern configuration</w:t>
            <w:tab/>
          </w:r>
          <w:hyperlink w:anchor="__RefHeading___Toc68601510">
            <w:r>
              <w:rPr>
                <w:rStyle w:val="IndexLink"/>
              </w:rPr>
              <w:t>265</w:t>
            </w:r>
          </w:hyperlink>
        </w:p>
        <w:p>
          <w:pPr>
            <w:pStyle w:val="Contents8"/>
            <w:rPr>
              <w:rFonts w:ascii="Calibri" w:hAnsi="Calibri" w:cs="Calibri"/>
              <w:b w:val="false"/>
              <w:b w:val="false"/>
              <w:szCs w:val="22"/>
            </w:rPr>
          </w:pPr>
          <w:r>
            <w:rPr/>
            <w:t xml:space="preserve">Annex </w:t>
          </w:r>
          <w:r>
            <w:rPr>
              <w:rFonts w:eastAsia="PMingLiU;新細明體"/>
              <w:lang w:val="en-US" w:eastAsia="en-US"/>
            </w:rPr>
            <w:t>N</w:t>
          </w:r>
          <w:r>
            <w:rPr/>
            <w:t xml:space="preserve"> (informative): Estimation of measurement uncertainty for Multiple-antenna receivers</w:t>
            <w:tab/>
          </w:r>
          <w:hyperlink w:anchor="__RefHeading___Toc68601511">
            <w:r>
              <w:rPr>
                <w:rStyle w:val="IndexLink"/>
              </w:rPr>
              <w:t>265</w:t>
            </w:r>
          </w:hyperlink>
        </w:p>
        <w:p>
          <w:pPr>
            <w:pStyle w:val="Contents1"/>
            <w:rPr>
              <w:rFonts w:ascii="Calibri" w:hAnsi="Calibri" w:cs="Calibri"/>
              <w:szCs w:val="22"/>
            </w:rPr>
          </w:pPr>
          <w:r>
            <w:rPr>
              <w:rFonts w:eastAsia="PMingLiU;新細明體"/>
              <w:lang w:val="en-US" w:eastAsia="en-US"/>
            </w:rPr>
            <w:t>N</w:t>
          </w:r>
          <w:r>
            <w:rPr/>
            <w:t>.1</w:t>
          </w:r>
          <w:r>
            <w:rPr>
              <w:rFonts w:cs="Calibri" w:ascii="Calibri" w:hAnsi="Calibri"/>
              <w:szCs w:val="22"/>
            </w:rPr>
            <w:tab/>
          </w:r>
          <w:r>
            <w:rPr/>
            <w:t>General</w:t>
            <w:tab/>
          </w:r>
          <w:hyperlink w:anchor="__RefHeading___Toc68601512">
            <w:r>
              <w:rPr>
                <w:rStyle w:val="IndexLink"/>
              </w:rPr>
              <w:t>265</w:t>
            </w:r>
          </w:hyperlink>
        </w:p>
        <w:p>
          <w:pPr>
            <w:pStyle w:val="Contents1"/>
            <w:rPr>
              <w:rFonts w:ascii="Calibri" w:hAnsi="Calibri" w:cs="Calibri"/>
              <w:szCs w:val="22"/>
            </w:rPr>
          </w:pPr>
          <w:r>
            <w:rPr>
              <w:rFonts w:eastAsia="PMingLiU;新細明體"/>
              <w:lang w:val="en-US" w:eastAsia="en-US"/>
            </w:rPr>
            <w:t>N</w:t>
          </w:r>
          <w:r>
            <w:rPr/>
            <w:t>.2</w:t>
          </w:r>
          <w:r>
            <w:rPr>
              <w:rFonts w:cs="Calibri" w:ascii="Calibri" w:hAnsi="Calibri"/>
              <w:szCs w:val="22"/>
            </w:rPr>
            <w:tab/>
          </w:r>
          <w:r>
            <w:rPr/>
            <w:t>Fading channel emulator output uncertainty</w:t>
            <w:tab/>
          </w:r>
          <w:hyperlink w:anchor="__RefHeading___Toc68601513">
            <w:r>
              <w:rPr>
                <w:rStyle w:val="IndexLink"/>
              </w:rPr>
              <w:t>268</w:t>
            </w:r>
          </w:hyperlink>
        </w:p>
        <w:p>
          <w:pPr>
            <w:pStyle w:val="Contents1"/>
            <w:rPr>
              <w:rFonts w:ascii="Calibri" w:hAnsi="Calibri" w:cs="Calibri"/>
              <w:szCs w:val="22"/>
            </w:rPr>
          </w:pPr>
          <w:r>
            <w:rPr>
              <w:rFonts w:eastAsia="PMingLiU;新細明體"/>
              <w:lang w:val="en-US" w:eastAsia="en-US"/>
            </w:rPr>
            <w:t>N</w:t>
          </w:r>
          <w:r>
            <w:rPr/>
            <w:t>.3</w:t>
          </w:r>
          <w:r>
            <w:rPr>
              <w:rFonts w:cs="Calibri" w:ascii="Calibri" w:hAnsi="Calibri"/>
              <w:szCs w:val="22"/>
            </w:rPr>
            <w:tab/>
          </w:r>
          <w:r>
            <w:rPr/>
            <w:t>External Amplifiers Uncertainty Terms</w:t>
            <w:tab/>
          </w:r>
          <w:hyperlink w:anchor="__RefHeading___Toc68601514">
            <w:r>
              <w:rPr>
                <w:rStyle w:val="IndexLink"/>
              </w:rPr>
              <w:t>269</w:t>
            </w:r>
          </w:hyperlink>
        </w:p>
        <w:p>
          <w:pPr>
            <w:pStyle w:val="Contents2"/>
            <w:rPr>
              <w:rFonts w:ascii="Calibri" w:hAnsi="Calibri" w:cs="Calibri"/>
              <w:sz w:val="22"/>
              <w:szCs w:val="22"/>
            </w:rPr>
          </w:pPr>
          <w:r>
            <w:rPr>
              <w:rFonts w:eastAsia="PMingLiU;新細明體"/>
              <w:lang w:val="en-US" w:eastAsia="en-US"/>
            </w:rPr>
            <w:t>N</w:t>
          </w:r>
          <w:r>
            <w:rPr/>
            <w:t>.3.1</w:t>
          </w:r>
          <w:r>
            <w:rPr>
              <w:rFonts w:cs="Calibri" w:ascii="Calibri" w:hAnsi="Calibri"/>
              <w:sz w:val="22"/>
              <w:szCs w:val="22"/>
            </w:rPr>
            <w:tab/>
          </w:r>
          <w:r>
            <w:rPr/>
            <w:t>Stability</w:t>
            <w:tab/>
          </w:r>
          <w:hyperlink w:anchor="__RefHeading___Toc68601515">
            <w:r>
              <w:rPr>
                <w:rStyle w:val="IndexLink"/>
              </w:rPr>
              <w:t>269</w:t>
            </w:r>
          </w:hyperlink>
        </w:p>
        <w:p>
          <w:pPr>
            <w:pStyle w:val="Contents2"/>
            <w:rPr>
              <w:rFonts w:ascii="Calibri" w:hAnsi="Calibri" w:cs="Calibri"/>
              <w:sz w:val="22"/>
              <w:szCs w:val="22"/>
            </w:rPr>
          </w:pPr>
          <w:r>
            <w:rPr>
              <w:rFonts w:eastAsia="PMingLiU;新細明體"/>
              <w:lang w:val="en-US" w:eastAsia="en-US"/>
            </w:rPr>
            <w:t>N</w:t>
          </w:r>
          <w:r>
            <w:rPr/>
            <w:t>.3.2</w:t>
          </w:r>
          <w:r>
            <w:rPr>
              <w:rFonts w:cs="Calibri" w:ascii="Calibri" w:hAnsi="Calibri"/>
              <w:sz w:val="22"/>
              <w:szCs w:val="22"/>
            </w:rPr>
            <w:tab/>
          </w:r>
          <w:r>
            <w:rPr/>
            <w:t>Linearity</w:t>
            <w:tab/>
          </w:r>
          <w:hyperlink w:anchor="__RefHeading___Toc68601516">
            <w:r>
              <w:rPr>
                <w:rStyle w:val="IndexLink"/>
              </w:rPr>
              <w:t>269</w:t>
            </w:r>
          </w:hyperlink>
        </w:p>
        <w:p>
          <w:pPr>
            <w:pStyle w:val="Contents2"/>
            <w:rPr>
              <w:rFonts w:ascii="Calibri" w:hAnsi="Calibri" w:cs="Calibri"/>
              <w:sz w:val="22"/>
              <w:szCs w:val="22"/>
            </w:rPr>
          </w:pPr>
          <w:r>
            <w:rPr>
              <w:rFonts w:eastAsia="PMingLiU;新細明體"/>
              <w:lang w:val="en-US" w:eastAsia="en-US"/>
            </w:rPr>
            <w:t>N</w:t>
          </w:r>
          <w:r>
            <w:rPr/>
            <w:t>.3.3</w:t>
          </w:r>
          <w:r>
            <w:rPr>
              <w:rFonts w:cs="Calibri" w:ascii="Calibri" w:hAnsi="Calibri"/>
              <w:sz w:val="22"/>
              <w:szCs w:val="22"/>
            </w:rPr>
            <w:tab/>
          </w:r>
          <w:r>
            <w:rPr/>
            <w:t>Noise Figure</w:t>
            <w:tab/>
          </w:r>
          <w:hyperlink w:anchor="__RefHeading___Toc68601517">
            <w:r>
              <w:rPr>
                <w:rStyle w:val="IndexLink"/>
              </w:rPr>
              <w:t>269</w:t>
            </w:r>
          </w:hyperlink>
        </w:p>
        <w:p>
          <w:pPr>
            <w:pStyle w:val="Contents2"/>
            <w:rPr>
              <w:rFonts w:ascii="Calibri" w:hAnsi="Calibri" w:cs="Calibri"/>
              <w:sz w:val="22"/>
              <w:szCs w:val="22"/>
            </w:rPr>
          </w:pPr>
          <w:r>
            <w:rPr>
              <w:rFonts w:eastAsia="PMingLiU;新細明體"/>
              <w:lang w:val="en-US" w:eastAsia="en-US"/>
            </w:rPr>
            <w:t>N</w:t>
          </w:r>
          <w:r>
            <w:rPr/>
            <w:t>.3.4</w:t>
          </w:r>
          <w:r>
            <w:rPr>
              <w:rFonts w:cs="Calibri" w:ascii="Calibri" w:hAnsi="Calibri"/>
              <w:sz w:val="22"/>
              <w:szCs w:val="22"/>
            </w:rPr>
            <w:tab/>
          </w:r>
          <w:r>
            <w:rPr/>
            <w:t>Mismatch</w:t>
            <w:tab/>
          </w:r>
          <w:hyperlink w:anchor="__RefHeading___Toc68601518">
            <w:r>
              <w:rPr>
                <w:rStyle w:val="IndexLink"/>
              </w:rPr>
              <w:t>269</w:t>
            </w:r>
          </w:hyperlink>
        </w:p>
        <w:p>
          <w:pPr>
            <w:pStyle w:val="Contents2"/>
            <w:rPr>
              <w:rFonts w:ascii="Calibri" w:hAnsi="Calibri" w:cs="Calibri"/>
              <w:sz w:val="22"/>
              <w:szCs w:val="22"/>
            </w:rPr>
          </w:pPr>
          <w:r>
            <w:rPr>
              <w:rFonts w:eastAsia="PMingLiU;新細明體"/>
              <w:lang w:val="en-US" w:eastAsia="en-US"/>
            </w:rPr>
            <w:t>N</w:t>
          </w:r>
          <w:r>
            <w:rPr/>
            <w:t>.3.5</w:t>
          </w:r>
          <w:r>
            <w:rPr>
              <w:rFonts w:cs="Calibri" w:ascii="Calibri" w:hAnsi="Calibri"/>
              <w:sz w:val="22"/>
              <w:szCs w:val="22"/>
            </w:rPr>
            <w:tab/>
          </w:r>
          <w:r>
            <w:rPr/>
            <w:t>Gain</w:t>
            <w:tab/>
          </w:r>
          <w:hyperlink w:anchor="__RefHeading___Toc68601519">
            <w:r>
              <w:rPr>
                <w:rStyle w:val="IndexLink"/>
              </w:rPr>
              <w:t>269</w:t>
            </w:r>
          </w:hyperlink>
        </w:p>
        <w:p>
          <w:pPr>
            <w:pStyle w:val="Contents8"/>
            <w:rPr>
              <w:rFonts w:ascii="Calibri" w:hAnsi="Calibri" w:cs="Calibri"/>
              <w:b w:val="false"/>
              <w:b w:val="false"/>
              <w:szCs w:val="22"/>
            </w:rPr>
          </w:pPr>
          <w:r>
            <w:rPr/>
            <w:t>Annex O (normative): Environmental conditions</w:t>
            <w:tab/>
          </w:r>
          <w:hyperlink w:anchor="__RefHeading___Toc68601520">
            <w:r>
              <w:rPr>
                <w:rStyle w:val="IndexLink"/>
              </w:rPr>
              <w:t>270</w:t>
            </w:r>
          </w:hyperlink>
        </w:p>
        <w:p>
          <w:pPr>
            <w:pStyle w:val="Contents1"/>
            <w:rPr>
              <w:rFonts w:ascii="Calibri" w:hAnsi="Calibri" w:cs="Calibri"/>
              <w:szCs w:val="22"/>
            </w:rPr>
          </w:pPr>
          <w:r>
            <w:rPr/>
            <w:t>O.1</w:t>
          </w:r>
          <w:r>
            <w:rPr>
              <w:rFonts w:cs="Calibri" w:ascii="Calibri" w:hAnsi="Calibri"/>
              <w:szCs w:val="22"/>
            </w:rPr>
            <w:tab/>
          </w:r>
          <w:r>
            <w:rPr/>
            <w:t>General</w:t>
            <w:tab/>
          </w:r>
          <w:hyperlink w:anchor="__RefHeading___Toc68601521">
            <w:r>
              <w:rPr>
                <w:rStyle w:val="IndexLink"/>
              </w:rPr>
              <w:t>270</w:t>
            </w:r>
          </w:hyperlink>
        </w:p>
        <w:p>
          <w:pPr>
            <w:pStyle w:val="Contents1"/>
            <w:rPr>
              <w:rFonts w:ascii="Calibri" w:hAnsi="Calibri" w:cs="Calibri"/>
              <w:szCs w:val="22"/>
            </w:rPr>
          </w:pPr>
          <w:r>
            <w:rPr/>
            <w:t>O.2</w:t>
          </w:r>
          <w:r>
            <w:rPr>
              <w:rFonts w:cs="Calibri" w:ascii="Calibri" w:hAnsi="Calibri"/>
              <w:szCs w:val="22"/>
            </w:rPr>
            <w:tab/>
          </w:r>
          <w:r>
            <w:rPr/>
            <w:t>Environmental requirements</w:t>
            <w:tab/>
          </w:r>
          <w:hyperlink w:anchor="__RefHeading___Toc68601522">
            <w:r>
              <w:rPr>
                <w:rStyle w:val="IndexLink"/>
              </w:rPr>
              <w:t>270</w:t>
            </w:r>
          </w:hyperlink>
        </w:p>
        <w:p>
          <w:pPr>
            <w:pStyle w:val="Contents2"/>
            <w:rPr>
              <w:rFonts w:ascii="Calibri" w:hAnsi="Calibri" w:cs="Calibri"/>
              <w:sz w:val="22"/>
              <w:szCs w:val="22"/>
            </w:rPr>
          </w:pPr>
          <w:r>
            <w:rPr/>
            <w:t>O.2.1</w:t>
          </w:r>
          <w:r>
            <w:rPr>
              <w:rFonts w:cs="Calibri" w:ascii="Calibri" w:hAnsi="Calibri"/>
              <w:sz w:val="22"/>
              <w:szCs w:val="22"/>
            </w:rPr>
            <w:tab/>
          </w:r>
          <w:r>
            <w:rPr/>
            <w:t>Temperature</w:t>
            <w:tab/>
          </w:r>
          <w:hyperlink w:anchor="__RefHeading___Toc68601523">
            <w:r>
              <w:rPr>
                <w:rStyle w:val="IndexLink"/>
              </w:rPr>
              <w:t>270</w:t>
            </w:r>
          </w:hyperlink>
        </w:p>
        <w:p>
          <w:pPr>
            <w:pStyle w:val="Contents2"/>
            <w:rPr>
              <w:rFonts w:ascii="Calibri" w:hAnsi="Calibri" w:cs="Calibri"/>
              <w:sz w:val="22"/>
              <w:szCs w:val="22"/>
            </w:rPr>
          </w:pPr>
          <w:r>
            <w:rPr/>
            <w:t>O.2.2</w:t>
          </w:r>
          <w:r>
            <w:rPr>
              <w:rFonts w:cs="Calibri" w:ascii="Calibri" w:hAnsi="Calibri"/>
              <w:sz w:val="22"/>
              <w:szCs w:val="22"/>
            </w:rPr>
            <w:tab/>
          </w:r>
          <w:r>
            <w:rPr/>
            <w:t>Voltage</w:t>
            <w:tab/>
          </w:r>
          <w:hyperlink w:anchor="__RefHeading___Toc68601524">
            <w:r>
              <w:rPr>
                <w:rStyle w:val="IndexLink"/>
              </w:rPr>
              <w:t>270</w:t>
            </w:r>
          </w:hyperlink>
        </w:p>
        <w:p>
          <w:pPr>
            <w:pStyle w:val="Contents8"/>
            <w:rPr>
              <w:rFonts w:ascii="Calibri" w:hAnsi="Calibri" w:cs="Calibri"/>
              <w:b w:val="false"/>
              <w:b w:val="false"/>
              <w:szCs w:val="22"/>
            </w:rPr>
          </w:pPr>
          <w:r>
            <w:rPr/>
            <w:t>Annex P (normative): Base Station (BS) configuration for Radiated Performance of Multiple-antenna Receivers</w:t>
            <w:tab/>
          </w:r>
          <w:hyperlink w:anchor="__RefHeading___Toc68601525">
            <w:r>
              <w:rPr>
                <w:rStyle w:val="IndexLink"/>
              </w:rPr>
              <w:t>270</w:t>
            </w:r>
          </w:hyperlink>
        </w:p>
        <w:p>
          <w:pPr>
            <w:pStyle w:val="Contents1"/>
            <w:rPr>
              <w:rFonts w:ascii="Calibri" w:hAnsi="Calibri" w:cs="Calibri"/>
              <w:szCs w:val="22"/>
            </w:rPr>
          </w:pPr>
          <w:r>
            <w:rPr/>
            <w:t>P.1</w:t>
          </w:r>
          <w:r>
            <w:rPr>
              <w:rFonts w:cs="Calibri" w:ascii="Calibri" w:hAnsi="Calibri"/>
              <w:szCs w:val="22"/>
            </w:rPr>
            <w:tab/>
          </w:r>
          <w:r>
            <w:rPr/>
            <w:t>eNodeB emulator settings</w:t>
            <w:tab/>
          </w:r>
          <w:hyperlink w:anchor="__RefHeading___Toc68601526">
            <w:r>
              <w:rPr>
                <w:rStyle w:val="IndexLink"/>
              </w:rPr>
              <w:t>270</w:t>
            </w:r>
          </w:hyperlink>
        </w:p>
        <w:p>
          <w:pPr>
            <w:pStyle w:val="Contents8"/>
            <w:rPr>
              <w:rFonts w:ascii="Calibri" w:hAnsi="Calibri" w:cs="Calibri"/>
              <w:b w:val="false"/>
              <w:b w:val="false"/>
              <w:szCs w:val="22"/>
            </w:rPr>
          </w:pPr>
          <w:r>
            <w:rPr/>
            <w:t>Annex Q (informative): RTS Anechoic Chamber Specification and Validation Method</w:t>
            <w:tab/>
          </w:r>
          <w:hyperlink w:anchor="__RefHeading___Toc68601527">
            <w:r>
              <w:rPr>
                <w:rStyle w:val="IndexLink"/>
              </w:rPr>
              <w:t>273</w:t>
            </w:r>
          </w:hyperlink>
        </w:p>
        <w:p>
          <w:pPr>
            <w:pStyle w:val="Contents2"/>
            <w:rPr>
              <w:rFonts w:ascii="Calibri" w:hAnsi="Calibri" w:cs="Calibri"/>
              <w:sz w:val="22"/>
              <w:szCs w:val="22"/>
            </w:rPr>
          </w:pPr>
          <w:r>
            <w:rPr/>
            <w:t>Q.1</w:t>
          </w:r>
          <w:r>
            <w:rPr>
              <w:rFonts w:cs="Calibri" w:ascii="Calibri" w:hAnsi="Calibri"/>
              <w:sz w:val="22"/>
              <w:szCs w:val="22"/>
            </w:rPr>
            <w:tab/>
          </w:r>
          <w:r>
            <w:rPr/>
            <w:t>RTS anechoic chamber specifications</w:t>
            <w:tab/>
          </w:r>
          <w:hyperlink w:anchor="__RefHeading___Toc68601528">
            <w:r>
              <w:rPr>
                <w:rStyle w:val="IndexLink"/>
              </w:rPr>
              <w:t>273</w:t>
            </w:r>
          </w:hyperlink>
        </w:p>
        <w:p>
          <w:pPr>
            <w:pStyle w:val="Contents2"/>
            <w:rPr>
              <w:rFonts w:ascii="Calibri" w:hAnsi="Calibri" w:cs="Calibri"/>
              <w:sz w:val="22"/>
              <w:szCs w:val="22"/>
            </w:rPr>
          </w:pPr>
          <w:r>
            <w:rPr/>
            <w:t>Q.2</w:t>
          </w:r>
          <w:r>
            <w:rPr>
              <w:rFonts w:cs="Calibri" w:ascii="Calibri" w:hAnsi="Calibri"/>
              <w:sz w:val="22"/>
              <w:szCs w:val="22"/>
            </w:rPr>
            <w:tab/>
          </w:r>
          <w:r>
            <w:rPr/>
            <w:t>RTS anechoic chamber minimum distance between the DUT and the measurement antenna</w:t>
            <w:tab/>
          </w:r>
          <w:hyperlink w:anchor="__RefHeading___Toc68601529">
            <w:r>
              <w:rPr>
                <w:rStyle w:val="IndexLink"/>
              </w:rPr>
              <w:t>273</w:t>
            </w:r>
          </w:hyperlink>
        </w:p>
        <w:p>
          <w:pPr>
            <w:pStyle w:val="Contents2"/>
            <w:rPr>
              <w:rFonts w:ascii="Calibri" w:hAnsi="Calibri" w:cs="Calibri"/>
              <w:sz w:val="22"/>
              <w:szCs w:val="22"/>
            </w:rPr>
          </w:pPr>
          <w:r>
            <w:rPr/>
            <w:t>Q.3</w:t>
          </w:r>
          <w:r>
            <w:rPr>
              <w:rFonts w:cs="Calibri" w:ascii="Calibri" w:hAnsi="Calibri"/>
              <w:sz w:val="22"/>
              <w:szCs w:val="22"/>
            </w:rPr>
            <w:tab/>
          </w:r>
          <w:r>
            <w:rPr/>
            <w:t>RTS anechoic chamber quiet zone reflectivity level validation</w:t>
            <w:tab/>
          </w:r>
          <w:hyperlink w:anchor="__RefHeading___Toc68601530">
            <w:r>
              <w:rPr>
                <w:rStyle w:val="IndexLink"/>
              </w:rPr>
              <w:t>274</w:t>
            </w:r>
          </w:hyperlink>
        </w:p>
        <w:p>
          <w:pPr>
            <w:pStyle w:val="Contents2"/>
            <w:rPr>
              <w:rFonts w:ascii="Calibri" w:hAnsi="Calibri" w:cs="Calibri"/>
              <w:sz w:val="22"/>
              <w:szCs w:val="22"/>
            </w:rPr>
          </w:pPr>
          <w:r>
            <w:rPr/>
            <w:t>Q.4</w:t>
          </w:r>
          <w:r>
            <w:rPr>
              <w:rFonts w:cs="Calibri" w:ascii="Calibri" w:hAnsi="Calibri"/>
              <w:sz w:val="22"/>
              <w:szCs w:val="22"/>
            </w:rPr>
            <w:tab/>
          </w:r>
          <w:r>
            <w:rPr/>
            <w:t>RTS anechoic chamber channel model verification</w:t>
            <w:tab/>
          </w:r>
          <w:hyperlink w:anchor="__RefHeading___Toc68601531">
            <w:r>
              <w:rPr>
                <w:rStyle w:val="IndexLink"/>
              </w:rPr>
              <w:t>274</w:t>
            </w:r>
          </w:hyperlink>
        </w:p>
        <w:p>
          <w:pPr>
            <w:pStyle w:val="Contents8"/>
            <w:rPr>
              <w:rFonts w:ascii="Calibri" w:hAnsi="Calibri" w:cs="Calibri"/>
              <w:b w:val="false"/>
              <w:b w:val="false"/>
              <w:szCs w:val="22"/>
            </w:rPr>
          </w:pPr>
          <w:r>
            <w:rPr/>
            <w:t>Annex R: UE ATF Requirements</w:t>
            <w:tab/>
          </w:r>
          <w:hyperlink w:anchor="__RefHeading___Toc68601532">
            <w:r>
              <w:rPr>
                <w:rStyle w:val="IndexLink"/>
              </w:rPr>
              <w:t>274</w:t>
            </w:r>
          </w:hyperlink>
        </w:p>
        <w:p>
          <w:pPr>
            <w:pStyle w:val="Contents2"/>
            <w:rPr>
              <w:rFonts w:ascii="Calibri" w:hAnsi="Calibri" w:cs="Calibri"/>
              <w:sz w:val="22"/>
              <w:szCs w:val="22"/>
            </w:rPr>
          </w:pPr>
          <w:r>
            <w:rPr/>
            <w:t>R.1</w:t>
          </w:r>
          <w:r>
            <w:rPr>
              <w:rFonts w:cs="Calibri" w:ascii="Calibri" w:hAnsi="Calibri"/>
              <w:sz w:val="22"/>
              <w:szCs w:val="22"/>
            </w:rPr>
            <w:tab/>
          </w:r>
          <w:r>
            <w:rPr/>
            <w:t>RSAP</w:t>
            <w:tab/>
          </w:r>
          <w:hyperlink w:anchor="__RefHeading___Toc68601533">
            <w:r>
              <w:rPr>
                <w:rStyle w:val="IndexLink"/>
              </w:rPr>
              <w:t>274</w:t>
            </w:r>
          </w:hyperlink>
        </w:p>
        <w:p>
          <w:pPr>
            <w:pStyle w:val="Contents2"/>
            <w:rPr>
              <w:rFonts w:ascii="Calibri" w:hAnsi="Calibri" w:cs="Calibri"/>
              <w:sz w:val="22"/>
              <w:szCs w:val="22"/>
            </w:rPr>
          </w:pPr>
          <w:r>
            <w:rPr/>
            <w:t>R.2</w:t>
          </w:r>
          <w:r>
            <w:rPr>
              <w:rFonts w:cs="Calibri" w:ascii="Calibri" w:hAnsi="Calibri"/>
              <w:sz w:val="22"/>
              <w:szCs w:val="22"/>
            </w:rPr>
            <w:tab/>
          </w:r>
          <w:r>
            <w:rPr/>
            <w:t>RSARP</w:t>
            <w:tab/>
          </w:r>
          <w:hyperlink w:anchor="__RefHeading___Toc68601534">
            <w:r>
              <w:rPr>
                <w:rStyle w:val="IndexLink"/>
              </w:rPr>
              <w:t>274</w:t>
            </w:r>
          </w:hyperlink>
        </w:p>
        <w:p>
          <w:pPr>
            <w:pStyle w:val="Contents8"/>
            <w:rPr>
              <w:rFonts w:ascii="Calibri" w:hAnsi="Calibri" w:cs="Calibri"/>
              <w:szCs w:val="22"/>
            </w:rPr>
          </w:pPr>
          <w:r>
            <w:rPr>
              <w:rFonts w:eastAsia="SimSun;宋体"/>
              <w:b w:val="false"/>
            </w:rPr>
            <w:t>Annex S: Change history</w:t>
          </w:r>
          <w:r>
            <w:rPr>
              <w:b w:val="false"/>
            </w:rPr>
            <w:tab/>
            <w:tab/>
          </w:r>
          <w:hyperlink w:anchor="__RefHeading___Toc68601535">
            <w:r>
              <w:rPr>
                <w:rStyle w:val="IndexLink"/>
                <w:b w:val="false"/>
              </w:rPr>
              <w:t>275</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5" w:name="__RefHeading___Toc68600945"/>
      <w:bookmarkEnd w:id="5"/>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6" w:name="__RefHeading___Toc68600946"/>
      <w:bookmarkEnd w:id="6"/>
      <w:r>
        <w:rPr/>
        <w:t>1</w:t>
        <w:tab/>
        <w:t>Scope</w:t>
      </w:r>
    </w:p>
    <w:p>
      <w:pPr>
        <w:pStyle w:val="Normal"/>
        <w:ind w:right="606" w:hanging="0"/>
        <w:rPr>
          <w:rFonts w:ascii="Arial" w:hAnsi="Arial" w:cs="Arial"/>
          <w:highlight w:val="yellow"/>
          <w:lang w:eastAsia="zh-CN"/>
        </w:rPr>
      </w:pPr>
      <w:r>
        <w:rPr/>
        <w:t>The present document describes the test procedure for the radiated performances measurements of the user equipment (UE).</w:t>
      </w:r>
    </w:p>
    <w:p>
      <w:pPr>
        <w:pStyle w:val="Normal"/>
        <w:rPr/>
      </w:pPr>
      <w:r>
        <w:rPr/>
        <w:t xml:space="preserve">The handheld UE measurement procedures explained in this document are defined for roaming bands for the speech mode position (beside the head and beside the head and hand) and hand phantom browsing mode position. Laptop mounted equipment (LME) measurement procedures are defined for roaming bands for the data mode transfer position (laptop ground plane phantom). Laptop embedded equipment (LEE) measurement procedures are defined for roaming bands for the data mode transfer position (free space). </w:t>
      </w:r>
    </w:p>
    <w:p>
      <w:pPr>
        <w:pStyle w:val="Normal"/>
        <w:rPr/>
      </w:pPr>
      <w:r>
        <w:rPr/>
        <w:t>The browsing mode position explained in this document applies when the UE is held in hand, but not pressed against ear (such as web browsing and navigation).</w:t>
      </w:r>
    </w:p>
    <w:p>
      <w:pPr>
        <w:pStyle w:val="Normal"/>
        <w:rPr/>
      </w:pPr>
      <w:r>
        <w:rPr/>
        <w:t>The data mode transfer position (free space) explained in this document applies when the UE is used away from the user’s head. Free space measurements are applicable to devices used in the data mode transfer position that consist of the laptop mounted equipment (LME) plug-in UEs and laptop embedded equipment (LEE) UEs.</w:t>
      </w:r>
    </w:p>
    <w:p>
      <w:pPr>
        <w:pStyle w:val="Normal"/>
        <w:rPr/>
      </w:pPr>
      <w:r>
        <w:rPr/>
        <w:t xml:space="preserve">All bands are potential roaming bands, and the requirements for roaming bands shall therefore be fulfilled for all bands supported by a UE. </w:t>
      </w:r>
    </w:p>
    <w:p>
      <w:pPr>
        <w:pStyle w:val="Normal"/>
        <w:rPr/>
      </w:pPr>
      <w:r>
        <w:rPr/>
        <w:t>Radiated performance of multiple-antenna receivers for handheld UE is defined for roaming bands in free space configuration.</w:t>
      </w:r>
    </w:p>
    <w:p>
      <w:pPr>
        <w:pStyle w:val="Normal"/>
        <w:rPr/>
      </w:pPr>
      <w:r>
        <w:rPr/>
        <w:t>Recommended performance values for operating bands (Annex I) are however included in this specification for information. It should be recognised that the ability to meet the recommended performance values depends on the number of frequency bands supported by the UE.</w:t>
      </w:r>
    </w:p>
    <w:p>
      <w:pPr>
        <w:pStyle w:val="Normal"/>
        <w:rPr/>
      </w:pPr>
      <w:r>
        <w:rPr/>
        <w:t>The radiated radio tests considered here are:</w:t>
      </w:r>
    </w:p>
    <w:p>
      <w:pPr>
        <w:pStyle w:val="B1"/>
        <w:suppressAutoHyphens w:val="true"/>
        <w:ind w:left="360" w:hanging="0"/>
        <w:rPr/>
      </w:pPr>
      <w:r>
        <w:rPr/>
        <w:t>1. The measurement of the Total Radiated Power (TRP)</w:t>
      </w:r>
    </w:p>
    <w:p>
      <w:pPr>
        <w:pStyle w:val="B1"/>
        <w:suppressAutoHyphens w:val="true"/>
        <w:ind w:left="0" w:hanging="0"/>
        <w:rPr/>
      </w:pPr>
      <w:r>
        <w:rPr/>
        <w:t>2. The measurement of the Total Radiated Sensitivity (TRS)</w:t>
      </w:r>
    </w:p>
    <w:p>
      <w:pPr>
        <w:pStyle w:val="B1"/>
        <w:suppressAutoHyphens w:val="true"/>
        <w:ind w:left="360" w:hanging="0"/>
        <w:rPr/>
      </w:pPr>
      <w:r>
        <w:rPr/>
        <w:t>3. The measurement of Total Radiated Multi-antenna Sensitivity (TRMS)</w:t>
      </w:r>
    </w:p>
    <w:p>
      <w:pPr>
        <w:pStyle w:val="Normal"/>
        <w:rPr/>
      </w:pPr>
      <w:r>
        <w:rPr/>
        <w:t>The test procedure described in this document measures the performance of the transmitter and the receiver, including the antenna and also the effects of the user.</w:t>
      </w:r>
    </w:p>
    <w:p>
      <w:pPr>
        <w:pStyle w:val="Heading1"/>
        <w:ind w:left="1134" w:hanging="1134"/>
        <w:rPr/>
      </w:pPr>
      <w:bookmarkStart w:id="7" w:name="__RefHeading___Toc68600947"/>
      <w:bookmarkEnd w:id="7"/>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[2]</w:t>
        <w:tab/>
        <w:t>3GPP TS 25 101: "User Equipment (UE) radio transmission and reception (FDD)".</w:t>
      </w:r>
    </w:p>
    <w:p>
      <w:pPr>
        <w:pStyle w:val="EX"/>
        <w:rPr/>
      </w:pPr>
      <w:r>
        <w:rPr>
          <w:rFonts w:cs="v5.0.0;Times New Roman"/>
        </w:rPr>
        <w:t>[3]</w:t>
        <w:tab/>
        <w:t xml:space="preserve">3GPP TR 25.914: </w:t>
      </w:r>
      <w:r>
        <w:rPr/>
        <w:t>"</w:t>
      </w:r>
      <w:r>
        <w:rPr>
          <w:rFonts w:cs="v5.0.0;Times New Roman"/>
        </w:rPr>
        <w:t>Measurements of radio performances for UMTS terminals in speech mode</w:t>
      </w:r>
      <w:r>
        <w:rPr/>
        <w:t>".</w:t>
      </w:r>
    </w:p>
    <w:p>
      <w:pPr>
        <w:pStyle w:val="EX"/>
        <w:rPr/>
      </w:pPr>
      <w:r>
        <w:rPr/>
        <w:t>[4]</w:t>
        <w:tab/>
        <w:t>3GPP TS 34.108: "Common Test Environments for User Equipment (UE) Conformance Testing".</w:t>
      </w:r>
    </w:p>
    <w:p>
      <w:pPr>
        <w:pStyle w:val="EX"/>
        <w:rPr/>
      </w:pPr>
      <w:r>
        <w:rPr/>
        <w:t>[5]</w:t>
        <w:tab/>
        <w:t>3GPP TS 34.109: "Terminal logical test interface; Special conformance testing functions”</w:t>
      </w:r>
    </w:p>
    <w:p>
      <w:pPr>
        <w:pStyle w:val="EX"/>
        <w:rPr/>
      </w:pPr>
      <w:r>
        <w:rPr/>
        <w:t>[6]</w:t>
        <w:tab/>
        <w:t>3GPP TS 34.114: "User Equipment (UE) / Mobile Station (MS) Over The Air (OTA) antenna performance; Conformance testing".</w:t>
      </w:r>
    </w:p>
    <w:p>
      <w:pPr>
        <w:pStyle w:val="EX"/>
        <w:rPr/>
      </w:pPr>
      <w:r>
        <w:rPr/>
        <w:t>[7]</w:t>
        <w:tab/>
        <w:t>3GPP TS 34.121-1: 3rd Generation Partnership Project; Technical Specification Group Terminals; Terminal conformance specification; Radio transmission and reception (FDD)</w:t>
      </w:r>
    </w:p>
    <w:p>
      <w:pPr>
        <w:pStyle w:val="EX"/>
        <w:rPr/>
      </w:pPr>
      <w:r>
        <w:rPr/>
        <w:t>[8]</w:t>
        <w:tab/>
        <w:t>3GPP TS 34.122: "Terminal conformance specification; Radio transmission and reception (TDD)"</w:t>
      </w:r>
    </w:p>
    <w:p>
      <w:pPr>
        <w:pStyle w:val="EX"/>
        <w:rPr/>
      </w:pPr>
      <w:r>
        <w:rPr/>
        <w:t>[9]</w:t>
        <w:tab/>
        <w:t>3GPP TS 36 101: "E-UTRA UE radio transmission and reception".</w:t>
      </w:r>
    </w:p>
    <w:p>
      <w:pPr>
        <w:pStyle w:val="EX"/>
        <w:rPr/>
      </w:pPr>
      <w:r>
        <w:rPr/>
        <w:t>[10]</w:t>
        <w:tab/>
        <w:t>3GPP TS 36.508: "Common</w:t>
      </w:r>
      <w:r>
        <w:rPr>
          <w:szCs w:val="34"/>
        </w:rPr>
        <w:t xml:space="preserve"> test environments for User Equipment (UE)</w:t>
      </w:r>
      <w:r>
        <w:rPr/>
        <w:t>".</w:t>
      </w:r>
    </w:p>
    <w:p>
      <w:pPr>
        <w:pStyle w:val="EX"/>
        <w:rPr>
          <w:lang w:eastAsia="zh-CN"/>
        </w:rPr>
      </w:pPr>
      <w:r>
        <w:rPr>
          <w:lang w:eastAsia="zh-CN"/>
        </w:rPr>
        <w:t>[11]</w:t>
        <w:tab/>
      </w:r>
      <w:r>
        <w:rPr/>
        <w:t>3GPP TS 36.521-1</w:t>
      </w:r>
      <w:r>
        <w:rPr>
          <w:lang w:eastAsia="zh-CN"/>
        </w:rPr>
        <w:t xml:space="preserve">: </w:t>
      </w:r>
      <w:r>
        <w:rPr/>
        <w:t>"Evolved Universal Terrestrial Radio Access (E-UTRA); User Equipment (UE) conformance specification; Radio transmission and reception; Part 1: conformance testing".</w:t>
      </w:r>
    </w:p>
    <w:p>
      <w:pPr>
        <w:pStyle w:val="EX"/>
        <w:rPr/>
      </w:pPr>
      <w:r>
        <w:rPr>
          <w:lang w:eastAsia="zh-CN"/>
        </w:rPr>
        <w:t>[12]</w:t>
        <w:tab/>
      </w:r>
      <w:r>
        <w:rPr/>
        <w:t>3GPP TS 37.144: "User Equipment (UE) and Mobile Station (MS) GSM, UTRA, and E-UTRA over the air performance requirements".</w:t>
      </w:r>
    </w:p>
    <w:p>
      <w:pPr>
        <w:pStyle w:val="EX"/>
        <w:rPr/>
      </w:pPr>
      <w:r>
        <w:rPr/>
        <w:t>[13]</w:t>
        <w:tab/>
        <w:t>3GPP TR 37.844: "User Equipment (UE) GSM, UTRA and E-UTRA over the air performance requirements".</w:t>
      </w:r>
    </w:p>
    <w:p>
      <w:pPr>
        <w:pStyle w:val="Normal"/>
        <w:keepLines/>
        <w:ind w:left="1702" w:hanging="1418"/>
        <w:rPr/>
      </w:pPr>
      <w:r>
        <w:rPr>
          <w:rFonts w:cs="v5.0.0;Times New Roman"/>
        </w:rPr>
        <w:t>[14]</w:t>
        <w:tab/>
        <w:t>3GPP TR 37.902: “Measurements of User Equipment (UE) radio performances for LTE/UMTS terminals; Total Radiated Power (TRP) and Total Radiated Sensitivity (TRS) test methodology (Release 12)”</w:t>
      </w:r>
    </w:p>
    <w:p>
      <w:pPr>
        <w:pStyle w:val="EX"/>
        <w:rPr/>
      </w:pPr>
      <w:r>
        <w:rPr/>
        <w:t>[15]</w:t>
        <w:tab/>
        <w:t>IEEE standard P1528; "Recommended Practice for Determining the Peak Spatial-Average Specific Absorption Rate (SAR) in the Human Head from Wireless Communications Devices: Experimental Techniques", April, 2003.</w:t>
      </w:r>
    </w:p>
    <w:p>
      <w:pPr>
        <w:pStyle w:val="EX"/>
        <w:rPr/>
      </w:pPr>
      <w:r>
        <w:rPr/>
        <w:t>[16]</w:t>
        <w:tab/>
        <w:t>CENELEC Standard ENS 50361: "Basic Standard for the measurement of Specific Absorption Rate related to human exposure to electromagnetic fields from mobile phones (300 MHz-3 GHz)", Brussels, Belgium, CENELEC, July 2001, 51 p.</w:t>
      </w:r>
    </w:p>
    <w:p>
      <w:pPr>
        <w:pStyle w:val="EX"/>
        <w:rPr/>
      </w:pPr>
      <w:r>
        <w:rPr/>
        <w:t>[17]</w:t>
        <w:tab/>
        <w:t>H. Knoess, M. Christensen, S. Svendsen, T. Hiegler, A. Friederich, "Investigation of Different Phantom Head Models Including Holder", COST 273 TD(04) 068, Gothenburg, June 2004, 6 p.</w:t>
      </w:r>
    </w:p>
    <w:p>
      <w:pPr>
        <w:pStyle w:val="EX"/>
        <w:rPr/>
      </w:pPr>
      <w:r>
        <w:rPr>
          <w:rFonts w:cs="v5.0.0;Times New Roman"/>
        </w:rPr>
        <w:t>[18]</w:t>
        <w:tab/>
        <w:t>ETSI ETR 273: "Electromagnetic compatibility and Radio spectrum Matters (ERM); Improvement of radiated methods of measurement (using test sites) and evaluation of the corresponding measurement uncertainties; Part 1: Uncertainties in the measurement of mobile radio equipment characteristics; Sub-part 2: Examples and annexes".</w:t>
      </w:r>
    </w:p>
    <w:p>
      <w:pPr>
        <w:pStyle w:val="Normal"/>
        <w:keepLines/>
        <w:ind w:left="1702" w:hanging="1418"/>
        <w:rPr/>
      </w:pPr>
      <w:r>
        <w:rPr/>
        <w:t>[19]</w:t>
        <w:tab/>
        <w:t>M.Y. Kanda, M. Ballen, C.K, Chou. "Formulation and characterization of tissue simulating liquids used for SAR measurement (500-2000 MHz)" Asia-Pacific Radio Science Conference, Tokyo, Japan, August 1-4, 2001, p. 274.</w:t>
      </w:r>
    </w:p>
    <w:p>
      <w:pPr>
        <w:pStyle w:val="Normal"/>
        <w:keepLines/>
        <w:ind w:left="1702" w:hanging="1418"/>
        <w:rPr/>
      </w:pPr>
      <w:r>
        <w:rPr/>
        <w:t>[20]</w:t>
        <w:tab/>
        <w:t>V. Vigneras, "Elaboration and characterization of biological tissues equivalent liquids in the frequency range 0.9 - 3 GHz", Final report, PIOM Laboratory, University of Bordeaux, France, November 2001.</w:t>
      </w:r>
    </w:p>
    <w:p>
      <w:pPr>
        <w:pStyle w:val="Normal"/>
        <w:keepLines/>
        <w:ind w:left="1702" w:hanging="1418"/>
        <w:rPr/>
      </w:pPr>
      <w:r>
        <w:rPr/>
        <w:t>[21]</w:t>
        <w:tab/>
        <w:t>Dr. Michael D. Foegelle, ETS-Lindgren, Kevin Li, Nokia Corp., Andrew Pavacic and Paul Moller, Motorola, Inc. “Developing a Standard Hand Phantom for Wireless Testing” Part 1,Wireless design and Development</w:t>
      </w:r>
    </w:p>
    <w:p>
      <w:pPr>
        <w:pStyle w:val="Normal"/>
        <w:keepLines/>
        <w:ind w:left="1702" w:hanging="1418"/>
        <w:rPr/>
      </w:pPr>
      <w:r>
        <w:rPr/>
        <w:t>[22]</w:t>
        <w:tab/>
        <w:t>Gabriel, C., “Tissue Equivalent Material for Hand Phantoms,” Physics in Medicine and Biology, 52 (2007), pp. 4205 - 4210,</w:t>
      </w:r>
    </w:p>
    <w:p>
      <w:pPr>
        <w:pStyle w:val="Normal"/>
        <w:keepLines/>
        <w:ind w:left="1702" w:hanging="1418"/>
        <w:rPr/>
      </w:pPr>
      <w:r>
        <w:rPr/>
        <w:t>[23]</w:t>
        <w:tab/>
        <w:t>Dr. Michael D. Foegelle, ETS-Lindgren, Kevin Li, Nokia Corp., Andrew Pavacic and Paul Moller, Motorola, Inc. Wireless Design &amp; Development, The Development of a Standard Hand Phantom for Wireless Performance Testing: Part 2</w:t>
      </w:r>
    </w:p>
    <w:p>
      <w:pPr>
        <w:pStyle w:val="EX"/>
        <w:rPr/>
      </w:pPr>
      <w:r>
        <w:rPr/>
        <w:t>[24]</w:t>
        <w:tab/>
        <w:t>T. Laitinen, J. Ollikainen, P. Vainikainen, C. Icheln, "Rapid Spherical 3-D Field Measurement System for Mobile Terminal Antennas", COST273 TD(03)134</w:t>
      </w:r>
    </w:p>
    <w:p>
      <w:pPr>
        <w:pStyle w:val="EX"/>
        <w:rPr/>
      </w:pPr>
      <w:r>
        <w:rPr/>
        <w:t>[25]</w:t>
        <w:tab/>
        <w:t>ETSI TR 100 028: "ElectroMagnetic Compatibility and Radio Spectrum Matters (ERM); Uncertainties in the measurement of mobile radio equipment characteristics Part 1".</w:t>
      </w:r>
    </w:p>
    <w:p>
      <w:pPr>
        <w:pStyle w:val="EX"/>
        <w:rPr/>
      </w:pPr>
      <w:r>
        <w:rPr/>
        <w:t>[26]</w:t>
        <w:tab/>
        <w:t>ETSI TR 102 273-1-1: "Electromagnetic compatibility and Radio spectrum Matters (ERM); Improvement on Radiated Methods of Measurement (using test site) and evaluation of the corresponding measurement uncertainties; Part 1: Uncertainties in the measurement of mobile radio equipment characteristics; Sub-part 1: Introduction".</w:t>
      </w:r>
    </w:p>
    <w:p>
      <w:pPr>
        <w:pStyle w:val="EX"/>
        <w:rPr/>
      </w:pPr>
      <w:r>
        <w:rPr/>
        <w:t>[27]</w:t>
        <w:tab/>
        <w:t>ETSI TR 102 273-1-2: "Electromagnetic compatibility and Radio spectrum Matters (ERM); Improvement on Radiated Methods of Measurement (using test site) and evaluation of the corresponding measurement uncertainties; Part 1: Uncertainties in the measurement of mobile radio equipment characteristics; Sub-part 2: Examples and annexes".</w:t>
      </w:r>
    </w:p>
    <w:p>
      <w:pPr>
        <w:pStyle w:val="EX"/>
        <w:rPr/>
      </w:pPr>
      <w:r>
        <w:rPr/>
        <w:t>[28]</w:t>
        <w:tab/>
        <w:t>IEEE standard P1528; "Recommended Practice for Determining the Peak Spatial-Average Specific Absorption Rate (SAR) in the Human Head from Wireless Communications Devices: Experimental Techniques", April, 2003</w:t>
      </w:r>
    </w:p>
    <w:p>
      <w:pPr>
        <w:pStyle w:val="EX"/>
        <w:rPr/>
      </w:pPr>
      <w:r>
        <w:rPr/>
        <w:t>[29]</w:t>
        <w:tab/>
      </w:r>
      <w:r>
        <w:rPr>
          <w:rFonts w:cs="v5.0.0;Times New Roman"/>
        </w:rPr>
        <w:t>3GPP TR 37.977: “Verification of radiated multi-antenna reception performance of User Equipment (UE)”</w:t>
      </w:r>
    </w:p>
    <w:p>
      <w:pPr>
        <w:pStyle w:val="EX"/>
        <w:rPr/>
      </w:pPr>
      <w:r>
        <w:rPr/>
        <w:t>[30]</w:t>
        <w:tab/>
        <w:t>IEEE.149-1979.R2008: "IEEE Standard Test Procedures for Antennas," IEEE, October 2003.</w:t>
      </w:r>
    </w:p>
    <w:p>
      <w:pPr>
        <w:pStyle w:val="EX"/>
        <w:rPr/>
      </w:pPr>
      <w:r>
        <w:rPr/>
        <w:t>[31]</w:t>
        <w:tab/>
        <w:t>Yanakiev, Boyan Radkov; Nielsen, Jesper Ødum; Christensen, Morten; Pedersen, Gert F, "Antennas In Real Environments", 2011 Proceedings of the Fifth European Conference on Antennas and Propagation (EuCAP). IEEE, 2011. p. 2766-2770.</w:t>
      </w:r>
    </w:p>
    <w:p>
      <w:pPr>
        <w:pStyle w:val="EX"/>
        <w:rPr/>
      </w:pPr>
      <w:r>
        <w:rPr/>
        <w:t>[32]</w:t>
        <w:tab/>
        <w:t>CTIA: "Test Plan for Wireless Device Over-the-Air Performance"</w:t>
      </w:r>
    </w:p>
    <w:p>
      <w:pPr>
        <w:pStyle w:val="EX"/>
        <w:rPr/>
      </w:pPr>
      <w:r>
        <w:rPr/>
        <w:t>[3</w:t>
      </w:r>
      <w:r>
        <w:rPr>
          <w:rFonts w:eastAsia="PMingLiU;新細明體"/>
          <w:lang w:eastAsia="zh-TW"/>
        </w:rPr>
        <w:t>3</w:t>
      </w:r>
      <w:r>
        <w:rPr/>
        <w:t>]</w:t>
        <w:tab/>
        <w:t>TD(09) 742, COST 2100 SWG 2.2, Braunschweig, Germany, February 2009, J. Takada: "Handset MIMO Antenna Testing Using a RF-controlled Spatial Fading Emulator".</w:t>
      </w:r>
    </w:p>
    <w:p>
      <w:pPr>
        <w:pStyle w:val="EX"/>
        <w:rPr/>
      </w:pPr>
      <w:r>
        <w:rPr/>
        <w:t>[34]</w:t>
        <w:tab/>
        <w:t>3GPP TS 36.509: “</w:t>
      </w:r>
      <w:r>
        <w:rPr>
          <w:rFonts w:cs="Arial"/>
          <w:szCs w:val="34"/>
        </w:rPr>
        <w:t>Special conformance testing functions fo</w:t>
      </w:r>
      <w:r>
        <w:rPr>
          <w:szCs w:val="34"/>
        </w:rPr>
        <w:t>r User Equipment (UE)”</w:t>
      </w:r>
    </w:p>
    <w:p>
      <w:pPr>
        <w:pStyle w:val="Heading1"/>
        <w:ind w:left="1134" w:hanging="1134"/>
        <w:rPr/>
      </w:pPr>
      <w:bookmarkStart w:id="8" w:name="__RefHeading___Toc68600948"/>
      <w:bookmarkEnd w:id="8"/>
      <w:r>
        <w:rPr/>
        <w:t>3</w:t>
        <w:tab/>
        <w:t>Definitions, symbols and abbreviations</w:t>
      </w:r>
    </w:p>
    <w:p>
      <w:pPr>
        <w:pStyle w:val="Heading2"/>
        <w:rPr/>
      </w:pPr>
      <w:bookmarkStart w:id="9" w:name="__RefHeading___Toc68600949"/>
      <w:bookmarkEnd w:id="9"/>
      <w:r>
        <w:rPr/>
        <w:t>3.1</w:t>
        <w:tab/>
        <w:t>Definitions</w:t>
      </w:r>
    </w:p>
    <w:p>
      <w:pPr>
        <w:pStyle w:val="Normal"/>
        <w:rPr/>
      </w:pPr>
      <w:r>
        <w:rPr/>
        <w:t>For the purposes of the present document, the terms and definitions given in TR 21.905 [1] and the following apply. A term defined in the present document takes precedence over the definition of the same term, if any, in TR 21.905 [1].</w:t>
      </w:r>
    </w:p>
    <w:p>
      <w:pPr>
        <w:pStyle w:val="Normal"/>
        <w:rPr>
          <w:b/>
          <w:b/>
        </w:rPr>
      </w:pPr>
      <w:r>
        <w:rPr>
          <w:b/>
        </w:rPr>
        <w:t>Browsing mode position:</w:t>
      </w:r>
      <w:r>
        <w:rPr/>
        <w:t xml:space="preserve"> UE is held in hand, but not pressed against ear (such as web browsing and navigation).</w:t>
      </w:r>
    </w:p>
    <w:p>
      <w:pPr>
        <w:pStyle w:val="Normal"/>
        <w:rPr/>
      </w:pPr>
      <w:r>
        <w:rPr>
          <w:b/>
        </w:rPr>
        <w:t>Data mode transfer position:</w:t>
      </w:r>
      <w:r>
        <w:rPr/>
        <w:t xml:space="preserve"> UE used away from the user’s head, applicable for LME and LEE devices.</w:t>
      </w:r>
    </w:p>
    <w:p>
      <w:pPr>
        <w:pStyle w:val="Normal"/>
        <w:rPr/>
      </w:pPr>
      <w:r>
        <w:rPr>
          <w:b/>
        </w:rPr>
        <w:t>FS:</w:t>
      </w:r>
      <w:r>
        <w:rPr/>
        <w:t xml:space="preserve"> UE used in a free space configuration.</w:t>
      </w:r>
    </w:p>
    <w:p>
      <w:pPr>
        <w:pStyle w:val="Normal"/>
        <w:rPr/>
      </w:pPr>
      <w:r>
        <w:rPr>
          <w:b/>
        </w:rPr>
        <w:t xml:space="preserve">Intended use position: </w:t>
      </w:r>
      <w:r>
        <w:rPr/>
        <w:t xml:space="preserve">UE is attached to </w:t>
      </w:r>
      <w:r>
        <w:rPr>
          <w:b/>
        </w:rPr>
        <w:t>t</w:t>
      </w:r>
      <w:r>
        <w:rPr/>
        <w:t>he SAM phantom intended for use in the check position.</w:t>
      </w:r>
    </w:p>
    <w:p>
      <w:pPr>
        <w:pStyle w:val="Normal"/>
        <w:rPr/>
      </w:pPr>
      <w:r>
        <w:rPr>
          <w:b/>
        </w:rPr>
        <w:t>LEE:</w:t>
      </w:r>
      <w:r>
        <w:rPr/>
        <w:t xml:space="preserve"> Laptop embedded equipment (such as embedded module card embedded in notebooks).</w:t>
      </w:r>
    </w:p>
    <w:p>
      <w:pPr>
        <w:pStyle w:val="Normal"/>
        <w:rPr/>
      </w:pPr>
      <w:r>
        <w:rPr>
          <w:b/>
        </w:rPr>
        <w:t>LME:</w:t>
      </w:r>
      <w:r>
        <w:rPr/>
        <w:t xml:space="preserve"> Laptop mounted equipment (such as plug-in devices like USB dongles).</w:t>
      </w:r>
    </w:p>
    <w:p>
      <w:pPr>
        <w:pStyle w:val="Normal"/>
        <w:tabs>
          <w:tab w:val="clear" w:pos="284"/>
          <w:tab w:val="left" w:pos="2448" w:leader="none"/>
          <w:tab w:val="left" w:pos="9198" w:leader="none"/>
        </w:tabs>
        <w:rPr>
          <w:rFonts w:cs="v5.0.0;Times New Roman"/>
          <w:b/>
          <w:b/>
        </w:rPr>
      </w:pPr>
      <w:r>
        <w:rPr>
          <w:rFonts w:cs="v5.0.0;Times New Roman"/>
          <w:b/>
        </w:rPr>
        <w:t xml:space="preserve">Primary mechanical mode: </w:t>
      </w:r>
      <w:r>
        <w:rPr/>
        <w:t>The mode that is most often used during a call beside the head. Other mechanical modes are secondary. Every terminal has at least one primary mechanical mode.</w:t>
      </w:r>
    </w:p>
    <w:p>
      <w:pPr>
        <w:pStyle w:val="Normal"/>
        <w:rPr/>
      </w:pPr>
      <w:r>
        <w:rPr>
          <w:b/>
        </w:rPr>
        <w:t xml:space="preserve">Speech mode position: </w:t>
      </w:r>
      <w:r>
        <w:rPr/>
        <w:t>UE is placed into a hand phantom, which is holding the UE against the SAM head phantom.</w:t>
      </w:r>
    </w:p>
    <w:p>
      <w:pPr>
        <w:pStyle w:val="Heading2"/>
        <w:rPr/>
      </w:pPr>
      <w:bookmarkStart w:id="10" w:name="__RefHeading___Toc68600950"/>
      <w:bookmarkEnd w:id="10"/>
      <w:r>
        <w:rPr/>
        <w:t>3.2</w:t>
        <w:tab/>
        <w:t>Symbols</w:t>
      </w:r>
    </w:p>
    <w:p>
      <w:pPr>
        <w:pStyle w:val="Normal"/>
        <w:keepNext w:val="true"/>
        <w:rPr/>
      </w:pPr>
      <w:r>
        <w:rPr/>
        <w:t>For the purposes of the present document, the following symbols apply:</w:t>
      </w:r>
    </w:p>
    <w:p>
      <w:pPr>
        <w:pStyle w:val="EW"/>
        <w:ind w:left="2268" w:hanging="1984"/>
        <w:rPr/>
      </w:pPr>
      <w:r>
        <w:rPr>
          <w:rFonts w:eastAsia="Symbol" w:cs="Symbol" w:ascii="Symbol" w:hAnsi="Symbol"/>
          <w:color w:val="000000"/>
        </w:rPr>
        <w:t></w:t>
      </w:r>
      <w:r>
        <w:rPr>
          <w:rFonts w:cs="v4.2.0;Times New Roman"/>
          <w:color w:val="000000"/>
        </w:rPr>
        <w:tab/>
        <w:t>Zenith angle in the spherical co-ordinate system</w:t>
      </w:r>
    </w:p>
    <w:p>
      <w:pPr>
        <w:pStyle w:val="EW"/>
        <w:ind w:left="2268" w:hanging="1984"/>
        <w:rPr/>
      </w:pPr>
      <w:r>
        <w:rPr>
          <w:rFonts w:eastAsia="Symbol" w:cs="Symbol" w:ascii="Symbol" w:hAnsi="Symbol"/>
          <w:color w:val="000000"/>
        </w:rPr>
        <w:t></w:t>
      </w:r>
      <w:r>
        <w:rPr>
          <w:rFonts w:cs="v4.2.0;Times New Roman"/>
          <w:color w:val="000000"/>
        </w:rPr>
        <w:tab/>
        <w:t>Azimuth angle in the spherical co-ordinate system</w:t>
      </w:r>
    </w:p>
    <w:p>
      <w:pPr>
        <w:pStyle w:val="EW"/>
        <w:ind w:left="2268" w:hanging="1984"/>
        <w:rPr/>
      </w:pPr>
      <w:r>
        <w:rPr>
          <w:rFonts w:eastAsia="Symbol" w:cs="Symbol" w:ascii="Symbol" w:hAnsi="Symbol"/>
          <w:color w:val="000000"/>
        </w:rPr>
        <w:t></w:t>
      </w:r>
      <w:r>
        <w:rPr>
          <w:rFonts w:cs="v4.2.0;Times New Roman"/>
          <w:color w:val="000000"/>
        </w:rPr>
        <w:tab/>
        <w:t>Solid angle defined at the phase centre of the DUT</w:t>
      </w:r>
    </w:p>
    <w:p>
      <w:pPr>
        <w:pStyle w:val="EW"/>
        <w:ind w:left="2268" w:hanging="1984"/>
        <w:rPr>
          <w:rFonts w:cs="v4.2.0;Times New Roman"/>
          <w:color w:val="000000"/>
        </w:rPr>
      </w:pPr>
      <w:r>
        <w:rPr>
          <w:rFonts w:cs="v4.2.0;Times New Roman"/>
          <w:color w:val="000000"/>
        </w:rPr>
        <w:t>G</w:t>
      </w:r>
      <w:r>
        <w:rPr>
          <w:rFonts w:eastAsia="Symbol" w:cs="Symbol" w:ascii="Symbol" w:hAnsi="Symbol"/>
          <w:color w:val="000000"/>
          <w:vertAlign w:val="subscript"/>
        </w:rPr>
        <w:t></w:t>
      </w:r>
      <w:r>
        <w:rPr>
          <w:rFonts w:cs="v4.2.0;Times New Roman"/>
          <w:color w:val="000000"/>
        </w:rPr>
        <w:t>(</w:t>
      </w:r>
      <w:r>
        <w:rPr>
          <w:rFonts w:eastAsia="Symbol" w:cs="Symbol" w:ascii="Symbol" w:hAnsi="Symbol"/>
          <w:color w:val="000000"/>
        </w:rPr>
        <w:t></w:t>
      </w:r>
      <w:r>
        <w:rPr>
          <w:rFonts w:cs="v4.2.0;Times New Roman"/>
          <w:color w:val="000000"/>
        </w:rPr>
        <w:t>,</w:t>
      </w:r>
      <w:r>
        <w:rPr>
          <w:rFonts w:eastAsia="Symbol" w:cs="Symbol" w:ascii="Symbol" w:hAnsi="Symbol"/>
          <w:color w:val="000000"/>
        </w:rPr>
        <w:t></w:t>
      </w:r>
      <w:r>
        <w:rPr>
          <w:rFonts w:cs="v4.2.0;Times New Roman"/>
          <w:color w:val="000000"/>
        </w:rPr>
        <w:t>,f)</w:t>
        <w:tab/>
        <w:t xml:space="preserve">Antenna gain pattern in the </w:t>
      </w:r>
      <w:r>
        <w:rPr>
          <w:rFonts w:eastAsia="Symbol" w:cs="Symbol" w:ascii="Symbol" w:hAnsi="Symbol"/>
          <w:color w:val="000000"/>
        </w:rPr>
        <w:t></w:t>
      </w:r>
      <w:r>
        <w:rPr>
          <w:rFonts w:cs="v4.2.0;Times New Roman"/>
          <w:color w:val="000000"/>
        </w:rPr>
        <w:t>-polarization as function of the spherical co-ordinates and the carrier frequency</w:t>
      </w:r>
    </w:p>
    <w:p>
      <w:pPr>
        <w:pStyle w:val="EW"/>
        <w:ind w:left="2268" w:hanging="1984"/>
        <w:rPr>
          <w:rFonts w:cs="v4.2.0;Times New Roman"/>
          <w:color w:val="000000"/>
        </w:rPr>
      </w:pPr>
      <w:r>
        <w:rPr>
          <w:rFonts w:cs="v4.2.0;Times New Roman"/>
          <w:color w:val="000000"/>
        </w:rPr>
        <w:t>F</w:t>
        <w:tab/>
        <w:t>Carrier frequency</w:t>
      </w:r>
    </w:p>
    <w:p>
      <w:pPr>
        <w:pStyle w:val="EW"/>
        <w:ind w:left="2268" w:hanging="1984"/>
        <w:rPr/>
      </w:pPr>
      <w:r>
        <w:rPr>
          <w:rFonts w:cs="v4.2.0;Times New Roman"/>
          <w:color w:val="000000"/>
        </w:rPr>
        <w:t>P</w:t>
      </w:r>
      <w:r>
        <w:rPr>
          <w:rFonts w:cs="v4.2.0;Times New Roman"/>
          <w:color w:val="000000"/>
          <w:vertAlign w:val="subscript"/>
        </w:rPr>
        <w:t>tr</w:t>
      </w:r>
      <w:r>
        <w:rPr>
          <w:rFonts w:cs="v4.2.0;Times New Roman"/>
          <w:color w:val="000000"/>
        </w:rPr>
        <w:tab/>
        <w:t>Transmitted power</w:t>
      </w:r>
    </w:p>
    <w:p>
      <w:pPr>
        <w:pStyle w:val="EW"/>
        <w:ind w:left="2268" w:hanging="1984"/>
        <w:rPr/>
      </w:pPr>
      <w:r>
        <w:rPr>
          <w:rFonts w:cs="v4.2.0;Times New Roman"/>
          <w:color w:val="000000"/>
        </w:rPr>
        <w:t>Q</w:t>
      </w:r>
      <w:r>
        <w:rPr>
          <w:rFonts w:eastAsia="Symbol" w:cs="Symbol" w:ascii="Symbol" w:hAnsi="Symbol"/>
          <w:color w:val="000000"/>
          <w:vertAlign w:val="subscript"/>
        </w:rPr>
        <w:t></w:t>
      </w:r>
      <w:r>
        <w:rPr>
          <w:rFonts w:cs="v4.2.0;Times New Roman"/>
          <w:color w:val="000000"/>
        </w:rPr>
        <w:t>(</w:t>
      </w:r>
      <w:r>
        <w:rPr>
          <w:rFonts w:eastAsia="Symbol" w:cs="Symbol" w:ascii="Symbol" w:hAnsi="Symbol"/>
          <w:color w:val="000000"/>
        </w:rPr>
        <w:t></w:t>
      </w:r>
      <w:r>
        <w:rPr>
          <w:rFonts w:cs="v4.2.0;Times New Roman"/>
          <w:color w:val="000000"/>
        </w:rPr>
        <w:t>,</w:t>
      </w:r>
      <w:r>
        <w:rPr>
          <w:rFonts w:eastAsia="Symbol" w:cs="Symbol" w:ascii="Symbol" w:hAnsi="Symbol"/>
          <w:color w:val="000000"/>
        </w:rPr>
        <w:t></w:t>
      </w:r>
      <w:r>
        <w:rPr>
          <w:rFonts w:cs="v4.2.0;Times New Roman"/>
          <w:color w:val="000000"/>
        </w:rPr>
        <w:t>,f)</w:t>
        <w:tab/>
        <w:t xml:space="preserve">Angular power distribution in the </w:t>
      </w:r>
      <w:r>
        <w:rPr>
          <w:rFonts w:eastAsia="Symbol" w:cs="Symbol" w:ascii="Symbol" w:hAnsi="Symbol"/>
          <w:color w:val="000000"/>
        </w:rPr>
        <w:t></w:t>
      </w:r>
      <w:r>
        <w:rPr>
          <w:rFonts w:cs="v4.2.0;Times New Roman"/>
          <w:color w:val="000000"/>
        </w:rPr>
        <w:t>-polarization as function of the spherical co-ordinates and the carrier frequency</w:t>
      </w:r>
    </w:p>
    <w:p>
      <w:pPr>
        <w:pStyle w:val="EW"/>
        <w:ind w:left="2268" w:hanging="1984"/>
        <w:rPr>
          <w:rFonts w:cs="v4.2.0;Times New Roman"/>
          <w:color w:val="000000"/>
        </w:rPr>
      </w:pPr>
      <w:r>
        <w:rPr>
          <w:rFonts w:cs="v4.2.0;Times New Roman"/>
          <w:color w:val="000000"/>
        </w:rPr>
        <w:t>dB</w:t>
        <w:tab/>
        <w:t>decibel</w:t>
      </w:r>
    </w:p>
    <w:p>
      <w:pPr>
        <w:pStyle w:val="EW"/>
        <w:ind w:left="2268" w:hanging="1984"/>
        <w:rPr>
          <w:rFonts w:cs="v4.2.0;Times New Roman"/>
          <w:color w:val="000000"/>
        </w:rPr>
      </w:pPr>
      <w:r>
        <w:rPr>
          <w:rFonts w:cs="v4.2.0;Times New Roman"/>
          <w:color w:val="000000"/>
        </w:rPr>
        <w:t>dBm</w:t>
        <w:tab/>
        <w:t>dB referenced to one milliwatt</w:t>
      </w:r>
    </w:p>
    <w:p>
      <w:pPr>
        <w:pStyle w:val="EW"/>
        <w:ind w:left="2268" w:hanging="1984"/>
        <w:rPr>
          <w:rFonts w:cs="v4.2.0;Times New Roman"/>
          <w:color w:val="000000"/>
        </w:rPr>
      </w:pPr>
      <w:r>
        <w:rPr>
          <w:rFonts w:cs="v4.2.0;Times New Roman"/>
          <w:color w:val="000000"/>
        </w:rPr>
        <w:t>m</w:t>
        <w:tab/>
        <w:t>meter</w:t>
      </w:r>
    </w:p>
    <w:p>
      <w:pPr>
        <w:pStyle w:val="EW"/>
        <w:ind w:left="2268" w:hanging="1984"/>
        <w:rPr>
          <w:rFonts w:cs="v4.2.0;Times New Roman"/>
          <w:color w:val="000000"/>
        </w:rPr>
      </w:pPr>
      <w:r>
        <w:rPr>
          <w:rFonts w:cs="v4.2.0;Times New Roman"/>
          <w:color w:val="000000"/>
        </w:rPr>
        <w:t>mm</w:t>
        <w:tab/>
        <w:t>millimeter</w:t>
      </w:r>
    </w:p>
    <w:p>
      <w:pPr>
        <w:pStyle w:val="EW"/>
        <w:ind w:left="2268" w:hanging="1984"/>
        <w:rPr/>
      </w:pPr>
      <w:r>
        <w:rPr>
          <w:rFonts w:cs="v4.2.0;Times New Roman"/>
          <w:color w:val="000000"/>
        </w:rPr>
        <w:t>kbps</w:t>
        <w:tab/>
        <w:t>kilobit per second</w:t>
      </w:r>
    </w:p>
    <w:p>
      <w:pPr>
        <w:pStyle w:val="EW"/>
        <w:ind w:left="2268" w:hanging="1984"/>
        <w:rPr>
          <w:rFonts w:cs="v4.2.0;Times New Roman"/>
          <w:color w:val="000000"/>
        </w:rPr>
      </w:pPr>
      <w:r>
        <w:rPr>
          <w:rFonts w:cs="v4.2.0;Times New Roman"/>
          <w:color w:val="000000"/>
        </w:rPr>
        <w:t>ms</w:t>
        <w:tab/>
        <w:t>millisecond</w:t>
      </w:r>
    </w:p>
    <w:p>
      <w:pPr>
        <w:pStyle w:val="EW"/>
        <w:ind w:left="2268" w:hanging="1984"/>
        <w:rPr>
          <w:rFonts w:cs="v4.2.0;Times New Roman"/>
          <w:color w:val="000000"/>
        </w:rPr>
      </w:pPr>
      <w:r>
        <w:rPr>
          <w:rFonts w:cs="v4.2.0;Times New Roman"/>
          <w:color w:val="000000"/>
        </w:rPr>
        <w:t>MHz</w:t>
        <w:tab/>
        <w:t>megahertz</w:t>
      </w:r>
    </w:p>
    <w:p>
      <w:pPr>
        <w:pStyle w:val="EW"/>
        <w:ind w:left="2268" w:hanging="1984"/>
        <w:rPr/>
      </w:pPr>
      <w:r>
        <w:rPr>
          <w:rFonts w:cs="v4.2.0;Times New Roman"/>
          <w:color w:val="000000"/>
        </w:rPr>
        <w:t>TRMS</w:t>
      </w:r>
      <w:r>
        <w:rPr>
          <w:i/>
          <w:vertAlign w:val="subscript"/>
        </w:rPr>
        <w:t>average, 70</w:t>
      </w:r>
      <w:r>
        <w:rPr>
          <w:rFonts w:cs="v4.2.0;Times New Roman"/>
          <w:color w:val="000000"/>
        </w:rPr>
        <w:tab/>
      </w:r>
      <w:r>
        <w:rPr/>
        <w:t>Average TRMS quantity calculated from sensitivity measurements at 70% throughput</w:t>
      </w:r>
    </w:p>
    <w:p>
      <w:pPr>
        <w:pStyle w:val="EW"/>
        <w:ind w:left="2268" w:hanging="1984"/>
        <w:rPr>
          <w:rFonts w:cs="v4.2.0;Times New Roman"/>
          <w:color w:val="000000"/>
        </w:rPr>
      </w:pPr>
      <w:r>
        <w:rPr>
          <w:rFonts w:cs="v4.2.0;Times New Roman"/>
          <w:color w:val="000000"/>
        </w:rPr>
        <w:t>TRMS</w:t>
      </w:r>
      <w:r>
        <w:rPr>
          <w:i/>
          <w:vertAlign w:val="subscript"/>
        </w:rPr>
        <w:t>average, 95</w:t>
      </w:r>
      <w:r>
        <w:rPr>
          <w:rFonts w:cs="v4.2.0;Times New Roman"/>
          <w:color w:val="000000"/>
        </w:rPr>
        <w:tab/>
      </w:r>
      <w:r>
        <w:rPr/>
        <w:t>Average TRMS quantity calculated from sensitivity measurements at 95% throughput</w:t>
      </w:r>
    </w:p>
    <w:p>
      <w:pPr>
        <w:pStyle w:val="EW"/>
        <w:ind w:left="2250" w:hanging="1966"/>
        <w:rPr/>
      </w:pPr>
      <w:r>
        <w:rPr>
          <w:i/>
        </w:rPr>
        <w:t>TRP</w:t>
      </w:r>
      <w:r>
        <w:rPr>
          <w:i/>
          <w:vertAlign w:val="subscript"/>
        </w:rPr>
        <w:t>average</w:t>
        <w:tab/>
      </w:r>
      <w:r>
        <w:rPr/>
        <w:t>the average measured total radiated power of low, mid and high channel</w:t>
      </w:r>
    </w:p>
    <w:p>
      <w:pPr>
        <w:pStyle w:val="EW"/>
        <w:ind w:left="2250" w:hanging="1966"/>
        <w:rPr/>
      </w:pPr>
      <w:r>
        <w:rPr>
          <w:i/>
        </w:rPr>
        <w:t>TRP</w:t>
      </w:r>
      <w:r>
        <w:rPr>
          <w:i/>
          <w:vertAlign w:val="subscript"/>
        </w:rPr>
        <w:t>min</w:t>
        <w:tab/>
      </w:r>
      <w:r>
        <w:rPr/>
        <w:t>the lowest measured total radiated power of each channel within an operating band</w:t>
      </w:r>
    </w:p>
    <w:p>
      <w:pPr>
        <w:pStyle w:val="EW"/>
        <w:ind w:left="2250" w:hanging="1966"/>
        <w:rPr/>
      </w:pPr>
      <w:r>
        <w:rPr>
          <w:i/>
        </w:rPr>
        <w:t>TRS</w:t>
      </w:r>
      <w:r>
        <w:rPr>
          <w:i/>
          <w:vertAlign w:val="subscript"/>
        </w:rPr>
        <w:t>average</w:t>
        <w:tab/>
      </w:r>
      <w:r>
        <w:rPr/>
        <w:t>the average measured total radiated sensitivity of low, mid and high channel</w:t>
      </w:r>
    </w:p>
    <w:p>
      <w:pPr>
        <w:pStyle w:val="EW"/>
        <w:ind w:left="2250" w:hanging="1966"/>
        <w:rPr/>
      </w:pPr>
      <w:r>
        <w:rPr>
          <w:i/>
        </w:rPr>
        <w:t>TRS</w:t>
      </w:r>
      <w:r>
        <w:rPr>
          <w:i/>
          <w:vertAlign w:val="subscript"/>
        </w:rPr>
        <w:t>max</w:t>
        <w:tab/>
      </w:r>
      <w:r>
        <w:rPr/>
        <w:t>the highest measured total radiated sensitivity of each channel within an operating band</w:t>
      </w:r>
    </w:p>
    <w:p>
      <w:pPr>
        <w:pStyle w:val="EW"/>
        <w:ind w:left="2250" w:hanging="1966"/>
        <w:rPr/>
      </w:pPr>
      <w:r>
        <w:rPr>
          <w:i/>
        </w:rPr>
        <w:t>P</w:t>
      </w:r>
      <w:r>
        <w:rPr>
          <w:i/>
          <w:vertAlign w:val="subscript"/>
        </w:rPr>
        <w:t>d</w:t>
        <w:tab/>
      </w:r>
      <w:r>
        <w:rPr/>
        <w:t>Direct signal</w:t>
      </w:r>
    </w:p>
    <w:p>
      <w:pPr>
        <w:pStyle w:val="EW"/>
        <w:ind w:left="2250" w:hanging="1966"/>
        <w:rPr/>
      </w:pPr>
      <w:r>
        <w:rPr>
          <w:i/>
        </w:rPr>
        <w:t>P</w:t>
      </w:r>
      <w:r>
        <w:rPr>
          <w:i/>
          <w:vertAlign w:val="subscript"/>
        </w:rPr>
        <w:t>meas n</w:t>
      </w:r>
      <w:r>
        <w:rPr>
          <w:i/>
        </w:rPr>
        <w:tab/>
        <w:t xml:space="preserve">Mesaured </w:t>
      </w:r>
      <w:r>
        <w:rPr/>
        <w:t xml:space="preserve">power received by field-probe at position </w:t>
      </w:r>
      <w:r>
        <w:rPr>
          <w:i/>
        </w:rPr>
        <w:t>n</w:t>
      </w:r>
    </w:p>
    <w:p>
      <w:pPr>
        <w:pStyle w:val="EW"/>
        <w:ind w:left="2250" w:hanging="1966"/>
        <w:rPr/>
      </w:pPr>
      <w:r>
        <w:rPr>
          <w:i/>
        </w:rPr>
        <w:t>P</w:t>
      </w:r>
      <w:r>
        <w:rPr>
          <w:i/>
          <w:vertAlign w:val="subscript"/>
        </w:rPr>
        <w:t>MODE,x,i</w:t>
        <w:tab/>
      </w:r>
      <w:r>
        <w:rPr/>
        <w:t xml:space="preserve">Measured sensitivity value when </w:t>
      </w:r>
      <w:r>
        <w:rPr>
          <w:i/>
        </w:rPr>
        <w:t>MODE</w:t>
      </w:r>
      <w:r>
        <w:rPr/>
        <w:t xml:space="preserve"> is one of {</w:t>
      </w:r>
      <w:r>
        <w:rPr>
          <w:i/>
        </w:rPr>
        <w:t>FS_DMP, FS_DML, FS_DMSU</w:t>
      </w:r>
      <w:r>
        <w:rPr/>
        <w:t xml:space="preserve">}, </w:t>
      </w:r>
      <w:r>
        <w:rPr>
          <w:i/>
        </w:rPr>
        <w:t>x</w:t>
      </w:r>
      <w:r>
        <w:rPr/>
        <w:t xml:space="preserve"> is one of {</w:t>
      </w:r>
      <w:r>
        <w:rPr>
          <w:i/>
        </w:rPr>
        <w:t>70, 95</w:t>
      </w:r>
      <w:r>
        <w:rPr/>
        <w:t xml:space="preserve">} at azimuth position </w:t>
      </w:r>
      <w:r>
        <w:rPr>
          <w:i/>
        </w:rPr>
        <w:t>i</w:t>
      </w:r>
    </w:p>
    <w:p>
      <w:pPr>
        <w:pStyle w:val="EW"/>
        <w:ind w:left="2250" w:hanging="1966"/>
        <w:rPr>
          <w:i/>
          <w:i/>
        </w:rPr>
      </w:pPr>
      <w:r>
        <w:rPr>
          <w:i/>
        </w:rPr>
        <w:t>P</w:t>
      </w:r>
      <w:r>
        <w:rPr>
          <w:i/>
          <w:vertAlign w:val="subscript"/>
        </w:rPr>
        <w:t>r</w:t>
        <w:tab/>
      </w:r>
      <w:r>
        <w:rPr/>
        <w:t>Reflected signal</w:t>
      </w:r>
    </w:p>
    <w:p>
      <w:pPr>
        <w:pStyle w:val="EW"/>
        <w:ind w:left="2268" w:hanging="1984"/>
        <w:rPr/>
      </w:pPr>
      <w:r>
        <w:rPr>
          <w:i/>
        </w:rPr>
        <w:t>P</w:t>
      </w:r>
      <w:r>
        <w:rPr>
          <w:i/>
          <w:vertAlign w:val="subscript"/>
        </w:rPr>
        <w:t>RS-EPRE-MAX</w:t>
        <w:tab/>
      </w:r>
      <w:r>
        <w:rPr/>
        <w:t>Maximum downlink RS-EPRE</w:t>
      </w:r>
    </w:p>
    <w:p>
      <w:pPr>
        <w:pStyle w:val="EW"/>
        <w:ind w:left="2250" w:hanging="1966"/>
        <w:rPr/>
      </w:pPr>
      <w:r>
        <w:rPr>
          <w:i/>
        </w:rPr>
        <w:t>R</w:t>
      </w:r>
      <w:r>
        <w:rPr>
          <w:i/>
          <w:vertAlign w:val="subscript"/>
        </w:rPr>
        <w:t>level</w:t>
        <w:tab/>
      </w:r>
      <w:r>
        <w:rPr/>
        <w:t>Reflectivity level</w:t>
      </w:r>
    </w:p>
    <w:p>
      <w:pPr>
        <w:pStyle w:val="Heading2"/>
        <w:rPr/>
      </w:pPr>
      <w:bookmarkStart w:id="11" w:name="__RefHeading___Toc68600951"/>
      <w:bookmarkEnd w:id="11"/>
      <w:r>
        <w:rPr/>
        <w:t>3.3</w:t>
        <w:tab/>
        <w:t>Abbreviations</w:t>
      </w:r>
    </w:p>
    <w:p>
      <w:pPr>
        <w:pStyle w:val="Normal"/>
        <w:keepNext w:val="true"/>
        <w:rPr/>
      </w:pPr>
      <w:r>
        <w:rPr/>
        <w:t>For the purposes of the present document, the abbreviations given in TR 21.905 [1] and the following apply. An abbreviation defined in the present document takes precedence over the definition of the same abbreviation, if any, in TR 21.905 [1].</w:t>
      </w:r>
    </w:p>
    <w:p>
      <w:pPr>
        <w:pStyle w:val="EW"/>
        <w:ind w:left="2268" w:hanging="1984"/>
        <w:rPr/>
      </w:pPr>
      <w:r>
        <w:rPr>
          <w:rFonts w:cs="v4.2.0;Times New Roman"/>
          <w:color w:val="000000"/>
        </w:rPr>
        <w:t>3G</w:t>
        <w:tab/>
        <w:t>3</w:t>
      </w:r>
      <w:r>
        <w:rPr>
          <w:rFonts w:cs="v4.2.0;Times New Roman"/>
          <w:color w:val="000000"/>
          <w:vertAlign w:val="superscript"/>
        </w:rPr>
        <w:t>rd</w:t>
      </w:r>
      <w:r>
        <w:rPr>
          <w:rFonts w:cs="v4.2.0;Times New Roman"/>
          <w:color w:val="000000"/>
        </w:rPr>
        <w:t xml:space="preserve"> Generation</w:t>
      </w:r>
    </w:p>
    <w:p>
      <w:pPr>
        <w:pStyle w:val="EW"/>
        <w:ind w:left="2268" w:hanging="1984"/>
        <w:rPr>
          <w:rFonts w:cs="v4.2.0;Times New Roman"/>
          <w:color w:val="000000"/>
        </w:rPr>
      </w:pPr>
      <w:r>
        <w:rPr>
          <w:rFonts w:cs="v4.2.0;Times New Roman"/>
          <w:color w:val="000000"/>
        </w:rPr>
        <w:t>3GPP</w:t>
        <w:tab/>
        <w:t>3G Partnership Project</w:t>
      </w:r>
    </w:p>
    <w:p>
      <w:pPr>
        <w:pStyle w:val="EW"/>
        <w:ind w:left="2268" w:hanging="1984"/>
        <w:rPr>
          <w:rFonts w:cs="v4.2.0;Times New Roman"/>
          <w:color w:val="000000"/>
        </w:rPr>
      </w:pPr>
      <w:r>
        <w:rPr>
          <w:rFonts w:cs="v4.2.0;Times New Roman"/>
          <w:color w:val="000000"/>
        </w:rPr>
        <w:t>3-D</w:t>
        <w:tab/>
        <w:t>Three Dimensional</w:t>
      </w:r>
    </w:p>
    <w:p>
      <w:pPr>
        <w:pStyle w:val="EW"/>
        <w:ind w:left="2268" w:hanging="1984"/>
        <w:rPr>
          <w:rFonts w:cs="v4.2.0;Times New Roman"/>
        </w:rPr>
      </w:pPr>
      <w:r>
        <w:rPr>
          <w:rFonts w:cs="v4.2.0;Times New Roman"/>
        </w:rPr>
        <w:t>AAU</w:t>
        <w:tab/>
        <w:t>Aalborg University</w:t>
      </w:r>
    </w:p>
    <w:p>
      <w:pPr>
        <w:pStyle w:val="EW"/>
        <w:ind w:left="2268" w:hanging="1984"/>
        <w:rPr>
          <w:rFonts w:cs="v4.2.0;Times New Roman"/>
          <w:color w:val="000000"/>
        </w:rPr>
      </w:pPr>
      <w:r>
        <w:rPr>
          <w:rFonts w:cs="v4.2.0;Times New Roman"/>
          <w:color w:val="000000"/>
        </w:rPr>
        <w:t>APD</w:t>
        <w:tab/>
        <w:t>Angular Power Distribution</w:t>
      </w:r>
    </w:p>
    <w:p>
      <w:pPr>
        <w:pStyle w:val="EW"/>
        <w:ind w:left="2250" w:hanging="1966"/>
        <w:rPr/>
      </w:pPr>
      <w:r>
        <w:rPr>
          <w:rFonts w:cs="v5.0.0;Times New Roman"/>
        </w:rPr>
        <w:t>ARFCN</w:t>
        <w:tab/>
      </w:r>
      <w:r>
        <w:rPr/>
        <w:t>Absolute Radio Frequency Channel Number</w:t>
      </w:r>
    </w:p>
    <w:p>
      <w:pPr>
        <w:pStyle w:val="EW"/>
        <w:ind w:left="2250" w:hanging="1966"/>
        <w:rPr>
          <w:rFonts w:cs="v5.0.0;Times New Roman"/>
        </w:rPr>
      </w:pPr>
      <w:r>
        <w:rPr>
          <w:rFonts w:cs="v5.0.0;Times New Roman"/>
        </w:rPr>
        <w:t>ATF</w:t>
        <w:tab/>
        <w:t>Antenna Test Function</w:t>
      </w:r>
    </w:p>
    <w:p>
      <w:pPr>
        <w:pStyle w:val="EW"/>
        <w:ind w:left="2250" w:hanging="1966"/>
        <w:rPr>
          <w:rFonts w:cs="v5.0.0;Times New Roman"/>
        </w:rPr>
      </w:pPr>
      <w:r>
        <w:rPr>
          <w:rFonts w:cs="v5.0.0;Times New Roman"/>
        </w:rPr>
        <w:t>BER</w:t>
        <w:tab/>
        <w:t>Bit Error Ratio</w:t>
      </w:r>
    </w:p>
    <w:p>
      <w:pPr>
        <w:pStyle w:val="EW"/>
        <w:ind w:left="2268" w:hanging="1984"/>
        <w:rPr>
          <w:rFonts w:cs="v4.2.0;Times New Roman"/>
          <w:color w:val="000000"/>
        </w:rPr>
      </w:pPr>
      <w:r>
        <w:rPr>
          <w:rFonts w:cs="v4.2.0;Times New Roman"/>
          <w:color w:val="000000"/>
        </w:rPr>
        <w:t>BS</w:t>
        <w:tab/>
        <w:t>Base Station</w:t>
      </w:r>
    </w:p>
    <w:p>
      <w:pPr>
        <w:pStyle w:val="EW"/>
        <w:ind w:left="2268" w:hanging="1984"/>
        <w:rPr/>
      </w:pPr>
      <w:r>
        <w:rPr>
          <w:rFonts w:cs="v4.2.0;Times New Roman"/>
          <w:color w:val="000000"/>
        </w:rPr>
        <w:t>BT</w:t>
        <w:tab/>
        <w:t>Bluetooth</w:t>
      </w:r>
    </w:p>
    <w:p>
      <w:pPr>
        <w:pStyle w:val="EW"/>
        <w:ind w:left="2268" w:hanging="1984"/>
        <w:rPr/>
      </w:pPr>
      <w:r>
        <w:rPr>
          <w:rFonts w:cs="v4.2.0;Times New Roman"/>
          <w:color w:val="000000"/>
        </w:rPr>
        <w:t>BTS</w:t>
        <w:tab/>
        <w:t>Base Transceiver Station</w:t>
      </w:r>
    </w:p>
    <w:p>
      <w:pPr>
        <w:pStyle w:val="EW"/>
        <w:ind w:left="2268" w:hanging="1984"/>
        <w:rPr>
          <w:rFonts w:cs="v4.2.0;Times New Roman"/>
          <w:color w:val="000000"/>
        </w:rPr>
      </w:pPr>
      <w:r>
        <w:rPr>
          <w:rFonts w:cs="v4.2.0;Times New Roman"/>
          <w:color w:val="000000"/>
        </w:rPr>
        <w:t>CAD</w:t>
        <w:tab/>
        <w:t>Computer Aided Design</w:t>
      </w:r>
    </w:p>
    <w:p>
      <w:pPr>
        <w:pStyle w:val="EW"/>
        <w:ind w:left="2268" w:hanging="1984"/>
        <w:rPr>
          <w:rFonts w:cs="v4.2.0;Times New Roman"/>
          <w:color w:val="000000"/>
        </w:rPr>
      </w:pPr>
      <w:r>
        <w:rPr>
          <w:rFonts w:cs="v4.2.0;Times New Roman"/>
          <w:color w:val="000000"/>
        </w:rPr>
        <w:t>CN</w:t>
        <w:tab/>
        <w:t>Core Network</w:t>
      </w:r>
    </w:p>
    <w:p>
      <w:pPr>
        <w:pStyle w:val="EW"/>
        <w:ind w:left="2268" w:hanging="1984"/>
        <w:rPr>
          <w:rFonts w:cs="v4.2.0;Times New Roman"/>
          <w:color w:val="000000"/>
        </w:rPr>
      </w:pPr>
      <w:r>
        <w:rPr>
          <w:rFonts w:cs="v4.2.0;Times New Roman"/>
          <w:color w:val="000000"/>
        </w:rPr>
        <w:t>CPICH RSCP</w:t>
        <w:tab/>
        <w:t>Common Pilot Channel Received Signal Code Power</w:t>
      </w:r>
    </w:p>
    <w:p>
      <w:pPr>
        <w:pStyle w:val="EW"/>
        <w:ind w:left="2268" w:hanging="1984"/>
        <w:rPr>
          <w:rFonts w:cs="v4.2.0;Times New Roman"/>
          <w:color w:val="000000"/>
        </w:rPr>
      </w:pPr>
      <w:r>
        <w:rPr>
          <w:rFonts w:cs="v4.2.0;Times New Roman"/>
          <w:color w:val="000000"/>
        </w:rPr>
        <w:t>CRC</w:t>
        <w:tab/>
        <w:t>Cyclic Redundancy Check</w:t>
      </w:r>
    </w:p>
    <w:p>
      <w:pPr>
        <w:pStyle w:val="EW"/>
        <w:ind w:left="2268" w:hanging="1984"/>
        <w:rPr>
          <w:rFonts w:cs="v4.2.0;Times New Roman"/>
          <w:color w:val="000000"/>
        </w:rPr>
      </w:pPr>
      <w:r>
        <w:rPr>
          <w:rFonts w:cs="v4.2.0;Times New Roman"/>
          <w:color w:val="000000"/>
        </w:rPr>
        <w:t>DCH</w:t>
        <w:tab/>
        <w:t>Dedicated Channel</w:t>
      </w:r>
    </w:p>
    <w:p>
      <w:pPr>
        <w:pStyle w:val="EW"/>
        <w:ind w:left="2268" w:hanging="1984"/>
        <w:rPr>
          <w:rFonts w:cs="v4.2.0;Times New Roman"/>
          <w:color w:val="000000"/>
        </w:rPr>
      </w:pPr>
      <w:r>
        <w:rPr>
          <w:rFonts w:cs="v4.2.0;Times New Roman"/>
          <w:color w:val="000000"/>
        </w:rPr>
        <w:t>DL</w:t>
        <w:tab/>
        <w:t>Downlink</w:t>
      </w:r>
    </w:p>
    <w:p>
      <w:pPr>
        <w:pStyle w:val="EW"/>
        <w:ind w:left="2268" w:hanging="1984"/>
        <w:rPr>
          <w:rFonts w:cs="v4.2.0;Times New Roman"/>
          <w:color w:val="000000"/>
        </w:rPr>
      </w:pPr>
      <w:r>
        <w:rPr>
          <w:rFonts w:cs="v4.2.0;Times New Roman"/>
          <w:color w:val="000000"/>
        </w:rPr>
        <w:t>DML</w:t>
        <w:tab/>
      </w:r>
      <w:r>
        <w:rPr/>
        <w:t>Data Mode Landscape</w:t>
      </w:r>
    </w:p>
    <w:p>
      <w:pPr>
        <w:pStyle w:val="EW"/>
        <w:ind w:left="2268" w:hanging="1984"/>
        <w:rPr/>
      </w:pPr>
      <w:r>
        <w:rPr>
          <w:rFonts w:cs="v4.2.0;Times New Roman"/>
          <w:color w:val="000000"/>
        </w:rPr>
        <w:t>DMP</w:t>
        <w:tab/>
      </w:r>
      <w:r>
        <w:rPr/>
        <w:t>Data Mode Portrait</w:t>
      </w:r>
    </w:p>
    <w:p>
      <w:pPr>
        <w:pStyle w:val="EW"/>
        <w:ind w:left="2268" w:hanging="1984"/>
        <w:rPr>
          <w:rFonts w:cs="v4.2.0;Times New Roman"/>
          <w:color w:val="000000"/>
        </w:rPr>
      </w:pPr>
      <w:r>
        <w:rPr>
          <w:rFonts w:cs="v4.2.0;Times New Roman"/>
          <w:color w:val="000000"/>
        </w:rPr>
        <w:t>DMSU</w:t>
        <w:tab/>
      </w:r>
      <w:r>
        <w:rPr/>
        <w:t>Data Mode Screen Up</w:t>
      </w:r>
    </w:p>
    <w:p>
      <w:pPr>
        <w:pStyle w:val="EW"/>
        <w:ind w:left="2268" w:hanging="1984"/>
        <w:rPr/>
      </w:pPr>
      <w:r>
        <w:rPr>
          <w:rFonts w:cs="v4.2.0;Times New Roman"/>
          <w:color w:val="000000"/>
        </w:rPr>
        <w:t>DPCH</w:t>
        <w:tab/>
        <w:t>Dedicated Physical Channel</w:t>
      </w:r>
    </w:p>
    <w:p>
      <w:pPr>
        <w:pStyle w:val="EW"/>
        <w:ind w:left="2268" w:hanging="1984"/>
        <w:rPr>
          <w:rFonts w:cs="v4.2.0;Times New Roman"/>
          <w:color w:val="000000"/>
        </w:rPr>
      </w:pPr>
      <w:r>
        <w:rPr>
          <w:rFonts w:cs="v4.2.0;Times New Roman"/>
          <w:color w:val="000000"/>
        </w:rPr>
        <w:t>DPDCH</w:t>
        <w:tab/>
        <w:t>Dedicated Physical Data Channel</w:t>
      </w:r>
    </w:p>
    <w:p>
      <w:pPr>
        <w:pStyle w:val="EW"/>
        <w:ind w:left="2268" w:hanging="1984"/>
        <w:rPr>
          <w:rFonts w:cs="v4.2.0;Times New Roman"/>
          <w:color w:val="000000"/>
        </w:rPr>
      </w:pPr>
      <w:r>
        <w:rPr>
          <w:rFonts w:cs="v4.2.0;Times New Roman"/>
          <w:color w:val="000000"/>
        </w:rPr>
        <w:t>DPCCH</w:t>
        <w:tab/>
        <w:t>Physical Control Channel</w:t>
      </w:r>
    </w:p>
    <w:p>
      <w:pPr>
        <w:pStyle w:val="EW"/>
        <w:ind w:left="2268" w:hanging="1984"/>
        <w:rPr>
          <w:rFonts w:cs="v4.2.0;Times New Roman"/>
          <w:color w:val="000000"/>
        </w:rPr>
      </w:pPr>
      <w:r>
        <w:rPr>
          <w:rFonts w:cs="v4.2.0;Times New Roman"/>
          <w:color w:val="000000"/>
        </w:rPr>
        <w:t>DTCH</w:t>
        <w:tab/>
        <w:t>Dedicated Traffic Channel</w:t>
      </w:r>
    </w:p>
    <w:p>
      <w:pPr>
        <w:pStyle w:val="EW"/>
        <w:ind w:left="2268" w:hanging="1984"/>
        <w:rPr/>
      </w:pPr>
      <w:r>
        <w:rPr>
          <w:rFonts w:cs="v4.2.0;Times New Roman"/>
          <w:color w:val="000000"/>
        </w:rPr>
        <w:t>DUT</w:t>
        <w:tab/>
        <w:t>Device Under Test</w:t>
      </w:r>
    </w:p>
    <w:p>
      <w:pPr>
        <w:pStyle w:val="EW"/>
        <w:ind w:left="2268" w:hanging="1984"/>
        <w:rPr>
          <w:rFonts w:cs="Arial"/>
          <w:color w:val="000000"/>
          <w:szCs w:val="22"/>
        </w:rPr>
      </w:pPr>
      <w:r>
        <w:rPr>
          <w:rFonts w:cs="Arial"/>
          <w:color w:val="000000"/>
          <w:szCs w:val="22"/>
        </w:rPr>
        <w:t>EIRP</w:t>
        <w:tab/>
      </w:r>
      <w:r>
        <w:rPr>
          <w:rFonts w:cs="v5.0.0;Times New Roman"/>
        </w:rPr>
        <w:t>Effective Isotropic Radiated Power</w:t>
      </w:r>
    </w:p>
    <w:p>
      <w:pPr>
        <w:pStyle w:val="EW"/>
        <w:ind w:left="2268" w:hanging="1984"/>
        <w:rPr>
          <w:rFonts w:cs="Arial"/>
          <w:color w:val="000000"/>
          <w:szCs w:val="22"/>
        </w:rPr>
      </w:pPr>
      <w:r>
        <w:rPr>
          <w:rFonts w:cs="Arial"/>
          <w:color w:val="000000"/>
          <w:szCs w:val="22"/>
        </w:rPr>
        <w:t>EIS</w:t>
        <w:tab/>
        <w:t>Effective Isotropic Sensitivity</w:t>
      </w:r>
    </w:p>
    <w:p>
      <w:pPr>
        <w:pStyle w:val="EW"/>
        <w:ind w:left="2268" w:hanging="1984"/>
        <w:rPr/>
      </w:pPr>
      <w:r>
        <w:rPr>
          <w:rFonts w:cs="Arial"/>
          <w:color w:val="000000"/>
          <w:szCs w:val="22"/>
        </w:rPr>
        <w:t>ETSI</w:t>
        <w:tab/>
        <w:t>European Telecommunications Standards Institute</w:t>
      </w:r>
    </w:p>
    <w:p>
      <w:pPr>
        <w:pStyle w:val="EW"/>
        <w:ind w:left="2250" w:hanging="1966"/>
        <w:rPr/>
      </w:pPr>
      <w:r>
        <w:rPr/>
        <w:t>EUT</w:t>
        <w:tab/>
        <w:t>Equipment Under Test</w:t>
      </w:r>
    </w:p>
    <w:p>
      <w:pPr>
        <w:pStyle w:val="EW"/>
        <w:ind w:left="2250" w:hanging="1966"/>
        <w:rPr/>
      </w:pPr>
      <w:r>
        <w:rPr/>
        <w:t>E-UTRA</w:t>
        <w:tab/>
        <w:t>Evolved UMTS Terrestrial Radio Access</w:t>
      </w:r>
    </w:p>
    <w:p>
      <w:pPr>
        <w:pStyle w:val="EW"/>
        <w:ind w:left="2250" w:hanging="1966"/>
        <w:rPr/>
      </w:pPr>
      <w:r>
        <w:rPr/>
        <w:t>E-UTRAN</w:t>
        <w:tab/>
        <w:t>Evolved UMTS Terrestrial Radio Access Network</w:t>
      </w:r>
    </w:p>
    <w:p>
      <w:pPr>
        <w:pStyle w:val="EW"/>
        <w:ind w:left="2250" w:hanging="1966"/>
        <w:rPr/>
      </w:pPr>
      <w:r>
        <w:rPr/>
        <w:t>FDD</w:t>
        <w:tab/>
        <w:t>Frequency Division Duplex</w:t>
      </w:r>
    </w:p>
    <w:p>
      <w:pPr>
        <w:pStyle w:val="EW"/>
        <w:ind w:left="2268" w:hanging="1984"/>
        <w:rPr>
          <w:rFonts w:cs="Arial"/>
          <w:color w:val="000000"/>
          <w:szCs w:val="22"/>
        </w:rPr>
      </w:pPr>
      <w:r>
        <w:rPr>
          <w:rFonts w:cs="Arial"/>
          <w:color w:val="000000"/>
          <w:szCs w:val="22"/>
        </w:rPr>
        <w:t>FS</w:t>
        <w:tab/>
        <w:t>Free Space</w:t>
      </w:r>
    </w:p>
    <w:p>
      <w:pPr>
        <w:pStyle w:val="EW"/>
        <w:ind w:left="2268" w:hanging="1984"/>
        <w:rPr>
          <w:rFonts w:cs="Arial"/>
          <w:color w:val="000000"/>
          <w:szCs w:val="22"/>
        </w:rPr>
      </w:pPr>
      <w:r>
        <w:rPr>
          <w:rFonts w:cs="Arial"/>
          <w:color w:val="000000"/>
          <w:szCs w:val="22"/>
        </w:rPr>
        <w:t>FS DML</w:t>
        <w:tab/>
      </w:r>
      <w:r>
        <w:rPr/>
        <w:t>Free Space Data Mode Landscape</w:t>
      </w:r>
    </w:p>
    <w:p>
      <w:pPr>
        <w:pStyle w:val="EW"/>
        <w:ind w:left="2268" w:hanging="1984"/>
        <w:rPr/>
      </w:pPr>
      <w:r>
        <w:rPr>
          <w:rFonts w:cs="Arial"/>
          <w:color w:val="000000"/>
          <w:szCs w:val="22"/>
        </w:rPr>
        <w:t>FS DMP</w:t>
        <w:tab/>
      </w:r>
      <w:r>
        <w:rPr/>
        <w:t>Free Space Data Mode Portrait</w:t>
      </w:r>
    </w:p>
    <w:p>
      <w:pPr>
        <w:pStyle w:val="EW"/>
        <w:ind w:left="2268" w:hanging="1984"/>
        <w:rPr>
          <w:rFonts w:cs="Arial"/>
          <w:color w:val="000000"/>
          <w:szCs w:val="22"/>
        </w:rPr>
      </w:pPr>
      <w:r>
        <w:rPr>
          <w:rFonts w:cs="Arial"/>
          <w:color w:val="000000"/>
          <w:szCs w:val="22"/>
        </w:rPr>
        <w:t>FS DMSU</w:t>
        <w:tab/>
      </w:r>
      <w:r>
        <w:rPr/>
        <w:t>Free Space Data Mode Screen Up</w:t>
      </w:r>
    </w:p>
    <w:p>
      <w:pPr>
        <w:pStyle w:val="EW"/>
        <w:ind w:left="2268" w:hanging="1984"/>
        <w:rPr>
          <w:rFonts w:cs="Arial"/>
          <w:color w:val="000000"/>
          <w:szCs w:val="22"/>
        </w:rPr>
      </w:pPr>
      <w:r>
        <w:rPr>
          <w:rFonts w:cs="Arial"/>
          <w:color w:val="000000"/>
          <w:szCs w:val="22"/>
        </w:rPr>
        <w:t>GPS</w:t>
        <w:tab/>
        <w:t>Global Positioning System</w:t>
      </w:r>
    </w:p>
    <w:p>
      <w:pPr>
        <w:pStyle w:val="EW"/>
        <w:ind w:left="2268" w:hanging="1984"/>
        <w:rPr>
          <w:rFonts w:cs="Arial"/>
          <w:color w:val="000000"/>
          <w:szCs w:val="22"/>
        </w:rPr>
      </w:pPr>
      <w:r>
        <w:rPr>
          <w:rFonts w:cs="Arial"/>
          <w:color w:val="000000"/>
          <w:szCs w:val="22"/>
        </w:rPr>
        <w:t>HUT</w:t>
        <w:tab/>
        <w:t>Helsinki University of Technology</w:t>
      </w:r>
    </w:p>
    <w:p>
      <w:pPr>
        <w:pStyle w:val="EW"/>
        <w:ind w:left="2268" w:hanging="1984"/>
        <w:rPr>
          <w:rFonts w:cs="v4.2.0;Times New Roman"/>
          <w:color w:val="000000"/>
        </w:rPr>
      </w:pPr>
      <w:r>
        <w:rPr>
          <w:rFonts w:cs="v4.2.0;Times New Roman"/>
          <w:color w:val="000000"/>
        </w:rPr>
        <w:t>LCD</w:t>
        <w:tab/>
        <w:t>Liquid Crystal Display</w:t>
      </w:r>
    </w:p>
    <w:p>
      <w:pPr>
        <w:pStyle w:val="EW"/>
        <w:ind w:left="2268" w:hanging="1984"/>
        <w:rPr/>
      </w:pPr>
      <w:r>
        <w:rPr>
          <w:rFonts w:cs="v4.2.0;Times New Roman"/>
          <w:color w:val="000000"/>
        </w:rPr>
        <w:t>LEE</w:t>
        <w:tab/>
        <w:t>Laptop Embedded Equipment (e.g. embedded module card embedded in notebooks)</w:t>
      </w:r>
    </w:p>
    <w:p>
      <w:pPr>
        <w:pStyle w:val="EW"/>
        <w:ind w:left="2268" w:hanging="1984"/>
        <w:rPr>
          <w:rFonts w:cs="v4.2.0;Times New Roman"/>
          <w:color w:val="000000"/>
          <w:lang w:eastAsia="zh-CN"/>
        </w:rPr>
      </w:pPr>
      <w:r>
        <w:rPr>
          <w:rFonts w:cs="v4.2.0;Times New Roman"/>
          <w:color w:val="000000"/>
        </w:rPr>
        <w:t>LME</w:t>
        <w:tab/>
        <w:t>Laptop Mounted Equipment (e.g., plug-in devices like USB dongles)</w:t>
      </w:r>
    </w:p>
    <w:p>
      <w:pPr>
        <w:pStyle w:val="EW"/>
        <w:ind w:left="2268" w:hanging="1984"/>
        <w:rPr>
          <w:rFonts w:cs="v4.2.0;Times New Roman"/>
          <w:color w:val="000000"/>
        </w:rPr>
      </w:pPr>
      <w:r>
        <w:rPr>
          <w:rFonts w:cs="v4.2.0;Times New Roman"/>
          <w:color w:val="000000"/>
        </w:rPr>
        <w:t>LTE</w:t>
        <w:tab/>
        <w:t>Long Term Evolution</w:t>
      </w:r>
    </w:p>
    <w:p>
      <w:pPr>
        <w:pStyle w:val="EW"/>
        <w:ind w:left="2268" w:hanging="1984"/>
        <w:rPr>
          <w:rFonts w:cs="v4.2.0;Times New Roman"/>
          <w:color w:val="000000"/>
        </w:rPr>
      </w:pPr>
      <w:r>
        <w:rPr>
          <w:rFonts w:cs="v4.2.0;Times New Roman"/>
          <w:color w:val="000000"/>
        </w:rPr>
        <w:t>MPAC</w:t>
        <w:tab/>
        <w:t>Multi-Probe Anechoic Chamber</w:t>
      </w:r>
    </w:p>
    <w:p>
      <w:pPr>
        <w:pStyle w:val="EW"/>
        <w:ind w:left="2268" w:hanging="1984"/>
        <w:rPr>
          <w:rFonts w:cs="v4.2.0;Times New Roman"/>
          <w:color w:val="000000"/>
        </w:rPr>
      </w:pPr>
      <w:r>
        <w:rPr>
          <w:rFonts w:cs="v4.2.0;Times New Roman"/>
          <w:color w:val="000000"/>
        </w:rPr>
        <w:t>NB</w:t>
        <w:tab/>
        <w:t>Node B</w:t>
      </w:r>
    </w:p>
    <w:p>
      <w:pPr>
        <w:pStyle w:val="EW"/>
        <w:ind w:left="2268" w:hanging="1984"/>
        <w:rPr>
          <w:rFonts w:cs="v4.2.0;Times New Roman"/>
          <w:color w:val="000000"/>
          <w:lang w:eastAsia="zh-CN"/>
        </w:rPr>
      </w:pPr>
      <w:r>
        <w:rPr>
          <w:rFonts w:cs="v4.2.0;Times New Roman"/>
          <w:color w:val="000000"/>
        </w:rPr>
        <w:t>NSA</w:t>
        <w:tab/>
        <w:t>Normalised Site Attenuation</w:t>
      </w:r>
    </w:p>
    <w:p>
      <w:pPr>
        <w:pStyle w:val="EW"/>
        <w:ind w:left="2268" w:hanging="1984"/>
        <w:rPr>
          <w:rFonts w:cs="v4.2.0;Times New Roman"/>
          <w:color w:val="000000"/>
        </w:rPr>
      </w:pPr>
      <w:r>
        <w:rPr>
          <w:rFonts w:cs="v4.2.0;Times New Roman"/>
          <w:color w:val="000000"/>
          <w:lang w:eastAsia="zh-CN"/>
        </w:rPr>
        <w:t>OTA</w:t>
        <w:tab/>
        <w:t>Over The Air</w:t>
      </w:r>
    </w:p>
    <w:p>
      <w:pPr>
        <w:pStyle w:val="EW"/>
        <w:ind w:left="2268" w:hanging="1984"/>
        <w:rPr>
          <w:rFonts w:cs="v4.2.0;Times New Roman"/>
          <w:color w:val="000000"/>
        </w:rPr>
      </w:pPr>
      <w:r>
        <w:rPr>
          <w:rFonts w:cs="v4.2.0;Times New Roman"/>
          <w:color w:val="000000"/>
        </w:rPr>
        <w:t>PDA</w:t>
        <w:tab/>
        <w:t>Personal Digital Assistant</w:t>
      </w:r>
    </w:p>
    <w:p>
      <w:pPr>
        <w:pStyle w:val="EW"/>
        <w:ind w:left="2268" w:hanging="1984"/>
        <w:rPr>
          <w:rFonts w:cs="v4.2.0;Times New Roman"/>
          <w:color w:val="000000"/>
        </w:rPr>
      </w:pPr>
      <w:r>
        <w:rPr>
          <w:rFonts w:cs="v4.2.0;Times New Roman"/>
          <w:color w:val="000000"/>
        </w:rPr>
        <w:t>QoS</w:t>
        <w:tab/>
        <w:t>Quality of Service</w:t>
      </w:r>
    </w:p>
    <w:p>
      <w:pPr>
        <w:pStyle w:val="EW"/>
        <w:ind w:left="2268" w:hanging="1984"/>
        <w:rPr>
          <w:rFonts w:cs="v4.2.0;Times New Roman"/>
          <w:color w:val="000000"/>
          <w:lang w:eastAsia="zh-CN"/>
        </w:rPr>
      </w:pPr>
      <w:r>
        <w:rPr>
          <w:rFonts w:cs="v4.2.0;Times New Roman"/>
          <w:color w:val="000000"/>
        </w:rPr>
        <w:t>QPSK</w:t>
        <w:tab/>
        <w:t>Quadrature Phase Shift Keying (modulation)</w:t>
      </w:r>
    </w:p>
    <w:p>
      <w:pPr>
        <w:pStyle w:val="EW"/>
        <w:ind w:left="2268" w:hanging="1984"/>
        <w:rPr>
          <w:rFonts w:cs="v4.2.0;Times New Roman"/>
          <w:color w:val="000000"/>
        </w:rPr>
      </w:pPr>
      <w:r>
        <w:rPr>
          <w:rFonts w:cs="v4.2.0;Times New Roman"/>
          <w:color w:val="000000"/>
        </w:rPr>
        <w:t>RAB</w:t>
        <w:tab/>
        <w:t>Radio Access Bearer</w:t>
      </w:r>
    </w:p>
    <w:p>
      <w:pPr>
        <w:pStyle w:val="EW"/>
        <w:ind w:left="2268" w:hanging="1984"/>
        <w:rPr>
          <w:rFonts w:cs="v4.2.0;Times New Roman"/>
          <w:color w:val="000000"/>
        </w:rPr>
      </w:pPr>
      <w:r>
        <w:rPr>
          <w:rFonts w:cs="v4.2.0;Times New Roman"/>
          <w:color w:val="000000"/>
        </w:rPr>
        <w:t>RB</w:t>
        <w:tab/>
        <w:t>Radio Bearer</w:t>
      </w:r>
    </w:p>
    <w:p>
      <w:pPr>
        <w:pStyle w:val="EW"/>
        <w:ind w:left="2268" w:hanging="1984"/>
        <w:rPr>
          <w:rFonts w:cs="v4.2.0;Times New Roman"/>
          <w:color w:val="000000"/>
        </w:rPr>
      </w:pPr>
      <w:r>
        <w:rPr>
          <w:rFonts w:cs="v4.2.0;Times New Roman"/>
          <w:color w:val="000000"/>
        </w:rPr>
        <w:t>RAN</w:t>
        <w:tab/>
        <w:t>Radio Access Network</w:t>
      </w:r>
    </w:p>
    <w:p>
      <w:pPr>
        <w:pStyle w:val="EW"/>
        <w:ind w:left="2268" w:hanging="1984"/>
        <w:rPr>
          <w:rFonts w:cs="v4.2.0;Times New Roman"/>
          <w:color w:val="000000"/>
        </w:rPr>
      </w:pPr>
      <w:r>
        <w:rPr>
          <w:rFonts w:cs="v4.2.0;Times New Roman"/>
          <w:color w:val="000000"/>
        </w:rPr>
        <w:t>RBW</w:t>
        <w:tab/>
        <w:t>Resolution Bandwidth</w:t>
      </w:r>
    </w:p>
    <w:p>
      <w:pPr>
        <w:pStyle w:val="EW"/>
        <w:ind w:left="2268" w:hanging="1984"/>
        <w:rPr>
          <w:rFonts w:cs="v4.2.0;Times New Roman"/>
          <w:color w:val="000000"/>
        </w:rPr>
      </w:pPr>
      <w:r>
        <w:rPr>
          <w:rFonts w:cs="v4.2.0;Times New Roman"/>
          <w:color w:val="000000"/>
        </w:rPr>
        <w:t>RF</w:t>
        <w:tab/>
        <w:t>Radio Frequency</w:t>
      </w:r>
    </w:p>
    <w:p>
      <w:pPr>
        <w:pStyle w:val="EW"/>
        <w:ind w:left="2268" w:hanging="1984"/>
        <w:rPr>
          <w:rFonts w:cs="v4.2.0;Times New Roman"/>
          <w:color w:val="000000"/>
        </w:rPr>
      </w:pPr>
      <w:r>
        <w:rPr>
          <w:rFonts w:cs="v4.2.0;Times New Roman"/>
          <w:color w:val="000000"/>
        </w:rPr>
        <w:t>RMS</w:t>
        <w:tab/>
        <w:t>Root Mean Square</w:t>
      </w:r>
    </w:p>
    <w:p>
      <w:pPr>
        <w:pStyle w:val="EW"/>
        <w:ind w:left="2268" w:hanging="1984"/>
        <w:rPr>
          <w:rFonts w:cs="v4.2.0;Times New Roman"/>
          <w:color w:val="000000"/>
        </w:rPr>
      </w:pPr>
      <w:r>
        <w:rPr/>
        <w:t>RS-EPRE</w:t>
        <w:tab/>
        <w:t>Reference Signal-Energy Per Resource Element</w:t>
      </w:r>
    </w:p>
    <w:p>
      <w:pPr>
        <w:pStyle w:val="EW"/>
        <w:ind w:left="2268" w:hanging="1984"/>
        <w:rPr>
          <w:rFonts w:cs="v4.2.0;Times New Roman"/>
          <w:color w:val="000000"/>
        </w:rPr>
      </w:pPr>
      <w:r>
        <w:rPr>
          <w:rFonts w:cs="v4.2.0;Times New Roman"/>
          <w:color w:val="000000"/>
        </w:rPr>
        <w:t>Rx</w:t>
        <w:tab/>
        <w:t>Receiver</w:t>
      </w:r>
    </w:p>
    <w:p>
      <w:pPr>
        <w:pStyle w:val="EW"/>
        <w:ind w:left="2268" w:hanging="1984"/>
        <w:rPr>
          <w:rFonts w:cs="v4.2.0;Times New Roman"/>
          <w:color w:val="000000"/>
        </w:rPr>
      </w:pPr>
      <w:r>
        <w:rPr>
          <w:rFonts w:cs="v4.2.0;Times New Roman"/>
          <w:color w:val="000000"/>
        </w:rPr>
        <w:t>SAM</w:t>
        <w:tab/>
        <w:t>Specific Anthropomorphic Mannequin</w:t>
      </w:r>
    </w:p>
    <w:p>
      <w:pPr>
        <w:pStyle w:val="EW"/>
        <w:ind w:left="2250" w:hanging="1966"/>
        <w:rPr/>
      </w:pPr>
      <w:r>
        <w:rPr/>
        <w:t>SAR</w:t>
        <w:tab/>
        <w:t>Specific Absorption Rate</w:t>
      </w:r>
    </w:p>
    <w:p>
      <w:pPr>
        <w:pStyle w:val="EW"/>
        <w:ind w:left="2250" w:hanging="1966"/>
        <w:rPr/>
      </w:pPr>
      <w:r>
        <w:rPr/>
        <w:t>SS</w:t>
        <w:tab/>
        <w:t>System Simulator</w:t>
      </w:r>
    </w:p>
    <w:p>
      <w:pPr>
        <w:pStyle w:val="EW"/>
        <w:ind w:left="2250" w:hanging="1966"/>
        <w:rPr/>
      </w:pPr>
      <w:r>
        <w:rPr/>
        <w:t>TDD</w:t>
        <w:tab/>
        <w:t>Time Division Duplex</w:t>
      </w:r>
    </w:p>
    <w:p>
      <w:pPr>
        <w:pStyle w:val="EW"/>
        <w:ind w:left="2268" w:hanging="1984"/>
        <w:rPr>
          <w:rFonts w:cs="v4.2.0;Times New Roman"/>
          <w:color w:val="000000"/>
        </w:rPr>
      </w:pPr>
      <w:r>
        <w:rPr>
          <w:rFonts w:cs="v4.2.0;Times New Roman"/>
          <w:color w:val="000000"/>
        </w:rPr>
        <w:t>TFCI</w:t>
        <w:tab/>
        <w:t>Transport Format Combination Indicator</w:t>
      </w:r>
    </w:p>
    <w:p>
      <w:pPr>
        <w:pStyle w:val="EW"/>
        <w:ind w:left="2268" w:hanging="1984"/>
        <w:rPr>
          <w:rFonts w:cs="v4.2.0;Times New Roman"/>
          <w:color w:val="000000"/>
        </w:rPr>
      </w:pPr>
      <w:r>
        <w:rPr>
          <w:rFonts w:cs="v4.2.0;Times New Roman"/>
          <w:color w:val="000000"/>
        </w:rPr>
        <w:t>Tx</w:t>
        <w:tab/>
        <w:t>Transmitter</w:t>
      </w:r>
    </w:p>
    <w:p>
      <w:pPr>
        <w:pStyle w:val="EW"/>
        <w:ind w:left="2268" w:hanging="1984"/>
        <w:rPr>
          <w:rFonts w:cs="v4.2.0;Times New Roman"/>
          <w:color w:val="000000"/>
        </w:rPr>
      </w:pPr>
      <w:r>
        <w:rPr>
          <w:rFonts w:cs="v4.2.0;Times New Roman"/>
          <w:color w:val="000000"/>
        </w:rPr>
        <w:t>TRMS</w:t>
        <w:tab/>
      </w:r>
      <w:r>
        <w:rPr>
          <w:szCs w:val="28"/>
        </w:rPr>
        <w:t>Total Radiated Multi-antenna Sensitivity</w:t>
      </w:r>
    </w:p>
    <w:p>
      <w:pPr>
        <w:pStyle w:val="EW"/>
        <w:ind w:left="2268" w:hanging="1984"/>
        <w:rPr/>
      </w:pPr>
      <w:r>
        <w:rPr>
          <w:rFonts w:cs="v4.2.0;Times New Roman"/>
          <w:color w:val="000000"/>
        </w:rPr>
        <w:t>TRP</w:t>
        <w:tab/>
        <w:t>Total Radiated Power</w:t>
      </w:r>
      <w:r>
        <w:rPr>
          <w:rFonts w:cs="v4.2.0;Times New Roman"/>
          <w:color w:val="000000"/>
          <w:lang w:eastAsia="zh-CN"/>
        </w:rPr>
        <w:t xml:space="preserve"> </w:t>
      </w:r>
    </w:p>
    <w:p>
      <w:pPr>
        <w:pStyle w:val="EW"/>
        <w:ind w:left="2268" w:hanging="1984"/>
        <w:rPr>
          <w:rFonts w:cs="v4.2.0;Times New Roman"/>
          <w:color w:val="000000"/>
        </w:rPr>
      </w:pPr>
      <w:r>
        <w:rPr>
          <w:rFonts w:cs="v4.2.0;Times New Roman"/>
          <w:color w:val="000000"/>
        </w:rPr>
        <w:t>TRS</w:t>
        <w:tab/>
        <w:t xml:space="preserve">Total Radiated Sensitivity </w:t>
      </w:r>
    </w:p>
    <w:p>
      <w:pPr>
        <w:pStyle w:val="EW"/>
        <w:ind w:left="2268" w:hanging="1984"/>
        <w:rPr/>
      </w:pPr>
      <w:r>
        <w:rPr>
          <w:rFonts w:cs="v4.2.0;Times New Roman"/>
          <w:color w:val="000000"/>
        </w:rPr>
        <w:t>UDP</w:t>
        <w:tab/>
        <w:t>User Datagram Protocol</w:t>
      </w:r>
    </w:p>
    <w:p>
      <w:pPr>
        <w:pStyle w:val="EW"/>
        <w:ind w:left="2268" w:hanging="1984"/>
        <w:rPr/>
      </w:pPr>
      <w:r>
        <w:rPr>
          <w:rFonts w:cs="v4.2.0;Times New Roman"/>
          <w:color w:val="000000"/>
        </w:rPr>
        <w:t>UE</w:t>
        <w:tab/>
        <w:t>User Equipment</w:t>
      </w:r>
    </w:p>
    <w:p>
      <w:pPr>
        <w:pStyle w:val="EW"/>
        <w:ind w:left="2268" w:hanging="1984"/>
        <w:rPr>
          <w:rFonts w:cs="v4.2.0;Times New Roman"/>
          <w:color w:val="000000"/>
        </w:rPr>
      </w:pPr>
      <w:r>
        <w:rPr>
          <w:rFonts w:cs="v4.2.0;Times New Roman"/>
          <w:color w:val="000000"/>
        </w:rPr>
        <w:t>UL</w:t>
        <w:tab/>
        <w:t>Uplink</w:t>
      </w:r>
    </w:p>
    <w:p>
      <w:pPr>
        <w:pStyle w:val="EW"/>
        <w:ind w:left="2268" w:hanging="1984"/>
        <w:rPr/>
      </w:pPr>
      <w:r>
        <w:rPr/>
        <w:t>UMTS</w:t>
        <w:tab/>
        <w:t xml:space="preserve">Universal Mobile Telecommunications System </w:t>
      </w:r>
    </w:p>
    <w:p>
      <w:pPr>
        <w:pStyle w:val="EW"/>
        <w:ind w:left="2268" w:hanging="1984"/>
        <w:rPr>
          <w:rFonts w:cs="v4.2.0;Times New Roman"/>
          <w:color w:val="000000"/>
          <w:lang w:eastAsia="zh-CN"/>
        </w:rPr>
      </w:pPr>
      <w:r>
        <w:rPr>
          <w:rFonts w:cs="v4.2.0;Times New Roman"/>
          <w:color w:val="000000"/>
          <w:lang w:eastAsia="zh-CN"/>
        </w:rPr>
        <w:t>USB</w:t>
        <w:tab/>
        <w:t>Universal Serial Bus</w:t>
      </w:r>
    </w:p>
    <w:p>
      <w:pPr>
        <w:pStyle w:val="EW"/>
        <w:ind w:left="2268" w:hanging="1984"/>
        <w:rPr>
          <w:rFonts w:cs="v4.2.0;Times New Roman"/>
          <w:color w:val="000000"/>
          <w:lang w:eastAsia="zh-CN"/>
        </w:rPr>
      </w:pPr>
      <w:r>
        <w:rPr>
          <w:rFonts w:cs="v4.2.0;Times New Roman"/>
          <w:color w:val="000000"/>
          <w:lang w:eastAsia="zh-CN"/>
        </w:rPr>
        <w:t>UTRA</w:t>
        <w:tab/>
        <w:t>UMTS Terrestrial Radio Access</w:t>
      </w:r>
    </w:p>
    <w:p>
      <w:pPr>
        <w:pStyle w:val="EW"/>
        <w:ind w:left="2268" w:hanging="1984"/>
        <w:rPr/>
      </w:pPr>
      <w:r>
        <w:rPr/>
        <w:t>VBW</w:t>
        <w:tab/>
        <w:t>Video Bandwidth</w:t>
      </w:r>
    </w:p>
    <w:p>
      <w:pPr>
        <w:pStyle w:val="EW"/>
        <w:ind w:left="2268" w:hanging="1984"/>
        <w:rPr/>
      </w:pPr>
      <w:r>
        <w:rPr/>
        <w:t>VNA</w:t>
        <w:tab/>
        <w:t>Vector Network Analyzer</w:t>
      </w:r>
    </w:p>
    <w:p>
      <w:pPr>
        <w:pStyle w:val="EW"/>
        <w:ind w:left="2268" w:hanging="1984"/>
        <w:rPr/>
      </w:pPr>
      <w:r>
        <w:rPr/>
        <w:t>VSWR</w:t>
        <w:tab/>
        <w:t>Voltage Standing Wave Ratio</w:t>
      </w:r>
    </w:p>
    <w:p>
      <w:pPr>
        <w:pStyle w:val="EW"/>
        <w:ind w:left="2268" w:hanging="1984"/>
        <w:rPr/>
      </w:pPr>
      <w:r>
        <w:rPr/>
        <w:t>WLAN</w:t>
        <w:tab/>
        <w:t>Wireless Local Area Network</w:t>
      </w:r>
    </w:p>
    <w:p>
      <w:pPr>
        <w:pStyle w:val="EW"/>
        <w:ind w:left="2268" w:hanging="1984"/>
        <w:rPr/>
      </w:pPr>
      <w:r>
        <w:rPr/>
        <w:t>WWAN</w:t>
        <w:tab/>
        <w:t>Wireless Wide Area Network</w:t>
      </w:r>
    </w:p>
    <w:p>
      <w:pPr>
        <w:pStyle w:val="EW"/>
        <w:ind w:left="2268" w:hanging="1984"/>
        <w:rPr>
          <w:rFonts w:cs="v4.2.0;Times New Roman"/>
          <w:color w:val="000000"/>
        </w:rPr>
      </w:pPr>
      <w:r>
        <w:rPr>
          <w:rFonts w:cs="v4.2.0;Times New Roman"/>
          <w:color w:val="000000"/>
        </w:rPr>
        <w:t>XPD</w:t>
        <w:tab/>
        <w:t>Cross-Polar Discrimination of the antenna</w:t>
      </w:r>
    </w:p>
    <w:p>
      <w:pPr>
        <w:pStyle w:val="EW"/>
        <w:ind w:left="2268" w:hanging="1984"/>
        <w:rPr>
          <w:rFonts w:cs="v4.2.0;Times New Roman"/>
          <w:color w:val="000000"/>
        </w:rPr>
      </w:pPr>
      <w:r>
        <w:rPr>
          <w:rFonts w:cs="v4.2.0;Times New Roman"/>
          <w:color w:val="000000"/>
        </w:rPr>
        <w:t>XPR</w:t>
        <w:tab/>
        <w:t>Cross-Polarization ratio of the channel</w:t>
      </w:r>
    </w:p>
    <w:p>
      <w:pPr>
        <w:pStyle w:val="Normal"/>
        <w:rPr>
          <w:rFonts w:cs="v4.2.0;Times New Roman"/>
          <w:color w:val="000000"/>
        </w:rPr>
      </w:pPr>
      <w:r>
        <w:rPr>
          <w:rFonts w:cs="v4.2.0;Times New Roman"/>
          <w:color w:val="000000"/>
        </w:rPr>
      </w:r>
    </w:p>
    <w:p>
      <w:pPr>
        <w:pStyle w:val="Heading1"/>
        <w:ind w:left="1134" w:hanging="1134"/>
        <w:rPr/>
      </w:pPr>
      <w:bookmarkStart w:id="12" w:name="__RefHeading___Toc68600952"/>
      <w:bookmarkEnd w:id="12"/>
      <w:r>
        <w:rPr/>
        <w:t>4</w:t>
        <w:tab/>
        <w:t>General</w:t>
      </w:r>
    </w:p>
    <w:p>
      <w:pPr>
        <w:pStyle w:val="Normal"/>
        <w:rPr/>
      </w:pPr>
      <w:r>
        <w:rPr>
          <w:rFonts w:cs="v5.0.0;Times New Roman"/>
        </w:rPr>
        <w:t>The device under test (DUT) presented in this clause is based on a device that is tested to determine performance as defined in the present release of specifications.</w:t>
      </w:r>
    </w:p>
    <w:p>
      <w:pPr>
        <w:pStyle w:val="Heading2"/>
        <w:rPr/>
      </w:pPr>
      <w:bookmarkStart w:id="13" w:name="__RefHeading___Toc68600953"/>
      <w:bookmarkEnd w:id="13"/>
      <w:r>
        <w:rPr/>
        <w:t>4.1</w:t>
        <w:tab/>
        <w:t>Terminal classes</w:t>
      </w:r>
    </w:p>
    <w:p>
      <w:pPr>
        <w:pStyle w:val="Heading3"/>
        <w:rPr/>
      </w:pPr>
      <w:bookmarkStart w:id="14" w:name="__RefHeading___Toc68600954"/>
      <w:bookmarkEnd w:id="14"/>
      <w:r>
        <w:rPr/>
        <w:t>4.1.1</w:t>
        <w:tab/>
        <w:t>Mechanical modes</w:t>
      </w:r>
    </w:p>
    <w:p>
      <w:pPr>
        <w:pStyle w:val="Normal"/>
        <w:numPr>
          <w:ilvl w:val="0"/>
          <w:numId w:val="5"/>
        </w:numPr>
        <w:tabs>
          <w:tab w:val="clear" w:pos="284"/>
          <w:tab w:val="left" w:pos="0" w:leader="none"/>
        </w:tabs>
        <w:suppressAutoHyphens w:val="true"/>
        <w:ind w:left="0" w:hanging="0"/>
        <w:rPr/>
      </w:pPr>
      <w:r>
        <w:rPr/>
        <w:t>The mechanical modes of a DUT are declared by the manufacturer. A DUT shall have at least one mechanical mode. If only one mode is supported, then this is defined as the primary.</w:t>
      </w:r>
    </w:p>
    <w:p>
      <w:pPr>
        <w:pStyle w:val="Heading2"/>
        <w:rPr/>
      </w:pPr>
      <w:bookmarkStart w:id="15" w:name="__RefHeading___Toc68600955"/>
      <w:bookmarkEnd w:id="15"/>
      <w:r>
        <w:rPr/>
        <w:t>4.2</w:t>
        <w:tab/>
        <w:t>UTRA chip rates</w:t>
      </w:r>
    </w:p>
    <w:p>
      <w:pPr>
        <w:pStyle w:val="Normal"/>
        <w:numPr>
          <w:ilvl w:val="0"/>
          <w:numId w:val="5"/>
        </w:numPr>
        <w:tabs>
          <w:tab w:val="clear" w:pos="284"/>
          <w:tab w:val="left" w:pos="0" w:leader="none"/>
        </w:tabs>
        <w:suppressAutoHyphens w:val="true"/>
        <w:ind w:left="0" w:hanging="0"/>
        <w:rPr>
          <w:rFonts w:cs="v5.0.0;Times New Roman"/>
        </w:rPr>
      </w:pPr>
      <w:r>
        <w:rPr>
          <w:rFonts w:cs="v5.0.0;Times New Roman"/>
        </w:rPr>
        <w:t>The requirements defined in this specification for UTRA are based on a chip rate of 3.84 Mcps (FDD) and 1.28 Mcps (TDD).</w:t>
      </w:r>
    </w:p>
    <w:p>
      <w:pPr>
        <w:pStyle w:val="NO"/>
        <w:rPr/>
      </w:pPr>
      <w:r>
        <w:rPr/>
        <w:t>NOTE:</w:t>
        <w:tab/>
        <w:t>Other chip rates may be considered in future releases.</w:t>
      </w:r>
    </w:p>
    <w:p>
      <w:pPr>
        <w:pStyle w:val="Heading2"/>
        <w:rPr/>
      </w:pPr>
      <w:bookmarkStart w:id="16" w:name="__RefHeading___Toc68600956"/>
      <w:bookmarkEnd w:id="16"/>
      <w:r>
        <w:rPr/>
        <w:t>4.3</w:t>
        <w:tab/>
        <w:t>DUT positioning</w:t>
      </w:r>
    </w:p>
    <w:p>
      <w:pPr>
        <w:pStyle w:val="Heading3"/>
        <w:rPr/>
      </w:pPr>
      <w:bookmarkStart w:id="17" w:name="__RefHeading___Toc68600957"/>
      <w:r>
        <w:rPr/>
        <w:t>4.3.1</w:t>
        <w:tab/>
        <w:t>DUT positioning for Speech Mode with beside the Head Phantom</w:t>
      </w:r>
      <w:bookmarkEnd w:id="17"/>
      <w:r>
        <w:rPr/>
        <w:t xml:space="preserve"> </w:t>
      </w:r>
    </w:p>
    <w:p>
      <w:pPr>
        <w:pStyle w:val="Normal"/>
        <w:rPr/>
      </w:pPr>
      <w:r>
        <w:rPr>
          <w:rFonts w:cs="v4.2.0;Times New Roman"/>
        </w:rPr>
        <w:t xml:space="preserve">The positioning specified in this clause is used for the tests cases titled as tests for Speech Mode with beside the Head Phantom. </w:t>
      </w:r>
      <w:r>
        <w:rPr/>
        <w:t>The characteristics of the Specific Anthropomorphic Mannequin (SAM) phantom are specified in Annex A.2.1.</w:t>
      </w:r>
    </w:p>
    <w:p>
      <w:pPr>
        <w:pStyle w:val="Normal"/>
        <w:rPr/>
      </w:pPr>
      <w:r>
        <w:rPr>
          <w:rFonts w:cs="v4.2.0;Times New Roman"/>
        </w:rPr>
        <w:t>The DUT is attached to the SAM phantom in "cheek" position as defined both by IEEE [28] and CELENEC [16] standards. The DUT performance is measured on both left and right side of the head.</w:t>
      </w:r>
    </w:p>
    <w:p>
      <w:pPr>
        <w:pStyle w:val="Normal"/>
        <w:rPr/>
      </w:pPr>
      <w:r>
        <w:rPr>
          <w:rFonts w:cs="v4.2.0;Times New Roman"/>
        </w:rPr>
        <w:t xml:space="preserve">Three points as shown in Figure </w:t>
      </w:r>
      <w:r>
        <w:rPr/>
        <w:t xml:space="preserve">4.3.1-1 </w:t>
      </w:r>
      <w:r>
        <w:rPr>
          <w:rFonts w:cs="v4.2.0;Times New Roman"/>
        </w:rPr>
        <w:t>define the reference plane: centre of the right ear piece (RE), centre of the left ear piece (LE) and centre of mouth (M).</w:t>
      </w:r>
    </w:p>
    <w:p>
      <w:pPr>
        <w:pStyle w:val="Normal"/>
        <w:rPr/>
      </w:pPr>
      <w:r>
        <w:rPr>
          <w:rFonts w:cs="v4.2.0;Times New Roman"/>
        </w:rPr>
        <w:t>At first, set the DUT ready for operation.</w:t>
      </w:r>
    </w:p>
    <w:p>
      <w:pPr>
        <w:pStyle w:val="Normal"/>
        <w:rPr>
          <w:rFonts w:cs="v4.2.0;Times New Roman"/>
        </w:rPr>
      </w:pPr>
      <w:r>
        <w:rPr>
          <w:rFonts w:cs="v4.2.0;Times New Roman"/>
        </w:rPr>
        <w:t>Definition of the 'Cheek' position:</w:t>
      </w:r>
    </w:p>
    <w:p>
      <w:pPr>
        <w:pStyle w:val="B1"/>
        <w:numPr>
          <w:ilvl w:val="0"/>
          <w:numId w:val="14"/>
        </w:numPr>
        <w:tabs>
          <w:tab w:val="clear" w:pos="284"/>
          <w:tab w:val="left" w:pos="540" w:leader="none"/>
        </w:tabs>
        <w:ind w:left="540" w:hanging="270"/>
        <w:rPr/>
      </w:pPr>
      <w:r>
        <w:rPr/>
        <w:t xml:space="preserve">Align the ear piece of the phone (see </w:t>
      </w:r>
      <w:r>
        <w:rPr>
          <w:rFonts w:cs="v4.2.0;Times New Roman"/>
        </w:rPr>
        <w:t xml:space="preserve">Figure </w:t>
      </w:r>
      <w:r>
        <w:rPr/>
        <w:t xml:space="preserve">4.3.1-1) at the line RE-LE. Then, position the DUT beside the phantom so that the vertical line (see </w:t>
      </w:r>
      <w:r>
        <w:rPr>
          <w:rFonts w:cs="v4.2.0;Times New Roman"/>
        </w:rPr>
        <w:t xml:space="preserve">Figure </w:t>
      </w:r>
      <w:r>
        <w:rPr/>
        <w:t>4.3.1-3) is parallel to the reference plane in F</w:t>
      </w:r>
      <w:r>
        <w:rPr>
          <w:rFonts w:cs="v4.2.0;Times New Roman"/>
        </w:rPr>
        <w:t xml:space="preserve">igure </w:t>
      </w:r>
      <w:r>
        <w:rPr/>
        <w:t>4.3.1-2 and is aligned with the line M-RE on the reference plane (see F</w:t>
      </w:r>
      <w:r>
        <w:rPr>
          <w:rFonts w:cs="v4.2.0;Times New Roman"/>
        </w:rPr>
        <w:t xml:space="preserve">igure </w:t>
      </w:r>
      <w:r>
        <w:rPr/>
        <w:t>4.3.1-3).</w:t>
      </w:r>
    </w:p>
    <w:p>
      <w:pPr>
        <w:pStyle w:val="B1"/>
        <w:numPr>
          <w:ilvl w:val="0"/>
          <w:numId w:val="14"/>
        </w:numPr>
        <w:tabs>
          <w:tab w:val="clear" w:pos="284"/>
        </w:tabs>
        <w:ind w:left="540" w:hanging="270"/>
        <w:rPr/>
      </w:pPr>
      <w:r>
        <w:rPr/>
        <w:t>Position the DUT so that the ear piece of the DUT touches the ear piece of the phantom head on the line RE-LE. Tilt the DUT chassis towards the cheek of the phantom having the vertical line aligned with the reference plane until any point on the front side of the DUT is in contact with the cheek or until the contact with the ear is lost.</w:t>
      </w:r>
    </w:p>
    <w:p>
      <w:pPr>
        <w:pStyle w:val="NO"/>
        <w:rPr/>
      </w:pPr>
      <w:r>
        <w:rPr/>
        <w:t>NOTE:</w:t>
        <w:tab/>
        <w:t>A holder fixture made of e.g. plastic may be used to position the handset against the phantom. An experimental study presented in [17] shows that some plastic holders might introduce an unexpectedly large effect to the measurement results. Therefore, special care must be seen when selecting such fixtures for radiated measurements.</w:t>
      </w:r>
    </w:p>
    <w:p>
      <w:pPr>
        <w:pStyle w:val="TH"/>
        <w:rPr/>
      </w:pPr>
      <w:r>
        <w:rPr/>
        <w:drawing>
          <wp:inline distT="0" distB="0" distL="0" distR="0">
            <wp:extent cx="1906270" cy="1390650"/>
            <wp:effectExtent l="0" t="0" r="0" b="0"/>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6"/>
                    <a:srcRect l="-11" t="-17" r="-11" b="-17"/>
                    <a:stretch>
                      <a:fillRect/>
                    </a:stretch>
                  </pic:blipFill>
                  <pic:spPr bwMode="auto">
                    <a:xfrm>
                      <a:off x="0" y="0"/>
                      <a:ext cx="1906270" cy="1390650"/>
                    </a:xfrm>
                    <a:prstGeom prst="rect">
                      <a:avLst/>
                    </a:prstGeom>
                  </pic:spPr>
                </pic:pic>
              </a:graphicData>
            </a:graphic>
          </wp:inline>
        </w:drawing>
      </w:r>
    </w:p>
    <w:p>
      <w:pPr>
        <w:pStyle w:val="TF"/>
        <w:rPr/>
      </w:pPr>
      <w:r>
        <w:rPr/>
        <w:t>Figure 4.3.1-1: Reference plane on head phantom, front view</w:t>
      </w:r>
    </w:p>
    <w:p>
      <w:pPr>
        <w:pStyle w:val="Normal"/>
        <w:rPr/>
      </w:pPr>
      <w:r>
        <w:rPr/>
      </w:r>
    </w:p>
    <w:p>
      <w:pPr>
        <w:pStyle w:val="TH"/>
        <w:rPr/>
      </w:pPr>
      <w:r>
        <w:rPr/>
        <w:drawing>
          <wp:inline distT="0" distB="0" distL="0" distR="0">
            <wp:extent cx="1283970" cy="1332230"/>
            <wp:effectExtent l="0" t="0" r="0" b="0"/>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7"/>
                    <a:srcRect l="-16" t="-16" r="-16" b="-16"/>
                    <a:stretch>
                      <a:fillRect/>
                    </a:stretch>
                  </pic:blipFill>
                  <pic:spPr bwMode="auto">
                    <a:xfrm>
                      <a:off x="0" y="0"/>
                      <a:ext cx="1283970" cy="1332230"/>
                    </a:xfrm>
                    <a:prstGeom prst="rect">
                      <a:avLst/>
                    </a:prstGeom>
                  </pic:spPr>
                </pic:pic>
              </a:graphicData>
            </a:graphic>
          </wp:inline>
        </w:drawing>
      </w:r>
    </w:p>
    <w:p>
      <w:pPr>
        <w:pStyle w:val="TF"/>
        <w:rPr/>
      </w:pPr>
      <w:r>
        <w:rPr>
          <w:rFonts w:cs="v4.2.0;Times New Roman"/>
        </w:rPr>
        <w:t xml:space="preserve">Figure 4.3.1-2: </w:t>
      </w:r>
      <w:r>
        <w:rPr/>
        <w:t>Reference plane on head phantom, side view</w:t>
      </w:r>
    </w:p>
    <w:p>
      <w:pPr>
        <w:pStyle w:val="Normal"/>
        <w:rPr/>
      </w:pPr>
      <w:r>
        <w:rPr/>
      </w:r>
    </w:p>
    <w:p>
      <w:pPr>
        <w:pStyle w:val="TH"/>
        <w:rPr/>
      </w:pPr>
      <w:r>
        <w:rPr/>
        <w:drawing>
          <wp:inline distT="0" distB="0" distL="0" distR="0">
            <wp:extent cx="1417320" cy="1588770"/>
            <wp:effectExtent l="0" t="0" r="0" b="0"/>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8"/>
                    <a:srcRect l="-7" t="-7" r="-7" b="-7"/>
                    <a:stretch>
                      <a:fillRect/>
                    </a:stretch>
                  </pic:blipFill>
                  <pic:spPr bwMode="auto">
                    <a:xfrm>
                      <a:off x="0" y="0"/>
                      <a:ext cx="1417320" cy="1588770"/>
                    </a:xfrm>
                    <a:prstGeom prst="rect">
                      <a:avLst/>
                    </a:prstGeom>
                  </pic:spPr>
                </pic:pic>
              </a:graphicData>
            </a:graphic>
          </wp:inline>
        </w:drawing>
      </w:r>
    </w:p>
    <w:p>
      <w:pPr>
        <w:pStyle w:val="TF"/>
        <w:rPr/>
      </w:pPr>
      <w:r>
        <w:rPr/>
        <w:t>Figure 4.3.1-3: Reference lines at a DUT</w:t>
      </w:r>
    </w:p>
    <w:p>
      <w:pPr>
        <w:pStyle w:val="Normal"/>
        <w:rPr/>
      </w:pPr>
      <w:r>
        <w:rPr/>
      </w:r>
    </w:p>
    <w:p>
      <w:pPr>
        <w:pStyle w:val="NO"/>
        <w:rPr/>
      </w:pPr>
      <w:r>
        <w:rPr/>
        <w:t>NOTE: W is the width of the chassis [28].</w:t>
      </w:r>
    </w:p>
    <w:p>
      <w:pPr>
        <w:pStyle w:val="B1"/>
        <w:ind w:left="0" w:hanging="0"/>
        <w:rPr/>
      </w:pPr>
      <w:r>
        <w:rPr/>
        <w:t xml:space="preserve">The characteristics of DUT positioning on head phantom </w:t>
      </w:r>
      <w:r>
        <w:rPr>
          <w:rFonts w:cs="v4.2.0;Times New Roman"/>
        </w:rPr>
        <w:t>in "cheek" position</w:t>
      </w:r>
      <w:r>
        <w:rPr/>
        <w:t xml:space="preserve"> are specified in Table 4.3.1-1.</w:t>
      </w:r>
    </w:p>
    <w:p>
      <w:pPr>
        <w:pStyle w:val="TH"/>
        <w:rPr/>
      </w:pPr>
      <w:r>
        <w:rPr/>
        <w:t>Table 4.3.1-1: Characteristics of DUT positioning on head phantom in “cheek” position</w:t>
      </w:r>
    </w:p>
    <w:tbl>
      <w:tblPr>
        <w:tblW w:w="4100" w:type="pct"/>
        <w:jc w:val="center"/>
        <w:tblInd w:w="0" w:type="dxa"/>
        <w:tblLayout w:type="fixed"/>
        <w:tblCellMar>
          <w:top w:w="0" w:type="dxa"/>
          <w:left w:w="108" w:type="dxa"/>
          <w:bottom w:w="0" w:type="dxa"/>
          <w:right w:w="108" w:type="dxa"/>
        </w:tblCellMar>
      </w:tblPr>
      <w:tblGrid>
        <w:gridCol w:w="875"/>
        <w:gridCol w:w="3011"/>
        <w:gridCol w:w="2009"/>
        <w:gridCol w:w="2009"/>
      </w:tblGrid>
      <w:tr>
        <w:trPr>
          <w:trHeight w:val="242" w:hRule="exact"/>
        </w:trPr>
        <w:tc>
          <w:tcPr>
            <w:tcW w:w="875"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ID</w:t>
            </w:r>
          </w:p>
        </w:tc>
        <w:tc>
          <w:tcPr>
            <w:tcW w:w="3011" w:type="dxa"/>
            <w:tcBorders>
              <w:top w:val="single" w:sz="4" w:space="0" w:color="000000"/>
              <w:bottom w:val="single" w:sz="4" w:space="0" w:color="000000"/>
              <w:right w:val="single" w:sz="4" w:space="0" w:color="000000"/>
            </w:tcBorders>
            <w:vAlign w:val="bottom"/>
          </w:tcPr>
          <w:p>
            <w:pPr>
              <w:pStyle w:val="TAH"/>
              <w:rPr>
                <w:lang w:eastAsia="en-US"/>
              </w:rPr>
            </w:pPr>
            <w:r>
              <w:rPr>
                <w:lang w:eastAsia="en-US"/>
              </w:rPr>
              <w:t>Cheek position on phantom head</w:t>
            </w:r>
          </w:p>
        </w:tc>
        <w:tc>
          <w:tcPr>
            <w:tcW w:w="2009" w:type="dxa"/>
            <w:tcBorders>
              <w:top w:val="single" w:sz="4" w:space="0" w:color="000000"/>
              <w:bottom w:val="single" w:sz="4" w:space="0" w:color="000000"/>
              <w:right w:val="single" w:sz="4" w:space="0" w:color="000000"/>
            </w:tcBorders>
            <w:vAlign w:val="bottom"/>
          </w:tcPr>
          <w:p>
            <w:pPr>
              <w:pStyle w:val="TAH"/>
              <w:rPr/>
            </w:pPr>
            <w:r>
              <w:rPr>
                <w:lang w:eastAsia="en-US"/>
              </w:rPr>
              <w:t>DUT chassis tilt type</w:t>
            </w:r>
          </w:p>
        </w:tc>
        <w:tc>
          <w:tcPr>
            <w:tcW w:w="2009"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DUT chassis position</w:t>
            </w:r>
          </w:p>
        </w:tc>
      </w:tr>
      <w:tr>
        <w:trPr>
          <w:trHeight w:val="242" w:hRule="exact"/>
        </w:trPr>
        <w:tc>
          <w:tcPr>
            <w:tcW w:w="875" w:type="dxa"/>
            <w:tcBorders>
              <w:left w:val="single" w:sz="4" w:space="0" w:color="000000"/>
              <w:bottom w:val="single" w:sz="4" w:space="0" w:color="000000"/>
              <w:right w:val="single" w:sz="4" w:space="0" w:color="000000"/>
            </w:tcBorders>
            <w:vAlign w:val="center"/>
          </w:tcPr>
          <w:p>
            <w:pPr>
              <w:pStyle w:val="TAC"/>
              <w:rPr>
                <w:lang w:eastAsia="en-US"/>
              </w:rPr>
            </w:pPr>
            <w:r>
              <w:rPr>
                <w:lang w:eastAsia="en-US"/>
              </w:rPr>
              <w:t>0</w:t>
            </w:r>
          </w:p>
        </w:tc>
        <w:tc>
          <w:tcPr>
            <w:tcW w:w="3011" w:type="dxa"/>
            <w:tcBorders>
              <w:bottom w:val="single" w:sz="4" w:space="0" w:color="000000"/>
              <w:right w:val="single" w:sz="4" w:space="0" w:color="000000"/>
            </w:tcBorders>
            <w:vAlign w:val="bottom"/>
          </w:tcPr>
          <w:p>
            <w:pPr>
              <w:pStyle w:val="TAC"/>
              <w:rPr>
                <w:lang w:eastAsia="en-US"/>
              </w:rPr>
            </w:pPr>
            <w:r>
              <w:rPr>
                <w:lang w:eastAsia="en-US"/>
              </w:rPr>
              <w:t>Low</w:t>
            </w:r>
          </w:p>
        </w:tc>
        <w:tc>
          <w:tcPr>
            <w:tcW w:w="2009" w:type="dxa"/>
            <w:tcBorders>
              <w:top w:val="single" w:sz="4" w:space="0" w:color="000000"/>
              <w:bottom w:val="single" w:sz="4" w:space="0" w:color="000000"/>
              <w:right w:val="single" w:sz="4" w:space="0" w:color="000000"/>
            </w:tcBorders>
            <w:vAlign w:val="bottom"/>
          </w:tcPr>
          <w:p>
            <w:pPr>
              <w:pStyle w:val="TAC"/>
              <w:rPr>
                <w:lang w:eastAsia="en-US"/>
              </w:rPr>
            </w:pPr>
            <w:r>
              <w:rPr>
                <w:lang w:eastAsia="en-US"/>
              </w:rPr>
              <w:t>Shift Down</w:t>
            </w:r>
          </w:p>
        </w:tc>
        <w:tc>
          <w:tcPr>
            <w:tcW w:w="2009" w:type="dxa"/>
            <w:tcBorders>
              <w:left w:val="single" w:sz="4" w:space="0" w:color="000000"/>
              <w:bottom w:val="single" w:sz="4" w:space="0" w:color="000000"/>
              <w:right w:val="single" w:sz="4" w:space="0" w:color="000000"/>
            </w:tcBorders>
            <w:vAlign w:val="bottom"/>
          </w:tcPr>
          <w:p>
            <w:pPr>
              <w:pStyle w:val="TAC"/>
              <w:rPr>
                <w:lang w:eastAsia="en-US"/>
              </w:rPr>
            </w:pPr>
            <w:r>
              <w:rPr>
                <w:lang w:eastAsia="en-US"/>
              </w:rPr>
              <w:t>Up</w:t>
            </w:r>
          </w:p>
        </w:tc>
      </w:tr>
      <w:tr>
        <w:trPr>
          <w:trHeight w:val="242" w:hRule="exact"/>
        </w:trPr>
        <w:tc>
          <w:tcPr>
            <w:tcW w:w="875" w:type="dxa"/>
            <w:tcBorders>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3011" w:type="dxa"/>
            <w:tcBorders>
              <w:bottom w:val="single" w:sz="4" w:space="0" w:color="000000"/>
              <w:right w:val="single" w:sz="4" w:space="0" w:color="000000"/>
            </w:tcBorders>
            <w:vAlign w:val="bottom"/>
          </w:tcPr>
          <w:p>
            <w:pPr>
              <w:pStyle w:val="TAC"/>
              <w:rPr>
                <w:lang w:eastAsia="en-US"/>
              </w:rPr>
            </w:pPr>
            <w:r>
              <w:rPr>
                <w:lang w:eastAsia="en-US"/>
              </w:rPr>
              <w:t>Medium</w:t>
            </w:r>
          </w:p>
        </w:tc>
        <w:tc>
          <w:tcPr>
            <w:tcW w:w="2009" w:type="dxa"/>
            <w:tcBorders>
              <w:top w:val="single" w:sz="4" w:space="0" w:color="000000"/>
              <w:bottom w:val="single" w:sz="4" w:space="0" w:color="000000"/>
              <w:right w:val="single" w:sz="4" w:space="0" w:color="000000"/>
            </w:tcBorders>
            <w:vAlign w:val="bottom"/>
          </w:tcPr>
          <w:p>
            <w:pPr>
              <w:pStyle w:val="TAC"/>
              <w:rPr>
                <w:lang w:eastAsia="en-US"/>
              </w:rPr>
            </w:pPr>
            <w:r>
              <w:rPr>
                <w:lang w:eastAsia="en-US"/>
              </w:rPr>
              <w:t>No Shift</w:t>
            </w:r>
          </w:p>
        </w:tc>
        <w:tc>
          <w:tcPr>
            <w:tcW w:w="2009" w:type="dxa"/>
            <w:tcBorders>
              <w:left w:val="single" w:sz="4" w:space="0" w:color="000000"/>
              <w:bottom w:val="single" w:sz="4" w:space="0" w:color="000000"/>
              <w:right w:val="single" w:sz="4" w:space="0" w:color="000000"/>
            </w:tcBorders>
            <w:vAlign w:val="bottom"/>
          </w:tcPr>
          <w:p>
            <w:pPr>
              <w:pStyle w:val="TAC"/>
              <w:rPr>
                <w:lang w:eastAsia="en-US"/>
              </w:rPr>
            </w:pPr>
            <w:r>
              <w:rPr>
                <w:lang w:eastAsia="en-US"/>
              </w:rPr>
              <w:t>Aligned</w:t>
            </w:r>
          </w:p>
        </w:tc>
      </w:tr>
      <w:tr>
        <w:trPr>
          <w:trHeight w:val="242" w:hRule="exact"/>
        </w:trPr>
        <w:tc>
          <w:tcPr>
            <w:tcW w:w="875" w:type="dxa"/>
            <w:tcBorders>
              <w:left w:val="single" w:sz="4" w:space="0" w:color="000000"/>
              <w:bottom w:val="single" w:sz="4" w:space="0" w:color="000000"/>
              <w:right w:val="single" w:sz="4" w:space="0" w:color="000000"/>
            </w:tcBorders>
            <w:vAlign w:val="center"/>
          </w:tcPr>
          <w:p>
            <w:pPr>
              <w:pStyle w:val="TAC"/>
              <w:rPr>
                <w:lang w:eastAsia="en-US"/>
              </w:rPr>
            </w:pPr>
            <w:r>
              <w:rPr>
                <w:lang w:eastAsia="en-US"/>
              </w:rPr>
              <w:t>2</w:t>
            </w:r>
          </w:p>
        </w:tc>
        <w:tc>
          <w:tcPr>
            <w:tcW w:w="3011" w:type="dxa"/>
            <w:tcBorders>
              <w:bottom w:val="single" w:sz="4" w:space="0" w:color="000000"/>
              <w:right w:val="single" w:sz="4" w:space="0" w:color="000000"/>
            </w:tcBorders>
            <w:vAlign w:val="bottom"/>
          </w:tcPr>
          <w:p>
            <w:pPr>
              <w:pStyle w:val="TAC"/>
              <w:rPr>
                <w:lang w:eastAsia="en-US"/>
              </w:rPr>
            </w:pPr>
            <w:r>
              <w:rPr>
                <w:lang w:eastAsia="en-US"/>
              </w:rPr>
              <w:t>High</w:t>
            </w:r>
          </w:p>
        </w:tc>
        <w:tc>
          <w:tcPr>
            <w:tcW w:w="2009" w:type="dxa"/>
            <w:tcBorders>
              <w:top w:val="single" w:sz="4" w:space="0" w:color="000000"/>
              <w:bottom w:val="single" w:sz="4" w:space="0" w:color="000000"/>
              <w:right w:val="single" w:sz="4" w:space="0" w:color="000000"/>
            </w:tcBorders>
            <w:vAlign w:val="bottom"/>
          </w:tcPr>
          <w:p>
            <w:pPr>
              <w:pStyle w:val="TAC"/>
              <w:rPr>
                <w:lang w:eastAsia="en-US"/>
              </w:rPr>
            </w:pPr>
            <w:r>
              <w:rPr>
                <w:lang w:eastAsia="en-US"/>
              </w:rPr>
              <w:t>Shift Up</w:t>
            </w:r>
          </w:p>
        </w:tc>
        <w:tc>
          <w:tcPr>
            <w:tcW w:w="2009" w:type="dxa"/>
            <w:tcBorders>
              <w:left w:val="single" w:sz="4" w:space="0" w:color="000000"/>
              <w:bottom w:val="single" w:sz="4" w:space="0" w:color="000000"/>
              <w:right w:val="single" w:sz="4" w:space="0" w:color="000000"/>
            </w:tcBorders>
            <w:vAlign w:val="bottom"/>
          </w:tcPr>
          <w:p>
            <w:pPr>
              <w:pStyle w:val="TAC"/>
              <w:rPr/>
            </w:pPr>
            <w:r>
              <w:rPr>
                <w:lang w:eastAsia="en-US"/>
              </w:rPr>
              <w:t>Down</w:t>
            </w:r>
          </w:p>
        </w:tc>
      </w:tr>
    </w:tbl>
    <w:p>
      <w:pPr>
        <w:pStyle w:val="Normal"/>
        <w:rPr/>
      </w:pPr>
      <w:r>
        <w:rPr/>
      </w:r>
    </w:p>
    <w:p>
      <w:pPr>
        <w:pStyle w:val="Heading3"/>
        <w:rPr/>
      </w:pPr>
      <w:bookmarkStart w:id="18" w:name="__RefHeading___Toc68600958"/>
      <w:bookmarkEnd w:id="18"/>
      <w:r>
        <w:rPr>
          <w:lang w:eastAsia="zh-CN"/>
        </w:rPr>
        <w:t>4.3.2</w:t>
        <w:tab/>
        <w:t>DUT positioning for LMEs on Laptop Ground Plane Phantom</w:t>
      </w:r>
    </w:p>
    <w:p>
      <w:pPr>
        <w:pStyle w:val="Normal"/>
        <w:rPr/>
      </w:pPr>
      <w:r>
        <w:rPr/>
        <w:t>The DUT positioning on Laptop Ground Plane Phantom means that a laptop ground plane phantom is used for radiated performance measurements in case of plug-in DUT like USB dongles that is used away from the user’s head.</w:t>
      </w:r>
      <w:r>
        <w:rPr>
          <w:rFonts w:cs="v4.2.0;Times New Roman"/>
        </w:rPr>
        <w:t xml:space="preserve"> This includes all tests cases for LME devices. </w:t>
      </w:r>
      <w:r>
        <w:rPr/>
        <w:t>The characteristics of the laptop ground plane phantom are specified in Annex A.2.3. The objective of the laptop ground plane phantom is to reproduce the effects of the ground plane for the antenna of the DUT while avoiding the variation of the measurements introduced by a real laptop.</w:t>
      </w:r>
    </w:p>
    <w:p>
      <w:pPr>
        <w:pStyle w:val="Normal"/>
        <w:rPr/>
      </w:pPr>
      <w:r>
        <w:rPr>
          <w:lang w:eastAsia="zh-CN"/>
        </w:rPr>
        <w:t>The DUT should be plugged into the USB connector and positioned in accordance with the manufacturer recommended primary mechanical mode. In the absence of such a recommendation the DUT with either rotary USB porter or non-rotary USB porter should be horizontally plugged into the horizontal USB connector, as shown in Figure A.2.3-1.</w:t>
      </w:r>
    </w:p>
    <w:p>
      <w:pPr>
        <w:pStyle w:val="Heading3"/>
        <w:rPr/>
      </w:pPr>
      <w:bookmarkStart w:id="19" w:name="__RefHeading___Toc68600959"/>
      <w:bookmarkEnd w:id="19"/>
      <w:r>
        <w:rPr/>
        <w:t>4.3.3</w:t>
        <w:tab/>
        <w:t>DUT positioning for Speech Mode with beside the Head and Hand Phantom</w:t>
      </w:r>
    </w:p>
    <w:p>
      <w:pPr>
        <w:pStyle w:val="Heading4"/>
        <w:ind w:left="1418" w:hanging="1418"/>
        <w:rPr/>
      </w:pPr>
      <w:bookmarkStart w:id="20" w:name="__RefHeading___Toc68600960"/>
      <w:bookmarkEnd w:id="20"/>
      <w:r>
        <w:rPr/>
        <w:t>4.3.3.1</w:t>
        <w:tab/>
        <w:t>General</w:t>
      </w:r>
    </w:p>
    <w:p>
      <w:pPr>
        <w:pStyle w:val="Normal"/>
        <w:rPr/>
      </w:pPr>
      <w:r>
        <w:rPr>
          <w:rFonts w:cs="v4.2.0;Times New Roman"/>
        </w:rPr>
        <w:t xml:space="preserve">The positioning specified in this clause is used for the tests cases titled as tests for Speech Mode with beside the Head and Hand Phantom. </w:t>
      </w:r>
      <w:r>
        <w:rPr/>
        <w:t>The characteristics of the Head and Hand Phantoms are specified in Annexes A.2.1 and A.2.2.</w:t>
      </w:r>
    </w:p>
    <w:p>
      <w:pPr>
        <w:pStyle w:val="Normal"/>
        <w:rPr/>
      </w:pPr>
      <w:r>
        <w:rPr/>
        <w:t>Speech mode is simulation of a voice call user case. DUT is placed in to a hand phantom, which is holding the DUT against the SAM head phantom. Positioning of the DUT in the hand phantom varies with the grip being used. Positioning of the DUT against the head phantom is identical to Subclause 4.3.2 with the exception that 6</w:t>
      </w:r>
      <w:r>
        <w:rPr>
          <w:rFonts w:cs="Vrinda" w:ascii="Vrinda" w:hAnsi="Vrinda"/>
        </w:rPr>
        <w:t>°</w:t>
      </w:r>
      <w:r>
        <w:rPr/>
        <w:t>tilt angle from the cheek is being used instead of having direct contact between the cheek and DUT. A mask may be used to help configuration of cheek + 6° tilt angle. The mask is a 32 mm wide conformal strip, created by sweeping the surface of the head phantom through a 6º rotation about the ear. Direct DUT contact against the mask thus establishes the required 6º spacing away from the cheek, regardless of DUT form factor. The material for the head phantom mask spacer shall have dielectric constant of less than 1.3 and a loss tangent of less than 0.003. Material additions can be used to help fixing of the mask spacer onto the head phantom.</w:t>
      </w:r>
    </w:p>
    <w:p>
      <w:pPr>
        <w:pStyle w:val="Heading4"/>
        <w:ind w:left="1418" w:hanging="1418"/>
        <w:rPr/>
      </w:pPr>
      <w:bookmarkStart w:id="21" w:name="__RefHeading___Toc68600961"/>
      <w:bookmarkEnd w:id="21"/>
      <w:r>
        <w:rPr/>
        <w:t>4.3.3.2</w:t>
        <w:tab/>
        <w:t>Mono-blocks and closed sliders</w:t>
      </w:r>
    </w:p>
    <w:p>
      <w:pPr>
        <w:pStyle w:val="Normal"/>
        <w:rPr/>
      </w:pPr>
      <w:r>
        <w:rPr/>
        <w:t>This procedure applies to mounting mono-block DUTs and closed-slide DUTs, when the DUT is less than 56 mm wide. For consistent, repeatable positioning that conforms to the grip studies, an alignment tool with evenly spaced rulings is first used to measure the DUT. Alignment Tool A in Figure 4.3.3.2-1, features a 120º interior corner to ensure that the ring fingertip lands in the desired position at the bottom of the DUT. The DUT is then positioned in accordance with ruled markings on a conformal palm spacer regardless of any curvature in the DUT corners. DUTs with rounded corners will sit lower in the tool than DUTs having square corners, and thus give a different reading.</w:t>
      </w:r>
    </w:p>
    <w:p>
      <w:pPr>
        <w:pStyle w:val="B1"/>
        <w:numPr>
          <w:ilvl w:val="0"/>
          <w:numId w:val="22"/>
        </w:numPr>
        <w:ind w:left="540" w:hanging="270"/>
        <w:rPr/>
      </w:pPr>
      <w:r>
        <w:rPr/>
        <w:t>Place the DUT face-up in Alignment Tool A with its side along the side ruler, and slide it down until it makes contact at the 120º corner. Record the bottom location of the DUT by reading off the bottom ruler of Tool A.</w:t>
      </w:r>
    </w:p>
    <w:p>
      <w:pPr>
        <w:pStyle w:val="B1"/>
        <w:numPr>
          <w:ilvl w:val="0"/>
          <w:numId w:val="22"/>
        </w:numPr>
        <w:ind w:left="540" w:hanging="270"/>
        <w:rPr/>
      </w:pPr>
      <w:r>
        <w:rPr/>
        <w:t>Observe the top of the DUT against the side ruler of the tool. If the top of the DUT extends past the 120 mm marking on the side ruler, then the additional length beyond 120 mm shall be added to the reading from Step 1.</w:t>
      </w:r>
    </w:p>
    <w:p>
      <w:pPr>
        <w:pStyle w:val="B1"/>
        <w:numPr>
          <w:ilvl w:val="0"/>
          <w:numId w:val="22"/>
        </w:numPr>
        <w:ind w:left="540" w:hanging="270"/>
        <w:rPr/>
      </w:pPr>
      <w:r>
        <w:rPr/>
        <w:t xml:space="preserve">Place the DUT on the right-handed or left-handed hand phantom spacer between the fingers. The bottom location of the DUT on the spacer should be aligned with the reading recorded in Steps 1 and 2. Vertical centreline of the DUT should be centred with the spacer. Make sure index finger is in contact with DUT. </w:t>
      </w:r>
    </w:p>
    <w:p>
      <w:pPr>
        <w:pStyle w:val="B1"/>
        <w:numPr>
          <w:ilvl w:val="0"/>
          <w:numId w:val="22"/>
        </w:numPr>
        <w:ind w:left="540" w:hanging="270"/>
        <w:rPr/>
      </w:pPr>
      <w:r>
        <w:rPr/>
        <w:t>While keeping the DUT in the hand phantom in the position defined in previous steps, place the DUT and the hand phantom against the head phantom in such way that the DUT is in 6</w:t>
      </w:r>
      <w:r>
        <w:rPr>
          <w:rFonts w:cs="Vrinda" w:ascii="Vrinda" w:hAnsi="Vrinda"/>
        </w:rPr>
        <w:t>°</w:t>
      </w:r>
      <w:r>
        <w:rPr/>
        <w:t>tilt angle as described in Subclause 4.3.3.</w:t>
      </w:r>
    </w:p>
    <w:p>
      <w:pPr>
        <w:pStyle w:val="TH"/>
        <w:rPr/>
      </w:pPr>
      <w:r>
        <w:rPr/>
        <w:drawing>
          <wp:inline distT="0" distB="0" distL="0" distR="0">
            <wp:extent cx="2002155" cy="3355975"/>
            <wp:effectExtent l="0" t="0" r="0" b="0"/>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9"/>
                    <a:srcRect l="16046" t="4904" r="19131" b="4127"/>
                    <a:stretch>
                      <a:fillRect/>
                    </a:stretch>
                  </pic:blipFill>
                  <pic:spPr bwMode="auto">
                    <a:xfrm>
                      <a:off x="0" y="0"/>
                      <a:ext cx="2002155" cy="3355975"/>
                    </a:xfrm>
                    <a:prstGeom prst="rect">
                      <a:avLst/>
                    </a:prstGeom>
                  </pic:spPr>
                </pic:pic>
              </a:graphicData>
            </a:graphic>
          </wp:inline>
        </w:drawing>
      </w:r>
      <w:r>
        <w:rPr/>
        <w:drawing>
          <wp:inline distT="0" distB="0" distL="0" distR="0">
            <wp:extent cx="1882140" cy="3263900"/>
            <wp:effectExtent l="0" t="0" r="0" b="0"/>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10"/>
                    <a:srcRect l="20742" t="4150" r="26412" b="2554"/>
                    <a:stretch>
                      <a:fillRect/>
                    </a:stretch>
                  </pic:blipFill>
                  <pic:spPr bwMode="auto">
                    <a:xfrm>
                      <a:off x="0" y="0"/>
                      <a:ext cx="1882140" cy="3263900"/>
                    </a:xfrm>
                    <a:prstGeom prst="rect">
                      <a:avLst/>
                    </a:prstGeom>
                  </pic:spPr>
                </pic:pic>
              </a:graphicData>
            </a:graphic>
          </wp:inline>
        </w:drawing>
      </w:r>
    </w:p>
    <w:p>
      <w:pPr>
        <w:pStyle w:val="TF"/>
        <w:rPr/>
      </w:pPr>
      <w:r>
        <w:rPr/>
        <w:t>Figure 4.3.3.2-1: Alignment Tool A and right-handed mono-block hand phantom with a spacer</w:t>
      </w:r>
    </w:p>
    <w:p>
      <w:pPr>
        <w:pStyle w:val="Normal"/>
        <w:rPr/>
      </w:pPr>
      <w:r>
        <w:rPr/>
      </w:r>
    </w:p>
    <w:p>
      <w:pPr>
        <w:pStyle w:val="NO"/>
        <w:rPr>
          <w:b/>
          <w:b/>
        </w:rPr>
      </w:pPr>
      <w:r>
        <w:rPr/>
        <w:t>NOTE: The Alignment tool is used to determine DUT bottom location on spacer. Use left-handed (mirror-imaged) spacers with left-handed phantoms.</w:t>
      </w:r>
    </w:p>
    <w:p>
      <w:pPr>
        <w:pStyle w:val="Heading4"/>
        <w:ind w:left="1418" w:hanging="1418"/>
        <w:rPr/>
      </w:pPr>
      <w:bookmarkStart w:id="22" w:name="__RefHeading___Toc68600962"/>
      <w:bookmarkEnd w:id="22"/>
      <w:r>
        <w:rPr/>
        <w:t>4.3.3.3</w:t>
        <w:tab/>
        <w:t>Folds and open-slides</w:t>
      </w:r>
    </w:p>
    <w:p>
      <w:pPr>
        <w:pStyle w:val="Normal"/>
        <w:rPr/>
      </w:pPr>
      <w:r>
        <w:rPr/>
        <w:t xml:space="preserve">This procedure applies to fold and open-slide DUTs, when the DUT is less than 56 mm wide. To help maintain a consistent, repeatable positioning that conforms to the grip studies, an alignment tool with evenly spaced rulings is first used to measure the DUT. The DUT is then positioned in accordance with ruled markings on a phantom spacer. Alignment Tool B in Figure 4.3.3.3-1 features two rounded humps upon which the DUT is suspended. One hump represents the index fingertip of the hand phantom, while the other represents the palm spacer. This design helps ensure that the index finger remains in contact with the flip for any fold DUT geometry. </w:t>
      </w:r>
    </w:p>
    <w:p>
      <w:pPr>
        <w:pStyle w:val="Normal"/>
        <w:spacing w:before="0" w:after="0"/>
        <w:rPr/>
      </w:pPr>
      <w:r>
        <w:rPr/>
      </w:r>
    </w:p>
    <w:p>
      <w:pPr>
        <w:pStyle w:val="B1"/>
        <w:numPr>
          <w:ilvl w:val="0"/>
          <w:numId w:val="16"/>
        </w:numPr>
        <w:ind w:left="540" w:hanging="270"/>
        <w:rPr/>
      </w:pPr>
      <w:r>
        <w:rPr/>
        <w:t>Open the DUT and place it face-up on the alignment Tool B with its hinge suspended between the two humps. The side of the DUT shall be aligned against the side wall of the tool. The base of the DUT shall rest on the wide hump with ruled markings, and the flip of the DUT shall rest on the narrow hump.</w:t>
      </w:r>
    </w:p>
    <w:p>
      <w:pPr>
        <w:pStyle w:val="B1"/>
        <w:numPr>
          <w:ilvl w:val="0"/>
          <w:numId w:val="16"/>
        </w:numPr>
        <w:ind w:left="540" w:hanging="270"/>
        <w:rPr/>
      </w:pPr>
      <w:r>
        <w:rPr/>
        <w:t>Tool B has an engraved line on the side wall. Align axis of a fold hinge to this marking. An open slider should be slide longitudinally until the base part of the DUT touches the narrow hump of the Tool B. Record the correct longitudinal position of the bottom of the DUT by reading off the ruler of Tool B. Visually align the two halves of the split-level ruler to minimize parallax reading error.</w:t>
      </w:r>
    </w:p>
    <w:p>
      <w:pPr>
        <w:pStyle w:val="B1"/>
        <w:numPr>
          <w:ilvl w:val="0"/>
          <w:numId w:val="16"/>
        </w:numPr>
        <w:ind w:left="540" w:hanging="270"/>
        <w:rPr/>
      </w:pPr>
      <w:r>
        <w:rPr/>
        <w:t>Position the DUT in the right-handed or left-handed Fold Hand Phantom. It should be resting on the index fingertip and palm spacer, with the bottom of the DUT aligned to the ruling on the right-handed or left-handed palm spacer that corresponds to the reading from Step 2. Ensure that all fingertips are in contact with the DUT.</w:t>
      </w:r>
    </w:p>
    <w:p>
      <w:pPr>
        <w:pStyle w:val="B1"/>
        <w:numPr>
          <w:ilvl w:val="0"/>
          <w:numId w:val="16"/>
        </w:numPr>
        <w:ind w:left="540" w:hanging="270"/>
        <w:rPr/>
      </w:pPr>
      <w:r>
        <w:rPr/>
        <w:t>While keeping the DUT in the hand phantom in the position defined in previous steps, place the DUT and the hand phantom against the head phantom in such way that the DUT is in 6</w:t>
      </w:r>
      <w:r>
        <w:rPr>
          <w:rFonts w:cs="Vrinda" w:ascii="Vrinda" w:hAnsi="Vrinda"/>
        </w:rPr>
        <w:t>°</w:t>
      </w:r>
      <w:r>
        <w:rPr/>
        <w:t xml:space="preserve">tilt angle as described in Subclause 4.3.3. </w:t>
      </w:r>
    </w:p>
    <w:p>
      <w:pPr>
        <w:pStyle w:val="TH"/>
        <w:rPr/>
      </w:pPr>
      <w:r>
        <w:rPr/>
        <w:drawing>
          <wp:inline distT="0" distB="0" distL="0" distR="0">
            <wp:extent cx="3862070" cy="2035810"/>
            <wp:effectExtent l="0" t="0" r="0" b="0"/>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1"/>
                    <a:srcRect l="7165" t="27082" r="10747" b="3524"/>
                    <a:stretch>
                      <a:fillRect/>
                    </a:stretch>
                  </pic:blipFill>
                  <pic:spPr bwMode="auto">
                    <a:xfrm>
                      <a:off x="0" y="0"/>
                      <a:ext cx="3862070" cy="2035810"/>
                    </a:xfrm>
                    <a:prstGeom prst="rect">
                      <a:avLst/>
                    </a:prstGeom>
                  </pic:spPr>
                </pic:pic>
              </a:graphicData>
            </a:graphic>
          </wp:inline>
        </w:drawing>
      </w:r>
    </w:p>
    <w:p>
      <w:pPr>
        <w:pStyle w:val="TF"/>
        <w:rPr/>
      </w:pPr>
      <w:r>
        <w:rPr/>
        <w:t>Figure 4.3.3.3-1: Alignment Tool B and right-handed fold hand phantom with a spacer</w:t>
      </w:r>
    </w:p>
    <w:p>
      <w:pPr>
        <w:pStyle w:val="Normal"/>
        <w:rPr/>
      </w:pPr>
      <w:r>
        <w:rPr/>
      </w:r>
    </w:p>
    <w:p>
      <w:pPr>
        <w:pStyle w:val="NO"/>
        <w:rPr>
          <w:b/>
          <w:b/>
        </w:rPr>
      </w:pPr>
      <w:r>
        <w:rPr/>
        <w:t>NOTE: Use left-handed (mirror-imaged) spacers with left-handed phantoms.</w:t>
      </w:r>
    </w:p>
    <w:p>
      <w:pPr>
        <w:pStyle w:val="Heading4"/>
        <w:ind w:left="1418" w:hanging="1418"/>
        <w:rPr/>
      </w:pPr>
      <w:bookmarkStart w:id="23" w:name="__RefHeading___Toc68600963"/>
      <w:bookmarkEnd w:id="23"/>
      <w:r>
        <w:rPr/>
        <w:t>4.3.3.4</w:t>
        <w:tab/>
        <w:t>PDA</w:t>
      </w:r>
    </w:p>
    <w:p>
      <w:pPr>
        <w:pStyle w:val="Normal"/>
        <w:rPr/>
      </w:pPr>
      <w:r>
        <w:rPr/>
        <w:t>This procedure applies to DUTs that are from 56 to 72 mm wide. To help achieve a consistent positioning, the DUT is aligned to a PDA palm spacer. No alignment tool is required. The PDA spacer features side and bottom walls to ensure consistent alignment of DUTs of various sizes.</w:t>
      </w:r>
    </w:p>
    <w:p>
      <w:pPr>
        <w:pStyle w:val="Normal"/>
        <w:spacing w:before="0" w:after="0"/>
        <w:rPr/>
      </w:pPr>
      <w:r>
        <w:rPr/>
      </w:r>
    </w:p>
    <w:p>
      <w:pPr>
        <w:pStyle w:val="B1"/>
        <w:numPr>
          <w:ilvl w:val="0"/>
          <w:numId w:val="12"/>
        </w:numPr>
        <w:ind w:left="540" w:hanging="270"/>
        <w:rPr/>
      </w:pPr>
      <w:r>
        <w:rPr/>
        <w:t>Place the DUT on the PDA spacer between the fingers and align the DUT to the side wall of the PDA.</w:t>
      </w:r>
    </w:p>
    <w:p>
      <w:pPr>
        <w:pStyle w:val="B1"/>
        <w:numPr>
          <w:ilvl w:val="0"/>
          <w:numId w:val="12"/>
        </w:numPr>
        <w:ind w:left="540" w:hanging="270"/>
        <w:rPr/>
      </w:pPr>
      <w:r>
        <w:rPr/>
        <w:t>If the DUT is shorter than 135 mm, then align the top of the DUT with the top of the PDA spacer. Otherwise, align the bottom of the DUT with the bottom wall of the PDA spacer.</w:t>
      </w:r>
    </w:p>
    <w:p>
      <w:pPr>
        <w:pStyle w:val="B1"/>
        <w:numPr>
          <w:ilvl w:val="0"/>
          <w:numId w:val="12"/>
        </w:numPr>
        <w:ind w:left="540" w:hanging="270"/>
        <w:rPr/>
      </w:pPr>
      <w:r>
        <w:rPr/>
        <w:t>While keeping the DUT in the hand phantom in the position defined in previous steps, place the DUT and the hand phantom against the head phantom in such way that the DUT is in 6</w:t>
      </w:r>
      <w:r>
        <w:rPr>
          <w:rFonts w:cs="Vrinda" w:ascii="Vrinda" w:hAnsi="Vrinda"/>
        </w:rPr>
        <w:t>°</w:t>
      </w:r>
      <w:r>
        <w:rPr/>
        <w:t xml:space="preserve">tilt angle as described in Subclause 4.3.3. </w:t>
      </w:r>
    </w:p>
    <w:p>
      <w:pPr>
        <w:pStyle w:val="TH"/>
        <w:rPr/>
      </w:pPr>
      <w:r>
        <w:rPr/>
        <w:drawing>
          <wp:inline distT="0" distB="0" distL="0" distR="0">
            <wp:extent cx="2232660" cy="4032250"/>
            <wp:effectExtent l="0" t="0" r="0" b="0"/>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12"/>
                    <a:srcRect l="18063" t="2622" r="27564" b="-3"/>
                    <a:stretch>
                      <a:fillRect/>
                    </a:stretch>
                  </pic:blipFill>
                  <pic:spPr bwMode="auto">
                    <a:xfrm>
                      <a:off x="0" y="0"/>
                      <a:ext cx="2232660" cy="4032250"/>
                    </a:xfrm>
                    <a:prstGeom prst="rect">
                      <a:avLst/>
                    </a:prstGeom>
                  </pic:spPr>
                </pic:pic>
              </a:graphicData>
            </a:graphic>
          </wp:inline>
        </w:drawing>
      </w:r>
    </w:p>
    <w:p>
      <w:pPr>
        <w:pStyle w:val="TF"/>
        <w:rPr/>
      </w:pPr>
      <w:r>
        <w:rPr/>
        <w:t>Figure 4.3.3.4-1: Right-handed PDA hand phantom with a spacer</w:t>
      </w:r>
    </w:p>
    <w:p>
      <w:pPr>
        <w:pStyle w:val="Normal"/>
        <w:rPr/>
      </w:pPr>
      <w:r>
        <w:rPr/>
      </w:r>
    </w:p>
    <w:p>
      <w:pPr>
        <w:pStyle w:val="NO"/>
        <w:rPr>
          <w:b/>
          <w:b/>
        </w:rPr>
      </w:pPr>
      <w:r>
        <w:rPr/>
        <w:t>NOTE: Use left-handed (mirror-imaged) spacers with left-handed phantoms.</w:t>
      </w:r>
    </w:p>
    <w:p>
      <w:pPr>
        <w:pStyle w:val="Heading3"/>
        <w:rPr/>
      </w:pPr>
      <w:bookmarkStart w:id="24" w:name="__RefHeading___Toc68600964"/>
      <w:bookmarkEnd w:id="24"/>
      <w:r>
        <w:rPr/>
        <w:t>4.3.4</w:t>
        <w:tab/>
        <w:t>DUT positioning for Browsing Mode with Hand Phantom</w:t>
      </w:r>
    </w:p>
    <w:p>
      <w:pPr>
        <w:pStyle w:val="Heading4"/>
        <w:ind w:left="1418" w:hanging="1418"/>
        <w:rPr/>
      </w:pPr>
      <w:bookmarkStart w:id="25" w:name="__RefHeading___Toc68600965"/>
      <w:bookmarkEnd w:id="25"/>
      <w:r>
        <w:rPr/>
        <w:t>4.3.4.1</w:t>
        <w:tab/>
        <w:t>General</w:t>
      </w:r>
    </w:p>
    <w:p>
      <w:pPr>
        <w:pStyle w:val="Normal"/>
        <w:rPr/>
      </w:pPr>
      <w:r>
        <w:rPr/>
        <w:t>The positioning specified in this clause is used for the test cases titles as tests for Browsing Mode with Hand Phantom. The characteristics of the Hand Phantom are specified in Annex A.2.2. Browsing mode is used to simulate user cases were the DUT is held in hand, but not pressed against ear e.g. web browsing and navigation. The DUT shall be mounted in a suitable hand phantom and oriented such that the DUT’s main display is tilted 45 degrees from vertical. Devices with a cover piece are tested cover open.</w:t>
      </w:r>
    </w:p>
    <w:p>
      <w:pPr>
        <w:pStyle w:val="Heading4"/>
        <w:ind w:left="1418" w:hanging="1418"/>
        <w:rPr/>
      </w:pPr>
      <w:bookmarkStart w:id="26" w:name="__RefHeading___Toc68600966"/>
      <w:bookmarkEnd w:id="26"/>
      <w:r>
        <w:rPr/>
        <w:t>4.3.4.2</w:t>
        <w:tab/>
        <w:t>Narrow DUT</w:t>
      </w:r>
    </w:p>
    <w:p>
      <w:pPr>
        <w:pStyle w:val="Normal"/>
        <w:rPr/>
      </w:pPr>
      <w:r>
        <w:rPr/>
        <w:t>This procedure is suitable for use with all DUTs narrower than 56 mm. The alignment Tool A in Figure 4.3.4.2-1 is first used to measure the distance between the bottom of the DUT and the centre of its navigation key. The DUT is then positioned in accordance with ruled markings on a palm spacer to data mode hand phantom.</w:t>
      </w:r>
    </w:p>
    <w:p>
      <w:pPr>
        <w:pStyle w:val="B1"/>
        <w:numPr>
          <w:ilvl w:val="0"/>
          <w:numId w:val="25"/>
        </w:numPr>
        <w:ind w:left="540" w:hanging="270"/>
        <w:rPr/>
      </w:pPr>
      <w:r>
        <w:rPr/>
        <w:t>Place the DUT on the DUT alignment Tool A. Record the chin length from the scale at the bottom of the alignment tool.</w:t>
      </w:r>
    </w:p>
    <w:p>
      <w:pPr>
        <w:pStyle w:val="B1"/>
        <w:numPr>
          <w:ilvl w:val="0"/>
          <w:numId w:val="25"/>
        </w:numPr>
        <w:ind w:left="540" w:hanging="270"/>
        <w:rPr/>
      </w:pPr>
      <w:r>
        <w:rPr/>
        <w:t>Record the location of the navigation key (or the “2” key, if no navigation key is present) on the side ruler of the DUT alignment tool A. The key's centre is used as the reference.</w:t>
      </w:r>
    </w:p>
    <w:p>
      <w:pPr>
        <w:pStyle w:val="B1"/>
        <w:numPr>
          <w:ilvl w:val="0"/>
          <w:numId w:val="25"/>
        </w:numPr>
        <w:ind w:left="540" w:hanging="270"/>
        <w:rPr/>
      </w:pPr>
      <w:r>
        <w:rPr/>
        <w:t>Add the two readings from Step 2 and 3 together. If the sum is less than 30 mm, then use 30 mm location on spacer instead.</w:t>
      </w:r>
    </w:p>
    <w:p>
      <w:pPr>
        <w:pStyle w:val="B1"/>
        <w:numPr>
          <w:ilvl w:val="0"/>
          <w:numId w:val="25"/>
        </w:numPr>
        <w:ind w:left="540" w:hanging="270"/>
        <w:rPr/>
      </w:pPr>
      <w:r>
        <w:rPr/>
        <w:t>Place the DUT on the right-hand or left-hand narrow data palm spacer and align the side of the DUT with the side wall of the spacer. The bottom edge of the DUT shall be placed on the narrow data palm spacer at the ruling corresponding to the value obtained in Step 4.</w:t>
      </w:r>
    </w:p>
    <w:p>
      <w:pPr>
        <w:pStyle w:val="Normal"/>
        <w:rPr/>
      </w:pPr>
      <w:r>
        <w:rPr/>
        <w:t>Make sure that the index finger is in contact with the back of the DUT. If the device is very narrow and/or thin, it may occur that the middle finger does not curl tightly enough to contact the DUT. In such case, in order to ensure consistent test results, no attempt should be made to force the fingertip to contact the DUT. Touch fastener material may be used to maintain the DUT in the desired position.</w:t>
      </w:r>
    </w:p>
    <w:p>
      <w:pPr>
        <w:pStyle w:val="TH"/>
        <w:rPr/>
      </w:pPr>
      <w:r>
        <w:rPr/>
        <w:drawing>
          <wp:inline distT="0" distB="0" distL="0" distR="0">
            <wp:extent cx="2690495" cy="3305175"/>
            <wp:effectExtent l="0" t="0" r="0" b="0"/>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13"/>
                    <a:srcRect l="14168" t="8391" r="24606" b="12331"/>
                    <a:stretch>
                      <a:fillRect/>
                    </a:stretch>
                  </pic:blipFill>
                  <pic:spPr bwMode="auto">
                    <a:xfrm>
                      <a:off x="0" y="0"/>
                      <a:ext cx="2690495" cy="3305175"/>
                    </a:xfrm>
                    <a:prstGeom prst="rect">
                      <a:avLst/>
                    </a:prstGeom>
                  </pic:spPr>
                </pic:pic>
              </a:graphicData>
            </a:graphic>
          </wp:inline>
        </w:drawing>
      </w:r>
    </w:p>
    <w:p>
      <w:pPr>
        <w:pStyle w:val="TF"/>
        <w:rPr/>
      </w:pPr>
      <w:r>
        <w:rPr/>
        <w:t>Figure 4.3.4.2-1: Right-handed data hand phantom with a spacer</w:t>
      </w:r>
    </w:p>
    <w:p>
      <w:pPr>
        <w:pStyle w:val="Normal"/>
        <w:rPr/>
      </w:pPr>
      <w:r>
        <w:rPr/>
      </w:r>
    </w:p>
    <w:p>
      <w:pPr>
        <w:pStyle w:val="NO"/>
        <w:rPr>
          <w:b/>
          <w:b/>
        </w:rPr>
      </w:pPr>
      <w:r>
        <w:rPr/>
        <w:t>NOTE: Use left-handed (mirror-imaged) spacers with left-handed phantoms.</w:t>
      </w:r>
    </w:p>
    <w:p>
      <w:pPr>
        <w:pStyle w:val="Heading4"/>
        <w:ind w:left="1418" w:hanging="1418"/>
        <w:rPr/>
      </w:pPr>
      <w:bookmarkStart w:id="27" w:name="__RefHeading___Toc68600967"/>
      <w:bookmarkEnd w:id="27"/>
      <w:r>
        <w:rPr/>
        <w:t>4.3.4.3</w:t>
        <w:tab/>
        <w:t>PDA</w:t>
      </w:r>
    </w:p>
    <w:p>
      <w:pPr>
        <w:pStyle w:val="Normal"/>
        <w:rPr/>
      </w:pPr>
      <w:r>
        <w:rPr/>
        <w:t>This procedure is suitable for use with DUTs of width 56-72 mm. The positioning of the DUT in the PDA hand for data mode is identical to that for speech mode described in Subclause 4.3.3.4.</w:t>
      </w:r>
    </w:p>
    <w:p>
      <w:pPr>
        <w:pStyle w:val="Heading3"/>
        <w:rPr/>
      </w:pPr>
      <w:bookmarkStart w:id="28" w:name="__RefHeading___Toc68600968"/>
      <w:bookmarkEnd w:id="28"/>
      <w:r>
        <w:rPr>
          <w:lang w:eastAsia="zh-CN"/>
        </w:rPr>
        <w:t>4.3.5</w:t>
        <w:tab/>
        <w:t>DUT positioning for devices with embedded modules</w:t>
      </w:r>
    </w:p>
    <w:p>
      <w:pPr>
        <w:pStyle w:val="Normal"/>
        <w:rPr/>
      </w:pPr>
      <w:r>
        <w:rPr/>
        <w:t>The DUT positioning in a free space configuration without head and hand phantoms, as specified in Annex A.2.4, is used for radiated performance measurements in case of an embedded module card, which is used away from the user’s head. This positioning covers all tests cases for LEE devices. Parameters required for Notebooks are specified in Annex A.2.4.2 and those for Tablets are specified in Annex A.2.4.3.</w:t>
      </w:r>
    </w:p>
    <w:p>
      <w:pPr>
        <w:pStyle w:val="Heading3"/>
        <w:rPr>
          <w:lang w:eastAsia="zh-CN"/>
        </w:rPr>
      </w:pPr>
      <w:bookmarkStart w:id="29" w:name="__RefHeading___Toc68600969"/>
      <w:bookmarkEnd w:id="29"/>
      <w:r>
        <w:rPr>
          <w:lang w:eastAsia="zh-CN"/>
        </w:rPr>
        <w:t>4.3.6</w:t>
        <w:tab/>
        <w:t>DUT positioning for total radiated multi-antenna sensitivity</w:t>
      </w:r>
    </w:p>
    <w:p>
      <w:pPr>
        <w:pStyle w:val="Heading4"/>
        <w:ind w:left="1418" w:hanging="1418"/>
        <w:rPr/>
      </w:pPr>
      <w:bookmarkStart w:id="30" w:name="__RefHeading___Toc68600970"/>
      <w:bookmarkEnd w:id="30"/>
      <w:r>
        <w:rPr/>
        <w:t>4.3.6.1</w:t>
        <w:tab/>
        <w:t>Handheld UE – Free Space</w:t>
      </w:r>
    </w:p>
    <w:p>
      <w:pPr>
        <w:pStyle w:val="Normal"/>
        <w:rPr/>
      </w:pPr>
      <w:r>
        <w:rPr/>
        <w:t>The DUT positioning for Handheld UE is done using free space configuration.</w:t>
      </w:r>
    </w:p>
    <w:p>
      <w:pPr>
        <w:pStyle w:val="Heading5"/>
        <w:ind w:left="1701" w:hanging="1701"/>
        <w:rPr/>
      </w:pPr>
      <w:bookmarkStart w:id="31" w:name="__RefHeading___Toc68600971"/>
      <w:bookmarkEnd w:id="31"/>
      <w:r>
        <w:rPr/>
        <w:t>4.3.6.1.1</w:t>
      </w:r>
      <w:r>
        <w:rPr>
          <w:rFonts w:cs="Calibri" w:ascii="Calibri" w:hAnsi="Calibri"/>
          <w:szCs w:val="22"/>
        </w:rPr>
        <w:tab/>
      </w:r>
      <w:r>
        <w:rPr/>
        <w:t>MPAC Positioning Guidelines</w:t>
      </w:r>
    </w:p>
    <w:p>
      <w:pPr>
        <w:pStyle w:val="Normal"/>
        <w:rPr/>
      </w:pPr>
      <w:r>
        <w:rPr/>
        <w:t>The MPAC positioning guidelines of the handheld UE in data mode in the MPAC system shall follow the requirements in Annex A.5.2.1.</w:t>
      </w:r>
    </w:p>
    <w:p>
      <w:pPr>
        <w:pStyle w:val="Heading5"/>
        <w:ind w:left="1701" w:hanging="1701"/>
        <w:rPr/>
      </w:pPr>
      <w:bookmarkStart w:id="32" w:name="__RefHeading___Toc68600972"/>
      <w:bookmarkEnd w:id="32"/>
      <w:r>
        <w:rPr/>
        <w:t>4.3.6.1.2</w:t>
        <w:tab/>
        <w:t>RTS Positioning Guidelines</w:t>
      </w:r>
    </w:p>
    <w:p>
      <w:pPr>
        <w:pStyle w:val="Normal"/>
        <w:rPr/>
      </w:pPr>
      <w:r>
        <w:rPr/>
        <w:t>The RTS positioning guidelines of the handheld UE in data mode in the RTS system shall follow the requirements in Annex A.5.2.2.</w:t>
      </w:r>
    </w:p>
    <w:p>
      <w:pPr>
        <w:pStyle w:val="Heading2"/>
        <w:rPr/>
      </w:pPr>
      <w:bookmarkStart w:id="33" w:name="__RefHeading___Toc68600973"/>
      <w:bookmarkEnd w:id="33"/>
      <w:r>
        <w:rPr/>
        <w:t>4.4</w:t>
        <w:tab/>
        <w:t>Sampling grid</w:t>
      </w:r>
    </w:p>
    <w:p>
      <w:pPr>
        <w:pStyle w:val="Normal"/>
        <w:rPr/>
      </w:pPr>
      <w:r>
        <w:rPr/>
        <w:t>For the anechoic chamber based measurement procedures the measurement of TRP is basically based on the measurement of the spherical radiation pattern of the DUT. The power radiated by the DUT is sampled in far field in a group of points located on a spherical surface enclosing the DUT. Generally it can be said that since the radiating object has a limited size the gain pattern cannot change arbitrarily versus angle, and therefore only a limited number of samples are required to represent the gain pattern to a given accuracy. The samples of TRP are taken using a constant sample step of 15° both in theta (</w:t>
      </w:r>
      <w:r>
        <w:rPr>
          <w:rFonts w:eastAsia="Symbol" w:cs="Symbol" w:ascii="Symbol" w:hAnsi="Symbol"/>
        </w:rPr>
        <w:t></w:t>
      </w:r>
      <w:r>
        <w:rPr/>
        <w:t>) and phi (</w:t>
      </w:r>
      <w:r>
        <w:rPr>
          <w:rFonts w:eastAsia="Symbol" w:cs="Symbol" w:ascii="Symbol" w:hAnsi="Symbol"/>
        </w:rPr>
        <w:t></w:t>
      </w:r>
      <w:r>
        <w:rPr/>
        <w:t>) directions.</w:t>
      </w:r>
    </w:p>
    <w:p>
      <w:pPr>
        <w:pStyle w:val="Normal"/>
        <w:rPr/>
      </w:pPr>
      <w:r>
        <w:rPr/>
        <w:t>The measurement of TRS is based on the measurement of the spherical sensitivity pattern of the DUT. The sensitivity values of the DUT at a predefined BLER level are sampled in far field in a group of points located on a spherical surface enclosing the DUT.</w:t>
      </w:r>
      <w:r>
        <w:rPr>
          <w:lang w:eastAsia="zh-CN"/>
        </w:rPr>
        <w:t xml:space="preserve"> </w:t>
      </w:r>
      <w:r>
        <w:rPr/>
        <w:t>The samples of TRS are taken using a constant sample step of 30° both in theta (</w:t>
      </w:r>
      <w:r>
        <w:rPr>
          <w:rFonts w:eastAsia="Symbol" w:cs="Symbol" w:ascii="Symbol" w:hAnsi="Symbol"/>
        </w:rPr>
        <w:t></w:t>
      </w:r>
      <w:r>
        <w:rPr/>
        <w:t>) and phi (</w:t>
      </w:r>
      <w:r>
        <w:rPr>
          <w:rFonts w:eastAsia="Symbol" w:cs="Symbol" w:ascii="Symbol" w:hAnsi="Symbol"/>
        </w:rPr>
        <w:t></w:t>
      </w:r>
      <w:r>
        <w:rPr/>
        <w:t>) directions.</w:t>
      </w:r>
    </w:p>
    <w:p>
      <w:pPr>
        <w:pStyle w:val="Normal"/>
        <w:rPr/>
      </w:pPr>
      <w:r>
        <w:rPr/>
        <w:t xml:space="preserve">All the samples are taken with two orthogonal linear polarizations,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-polarisations. It is also possible to measure some other polarisation components, if it is possible to recover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-polarisations from the measured data by some technique.</w:t>
      </w:r>
    </w:p>
    <w:p>
      <w:pPr>
        <w:pStyle w:val="Normal"/>
        <w:rPr/>
      </w:pPr>
      <w:r>
        <w:rPr/>
        <w:t>Alternatively, different sampling patterns may be used if they are able to ensure same or greater accuracy and provided appropriate measurement uncertainty terms are applied. The TRP can be calculated by interpolating the values to points on the regular grid. If an alternative sampling pattern is used number of measurement points should be greater than in the regular sampling grid.</w:t>
      </w:r>
    </w:p>
    <w:p>
      <w:pPr>
        <w:pStyle w:val="Normal"/>
        <w:rPr/>
      </w:pPr>
      <w:r>
        <w:rPr/>
        <w:t>For the multi-probe anechoic chambers procedures the measurement of TRMS are taken using sample steps of 30° in phi (</w:t>
      </w:r>
      <w:r>
        <w:rPr>
          <w:rFonts w:eastAsia="Symbol" w:cs="Symbol" w:ascii="Symbol" w:hAnsi="Symbol"/>
        </w:rPr>
        <w:t></w:t>
      </w:r>
      <w:r>
        <w:rPr/>
        <w:t xml:space="preserve">), i.e. with </w:t>
      </w:r>
      <w:r>
        <w:rPr>
          <w:rFonts w:eastAsia="Calibri"/>
        </w:rPr>
        <w:t>12 different UE azimuth rotations. For more details, see Annex A.5.</w:t>
      </w:r>
    </w:p>
    <w:p>
      <w:pPr>
        <w:pStyle w:val="Heading2"/>
        <w:rPr/>
      </w:pPr>
      <w:bookmarkStart w:id="34" w:name="__RefHeading___Toc68600974"/>
      <w:bookmarkEnd w:id="34"/>
      <w:r>
        <w:rPr/>
        <w:t>4.5</w:t>
        <w:tab/>
        <w:t>Number of independent samples (for reverberation chamber procedure)</w:t>
      </w:r>
    </w:p>
    <w:p>
      <w:pPr>
        <w:pStyle w:val="Normal"/>
        <w:rPr>
          <w:lang w:eastAsia="zh-TW"/>
        </w:rPr>
      </w:pPr>
      <w:r>
        <w:rPr/>
        <w:t>When measuring TRP and TRS in an isotropic Rayleigh fading environment, 100 independent samples can be considered sufficient for ensuring an expanded accuracy better than 0.5 dB. Observe that it might be necessary to collect more samples than this during a measurement sequence in order to ensure a sufficient number of independent samples, since all collected samples might not be independent. The number of samples to be collected during a measurement sequence for each chamber should be chosen so that the overall measurement uncertainty is within the specified limits.</w:t>
      </w:r>
    </w:p>
    <w:p>
      <w:pPr>
        <w:pStyle w:val="Heading1"/>
        <w:ind w:left="1134" w:hanging="1134"/>
        <w:rPr/>
      </w:pPr>
      <w:bookmarkStart w:id="35" w:name="__RefHeading___Toc68600975"/>
      <w:bookmarkEnd w:id="35"/>
      <w:r>
        <w:rPr/>
        <w:t>5</w:t>
        <w:tab/>
        <w:t>Measurement frequencies</w:t>
      </w:r>
    </w:p>
    <w:p>
      <w:pPr>
        <w:pStyle w:val="Heading2"/>
        <w:rPr/>
      </w:pPr>
      <w:bookmarkStart w:id="36" w:name="__RefHeading___Toc68600976"/>
      <w:bookmarkEnd w:id="36"/>
      <w:r>
        <w:rPr/>
        <w:t>5.1</w:t>
        <w:tab/>
        <w:t>UTRA FDD frequency bands and measurement channels</w:t>
      </w:r>
    </w:p>
    <w:p>
      <w:pPr>
        <w:pStyle w:val="Normal"/>
        <w:rPr/>
      </w:pPr>
      <w:r>
        <w:rPr/>
        <w:t xml:space="preserve">Table 5.1-1 provides the list of UTRA </w:t>
      </w:r>
      <w:r>
        <w:rPr>
          <w:lang w:eastAsia="zh-CN"/>
        </w:rPr>
        <w:t>F</w:t>
      </w:r>
      <w:r>
        <w:rPr/>
        <w:t>DD frequency bands.</w:t>
      </w:r>
    </w:p>
    <w:p>
      <w:pPr>
        <w:pStyle w:val="TH"/>
        <w:rPr/>
      </w:pPr>
      <w:r>
        <w:rPr/>
        <w:t>Table 5.1-1: UTRA FDD frequency bands</w:t>
      </w:r>
    </w:p>
    <w:tbl>
      <w:tblPr>
        <w:tblW w:w="7126" w:type="dxa"/>
        <w:jc w:val="center"/>
        <w:tblInd w:w="0" w:type="dxa"/>
        <w:tblLayout w:type="fixed"/>
        <w:tblCellMar>
          <w:top w:w="0" w:type="dxa"/>
          <w:left w:w="108" w:type="dxa"/>
          <w:bottom w:w="0" w:type="dxa"/>
          <w:right w:w="108" w:type="dxa"/>
        </w:tblCellMar>
      </w:tblPr>
      <w:tblGrid>
        <w:gridCol w:w="1437"/>
        <w:gridCol w:w="2835"/>
        <w:gridCol w:w="2854"/>
      </w:tblGrid>
      <w:tr>
        <w:trPr>
          <w:trHeight w:val="567" w:hRule="atLeast"/>
        </w:trPr>
        <w:tc>
          <w:tcPr>
            <w:tcW w:w="1437" w:type="dxa"/>
            <w:tcBorders>
              <w:top w:val="single" w:sz="8" w:space="0" w:color="000000"/>
              <w:left w:val="single" w:sz="8" w:space="0" w:color="000000"/>
              <w:bottom w:val="single" w:sz="8" w:space="0" w:color="000000"/>
              <w:right w:val="single" w:sz="8" w:space="0" w:color="000000"/>
            </w:tcBorders>
            <w:vAlign w:val="center"/>
          </w:tcPr>
          <w:p>
            <w:pPr>
              <w:pStyle w:val="TAH"/>
              <w:rPr/>
            </w:pPr>
            <w:r>
              <w:rPr>
                <w:lang w:eastAsia="en-US"/>
              </w:rPr>
              <w:t>Operating Band</w:t>
            </w:r>
          </w:p>
        </w:tc>
        <w:tc>
          <w:tcPr>
            <w:tcW w:w="2835" w:type="dxa"/>
            <w:tcBorders>
              <w:top w:val="single" w:sz="8" w:space="0" w:color="000000"/>
              <w:bottom w:val="single" w:sz="8" w:space="0" w:color="000000"/>
              <w:right w:val="single" w:sz="8" w:space="0" w:color="000000"/>
            </w:tcBorders>
            <w:vAlign w:val="center"/>
          </w:tcPr>
          <w:p>
            <w:pPr>
              <w:pStyle w:val="TAH"/>
              <w:rPr>
                <w:lang w:eastAsia="en-US"/>
              </w:rPr>
            </w:pPr>
            <w:r>
              <w:rPr>
                <w:lang w:eastAsia="en-US"/>
              </w:rPr>
              <w:t>UL Frequencies</w:t>
            </w:r>
          </w:p>
          <w:p>
            <w:pPr>
              <w:pStyle w:val="TAH"/>
              <w:rPr>
                <w:lang w:eastAsia="en-US"/>
              </w:rPr>
            </w:pPr>
            <w:r>
              <w:rPr>
                <w:lang w:eastAsia="en-US"/>
              </w:rPr>
              <w:t>UE transmit, Node B receive</w:t>
            </w:r>
          </w:p>
        </w:tc>
        <w:tc>
          <w:tcPr>
            <w:tcW w:w="2854" w:type="dxa"/>
            <w:tcBorders>
              <w:top w:val="single" w:sz="8" w:space="0" w:color="000000"/>
              <w:bottom w:val="single" w:sz="8" w:space="0" w:color="000000"/>
              <w:right w:val="single" w:sz="8" w:space="0" w:color="000000"/>
            </w:tcBorders>
            <w:vAlign w:val="center"/>
          </w:tcPr>
          <w:p>
            <w:pPr>
              <w:pStyle w:val="TAH"/>
              <w:rPr>
                <w:lang w:eastAsia="en-US"/>
              </w:rPr>
            </w:pPr>
            <w:r>
              <w:rPr>
                <w:lang w:eastAsia="en-US"/>
              </w:rPr>
              <w:t>DL frequencies</w:t>
            </w:r>
          </w:p>
          <w:p>
            <w:pPr>
              <w:pStyle w:val="TAH"/>
              <w:rPr>
                <w:lang w:eastAsia="en-US"/>
              </w:rPr>
            </w:pPr>
            <w:r>
              <w:rPr>
                <w:lang w:eastAsia="en-US"/>
              </w:rPr>
              <w:t>UE receive, Node B transmit</w:t>
            </w:r>
          </w:p>
        </w:tc>
      </w:tr>
      <w:tr>
        <w:trPr>
          <w:trHeight w:val="284" w:hRule="exact"/>
        </w:trPr>
        <w:tc>
          <w:tcPr>
            <w:tcW w:w="1437" w:type="dxa"/>
            <w:tcBorders>
              <w:left w:val="single" w:sz="8" w:space="0" w:color="000000"/>
              <w:bottom w:val="single" w:sz="8" w:space="0" w:color="000000"/>
              <w:right w:val="single" w:sz="8" w:space="0" w:color="000000"/>
            </w:tcBorders>
            <w:vAlign w:val="center"/>
          </w:tcPr>
          <w:p>
            <w:pPr>
              <w:pStyle w:val="TAC"/>
              <w:rPr>
                <w:lang w:eastAsia="en-US"/>
              </w:rPr>
            </w:pPr>
            <w:r>
              <w:rPr>
                <w:lang w:eastAsia="en-US"/>
              </w:rPr>
              <w:t>I</w:t>
            </w:r>
          </w:p>
        </w:tc>
        <w:tc>
          <w:tcPr>
            <w:tcW w:w="2835" w:type="dxa"/>
            <w:tcBorders>
              <w:top w:val="single" w:sz="8" w:space="0" w:color="000000"/>
              <w:bottom w:val="single" w:sz="8" w:space="0" w:color="000000"/>
              <w:right w:val="single" w:sz="8" w:space="0" w:color="000000"/>
            </w:tcBorders>
            <w:vAlign w:val="center"/>
          </w:tcPr>
          <w:p>
            <w:pPr>
              <w:pStyle w:val="TAC"/>
              <w:rPr>
                <w:lang w:eastAsia="en-US"/>
              </w:rPr>
            </w:pPr>
            <w:r>
              <w:rPr>
                <w:lang w:eastAsia="en-US"/>
              </w:rPr>
              <w:t>1920 – 1980 MHz</w:t>
            </w:r>
          </w:p>
        </w:tc>
        <w:tc>
          <w:tcPr>
            <w:tcW w:w="2854" w:type="dxa"/>
            <w:tcBorders>
              <w:top w:val="single" w:sz="8" w:space="0" w:color="000000"/>
              <w:bottom w:val="single" w:sz="8" w:space="0" w:color="000000"/>
              <w:right w:val="single" w:sz="8" w:space="0" w:color="000000"/>
            </w:tcBorders>
            <w:vAlign w:val="center"/>
          </w:tcPr>
          <w:p>
            <w:pPr>
              <w:pStyle w:val="TAC"/>
              <w:rPr>
                <w:lang w:eastAsia="en-US"/>
              </w:rPr>
            </w:pPr>
            <w:r>
              <w:rPr>
                <w:lang w:eastAsia="en-US"/>
              </w:rPr>
              <w:t>2110 –2170 MHz</w:t>
            </w:r>
          </w:p>
        </w:tc>
      </w:tr>
      <w:tr>
        <w:trPr>
          <w:trHeight w:val="284" w:hRule="exact"/>
        </w:trPr>
        <w:tc>
          <w:tcPr>
            <w:tcW w:w="1437" w:type="dxa"/>
            <w:tcBorders>
              <w:left w:val="single" w:sz="8" w:space="0" w:color="000000"/>
              <w:bottom w:val="single" w:sz="8" w:space="0" w:color="000000"/>
              <w:right w:val="single" w:sz="8" w:space="0" w:color="000000"/>
            </w:tcBorders>
            <w:vAlign w:val="center"/>
          </w:tcPr>
          <w:p>
            <w:pPr>
              <w:pStyle w:val="TAC"/>
              <w:rPr>
                <w:lang w:eastAsia="en-US"/>
              </w:rPr>
            </w:pPr>
            <w:r>
              <w:rPr>
                <w:lang w:eastAsia="en-US"/>
              </w:rPr>
              <w:t>II</w:t>
            </w:r>
          </w:p>
        </w:tc>
        <w:tc>
          <w:tcPr>
            <w:tcW w:w="2835" w:type="dxa"/>
            <w:tcBorders>
              <w:bottom w:val="single" w:sz="8" w:space="0" w:color="000000"/>
              <w:right w:val="single" w:sz="8" w:space="0" w:color="000000"/>
            </w:tcBorders>
            <w:vAlign w:val="center"/>
          </w:tcPr>
          <w:p>
            <w:pPr>
              <w:pStyle w:val="TAC"/>
              <w:rPr>
                <w:lang w:eastAsia="en-US"/>
              </w:rPr>
            </w:pPr>
            <w:r>
              <w:rPr>
                <w:lang w:eastAsia="en-US"/>
              </w:rPr>
              <w:t>1850 –1910 MHz</w:t>
            </w:r>
          </w:p>
        </w:tc>
        <w:tc>
          <w:tcPr>
            <w:tcW w:w="2854" w:type="dxa"/>
            <w:tcBorders>
              <w:bottom w:val="single" w:sz="8" w:space="0" w:color="000000"/>
              <w:right w:val="single" w:sz="8" w:space="0" w:color="000000"/>
            </w:tcBorders>
            <w:vAlign w:val="center"/>
          </w:tcPr>
          <w:p>
            <w:pPr>
              <w:pStyle w:val="TAC"/>
              <w:rPr/>
            </w:pPr>
            <w:r>
              <w:rPr>
                <w:lang w:eastAsia="en-US"/>
              </w:rPr>
              <w:t>1930 –1990 MHz</w:t>
            </w:r>
          </w:p>
        </w:tc>
      </w:tr>
      <w:tr>
        <w:trPr>
          <w:trHeight w:val="284" w:hRule="exact"/>
        </w:trPr>
        <w:tc>
          <w:tcPr>
            <w:tcW w:w="1437" w:type="dxa"/>
            <w:tcBorders>
              <w:left w:val="single" w:sz="8" w:space="0" w:color="000000"/>
              <w:bottom w:val="single" w:sz="8" w:space="0" w:color="000000"/>
              <w:right w:val="single" w:sz="8" w:space="0" w:color="000000"/>
            </w:tcBorders>
            <w:vAlign w:val="center"/>
          </w:tcPr>
          <w:p>
            <w:pPr>
              <w:pStyle w:val="TAC"/>
              <w:rPr>
                <w:lang w:eastAsia="en-US"/>
              </w:rPr>
            </w:pPr>
            <w:r>
              <w:rPr>
                <w:lang w:eastAsia="en-US"/>
              </w:rPr>
              <w:t>III</w:t>
            </w:r>
          </w:p>
        </w:tc>
        <w:tc>
          <w:tcPr>
            <w:tcW w:w="2835" w:type="dxa"/>
            <w:tcBorders>
              <w:bottom w:val="single" w:sz="8" w:space="0" w:color="000000"/>
              <w:right w:val="single" w:sz="8" w:space="0" w:color="000000"/>
            </w:tcBorders>
            <w:vAlign w:val="center"/>
          </w:tcPr>
          <w:p>
            <w:pPr>
              <w:pStyle w:val="TAC"/>
              <w:rPr>
                <w:lang w:eastAsia="en-US"/>
              </w:rPr>
            </w:pPr>
            <w:r>
              <w:rPr>
                <w:lang w:eastAsia="en-US"/>
              </w:rPr>
              <w:t>1710-1785 MHz</w:t>
            </w:r>
          </w:p>
        </w:tc>
        <w:tc>
          <w:tcPr>
            <w:tcW w:w="2854" w:type="dxa"/>
            <w:tcBorders>
              <w:bottom w:val="single" w:sz="8" w:space="0" w:color="000000"/>
              <w:right w:val="single" w:sz="8" w:space="0" w:color="000000"/>
            </w:tcBorders>
            <w:vAlign w:val="center"/>
          </w:tcPr>
          <w:p>
            <w:pPr>
              <w:pStyle w:val="TAC"/>
              <w:rPr>
                <w:lang w:eastAsia="en-US"/>
              </w:rPr>
            </w:pPr>
            <w:r>
              <w:rPr>
                <w:lang w:eastAsia="en-US"/>
              </w:rPr>
              <w:t>1805-1880 MHz</w:t>
            </w:r>
          </w:p>
        </w:tc>
      </w:tr>
      <w:tr>
        <w:trPr>
          <w:trHeight w:val="284" w:hRule="exact"/>
        </w:trPr>
        <w:tc>
          <w:tcPr>
            <w:tcW w:w="1437" w:type="dxa"/>
            <w:tcBorders>
              <w:left w:val="single" w:sz="8" w:space="0" w:color="000000"/>
              <w:bottom w:val="single" w:sz="8" w:space="0" w:color="000000"/>
              <w:right w:val="single" w:sz="8" w:space="0" w:color="000000"/>
            </w:tcBorders>
            <w:vAlign w:val="center"/>
          </w:tcPr>
          <w:p>
            <w:pPr>
              <w:pStyle w:val="TAC"/>
              <w:rPr>
                <w:lang w:eastAsia="en-US"/>
              </w:rPr>
            </w:pPr>
            <w:r>
              <w:rPr>
                <w:lang w:eastAsia="en-US"/>
              </w:rPr>
              <w:t>IV</w:t>
            </w:r>
          </w:p>
        </w:tc>
        <w:tc>
          <w:tcPr>
            <w:tcW w:w="2835" w:type="dxa"/>
            <w:tcBorders>
              <w:bottom w:val="single" w:sz="8" w:space="0" w:color="000000"/>
              <w:right w:val="single" w:sz="8" w:space="0" w:color="000000"/>
            </w:tcBorders>
            <w:vAlign w:val="center"/>
          </w:tcPr>
          <w:p>
            <w:pPr>
              <w:pStyle w:val="TAC"/>
              <w:rPr>
                <w:lang w:eastAsia="en-US"/>
              </w:rPr>
            </w:pPr>
            <w:r>
              <w:rPr>
                <w:lang w:eastAsia="en-US"/>
              </w:rPr>
              <w:t>1710-1755 MHz</w:t>
            </w:r>
          </w:p>
        </w:tc>
        <w:tc>
          <w:tcPr>
            <w:tcW w:w="2854" w:type="dxa"/>
            <w:tcBorders>
              <w:bottom w:val="single" w:sz="8" w:space="0" w:color="000000"/>
              <w:right w:val="single" w:sz="8" w:space="0" w:color="000000"/>
            </w:tcBorders>
            <w:vAlign w:val="center"/>
          </w:tcPr>
          <w:p>
            <w:pPr>
              <w:pStyle w:val="TAC"/>
              <w:rPr>
                <w:lang w:eastAsia="en-US"/>
              </w:rPr>
            </w:pPr>
            <w:r>
              <w:rPr>
                <w:lang w:eastAsia="en-US"/>
              </w:rPr>
              <w:t>2110-2155 MHz</w:t>
            </w:r>
          </w:p>
        </w:tc>
      </w:tr>
      <w:tr>
        <w:trPr>
          <w:trHeight w:val="284" w:hRule="exact"/>
        </w:trPr>
        <w:tc>
          <w:tcPr>
            <w:tcW w:w="1437" w:type="dxa"/>
            <w:tcBorders>
              <w:left w:val="single" w:sz="8" w:space="0" w:color="000000"/>
              <w:bottom w:val="single" w:sz="8" w:space="0" w:color="000000"/>
              <w:right w:val="single" w:sz="8" w:space="0" w:color="000000"/>
            </w:tcBorders>
            <w:vAlign w:val="center"/>
          </w:tcPr>
          <w:p>
            <w:pPr>
              <w:pStyle w:val="TAC"/>
              <w:rPr>
                <w:lang w:eastAsia="en-US"/>
              </w:rPr>
            </w:pPr>
            <w:r>
              <w:rPr>
                <w:lang w:eastAsia="en-US"/>
              </w:rPr>
              <w:t>V</w:t>
            </w:r>
          </w:p>
        </w:tc>
        <w:tc>
          <w:tcPr>
            <w:tcW w:w="2835" w:type="dxa"/>
            <w:tcBorders>
              <w:bottom w:val="single" w:sz="8" w:space="0" w:color="000000"/>
              <w:right w:val="single" w:sz="8" w:space="0" w:color="000000"/>
            </w:tcBorders>
            <w:vAlign w:val="center"/>
          </w:tcPr>
          <w:p>
            <w:pPr>
              <w:pStyle w:val="TAC"/>
              <w:rPr>
                <w:lang w:eastAsia="en-US"/>
              </w:rPr>
            </w:pPr>
            <w:r>
              <w:rPr>
                <w:lang w:eastAsia="en-US"/>
              </w:rPr>
              <w:t>824 – 849 MHz</w:t>
            </w:r>
          </w:p>
        </w:tc>
        <w:tc>
          <w:tcPr>
            <w:tcW w:w="2854" w:type="dxa"/>
            <w:tcBorders>
              <w:bottom w:val="single" w:sz="8" w:space="0" w:color="000000"/>
              <w:right w:val="single" w:sz="8" w:space="0" w:color="000000"/>
            </w:tcBorders>
            <w:vAlign w:val="center"/>
          </w:tcPr>
          <w:p>
            <w:pPr>
              <w:pStyle w:val="TAC"/>
              <w:rPr/>
            </w:pPr>
            <w:r>
              <w:rPr>
                <w:lang w:eastAsia="en-US"/>
              </w:rPr>
              <w:t>869-894 MHz</w:t>
            </w:r>
          </w:p>
        </w:tc>
      </w:tr>
      <w:tr>
        <w:trPr>
          <w:trHeight w:val="284" w:hRule="exact"/>
        </w:trPr>
        <w:tc>
          <w:tcPr>
            <w:tcW w:w="1437" w:type="dxa"/>
            <w:tcBorders>
              <w:left w:val="single" w:sz="8" w:space="0" w:color="000000"/>
              <w:bottom w:val="single" w:sz="8" w:space="0" w:color="000000"/>
              <w:right w:val="single" w:sz="8" w:space="0" w:color="000000"/>
            </w:tcBorders>
            <w:vAlign w:val="center"/>
          </w:tcPr>
          <w:p>
            <w:pPr>
              <w:pStyle w:val="TAC"/>
              <w:rPr>
                <w:lang w:eastAsia="en-US"/>
              </w:rPr>
            </w:pPr>
            <w:r>
              <w:rPr>
                <w:lang w:eastAsia="en-US"/>
              </w:rPr>
              <w:t>VI</w:t>
            </w:r>
          </w:p>
        </w:tc>
        <w:tc>
          <w:tcPr>
            <w:tcW w:w="2835" w:type="dxa"/>
            <w:tcBorders>
              <w:bottom w:val="single" w:sz="8" w:space="0" w:color="000000"/>
              <w:right w:val="single" w:sz="8" w:space="0" w:color="000000"/>
            </w:tcBorders>
            <w:vAlign w:val="center"/>
          </w:tcPr>
          <w:p>
            <w:pPr>
              <w:pStyle w:val="TAC"/>
              <w:rPr/>
            </w:pPr>
            <w:r>
              <w:rPr>
                <w:lang w:eastAsia="en-US"/>
              </w:rPr>
              <w:t>830-840 MHz</w:t>
            </w:r>
          </w:p>
        </w:tc>
        <w:tc>
          <w:tcPr>
            <w:tcW w:w="2854" w:type="dxa"/>
            <w:tcBorders>
              <w:bottom w:val="single" w:sz="8" w:space="0" w:color="000000"/>
              <w:right w:val="single" w:sz="8" w:space="0" w:color="000000"/>
            </w:tcBorders>
            <w:vAlign w:val="center"/>
          </w:tcPr>
          <w:p>
            <w:pPr>
              <w:pStyle w:val="TAC"/>
              <w:rPr>
                <w:lang w:eastAsia="en-US"/>
              </w:rPr>
            </w:pPr>
            <w:r>
              <w:rPr>
                <w:lang w:eastAsia="en-US"/>
              </w:rPr>
              <w:t>875-885 MHz</w:t>
            </w:r>
          </w:p>
        </w:tc>
      </w:tr>
      <w:tr>
        <w:trPr>
          <w:trHeight w:val="284" w:hRule="exact"/>
        </w:trPr>
        <w:tc>
          <w:tcPr>
            <w:tcW w:w="1437" w:type="dxa"/>
            <w:tcBorders>
              <w:left w:val="single" w:sz="8" w:space="0" w:color="000000"/>
              <w:bottom w:val="single" w:sz="8" w:space="0" w:color="000000"/>
              <w:right w:val="single" w:sz="8" w:space="0" w:color="000000"/>
            </w:tcBorders>
            <w:vAlign w:val="center"/>
          </w:tcPr>
          <w:p>
            <w:pPr>
              <w:pStyle w:val="TAC"/>
              <w:rPr>
                <w:lang w:eastAsia="en-US"/>
              </w:rPr>
            </w:pPr>
            <w:r>
              <w:rPr>
                <w:lang w:eastAsia="en-US"/>
              </w:rPr>
              <w:t>VII</w:t>
            </w:r>
          </w:p>
        </w:tc>
        <w:tc>
          <w:tcPr>
            <w:tcW w:w="2835" w:type="dxa"/>
            <w:tcBorders>
              <w:bottom w:val="single" w:sz="8" w:space="0" w:color="000000"/>
              <w:right w:val="single" w:sz="8" w:space="0" w:color="000000"/>
            </w:tcBorders>
            <w:vAlign w:val="center"/>
          </w:tcPr>
          <w:p>
            <w:pPr>
              <w:pStyle w:val="TAC"/>
              <w:rPr>
                <w:lang w:eastAsia="en-US"/>
              </w:rPr>
            </w:pPr>
            <w:r>
              <w:rPr>
                <w:lang w:eastAsia="en-US"/>
              </w:rPr>
              <w:t>2500-2570 MHz</w:t>
            </w:r>
          </w:p>
        </w:tc>
        <w:tc>
          <w:tcPr>
            <w:tcW w:w="2854" w:type="dxa"/>
            <w:tcBorders>
              <w:bottom w:val="single" w:sz="8" w:space="0" w:color="000000"/>
              <w:right w:val="single" w:sz="8" w:space="0" w:color="000000"/>
            </w:tcBorders>
            <w:vAlign w:val="center"/>
          </w:tcPr>
          <w:p>
            <w:pPr>
              <w:pStyle w:val="TAC"/>
              <w:rPr>
                <w:lang w:eastAsia="en-US"/>
              </w:rPr>
            </w:pPr>
            <w:r>
              <w:rPr>
                <w:lang w:eastAsia="en-US"/>
              </w:rPr>
              <w:t>2620-2690 MHz</w:t>
            </w:r>
          </w:p>
        </w:tc>
      </w:tr>
      <w:tr>
        <w:trPr>
          <w:trHeight w:val="284" w:hRule="exact"/>
        </w:trPr>
        <w:tc>
          <w:tcPr>
            <w:tcW w:w="1437" w:type="dxa"/>
            <w:tcBorders>
              <w:left w:val="single" w:sz="8" w:space="0" w:color="000000"/>
              <w:bottom w:val="single" w:sz="8" w:space="0" w:color="000000"/>
              <w:right w:val="single" w:sz="8" w:space="0" w:color="000000"/>
            </w:tcBorders>
            <w:vAlign w:val="center"/>
          </w:tcPr>
          <w:p>
            <w:pPr>
              <w:pStyle w:val="TAC"/>
              <w:rPr>
                <w:lang w:eastAsia="en-US"/>
              </w:rPr>
            </w:pPr>
            <w:r>
              <w:rPr>
                <w:lang w:eastAsia="en-US"/>
              </w:rPr>
              <w:t>VIII</w:t>
            </w:r>
          </w:p>
        </w:tc>
        <w:tc>
          <w:tcPr>
            <w:tcW w:w="2835" w:type="dxa"/>
            <w:tcBorders>
              <w:bottom w:val="single" w:sz="8" w:space="0" w:color="000000"/>
              <w:right w:val="single" w:sz="8" w:space="0" w:color="000000"/>
            </w:tcBorders>
            <w:vAlign w:val="center"/>
          </w:tcPr>
          <w:p>
            <w:pPr>
              <w:pStyle w:val="TAC"/>
              <w:rPr>
                <w:lang w:eastAsia="en-US"/>
              </w:rPr>
            </w:pPr>
            <w:r>
              <w:rPr>
                <w:lang w:eastAsia="en-US"/>
              </w:rPr>
              <w:t>880 – 915 MHz</w:t>
            </w:r>
          </w:p>
        </w:tc>
        <w:tc>
          <w:tcPr>
            <w:tcW w:w="2854" w:type="dxa"/>
            <w:tcBorders>
              <w:bottom w:val="single" w:sz="8" w:space="0" w:color="000000"/>
              <w:right w:val="single" w:sz="8" w:space="0" w:color="000000"/>
            </w:tcBorders>
            <w:vAlign w:val="center"/>
          </w:tcPr>
          <w:p>
            <w:pPr>
              <w:pStyle w:val="TAC"/>
              <w:rPr>
                <w:lang w:eastAsia="en-US"/>
              </w:rPr>
            </w:pPr>
            <w:r>
              <w:rPr>
                <w:lang w:eastAsia="en-US"/>
              </w:rPr>
              <w:t>925 – 960 MHz</w:t>
            </w:r>
          </w:p>
        </w:tc>
      </w:tr>
      <w:tr>
        <w:trPr>
          <w:trHeight w:val="284" w:hRule="exact"/>
        </w:trPr>
        <w:tc>
          <w:tcPr>
            <w:tcW w:w="1437" w:type="dxa"/>
            <w:tcBorders>
              <w:left w:val="single" w:sz="8" w:space="0" w:color="000000"/>
              <w:bottom w:val="single" w:sz="4" w:space="0" w:color="000000"/>
              <w:right w:val="single" w:sz="8" w:space="0" w:color="000000"/>
            </w:tcBorders>
            <w:vAlign w:val="center"/>
          </w:tcPr>
          <w:p>
            <w:pPr>
              <w:pStyle w:val="TAC"/>
              <w:rPr>
                <w:lang w:eastAsia="en-US"/>
              </w:rPr>
            </w:pPr>
            <w:r>
              <w:rPr>
                <w:lang w:eastAsia="en-US"/>
              </w:rPr>
              <w:t>IX</w:t>
            </w:r>
          </w:p>
        </w:tc>
        <w:tc>
          <w:tcPr>
            <w:tcW w:w="2835" w:type="dxa"/>
            <w:tcBorders>
              <w:bottom w:val="single" w:sz="4" w:space="0" w:color="000000"/>
              <w:right w:val="single" w:sz="8" w:space="0" w:color="000000"/>
            </w:tcBorders>
            <w:vAlign w:val="center"/>
          </w:tcPr>
          <w:p>
            <w:pPr>
              <w:pStyle w:val="TAC"/>
              <w:rPr>
                <w:lang w:eastAsia="en-US"/>
              </w:rPr>
            </w:pPr>
            <w:r>
              <w:rPr>
                <w:lang w:eastAsia="en-US"/>
              </w:rPr>
              <w:t>1749.9-1784.9 MHz</w:t>
            </w:r>
          </w:p>
        </w:tc>
        <w:tc>
          <w:tcPr>
            <w:tcW w:w="2854" w:type="dxa"/>
            <w:tcBorders>
              <w:bottom w:val="single" w:sz="4" w:space="0" w:color="000000"/>
              <w:right w:val="single" w:sz="8" w:space="0" w:color="000000"/>
            </w:tcBorders>
            <w:vAlign w:val="center"/>
          </w:tcPr>
          <w:p>
            <w:pPr>
              <w:pStyle w:val="TAC"/>
              <w:rPr>
                <w:lang w:eastAsia="en-US"/>
              </w:rPr>
            </w:pPr>
            <w:r>
              <w:rPr>
                <w:lang w:eastAsia="en-US"/>
              </w:rPr>
              <w:t>1844.9-1879.9 MHz</w:t>
            </w:r>
          </w:p>
        </w:tc>
      </w:tr>
      <w:tr>
        <w:trPr>
          <w:trHeight w:val="284" w:hRule="exact"/>
        </w:trPr>
        <w:tc>
          <w:tcPr>
            <w:tcW w:w="1437" w:type="dxa"/>
            <w:tcBorders>
              <w:top w:val="single" w:sz="4" w:space="0" w:color="000000"/>
              <w:left w:val="single" w:sz="4" w:space="0" w:color="000000"/>
              <w:bottom w:val="single" w:sz="4" w:space="0" w:color="000000"/>
              <w:right w:val="single" w:sz="8" w:space="0" w:color="000000"/>
            </w:tcBorders>
            <w:vAlign w:val="center"/>
          </w:tcPr>
          <w:p>
            <w:pPr>
              <w:pStyle w:val="TAC"/>
              <w:rPr>
                <w:lang w:eastAsia="en-US"/>
              </w:rPr>
            </w:pPr>
            <w:r>
              <w:rPr>
                <w:lang w:eastAsia="en-US"/>
              </w:rPr>
              <w:t>X</w:t>
            </w:r>
          </w:p>
        </w:tc>
        <w:tc>
          <w:tcPr>
            <w:tcW w:w="2835" w:type="dxa"/>
            <w:tcBorders>
              <w:top w:val="single" w:sz="4" w:space="0" w:color="000000"/>
              <w:bottom w:val="single" w:sz="4" w:space="0" w:color="000000"/>
              <w:right w:val="single" w:sz="8" w:space="0" w:color="000000"/>
            </w:tcBorders>
          </w:tcPr>
          <w:p>
            <w:pPr>
              <w:pStyle w:val="TAC"/>
              <w:rPr>
                <w:lang w:eastAsia="en-US"/>
              </w:rPr>
            </w:pPr>
            <w:r>
              <w:rPr>
                <w:lang w:eastAsia="en-US"/>
              </w:rPr>
              <w:t>1710 – 1770 MHz</w:t>
            </w:r>
          </w:p>
        </w:tc>
        <w:tc>
          <w:tcPr>
            <w:tcW w:w="2854" w:type="dxa"/>
            <w:tcBorders>
              <w:top w:val="single" w:sz="4" w:space="0" w:color="000000"/>
              <w:bottom w:val="single" w:sz="4" w:space="0" w:color="000000"/>
              <w:right w:val="single" w:sz="4" w:space="0" w:color="000000"/>
            </w:tcBorders>
          </w:tcPr>
          <w:p>
            <w:pPr>
              <w:pStyle w:val="TAC"/>
              <w:rPr>
                <w:lang w:eastAsia="en-US"/>
              </w:rPr>
            </w:pPr>
            <w:r>
              <w:rPr>
                <w:lang w:eastAsia="en-US"/>
              </w:rPr>
              <w:t>2110 – 2170 MHz</w:t>
            </w:r>
          </w:p>
        </w:tc>
      </w:tr>
      <w:tr>
        <w:trPr>
          <w:trHeight w:val="284" w:hRule="exact"/>
        </w:trPr>
        <w:tc>
          <w:tcPr>
            <w:tcW w:w="1437" w:type="dxa"/>
            <w:tcBorders>
              <w:top w:val="single" w:sz="4" w:space="0" w:color="000000"/>
              <w:left w:val="single" w:sz="8" w:space="0" w:color="000000"/>
              <w:bottom w:val="single" w:sz="8" w:space="0" w:color="000000"/>
              <w:right w:val="single" w:sz="8" w:space="0" w:color="000000"/>
            </w:tcBorders>
            <w:vAlign w:val="center"/>
          </w:tcPr>
          <w:p>
            <w:pPr>
              <w:pStyle w:val="TAC"/>
              <w:rPr>
                <w:lang w:eastAsia="en-US"/>
              </w:rPr>
            </w:pPr>
            <w:r>
              <w:rPr>
                <w:lang w:eastAsia="en-US"/>
              </w:rPr>
              <w:t>XIX</w:t>
            </w:r>
          </w:p>
        </w:tc>
        <w:tc>
          <w:tcPr>
            <w:tcW w:w="2835" w:type="dxa"/>
            <w:tcBorders>
              <w:top w:val="single" w:sz="4" w:space="0" w:color="000000"/>
              <w:bottom w:val="single" w:sz="8" w:space="0" w:color="000000"/>
              <w:right w:val="single" w:sz="8" w:space="0" w:color="000000"/>
            </w:tcBorders>
          </w:tcPr>
          <w:p>
            <w:pPr>
              <w:pStyle w:val="TAC"/>
              <w:rPr>
                <w:lang w:eastAsia="en-US"/>
              </w:rPr>
            </w:pPr>
            <w:r>
              <w:rPr>
                <w:lang w:eastAsia="en-US"/>
              </w:rPr>
              <w:t>830 – 845MHz</w:t>
            </w:r>
          </w:p>
        </w:tc>
        <w:tc>
          <w:tcPr>
            <w:tcW w:w="2854" w:type="dxa"/>
            <w:tcBorders>
              <w:top w:val="single" w:sz="4" w:space="0" w:color="000000"/>
              <w:bottom w:val="single" w:sz="8" w:space="0" w:color="000000"/>
              <w:right w:val="single" w:sz="8" w:space="0" w:color="000000"/>
            </w:tcBorders>
          </w:tcPr>
          <w:p>
            <w:pPr>
              <w:pStyle w:val="TAC"/>
              <w:rPr>
                <w:lang w:eastAsia="en-US"/>
              </w:rPr>
            </w:pPr>
            <w:r>
              <w:rPr>
                <w:lang w:eastAsia="en-US"/>
              </w:rPr>
              <w:t>875 – 890 MHz</w:t>
            </w:r>
          </w:p>
        </w:tc>
      </w:tr>
    </w:tbl>
    <w:p>
      <w:pPr>
        <w:pStyle w:val="Normal"/>
        <w:rPr/>
      </w:pPr>
      <w:r>
        <w:rPr/>
      </w:r>
    </w:p>
    <w:p>
      <w:pPr>
        <w:pStyle w:val="TH"/>
        <w:rPr/>
      </w:pPr>
      <w:r>
        <w:rPr/>
        <w:t>Table 5.1-2: specifies the measurement channels for UTRA FDD</w:t>
      </w:r>
    </w:p>
    <w:p>
      <w:pPr>
        <w:pStyle w:val="TAH"/>
        <w:rPr/>
      </w:pPr>
      <w:r>
        <w:rPr/>
        <w:t>TBD</w:t>
      </w:r>
    </w:p>
    <w:p>
      <w:pPr>
        <w:pStyle w:val="Normal"/>
        <w:rPr/>
      </w:pPr>
      <w:r>
        <w:rPr/>
      </w:r>
    </w:p>
    <w:p>
      <w:pPr>
        <w:pStyle w:val="TH"/>
        <w:rPr/>
      </w:pPr>
      <w:r>
        <w:rPr/>
        <w:t>Table 5.1-2: UTRA FDD measurement channels</w:t>
      </w:r>
    </w:p>
    <w:tbl>
      <w:tblPr>
        <w:tblW w:w="7120" w:type="dxa"/>
        <w:jc w:val="center"/>
        <w:tblInd w:w="0" w:type="dxa"/>
        <w:tblLayout w:type="fixed"/>
        <w:tblCellMar>
          <w:top w:w="0" w:type="dxa"/>
          <w:left w:w="108" w:type="dxa"/>
          <w:bottom w:w="0" w:type="dxa"/>
          <w:right w:w="108" w:type="dxa"/>
        </w:tblCellMar>
      </w:tblPr>
      <w:tblGrid>
        <w:gridCol w:w="1434"/>
        <w:gridCol w:w="935"/>
        <w:gridCol w:w="935"/>
        <w:gridCol w:w="936"/>
        <w:gridCol w:w="960"/>
        <w:gridCol w:w="960"/>
        <w:gridCol w:w="960"/>
      </w:tblGrid>
      <w:tr>
        <w:trPr>
          <w:trHeight w:val="284" w:hRule="atLeast"/>
        </w:trPr>
        <w:tc>
          <w:tcPr>
            <w:tcW w:w="1434" w:type="dxa"/>
            <w:vMerge w:val="restart"/>
            <w:tcBorders>
              <w:top w:val="single" w:sz="8" w:space="0" w:color="000000"/>
              <w:left w:val="single" w:sz="8" w:space="0" w:color="000000"/>
              <w:bottom w:val="single" w:sz="8" w:space="0" w:color="000000"/>
            </w:tcBorders>
            <w:vAlign w:val="center"/>
          </w:tcPr>
          <w:p>
            <w:pPr>
              <w:pStyle w:val="TAH"/>
              <w:rPr>
                <w:lang w:eastAsia="en-US"/>
              </w:rPr>
            </w:pPr>
            <w:r>
              <w:rPr>
                <w:lang w:eastAsia="en-US"/>
              </w:rPr>
              <w:t>Operating Band</w:t>
            </w:r>
          </w:p>
        </w:tc>
        <w:tc>
          <w:tcPr>
            <w:tcW w:w="2806" w:type="dxa"/>
            <w:gridSpan w:val="3"/>
            <w:tcBorders>
              <w:top w:val="single" w:sz="8" w:space="0" w:color="000000"/>
              <w:left w:val="single" w:sz="8" w:space="0" w:color="000000"/>
              <w:bottom w:val="single" w:sz="4" w:space="0" w:color="000000"/>
              <w:right w:val="single" w:sz="8" w:space="0" w:color="000000"/>
            </w:tcBorders>
            <w:vAlign w:val="center"/>
          </w:tcPr>
          <w:p>
            <w:pPr>
              <w:pStyle w:val="TAH"/>
              <w:rPr>
                <w:lang w:eastAsia="en-US"/>
              </w:rPr>
            </w:pPr>
            <w:r>
              <w:rPr>
                <w:lang w:eastAsia="en-US"/>
              </w:rPr>
              <w:t>UL Channels</w:t>
            </w:r>
          </w:p>
        </w:tc>
        <w:tc>
          <w:tcPr>
            <w:tcW w:w="2880" w:type="dxa"/>
            <w:gridSpan w:val="3"/>
            <w:tcBorders>
              <w:top w:val="single" w:sz="8" w:space="0" w:color="000000"/>
              <w:bottom w:val="single" w:sz="4" w:space="0" w:color="000000"/>
              <w:right w:val="single" w:sz="8" w:space="0" w:color="000000"/>
            </w:tcBorders>
            <w:vAlign w:val="center"/>
          </w:tcPr>
          <w:p>
            <w:pPr>
              <w:pStyle w:val="TAH"/>
              <w:rPr>
                <w:lang w:eastAsia="en-US"/>
              </w:rPr>
            </w:pPr>
            <w:r>
              <w:rPr>
                <w:lang w:eastAsia="en-US"/>
              </w:rPr>
              <w:t>DL Channels</w:t>
            </w:r>
          </w:p>
        </w:tc>
      </w:tr>
      <w:tr>
        <w:trPr>
          <w:trHeight w:val="270" w:hRule="atLeast"/>
        </w:trPr>
        <w:tc>
          <w:tcPr>
            <w:tcW w:w="1434" w:type="dxa"/>
            <w:vMerge w:val="continue"/>
            <w:tcBorders>
              <w:top w:val="single" w:sz="8" w:space="0" w:color="000000"/>
              <w:left w:val="single" w:sz="8" w:space="0" w:color="000000"/>
              <w:bottom w:val="single" w:sz="8" w:space="0" w:color="000000"/>
            </w:tcBorders>
            <w:vAlign w:val="center"/>
          </w:tcPr>
          <w:p>
            <w:pPr>
              <w:pStyle w:val="TAH"/>
              <w:snapToGrid w:val="false"/>
              <w:rPr>
                <w:lang w:eastAsia="en-US"/>
              </w:rPr>
            </w:pPr>
            <w:r>
              <w:rPr>
                <w:lang w:eastAsia="en-US"/>
              </w:rPr>
            </w:r>
          </w:p>
        </w:tc>
        <w:tc>
          <w:tcPr>
            <w:tcW w:w="935" w:type="dxa"/>
            <w:tcBorders>
              <w:left w:val="single" w:sz="8" w:space="0" w:color="000000"/>
              <w:bottom w:val="single" w:sz="8" w:space="0" w:color="000000"/>
              <w:right w:val="single" w:sz="4" w:space="0" w:color="000000"/>
            </w:tcBorders>
            <w:vAlign w:val="center"/>
          </w:tcPr>
          <w:p>
            <w:pPr>
              <w:pStyle w:val="TAH"/>
              <w:rPr>
                <w:lang w:eastAsia="en-US"/>
              </w:rPr>
            </w:pPr>
            <w:r>
              <w:rPr>
                <w:lang w:eastAsia="en-US"/>
              </w:rPr>
              <w:t>Low</w:t>
            </w:r>
          </w:p>
        </w:tc>
        <w:tc>
          <w:tcPr>
            <w:tcW w:w="935" w:type="dxa"/>
            <w:tcBorders>
              <w:bottom w:val="single" w:sz="8" w:space="0" w:color="000000"/>
              <w:right w:val="single" w:sz="4" w:space="0" w:color="000000"/>
            </w:tcBorders>
            <w:vAlign w:val="center"/>
          </w:tcPr>
          <w:p>
            <w:pPr>
              <w:pStyle w:val="TAH"/>
              <w:rPr>
                <w:lang w:eastAsia="en-US"/>
              </w:rPr>
            </w:pPr>
            <w:r>
              <w:rPr>
                <w:lang w:eastAsia="en-US"/>
              </w:rPr>
              <w:t>Mid</w:t>
            </w:r>
          </w:p>
        </w:tc>
        <w:tc>
          <w:tcPr>
            <w:tcW w:w="936" w:type="dxa"/>
            <w:tcBorders>
              <w:bottom w:val="single" w:sz="8" w:space="0" w:color="000000"/>
              <w:right w:val="single" w:sz="8" w:space="0" w:color="000000"/>
            </w:tcBorders>
            <w:vAlign w:val="center"/>
          </w:tcPr>
          <w:p>
            <w:pPr>
              <w:pStyle w:val="TAH"/>
              <w:rPr>
                <w:lang w:eastAsia="en-US"/>
              </w:rPr>
            </w:pPr>
            <w:r>
              <w:rPr>
                <w:lang w:eastAsia="en-US"/>
              </w:rPr>
              <w:t>High</w:t>
            </w:r>
          </w:p>
        </w:tc>
        <w:tc>
          <w:tcPr>
            <w:tcW w:w="960" w:type="dxa"/>
            <w:tcBorders>
              <w:bottom w:val="single" w:sz="8" w:space="0" w:color="000000"/>
              <w:right w:val="single" w:sz="4" w:space="0" w:color="000000"/>
            </w:tcBorders>
            <w:vAlign w:val="center"/>
          </w:tcPr>
          <w:p>
            <w:pPr>
              <w:pStyle w:val="TAH"/>
              <w:rPr>
                <w:lang w:eastAsia="en-US"/>
              </w:rPr>
            </w:pPr>
            <w:r>
              <w:rPr>
                <w:lang w:eastAsia="en-US"/>
              </w:rPr>
              <w:t>Low</w:t>
            </w:r>
          </w:p>
        </w:tc>
        <w:tc>
          <w:tcPr>
            <w:tcW w:w="960" w:type="dxa"/>
            <w:tcBorders>
              <w:bottom w:val="single" w:sz="8" w:space="0" w:color="000000"/>
              <w:right w:val="single" w:sz="4" w:space="0" w:color="000000"/>
            </w:tcBorders>
            <w:vAlign w:val="center"/>
          </w:tcPr>
          <w:p>
            <w:pPr>
              <w:pStyle w:val="TAH"/>
              <w:rPr>
                <w:lang w:eastAsia="en-US"/>
              </w:rPr>
            </w:pPr>
            <w:r>
              <w:rPr>
                <w:lang w:eastAsia="en-US"/>
              </w:rPr>
              <w:t>Mid</w:t>
            </w:r>
          </w:p>
        </w:tc>
        <w:tc>
          <w:tcPr>
            <w:tcW w:w="960" w:type="dxa"/>
            <w:tcBorders>
              <w:bottom w:val="single" w:sz="8" w:space="0" w:color="000000"/>
              <w:right w:val="single" w:sz="8" w:space="0" w:color="000000"/>
            </w:tcBorders>
            <w:vAlign w:val="center"/>
          </w:tcPr>
          <w:p>
            <w:pPr>
              <w:pStyle w:val="TAH"/>
              <w:rPr>
                <w:lang w:eastAsia="en-US"/>
              </w:rPr>
            </w:pPr>
            <w:r>
              <w:rPr>
                <w:lang w:eastAsia="en-US"/>
              </w:rPr>
              <w:t>High</w:t>
            </w:r>
          </w:p>
        </w:tc>
      </w:tr>
      <w:tr>
        <w:trPr>
          <w:trHeight w:val="255" w:hRule="atLeast"/>
        </w:trPr>
        <w:tc>
          <w:tcPr>
            <w:tcW w:w="1434" w:type="dxa"/>
            <w:tcBorders>
              <w:left w:val="single" w:sz="8" w:space="0" w:color="000000"/>
              <w:bottom w:val="single" w:sz="4" w:space="0" w:color="000000"/>
            </w:tcBorders>
            <w:vAlign w:val="bottom"/>
          </w:tcPr>
          <w:p>
            <w:pPr>
              <w:pStyle w:val="TAC"/>
              <w:rPr>
                <w:lang w:eastAsia="en-US"/>
              </w:rPr>
            </w:pPr>
            <w:r>
              <w:rPr>
                <w:lang w:eastAsia="en-US"/>
              </w:rPr>
              <w:t>I</w:t>
            </w:r>
          </w:p>
        </w:tc>
        <w:tc>
          <w:tcPr>
            <w:tcW w:w="935" w:type="dxa"/>
            <w:tcBorders>
              <w:left w:val="single" w:sz="8" w:space="0" w:color="000000"/>
              <w:bottom w:val="single" w:sz="4" w:space="0" w:color="000000"/>
              <w:right w:val="single" w:sz="4" w:space="0" w:color="000000"/>
            </w:tcBorders>
            <w:vAlign w:val="bottom"/>
          </w:tcPr>
          <w:p>
            <w:pPr>
              <w:pStyle w:val="TAC"/>
              <w:rPr>
                <w:lang w:eastAsia="en-US"/>
              </w:rPr>
            </w:pPr>
            <w:r>
              <w:rPr>
                <w:lang w:eastAsia="en-US"/>
              </w:rPr>
              <w:t>9612</w:t>
            </w:r>
          </w:p>
        </w:tc>
        <w:tc>
          <w:tcPr>
            <w:tcW w:w="935" w:type="dxa"/>
            <w:tcBorders>
              <w:bottom w:val="single" w:sz="4" w:space="0" w:color="000000"/>
              <w:right w:val="single" w:sz="4" w:space="0" w:color="000000"/>
            </w:tcBorders>
            <w:vAlign w:val="bottom"/>
          </w:tcPr>
          <w:p>
            <w:pPr>
              <w:pStyle w:val="TAC"/>
              <w:rPr>
                <w:lang w:eastAsia="en-US"/>
              </w:rPr>
            </w:pPr>
            <w:r>
              <w:rPr>
                <w:lang w:eastAsia="en-US"/>
              </w:rPr>
              <w:t>9750</w:t>
            </w:r>
          </w:p>
        </w:tc>
        <w:tc>
          <w:tcPr>
            <w:tcW w:w="936" w:type="dxa"/>
            <w:tcBorders>
              <w:bottom w:val="single" w:sz="4" w:space="0" w:color="000000"/>
              <w:right w:val="single" w:sz="8" w:space="0" w:color="000000"/>
            </w:tcBorders>
            <w:vAlign w:val="bottom"/>
          </w:tcPr>
          <w:p>
            <w:pPr>
              <w:pStyle w:val="TAC"/>
              <w:rPr>
                <w:lang w:eastAsia="en-US"/>
              </w:rPr>
            </w:pPr>
            <w:r>
              <w:rPr>
                <w:lang w:eastAsia="en-US"/>
              </w:rPr>
              <w:t>9888</w:t>
            </w:r>
          </w:p>
        </w:tc>
        <w:tc>
          <w:tcPr>
            <w:tcW w:w="960" w:type="dxa"/>
            <w:tcBorders>
              <w:bottom w:val="single" w:sz="4" w:space="0" w:color="000000"/>
              <w:right w:val="single" w:sz="4" w:space="0" w:color="000000"/>
            </w:tcBorders>
            <w:vAlign w:val="bottom"/>
          </w:tcPr>
          <w:p>
            <w:pPr>
              <w:pStyle w:val="TAC"/>
              <w:rPr>
                <w:lang w:eastAsia="en-US"/>
              </w:rPr>
            </w:pPr>
            <w:r>
              <w:rPr>
                <w:lang w:eastAsia="en-US"/>
              </w:rPr>
              <w:t>10562</w:t>
            </w:r>
          </w:p>
        </w:tc>
        <w:tc>
          <w:tcPr>
            <w:tcW w:w="960" w:type="dxa"/>
            <w:tcBorders>
              <w:bottom w:val="single" w:sz="4" w:space="0" w:color="000000"/>
              <w:right w:val="single" w:sz="4" w:space="0" w:color="000000"/>
            </w:tcBorders>
            <w:vAlign w:val="bottom"/>
          </w:tcPr>
          <w:p>
            <w:pPr>
              <w:pStyle w:val="TAC"/>
              <w:rPr>
                <w:lang w:eastAsia="en-US"/>
              </w:rPr>
            </w:pPr>
            <w:r>
              <w:rPr>
                <w:lang w:eastAsia="en-US"/>
              </w:rPr>
              <w:t>10700</w:t>
            </w:r>
          </w:p>
        </w:tc>
        <w:tc>
          <w:tcPr>
            <w:tcW w:w="960" w:type="dxa"/>
            <w:tcBorders>
              <w:bottom w:val="single" w:sz="4" w:space="0" w:color="000000"/>
              <w:right w:val="single" w:sz="8" w:space="0" w:color="000000"/>
            </w:tcBorders>
            <w:vAlign w:val="bottom"/>
          </w:tcPr>
          <w:p>
            <w:pPr>
              <w:pStyle w:val="TAC"/>
              <w:rPr>
                <w:lang w:eastAsia="en-US"/>
              </w:rPr>
            </w:pPr>
            <w:r>
              <w:rPr>
                <w:lang w:eastAsia="en-US"/>
              </w:rPr>
              <w:t>10838</w:t>
            </w:r>
          </w:p>
        </w:tc>
      </w:tr>
      <w:tr>
        <w:trPr>
          <w:trHeight w:val="255" w:hRule="atLeast"/>
        </w:trPr>
        <w:tc>
          <w:tcPr>
            <w:tcW w:w="1434" w:type="dxa"/>
            <w:tcBorders>
              <w:left w:val="single" w:sz="8" w:space="0" w:color="000000"/>
              <w:bottom w:val="single" w:sz="4" w:space="0" w:color="000000"/>
            </w:tcBorders>
            <w:vAlign w:val="bottom"/>
          </w:tcPr>
          <w:p>
            <w:pPr>
              <w:pStyle w:val="TAC"/>
              <w:rPr>
                <w:lang w:eastAsia="en-US"/>
              </w:rPr>
            </w:pPr>
            <w:r>
              <w:rPr>
                <w:lang w:eastAsia="en-US"/>
              </w:rPr>
              <w:t>II</w:t>
            </w:r>
          </w:p>
        </w:tc>
        <w:tc>
          <w:tcPr>
            <w:tcW w:w="935" w:type="dxa"/>
            <w:tcBorders>
              <w:left w:val="single" w:sz="8" w:space="0" w:color="000000"/>
              <w:bottom w:val="single" w:sz="4" w:space="0" w:color="000000"/>
              <w:right w:val="single" w:sz="4" w:space="0" w:color="000000"/>
            </w:tcBorders>
            <w:vAlign w:val="bottom"/>
          </w:tcPr>
          <w:p>
            <w:pPr>
              <w:pStyle w:val="TAC"/>
              <w:rPr>
                <w:lang w:eastAsia="en-US"/>
              </w:rPr>
            </w:pPr>
            <w:r>
              <w:rPr>
                <w:lang w:eastAsia="en-US"/>
              </w:rPr>
              <w:t>9262</w:t>
            </w:r>
          </w:p>
        </w:tc>
        <w:tc>
          <w:tcPr>
            <w:tcW w:w="935" w:type="dxa"/>
            <w:tcBorders>
              <w:bottom w:val="single" w:sz="4" w:space="0" w:color="000000"/>
              <w:right w:val="single" w:sz="4" w:space="0" w:color="000000"/>
            </w:tcBorders>
            <w:vAlign w:val="bottom"/>
          </w:tcPr>
          <w:p>
            <w:pPr>
              <w:pStyle w:val="TAC"/>
              <w:rPr>
                <w:lang w:eastAsia="en-US"/>
              </w:rPr>
            </w:pPr>
            <w:r>
              <w:rPr>
                <w:lang w:eastAsia="en-US"/>
              </w:rPr>
              <w:t>9400</w:t>
            </w:r>
          </w:p>
        </w:tc>
        <w:tc>
          <w:tcPr>
            <w:tcW w:w="936" w:type="dxa"/>
            <w:tcBorders>
              <w:bottom w:val="single" w:sz="4" w:space="0" w:color="000000"/>
              <w:right w:val="single" w:sz="8" w:space="0" w:color="000000"/>
            </w:tcBorders>
            <w:vAlign w:val="bottom"/>
          </w:tcPr>
          <w:p>
            <w:pPr>
              <w:pStyle w:val="TAC"/>
              <w:rPr>
                <w:lang w:eastAsia="en-US"/>
              </w:rPr>
            </w:pPr>
            <w:r>
              <w:rPr>
                <w:lang w:eastAsia="en-US"/>
              </w:rPr>
              <w:t>9538</w:t>
            </w:r>
          </w:p>
        </w:tc>
        <w:tc>
          <w:tcPr>
            <w:tcW w:w="960" w:type="dxa"/>
            <w:tcBorders>
              <w:bottom w:val="single" w:sz="4" w:space="0" w:color="000000"/>
              <w:right w:val="single" w:sz="4" w:space="0" w:color="000000"/>
            </w:tcBorders>
            <w:vAlign w:val="bottom"/>
          </w:tcPr>
          <w:p>
            <w:pPr>
              <w:pStyle w:val="TAC"/>
              <w:rPr>
                <w:lang w:eastAsia="en-US"/>
              </w:rPr>
            </w:pPr>
            <w:r>
              <w:rPr>
                <w:lang w:eastAsia="en-US"/>
              </w:rPr>
              <w:t>9662</w:t>
            </w:r>
          </w:p>
        </w:tc>
        <w:tc>
          <w:tcPr>
            <w:tcW w:w="960" w:type="dxa"/>
            <w:tcBorders>
              <w:bottom w:val="single" w:sz="4" w:space="0" w:color="000000"/>
              <w:right w:val="single" w:sz="4" w:space="0" w:color="000000"/>
            </w:tcBorders>
            <w:vAlign w:val="bottom"/>
          </w:tcPr>
          <w:p>
            <w:pPr>
              <w:pStyle w:val="TAC"/>
              <w:rPr>
                <w:lang w:eastAsia="en-US"/>
              </w:rPr>
            </w:pPr>
            <w:r>
              <w:rPr>
                <w:lang w:eastAsia="en-US"/>
              </w:rPr>
              <w:t>9800</w:t>
            </w:r>
          </w:p>
        </w:tc>
        <w:tc>
          <w:tcPr>
            <w:tcW w:w="960" w:type="dxa"/>
            <w:tcBorders>
              <w:bottom w:val="single" w:sz="4" w:space="0" w:color="000000"/>
              <w:right w:val="single" w:sz="8" w:space="0" w:color="000000"/>
            </w:tcBorders>
            <w:vAlign w:val="bottom"/>
          </w:tcPr>
          <w:p>
            <w:pPr>
              <w:pStyle w:val="TAC"/>
              <w:rPr>
                <w:lang w:eastAsia="en-US"/>
              </w:rPr>
            </w:pPr>
            <w:r>
              <w:rPr>
                <w:lang w:eastAsia="en-US"/>
              </w:rPr>
              <w:t>9938</w:t>
            </w:r>
          </w:p>
        </w:tc>
      </w:tr>
      <w:tr>
        <w:trPr>
          <w:trHeight w:val="255" w:hRule="atLeast"/>
        </w:trPr>
        <w:tc>
          <w:tcPr>
            <w:tcW w:w="1434" w:type="dxa"/>
            <w:tcBorders>
              <w:left w:val="single" w:sz="8" w:space="0" w:color="000000"/>
              <w:bottom w:val="single" w:sz="4" w:space="0" w:color="000000"/>
            </w:tcBorders>
            <w:vAlign w:val="bottom"/>
          </w:tcPr>
          <w:p>
            <w:pPr>
              <w:pStyle w:val="TAC"/>
              <w:rPr>
                <w:lang w:eastAsia="en-US"/>
              </w:rPr>
            </w:pPr>
            <w:r>
              <w:rPr>
                <w:lang w:eastAsia="en-US"/>
              </w:rPr>
              <w:t>III</w:t>
            </w:r>
          </w:p>
        </w:tc>
        <w:tc>
          <w:tcPr>
            <w:tcW w:w="935" w:type="dxa"/>
            <w:tcBorders>
              <w:left w:val="single" w:sz="8" w:space="0" w:color="000000"/>
              <w:bottom w:val="single" w:sz="4" w:space="0" w:color="000000"/>
              <w:right w:val="single" w:sz="4" w:space="0" w:color="000000"/>
            </w:tcBorders>
            <w:vAlign w:val="bottom"/>
          </w:tcPr>
          <w:p>
            <w:pPr>
              <w:pStyle w:val="TAC"/>
              <w:rPr>
                <w:lang w:eastAsia="en-US"/>
              </w:rPr>
            </w:pPr>
            <w:r>
              <w:rPr>
                <w:lang w:eastAsia="en-US"/>
              </w:rPr>
              <w:t>937</w:t>
            </w:r>
          </w:p>
        </w:tc>
        <w:tc>
          <w:tcPr>
            <w:tcW w:w="935" w:type="dxa"/>
            <w:tcBorders>
              <w:bottom w:val="single" w:sz="4" w:space="0" w:color="000000"/>
              <w:right w:val="single" w:sz="4" w:space="0" w:color="000000"/>
            </w:tcBorders>
            <w:vAlign w:val="bottom"/>
          </w:tcPr>
          <w:p>
            <w:pPr>
              <w:pStyle w:val="TAC"/>
              <w:rPr>
                <w:lang w:eastAsia="en-US"/>
              </w:rPr>
            </w:pPr>
            <w:r>
              <w:rPr>
                <w:lang w:eastAsia="en-US"/>
              </w:rPr>
              <w:t>1113</w:t>
            </w:r>
          </w:p>
        </w:tc>
        <w:tc>
          <w:tcPr>
            <w:tcW w:w="936" w:type="dxa"/>
            <w:tcBorders>
              <w:bottom w:val="single" w:sz="4" w:space="0" w:color="000000"/>
              <w:right w:val="single" w:sz="8" w:space="0" w:color="000000"/>
            </w:tcBorders>
            <w:vAlign w:val="bottom"/>
          </w:tcPr>
          <w:p>
            <w:pPr>
              <w:pStyle w:val="TAC"/>
              <w:rPr>
                <w:lang w:eastAsia="en-US"/>
              </w:rPr>
            </w:pPr>
            <w:r>
              <w:rPr>
                <w:lang w:eastAsia="en-US"/>
              </w:rPr>
              <w:t>1288</w:t>
            </w:r>
          </w:p>
        </w:tc>
        <w:tc>
          <w:tcPr>
            <w:tcW w:w="960" w:type="dxa"/>
            <w:tcBorders>
              <w:bottom w:val="single" w:sz="4" w:space="0" w:color="000000"/>
              <w:right w:val="single" w:sz="4" w:space="0" w:color="000000"/>
            </w:tcBorders>
            <w:vAlign w:val="bottom"/>
          </w:tcPr>
          <w:p>
            <w:pPr>
              <w:pStyle w:val="TAC"/>
              <w:rPr>
                <w:lang w:eastAsia="en-US"/>
              </w:rPr>
            </w:pPr>
            <w:r>
              <w:rPr>
                <w:lang w:eastAsia="en-US"/>
              </w:rPr>
              <w:t>1162</w:t>
            </w:r>
          </w:p>
        </w:tc>
        <w:tc>
          <w:tcPr>
            <w:tcW w:w="960" w:type="dxa"/>
            <w:tcBorders>
              <w:bottom w:val="single" w:sz="4" w:space="0" w:color="000000"/>
              <w:right w:val="single" w:sz="4" w:space="0" w:color="000000"/>
            </w:tcBorders>
            <w:vAlign w:val="bottom"/>
          </w:tcPr>
          <w:p>
            <w:pPr>
              <w:pStyle w:val="TAC"/>
              <w:rPr>
                <w:lang w:eastAsia="en-US"/>
              </w:rPr>
            </w:pPr>
            <w:r>
              <w:rPr>
                <w:lang w:eastAsia="en-US"/>
              </w:rPr>
              <w:t>1338</w:t>
            </w:r>
          </w:p>
        </w:tc>
        <w:tc>
          <w:tcPr>
            <w:tcW w:w="960" w:type="dxa"/>
            <w:tcBorders>
              <w:bottom w:val="single" w:sz="4" w:space="0" w:color="000000"/>
              <w:right w:val="single" w:sz="8" w:space="0" w:color="000000"/>
            </w:tcBorders>
            <w:vAlign w:val="bottom"/>
          </w:tcPr>
          <w:p>
            <w:pPr>
              <w:pStyle w:val="TAC"/>
              <w:rPr>
                <w:lang w:eastAsia="en-US"/>
              </w:rPr>
            </w:pPr>
            <w:r>
              <w:rPr>
                <w:lang w:eastAsia="en-US"/>
              </w:rPr>
              <w:t>1513</w:t>
            </w:r>
          </w:p>
        </w:tc>
      </w:tr>
      <w:tr>
        <w:trPr>
          <w:trHeight w:val="255" w:hRule="atLeast"/>
        </w:trPr>
        <w:tc>
          <w:tcPr>
            <w:tcW w:w="1434" w:type="dxa"/>
            <w:tcBorders>
              <w:left w:val="single" w:sz="8" w:space="0" w:color="000000"/>
              <w:bottom w:val="single" w:sz="4" w:space="0" w:color="000000"/>
            </w:tcBorders>
            <w:vAlign w:val="bottom"/>
          </w:tcPr>
          <w:p>
            <w:pPr>
              <w:pStyle w:val="TAC"/>
              <w:rPr>
                <w:lang w:eastAsia="en-US"/>
              </w:rPr>
            </w:pPr>
            <w:r>
              <w:rPr>
                <w:lang w:eastAsia="en-US"/>
              </w:rPr>
              <w:t>IV</w:t>
            </w:r>
          </w:p>
        </w:tc>
        <w:tc>
          <w:tcPr>
            <w:tcW w:w="935" w:type="dxa"/>
            <w:tcBorders>
              <w:left w:val="single" w:sz="8" w:space="0" w:color="000000"/>
              <w:bottom w:val="single" w:sz="4" w:space="0" w:color="000000"/>
              <w:right w:val="single" w:sz="4" w:space="0" w:color="000000"/>
            </w:tcBorders>
            <w:vAlign w:val="bottom"/>
          </w:tcPr>
          <w:p>
            <w:pPr>
              <w:pStyle w:val="TAC"/>
              <w:rPr>
                <w:lang w:eastAsia="en-US"/>
              </w:rPr>
            </w:pPr>
            <w:r>
              <w:rPr>
                <w:lang w:eastAsia="en-US"/>
              </w:rPr>
              <w:t>1312</w:t>
            </w:r>
          </w:p>
        </w:tc>
        <w:tc>
          <w:tcPr>
            <w:tcW w:w="935" w:type="dxa"/>
            <w:tcBorders>
              <w:bottom w:val="single" w:sz="4" w:space="0" w:color="000000"/>
              <w:right w:val="single" w:sz="4" w:space="0" w:color="000000"/>
            </w:tcBorders>
            <w:vAlign w:val="bottom"/>
          </w:tcPr>
          <w:p>
            <w:pPr>
              <w:pStyle w:val="TAC"/>
              <w:rPr>
                <w:lang w:eastAsia="en-US"/>
              </w:rPr>
            </w:pPr>
            <w:r>
              <w:rPr>
                <w:lang w:eastAsia="en-US"/>
              </w:rPr>
              <w:t>1413</w:t>
            </w:r>
          </w:p>
        </w:tc>
        <w:tc>
          <w:tcPr>
            <w:tcW w:w="936" w:type="dxa"/>
            <w:tcBorders>
              <w:bottom w:val="single" w:sz="4" w:space="0" w:color="000000"/>
              <w:right w:val="single" w:sz="8" w:space="0" w:color="000000"/>
            </w:tcBorders>
            <w:vAlign w:val="bottom"/>
          </w:tcPr>
          <w:p>
            <w:pPr>
              <w:pStyle w:val="TAC"/>
              <w:rPr>
                <w:lang w:eastAsia="en-US"/>
              </w:rPr>
            </w:pPr>
            <w:r>
              <w:rPr>
                <w:lang w:eastAsia="en-US"/>
              </w:rPr>
              <w:t>1513</w:t>
            </w:r>
          </w:p>
        </w:tc>
        <w:tc>
          <w:tcPr>
            <w:tcW w:w="960" w:type="dxa"/>
            <w:tcBorders>
              <w:bottom w:val="single" w:sz="4" w:space="0" w:color="000000"/>
              <w:right w:val="single" w:sz="4" w:space="0" w:color="000000"/>
            </w:tcBorders>
            <w:vAlign w:val="bottom"/>
          </w:tcPr>
          <w:p>
            <w:pPr>
              <w:pStyle w:val="TAC"/>
              <w:rPr>
                <w:lang w:eastAsia="en-US"/>
              </w:rPr>
            </w:pPr>
            <w:r>
              <w:rPr>
                <w:lang w:eastAsia="en-US"/>
              </w:rPr>
              <w:t>1537</w:t>
            </w:r>
          </w:p>
        </w:tc>
        <w:tc>
          <w:tcPr>
            <w:tcW w:w="960" w:type="dxa"/>
            <w:tcBorders>
              <w:bottom w:val="single" w:sz="4" w:space="0" w:color="000000"/>
              <w:right w:val="single" w:sz="4" w:space="0" w:color="000000"/>
            </w:tcBorders>
            <w:vAlign w:val="bottom"/>
          </w:tcPr>
          <w:p>
            <w:pPr>
              <w:pStyle w:val="TAC"/>
              <w:rPr>
                <w:lang w:eastAsia="en-US"/>
              </w:rPr>
            </w:pPr>
            <w:r>
              <w:rPr>
                <w:lang w:eastAsia="en-US"/>
              </w:rPr>
              <w:t>1638</w:t>
            </w:r>
          </w:p>
        </w:tc>
        <w:tc>
          <w:tcPr>
            <w:tcW w:w="960" w:type="dxa"/>
            <w:tcBorders>
              <w:bottom w:val="single" w:sz="4" w:space="0" w:color="000000"/>
              <w:right w:val="single" w:sz="8" w:space="0" w:color="000000"/>
            </w:tcBorders>
            <w:vAlign w:val="bottom"/>
          </w:tcPr>
          <w:p>
            <w:pPr>
              <w:pStyle w:val="TAC"/>
              <w:rPr>
                <w:lang w:eastAsia="en-US"/>
              </w:rPr>
            </w:pPr>
            <w:r>
              <w:rPr>
                <w:lang w:eastAsia="en-US"/>
              </w:rPr>
              <w:t>1738</w:t>
            </w:r>
          </w:p>
        </w:tc>
      </w:tr>
      <w:tr>
        <w:trPr>
          <w:trHeight w:val="255" w:hRule="atLeast"/>
        </w:trPr>
        <w:tc>
          <w:tcPr>
            <w:tcW w:w="1434" w:type="dxa"/>
            <w:tcBorders>
              <w:left w:val="single" w:sz="8" w:space="0" w:color="000000"/>
              <w:bottom w:val="single" w:sz="4" w:space="0" w:color="000000"/>
            </w:tcBorders>
            <w:vAlign w:val="bottom"/>
          </w:tcPr>
          <w:p>
            <w:pPr>
              <w:pStyle w:val="TAC"/>
              <w:rPr>
                <w:lang w:eastAsia="en-US"/>
              </w:rPr>
            </w:pPr>
            <w:r>
              <w:rPr>
                <w:lang w:eastAsia="en-US"/>
              </w:rPr>
              <w:t>V</w:t>
            </w:r>
          </w:p>
        </w:tc>
        <w:tc>
          <w:tcPr>
            <w:tcW w:w="935" w:type="dxa"/>
            <w:tcBorders>
              <w:left w:val="single" w:sz="8" w:space="0" w:color="000000"/>
              <w:bottom w:val="single" w:sz="4" w:space="0" w:color="000000"/>
              <w:right w:val="single" w:sz="4" w:space="0" w:color="000000"/>
            </w:tcBorders>
            <w:vAlign w:val="bottom"/>
          </w:tcPr>
          <w:p>
            <w:pPr>
              <w:pStyle w:val="TAC"/>
              <w:rPr>
                <w:lang w:eastAsia="en-US"/>
              </w:rPr>
            </w:pPr>
            <w:r>
              <w:rPr>
                <w:lang w:eastAsia="en-US"/>
              </w:rPr>
              <w:t>4132</w:t>
            </w:r>
          </w:p>
        </w:tc>
        <w:tc>
          <w:tcPr>
            <w:tcW w:w="935" w:type="dxa"/>
            <w:tcBorders>
              <w:bottom w:val="single" w:sz="4" w:space="0" w:color="000000"/>
              <w:right w:val="single" w:sz="4" w:space="0" w:color="000000"/>
            </w:tcBorders>
            <w:vAlign w:val="bottom"/>
          </w:tcPr>
          <w:p>
            <w:pPr>
              <w:pStyle w:val="TAC"/>
              <w:rPr>
                <w:lang w:eastAsia="en-US"/>
              </w:rPr>
            </w:pPr>
            <w:r>
              <w:rPr>
                <w:lang w:eastAsia="en-US"/>
              </w:rPr>
              <w:t>4183</w:t>
            </w:r>
          </w:p>
        </w:tc>
        <w:tc>
          <w:tcPr>
            <w:tcW w:w="936" w:type="dxa"/>
            <w:tcBorders>
              <w:bottom w:val="single" w:sz="4" w:space="0" w:color="000000"/>
              <w:right w:val="single" w:sz="8" w:space="0" w:color="000000"/>
            </w:tcBorders>
            <w:vAlign w:val="bottom"/>
          </w:tcPr>
          <w:p>
            <w:pPr>
              <w:pStyle w:val="TAC"/>
              <w:rPr>
                <w:lang w:eastAsia="en-US"/>
              </w:rPr>
            </w:pPr>
            <w:r>
              <w:rPr>
                <w:lang w:eastAsia="en-US"/>
              </w:rPr>
              <w:t>4233</w:t>
            </w:r>
          </w:p>
        </w:tc>
        <w:tc>
          <w:tcPr>
            <w:tcW w:w="960" w:type="dxa"/>
            <w:tcBorders>
              <w:bottom w:val="single" w:sz="4" w:space="0" w:color="000000"/>
              <w:right w:val="single" w:sz="4" w:space="0" w:color="000000"/>
            </w:tcBorders>
            <w:vAlign w:val="bottom"/>
          </w:tcPr>
          <w:p>
            <w:pPr>
              <w:pStyle w:val="TAC"/>
              <w:rPr>
                <w:lang w:eastAsia="en-US"/>
              </w:rPr>
            </w:pPr>
            <w:r>
              <w:rPr>
                <w:lang w:eastAsia="en-US"/>
              </w:rPr>
              <w:t>4357</w:t>
            </w:r>
          </w:p>
        </w:tc>
        <w:tc>
          <w:tcPr>
            <w:tcW w:w="960" w:type="dxa"/>
            <w:tcBorders>
              <w:bottom w:val="single" w:sz="4" w:space="0" w:color="000000"/>
              <w:right w:val="single" w:sz="4" w:space="0" w:color="000000"/>
            </w:tcBorders>
            <w:vAlign w:val="bottom"/>
          </w:tcPr>
          <w:p>
            <w:pPr>
              <w:pStyle w:val="TAC"/>
              <w:rPr>
                <w:lang w:eastAsia="en-US"/>
              </w:rPr>
            </w:pPr>
            <w:r>
              <w:rPr>
                <w:lang w:eastAsia="en-US"/>
              </w:rPr>
              <w:t>4408</w:t>
            </w:r>
          </w:p>
        </w:tc>
        <w:tc>
          <w:tcPr>
            <w:tcW w:w="960" w:type="dxa"/>
            <w:tcBorders>
              <w:bottom w:val="single" w:sz="4" w:space="0" w:color="000000"/>
              <w:right w:val="single" w:sz="8" w:space="0" w:color="000000"/>
            </w:tcBorders>
            <w:vAlign w:val="bottom"/>
          </w:tcPr>
          <w:p>
            <w:pPr>
              <w:pStyle w:val="TAC"/>
              <w:rPr>
                <w:lang w:eastAsia="en-US"/>
              </w:rPr>
            </w:pPr>
            <w:r>
              <w:rPr>
                <w:lang w:eastAsia="en-US"/>
              </w:rPr>
              <w:t>4458</w:t>
            </w:r>
          </w:p>
        </w:tc>
      </w:tr>
      <w:tr>
        <w:trPr>
          <w:trHeight w:val="255" w:hRule="atLeast"/>
        </w:trPr>
        <w:tc>
          <w:tcPr>
            <w:tcW w:w="1434" w:type="dxa"/>
            <w:tcBorders>
              <w:left w:val="single" w:sz="8" w:space="0" w:color="000000"/>
              <w:bottom w:val="single" w:sz="4" w:space="0" w:color="000000"/>
            </w:tcBorders>
            <w:vAlign w:val="bottom"/>
          </w:tcPr>
          <w:p>
            <w:pPr>
              <w:pStyle w:val="TAC"/>
              <w:rPr>
                <w:lang w:eastAsia="en-US"/>
              </w:rPr>
            </w:pPr>
            <w:r>
              <w:rPr>
                <w:lang w:eastAsia="en-US"/>
              </w:rPr>
              <w:t>VI</w:t>
            </w:r>
          </w:p>
        </w:tc>
        <w:tc>
          <w:tcPr>
            <w:tcW w:w="935" w:type="dxa"/>
            <w:tcBorders>
              <w:left w:val="single" w:sz="8" w:space="0" w:color="000000"/>
              <w:bottom w:val="single" w:sz="4" w:space="0" w:color="000000"/>
              <w:right w:val="single" w:sz="4" w:space="0" w:color="000000"/>
            </w:tcBorders>
            <w:vAlign w:val="bottom"/>
          </w:tcPr>
          <w:p>
            <w:pPr>
              <w:pStyle w:val="TAC"/>
              <w:rPr>
                <w:lang w:eastAsia="en-US"/>
              </w:rPr>
            </w:pPr>
            <w:r>
              <w:rPr>
                <w:lang w:eastAsia="en-US"/>
              </w:rPr>
              <w:t>4162</w:t>
            </w:r>
          </w:p>
        </w:tc>
        <w:tc>
          <w:tcPr>
            <w:tcW w:w="935" w:type="dxa"/>
            <w:tcBorders>
              <w:bottom w:val="single" w:sz="4" w:space="0" w:color="000000"/>
              <w:right w:val="single" w:sz="4" w:space="0" w:color="000000"/>
            </w:tcBorders>
            <w:vAlign w:val="bottom"/>
          </w:tcPr>
          <w:p>
            <w:pPr>
              <w:pStyle w:val="TAC"/>
              <w:rPr>
                <w:lang w:eastAsia="en-US"/>
              </w:rPr>
            </w:pPr>
            <w:r>
              <w:rPr>
                <w:lang w:eastAsia="en-US"/>
              </w:rPr>
              <w:t>4175</w:t>
            </w:r>
          </w:p>
        </w:tc>
        <w:tc>
          <w:tcPr>
            <w:tcW w:w="936" w:type="dxa"/>
            <w:tcBorders>
              <w:bottom w:val="single" w:sz="4" w:space="0" w:color="000000"/>
              <w:right w:val="single" w:sz="8" w:space="0" w:color="000000"/>
            </w:tcBorders>
            <w:vAlign w:val="bottom"/>
          </w:tcPr>
          <w:p>
            <w:pPr>
              <w:pStyle w:val="TAC"/>
              <w:rPr>
                <w:lang w:eastAsia="en-US"/>
              </w:rPr>
            </w:pPr>
            <w:r>
              <w:rPr>
                <w:lang w:eastAsia="en-US"/>
              </w:rPr>
              <w:t>4188</w:t>
            </w:r>
          </w:p>
        </w:tc>
        <w:tc>
          <w:tcPr>
            <w:tcW w:w="960" w:type="dxa"/>
            <w:tcBorders>
              <w:bottom w:val="single" w:sz="4" w:space="0" w:color="000000"/>
              <w:right w:val="single" w:sz="4" w:space="0" w:color="000000"/>
            </w:tcBorders>
            <w:vAlign w:val="bottom"/>
          </w:tcPr>
          <w:p>
            <w:pPr>
              <w:pStyle w:val="TAC"/>
              <w:rPr>
                <w:lang w:eastAsia="en-US"/>
              </w:rPr>
            </w:pPr>
            <w:r>
              <w:rPr>
                <w:lang w:eastAsia="en-US"/>
              </w:rPr>
              <w:t>4387</w:t>
            </w:r>
          </w:p>
        </w:tc>
        <w:tc>
          <w:tcPr>
            <w:tcW w:w="960" w:type="dxa"/>
            <w:tcBorders>
              <w:bottom w:val="single" w:sz="4" w:space="0" w:color="000000"/>
              <w:right w:val="single" w:sz="4" w:space="0" w:color="000000"/>
            </w:tcBorders>
            <w:vAlign w:val="bottom"/>
          </w:tcPr>
          <w:p>
            <w:pPr>
              <w:pStyle w:val="TAC"/>
              <w:rPr>
                <w:lang w:eastAsia="en-US"/>
              </w:rPr>
            </w:pPr>
            <w:r>
              <w:rPr>
                <w:lang w:eastAsia="en-US"/>
              </w:rPr>
              <w:t>4400</w:t>
            </w:r>
          </w:p>
        </w:tc>
        <w:tc>
          <w:tcPr>
            <w:tcW w:w="960" w:type="dxa"/>
            <w:tcBorders>
              <w:bottom w:val="single" w:sz="4" w:space="0" w:color="000000"/>
              <w:right w:val="single" w:sz="8" w:space="0" w:color="000000"/>
            </w:tcBorders>
            <w:vAlign w:val="bottom"/>
          </w:tcPr>
          <w:p>
            <w:pPr>
              <w:pStyle w:val="TAC"/>
              <w:rPr>
                <w:lang w:eastAsia="en-US"/>
              </w:rPr>
            </w:pPr>
            <w:r>
              <w:rPr>
                <w:lang w:eastAsia="en-US"/>
              </w:rPr>
              <w:t>4413</w:t>
            </w:r>
          </w:p>
        </w:tc>
      </w:tr>
      <w:tr>
        <w:trPr>
          <w:trHeight w:val="255" w:hRule="atLeast"/>
        </w:trPr>
        <w:tc>
          <w:tcPr>
            <w:tcW w:w="1434" w:type="dxa"/>
            <w:tcBorders>
              <w:left w:val="single" w:sz="8" w:space="0" w:color="000000"/>
              <w:bottom w:val="single" w:sz="4" w:space="0" w:color="000000"/>
            </w:tcBorders>
            <w:vAlign w:val="bottom"/>
          </w:tcPr>
          <w:p>
            <w:pPr>
              <w:pStyle w:val="TAC"/>
              <w:rPr>
                <w:lang w:eastAsia="en-US"/>
              </w:rPr>
            </w:pPr>
            <w:r>
              <w:rPr>
                <w:lang w:eastAsia="en-US"/>
              </w:rPr>
              <w:t>VII</w:t>
            </w:r>
          </w:p>
        </w:tc>
        <w:tc>
          <w:tcPr>
            <w:tcW w:w="935" w:type="dxa"/>
            <w:tcBorders>
              <w:left w:val="single" w:sz="8" w:space="0" w:color="000000"/>
              <w:bottom w:val="single" w:sz="4" w:space="0" w:color="000000"/>
              <w:right w:val="single" w:sz="4" w:space="0" w:color="000000"/>
            </w:tcBorders>
            <w:vAlign w:val="bottom"/>
          </w:tcPr>
          <w:p>
            <w:pPr>
              <w:pStyle w:val="TAC"/>
              <w:rPr>
                <w:lang w:eastAsia="en-US"/>
              </w:rPr>
            </w:pPr>
            <w:r>
              <w:rPr>
                <w:lang w:eastAsia="en-US"/>
              </w:rPr>
              <w:t>2012</w:t>
            </w:r>
          </w:p>
        </w:tc>
        <w:tc>
          <w:tcPr>
            <w:tcW w:w="935" w:type="dxa"/>
            <w:tcBorders>
              <w:bottom w:val="single" w:sz="4" w:space="0" w:color="000000"/>
              <w:right w:val="single" w:sz="4" w:space="0" w:color="000000"/>
            </w:tcBorders>
            <w:vAlign w:val="bottom"/>
          </w:tcPr>
          <w:p>
            <w:pPr>
              <w:pStyle w:val="TAC"/>
              <w:rPr>
                <w:lang w:eastAsia="en-US"/>
              </w:rPr>
            </w:pPr>
            <w:r>
              <w:rPr>
                <w:lang w:eastAsia="en-US"/>
              </w:rPr>
              <w:t>2175</w:t>
            </w:r>
          </w:p>
        </w:tc>
        <w:tc>
          <w:tcPr>
            <w:tcW w:w="936" w:type="dxa"/>
            <w:tcBorders>
              <w:bottom w:val="single" w:sz="4" w:space="0" w:color="000000"/>
              <w:right w:val="single" w:sz="8" w:space="0" w:color="000000"/>
            </w:tcBorders>
            <w:vAlign w:val="bottom"/>
          </w:tcPr>
          <w:p>
            <w:pPr>
              <w:pStyle w:val="TAC"/>
              <w:rPr>
                <w:lang w:eastAsia="en-US"/>
              </w:rPr>
            </w:pPr>
            <w:r>
              <w:rPr>
                <w:lang w:eastAsia="en-US"/>
              </w:rPr>
              <w:t>2338</w:t>
            </w:r>
          </w:p>
        </w:tc>
        <w:tc>
          <w:tcPr>
            <w:tcW w:w="960" w:type="dxa"/>
            <w:tcBorders>
              <w:bottom w:val="single" w:sz="4" w:space="0" w:color="000000"/>
              <w:right w:val="single" w:sz="4" w:space="0" w:color="000000"/>
            </w:tcBorders>
            <w:vAlign w:val="bottom"/>
          </w:tcPr>
          <w:p>
            <w:pPr>
              <w:pStyle w:val="TAC"/>
              <w:rPr>
                <w:lang w:eastAsia="en-US"/>
              </w:rPr>
            </w:pPr>
            <w:r>
              <w:rPr>
                <w:lang w:eastAsia="en-US"/>
              </w:rPr>
              <w:t>2237</w:t>
            </w:r>
          </w:p>
        </w:tc>
        <w:tc>
          <w:tcPr>
            <w:tcW w:w="960" w:type="dxa"/>
            <w:tcBorders>
              <w:bottom w:val="single" w:sz="4" w:space="0" w:color="000000"/>
              <w:right w:val="single" w:sz="4" w:space="0" w:color="000000"/>
            </w:tcBorders>
            <w:vAlign w:val="bottom"/>
          </w:tcPr>
          <w:p>
            <w:pPr>
              <w:pStyle w:val="TAC"/>
              <w:rPr>
                <w:lang w:eastAsia="en-US"/>
              </w:rPr>
            </w:pPr>
            <w:r>
              <w:rPr>
                <w:lang w:eastAsia="en-US"/>
              </w:rPr>
              <w:t>2400</w:t>
            </w:r>
          </w:p>
        </w:tc>
        <w:tc>
          <w:tcPr>
            <w:tcW w:w="960" w:type="dxa"/>
            <w:tcBorders>
              <w:bottom w:val="single" w:sz="4" w:space="0" w:color="000000"/>
              <w:right w:val="single" w:sz="8" w:space="0" w:color="000000"/>
            </w:tcBorders>
            <w:vAlign w:val="bottom"/>
          </w:tcPr>
          <w:p>
            <w:pPr>
              <w:pStyle w:val="TAC"/>
              <w:rPr>
                <w:lang w:eastAsia="en-US"/>
              </w:rPr>
            </w:pPr>
            <w:r>
              <w:rPr>
                <w:lang w:eastAsia="en-US"/>
              </w:rPr>
              <w:t>2563</w:t>
            </w:r>
          </w:p>
        </w:tc>
      </w:tr>
      <w:tr>
        <w:trPr>
          <w:trHeight w:val="255" w:hRule="atLeast"/>
        </w:trPr>
        <w:tc>
          <w:tcPr>
            <w:tcW w:w="1434" w:type="dxa"/>
            <w:tcBorders>
              <w:left w:val="single" w:sz="8" w:space="0" w:color="000000"/>
              <w:bottom w:val="single" w:sz="4" w:space="0" w:color="000000"/>
            </w:tcBorders>
            <w:vAlign w:val="bottom"/>
          </w:tcPr>
          <w:p>
            <w:pPr>
              <w:pStyle w:val="TAC"/>
              <w:rPr>
                <w:lang w:eastAsia="en-US"/>
              </w:rPr>
            </w:pPr>
            <w:r>
              <w:rPr>
                <w:lang w:eastAsia="en-US"/>
              </w:rPr>
              <w:t>VIII</w:t>
            </w:r>
          </w:p>
        </w:tc>
        <w:tc>
          <w:tcPr>
            <w:tcW w:w="935" w:type="dxa"/>
            <w:tcBorders>
              <w:left w:val="single" w:sz="8" w:space="0" w:color="000000"/>
              <w:bottom w:val="single" w:sz="4" w:space="0" w:color="000000"/>
              <w:right w:val="single" w:sz="4" w:space="0" w:color="000000"/>
            </w:tcBorders>
            <w:vAlign w:val="bottom"/>
          </w:tcPr>
          <w:p>
            <w:pPr>
              <w:pStyle w:val="TAC"/>
              <w:rPr>
                <w:lang w:eastAsia="en-US"/>
              </w:rPr>
            </w:pPr>
            <w:r>
              <w:rPr>
                <w:lang w:eastAsia="en-US"/>
              </w:rPr>
              <w:t>2712</w:t>
            </w:r>
          </w:p>
        </w:tc>
        <w:tc>
          <w:tcPr>
            <w:tcW w:w="935" w:type="dxa"/>
            <w:tcBorders>
              <w:bottom w:val="single" w:sz="4" w:space="0" w:color="000000"/>
              <w:right w:val="single" w:sz="4" w:space="0" w:color="000000"/>
            </w:tcBorders>
            <w:vAlign w:val="bottom"/>
          </w:tcPr>
          <w:p>
            <w:pPr>
              <w:pStyle w:val="TAC"/>
              <w:rPr>
                <w:lang w:eastAsia="en-US"/>
              </w:rPr>
            </w:pPr>
            <w:r>
              <w:rPr>
                <w:lang w:eastAsia="en-US"/>
              </w:rPr>
              <w:t>2788</w:t>
            </w:r>
          </w:p>
        </w:tc>
        <w:tc>
          <w:tcPr>
            <w:tcW w:w="936" w:type="dxa"/>
            <w:tcBorders>
              <w:bottom w:val="single" w:sz="4" w:space="0" w:color="000000"/>
              <w:right w:val="single" w:sz="8" w:space="0" w:color="000000"/>
            </w:tcBorders>
            <w:vAlign w:val="bottom"/>
          </w:tcPr>
          <w:p>
            <w:pPr>
              <w:pStyle w:val="TAC"/>
              <w:rPr>
                <w:lang w:eastAsia="en-US"/>
              </w:rPr>
            </w:pPr>
            <w:r>
              <w:rPr>
                <w:lang w:eastAsia="en-US"/>
              </w:rPr>
              <w:t>2863</w:t>
            </w:r>
          </w:p>
        </w:tc>
        <w:tc>
          <w:tcPr>
            <w:tcW w:w="960" w:type="dxa"/>
            <w:tcBorders>
              <w:bottom w:val="single" w:sz="4" w:space="0" w:color="000000"/>
              <w:right w:val="single" w:sz="4" w:space="0" w:color="000000"/>
            </w:tcBorders>
            <w:vAlign w:val="bottom"/>
          </w:tcPr>
          <w:p>
            <w:pPr>
              <w:pStyle w:val="TAC"/>
              <w:rPr>
                <w:lang w:eastAsia="en-US"/>
              </w:rPr>
            </w:pPr>
            <w:r>
              <w:rPr>
                <w:lang w:eastAsia="en-US"/>
              </w:rPr>
              <w:t>2937</w:t>
            </w:r>
          </w:p>
        </w:tc>
        <w:tc>
          <w:tcPr>
            <w:tcW w:w="960" w:type="dxa"/>
            <w:tcBorders>
              <w:bottom w:val="single" w:sz="4" w:space="0" w:color="000000"/>
              <w:right w:val="single" w:sz="4" w:space="0" w:color="000000"/>
            </w:tcBorders>
            <w:vAlign w:val="bottom"/>
          </w:tcPr>
          <w:p>
            <w:pPr>
              <w:pStyle w:val="TAC"/>
              <w:rPr>
                <w:lang w:eastAsia="en-US"/>
              </w:rPr>
            </w:pPr>
            <w:r>
              <w:rPr>
                <w:lang w:eastAsia="en-US"/>
              </w:rPr>
              <w:t>3013</w:t>
            </w:r>
          </w:p>
        </w:tc>
        <w:tc>
          <w:tcPr>
            <w:tcW w:w="960" w:type="dxa"/>
            <w:tcBorders>
              <w:bottom w:val="single" w:sz="4" w:space="0" w:color="000000"/>
              <w:right w:val="single" w:sz="8" w:space="0" w:color="000000"/>
            </w:tcBorders>
            <w:vAlign w:val="bottom"/>
          </w:tcPr>
          <w:p>
            <w:pPr>
              <w:pStyle w:val="TAC"/>
              <w:rPr>
                <w:lang w:eastAsia="en-US"/>
              </w:rPr>
            </w:pPr>
            <w:r>
              <w:rPr>
                <w:lang w:eastAsia="en-US"/>
              </w:rPr>
              <w:t>3088</w:t>
            </w:r>
          </w:p>
        </w:tc>
      </w:tr>
      <w:tr>
        <w:trPr>
          <w:trHeight w:val="255" w:hRule="atLeast"/>
        </w:trPr>
        <w:tc>
          <w:tcPr>
            <w:tcW w:w="1434" w:type="dxa"/>
            <w:tcBorders>
              <w:left w:val="single" w:sz="8" w:space="0" w:color="000000"/>
              <w:bottom w:val="single" w:sz="4" w:space="0" w:color="000000"/>
            </w:tcBorders>
          </w:tcPr>
          <w:p>
            <w:pPr>
              <w:pStyle w:val="TAC"/>
              <w:rPr>
                <w:lang w:eastAsia="en-US"/>
              </w:rPr>
            </w:pPr>
            <w:r>
              <w:rPr>
                <w:lang w:eastAsia="en-US"/>
              </w:rPr>
              <w:t>IX</w:t>
            </w:r>
          </w:p>
        </w:tc>
        <w:tc>
          <w:tcPr>
            <w:tcW w:w="935" w:type="dxa"/>
            <w:tcBorders>
              <w:left w:val="single" w:sz="8" w:space="0" w:color="000000"/>
              <w:bottom w:val="single" w:sz="4" w:space="0" w:color="000000"/>
              <w:right w:val="single" w:sz="4" w:space="0" w:color="000000"/>
            </w:tcBorders>
            <w:vAlign w:val="bottom"/>
          </w:tcPr>
          <w:p>
            <w:pPr>
              <w:pStyle w:val="TAC"/>
              <w:rPr>
                <w:lang w:eastAsia="en-US"/>
              </w:rPr>
            </w:pPr>
            <w:r>
              <w:rPr>
                <w:lang w:eastAsia="en-US"/>
              </w:rPr>
              <w:t>8762</w:t>
            </w:r>
          </w:p>
        </w:tc>
        <w:tc>
          <w:tcPr>
            <w:tcW w:w="935" w:type="dxa"/>
            <w:tcBorders>
              <w:bottom w:val="single" w:sz="4" w:space="0" w:color="000000"/>
              <w:right w:val="single" w:sz="4" w:space="0" w:color="000000"/>
            </w:tcBorders>
            <w:vAlign w:val="bottom"/>
          </w:tcPr>
          <w:p>
            <w:pPr>
              <w:pStyle w:val="TAC"/>
              <w:rPr>
                <w:lang w:eastAsia="en-US"/>
              </w:rPr>
            </w:pPr>
            <w:r>
              <w:rPr>
                <w:lang w:eastAsia="en-US"/>
              </w:rPr>
              <w:t>8837</w:t>
            </w:r>
          </w:p>
        </w:tc>
        <w:tc>
          <w:tcPr>
            <w:tcW w:w="936" w:type="dxa"/>
            <w:tcBorders>
              <w:bottom w:val="single" w:sz="4" w:space="0" w:color="000000"/>
              <w:right w:val="single" w:sz="8" w:space="0" w:color="000000"/>
            </w:tcBorders>
            <w:vAlign w:val="bottom"/>
          </w:tcPr>
          <w:p>
            <w:pPr>
              <w:pStyle w:val="TAC"/>
              <w:rPr>
                <w:lang w:eastAsia="en-US"/>
              </w:rPr>
            </w:pPr>
            <w:r>
              <w:rPr>
                <w:lang w:eastAsia="en-US"/>
              </w:rPr>
              <w:t>8912</w:t>
            </w:r>
          </w:p>
        </w:tc>
        <w:tc>
          <w:tcPr>
            <w:tcW w:w="960" w:type="dxa"/>
            <w:tcBorders>
              <w:bottom w:val="single" w:sz="4" w:space="0" w:color="000000"/>
              <w:right w:val="single" w:sz="4" w:space="0" w:color="000000"/>
            </w:tcBorders>
            <w:vAlign w:val="bottom"/>
          </w:tcPr>
          <w:p>
            <w:pPr>
              <w:pStyle w:val="TAC"/>
              <w:rPr>
                <w:lang w:eastAsia="en-US"/>
              </w:rPr>
            </w:pPr>
            <w:r>
              <w:rPr>
                <w:lang w:eastAsia="en-US"/>
              </w:rPr>
              <w:t>9237</w:t>
            </w:r>
          </w:p>
        </w:tc>
        <w:tc>
          <w:tcPr>
            <w:tcW w:w="960" w:type="dxa"/>
            <w:tcBorders>
              <w:bottom w:val="single" w:sz="4" w:space="0" w:color="000000"/>
              <w:right w:val="single" w:sz="4" w:space="0" w:color="000000"/>
            </w:tcBorders>
            <w:vAlign w:val="bottom"/>
          </w:tcPr>
          <w:p>
            <w:pPr>
              <w:pStyle w:val="TAC"/>
              <w:rPr>
                <w:lang w:eastAsia="en-US"/>
              </w:rPr>
            </w:pPr>
            <w:r>
              <w:rPr>
                <w:lang w:eastAsia="en-US"/>
              </w:rPr>
              <w:t>9312</w:t>
            </w:r>
          </w:p>
        </w:tc>
        <w:tc>
          <w:tcPr>
            <w:tcW w:w="960" w:type="dxa"/>
            <w:tcBorders>
              <w:bottom w:val="single" w:sz="4" w:space="0" w:color="000000"/>
              <w:right w:val="single" w:sz="8" w:space="0" w:color="000000"/>
            </w:tcBorders>
            <w:vAlign w:val="bottom"/>
          </w:tcPr>
          <w:p>
            <w:pPr>
              <w:pStyle w:val="TAC"/>
              <w:rPr>
                <w:lang w:eastAsia="en-US"/>
              </w:rPr>
            </w:pPr>
            <w:r>
              <w:rPr>
                <w:lang w:eastAsia="en-US"/>
              </w:rPr>
              <w:t>9387</w:t>
            </w:r>
          </w:p>
        </w:tc>
      </w:tr>
      <w:tr>
        <w:trPr>
          <w:trHeight w:val="270" w:hRule="atLeast"/>
        </w:trPr>
        <w:tc>
          <w:tcPr>
            <w:tcW w:w="1434" w:type="dxa"/>
            <w:tcBorders>
              <w:left w:val="single" w:sz="8" w:space="0" w:color="000000"/>
              <w:bottom w:val="single" w:sz="8" w:space="0" w:color="000000"/>
            </w:tcBorders>
          </w:tcPr>
          <w:p>
            <w:pPr>
              <w:pStyle w:val="TAC"/>
              <w:rPr>
                <w:lang w:eastAsia="en-US"/>
              </w:rPr>
            </w:pPr>
            <w:r>
              <w:rPr>
                <w:lang w:eastAsia="en-US"/>
              </w:rPr>
              <w:t>X</w:t>
            </w:r>
          </w:p>
        </w:tc>
        <w:tc>
          <w:tcPr>
            <w:tcW w:w="935" w:type="dxa"/>
            <w:tcBorders>
              <w:left w:val="single" w:sz="8" w:space="0" w:color="000000"/>
              <w:bottom w:val="single" w:sz="8" w:space="0" w:color="000000"/>
              <w:right w:val="single" w:sz="4" w:space="0" w:color="000000"/>
            </w:tcBorders>
            <w:vAlign w:val="bottom"/>
          </w:tcPr>
          <w:p>
            <w:pPr>
              <w:pStyle w:val="TAC"/>
              <w:rPr>
                <w:lang w:eastAsia="en-US"/>
              </w:rPr>
            </w:pPr>
            <w:r>
              <w:rPr>
                <w:lang w:eastAsia="en-US"/>
              </w:rPr>
              <w:t>2888</w:t>
            </w:r>
          </w:p>
        </w:tc>
        <w:tc>
          <w:tcPr>
            <w:tcW w:w="935" w:type="dxa"/>
            <w:tcBorders>
              <w:bottom w:val="single" w:sz="8" w:space="0" w:color="000000"/>
              <w:right w:val="single" w:sz="4" w:space="0" w:color="000000"/>
            </w:tcBorders>
            <w:vAlign w:val="bottom"/>
          </w:tcPr>
          <w:p>
            <w:pPr>
              <w:pStyle w:val="TAC"/>
              <w:rPr>
                <w:lang w:eastAsia="en-US"/>
              </w:rPr>
            </w:pPr>
            <w:r>
              <w:rPr>
                <w:lang w:eastAsia="en-US"/>
              </w:rPr>
              <w:t>3025</w:t>
            </w:r>
          </w:p>
        </w:tc>
        <w:tc>
          <w:tcPr>
            <w:tcW w:w="936" w:type="dxa"/>
            <w:tcBorders>
              <w:bottom w:val="single" w:sz="8" w:space="0" w:color="000000"/>
              <w:right w:val="single" w:sz="8" w:space="0" w:color="000000"/>
            </w:tcBorders>
            <w:vAlign w:val="bottom"/>
          </w:tcPr>
          <w:p>
            <w:pPr>
              <w:pStyle w:val="TAC"/>
              <w:rPr>
                <w:lang w:eastAsia="en-US"/>
              </w:rPr>
            </w:pPr>
            <w:r>
              <w:rPr>
                <w:lang w:eastAsia="en-US"/>
              </w:rPr>
              <w:t>3162</w:t>
            </w:r>
          </w:p>
        </w:tc>
        <w:tc>
          <w:tcPr>
            <w:tcW w:w="960" w:type="dxa"/>
            <w:tcBorders>
              <w:bottom w:val="single" w:sz="8" w:space="0" w:color="000000"/>
              <w:right w:val="single" w:sz="4" w:space="0" w:color="000000"/>
            </w:tcBorders>
            <w:vAlign w:val="bottom"/>
          </w:tcPr>
          <w:p>
            <w:pPr>
              <w:pStyle w:val="TAC"/>
              <w:rPr>
                <w:lang w:eastAsia="en-US"/>
              </w:rPr>
            </w:pPr>
            <w:r>
              <w:rPr>
                <w:lang w:eastAsia="en-US"/>
              </w:rPr>
              <w:t>3113</w:t>
            </w:r>
          </w:p>
        </w:tc>
        <w:tc>
          <w:tcPr>
            <w:tcW w:w="960" w:type="dxa"/>
            <w:tcBorders>
              <w:bottom w:val="single" w:sz="8" w:space="0" w:color="000000"/>
              <w:right w:val="single" w:sz="4" w:space="0" w:color="000000"/>
            </w:tcBorders>
            <w:vAlign w:val="bottom"/>
          </w:tcPr>
          <w:p>
            <w:pPr>
              <w:pStyle w:val="TAC"/>
              <w:rPr>
                <w:lang w:eastAsia="en-US"/>
              </w:rPr>
            </w:pPr>
            <w:r>
              <w:rPr>
                <w:lang w:eastAsia="en-US"/>
              </w:rPr>
              <w:t>3250</w:t>
            </w:r>
          </w:p>
        </w:tc>
        <w:tc>
          <w:tcPr>
            <w:tcW w:w="960" w:type="dxa"/>
            <w:tcBorders>
              <w:bottom w:val="single" w:sz="8" w:space="0" w:color="000000"/>
              <w:right w:val="single" w:sz="8" w:space="0" w:color="000000"/>
            </w:tcBorders>
            <w:vAlign w:val="bottom"/>
          </w:tcPr>
          <w:p>
            <w:pPr>
              <w:pStyle w:val="TAC"/>
              <w:rPr>
                <w:lang w:eastAsia="en-US"/>
              </w:rPr>
            </w:pPr>
            <w:r>
              <w:rPr>
                <w:lang w:eastAsia="en-US"/>
              </w:rPr>
              <w:t>3387</w:t>
            </w:r>
          </w:p>
        </w:tc>
      </w:tr>
      <w:tr>
        <w:trPr>
          <w:trHeight w:val="270" w:hRule="atLeast"/>
        </w:trPr>
        <w:tc>
          <w:tcPr>
            <w:tcW w:w="1434" w:type="dxa"/>
            <w:tcBorders>
              <w:top w:val="single" w:sz="8" w:space="0" w:color="000000"/>
              <w:left w:val="single" w:sz="8" w:space="0" w:color="000000"/>
              <w:bottom w:val="single" w:sz="8" w:space="0" w:color="000000"/>
            </w:tcBorders>
          </w:tcPr>
          <w:p>
            <w:pPr>
              <w:pStyle w:val="TAC"/>
              <w:rPr>
                <w:lang w:eastAsia="en-US"/>
              </w:rPr>
            </w:pPr>
            <w:r>
              <w:rPr>
                <w:lang w:eastAsia="en-US"/>
              </w:rPr>
              <w:t>XIX</w:t>
            </w:r>
          </w:p>
        </w:tc>
        <w:tc>
          <w:tcPr>
            <w:tcW w:w="935" w:type="dxa"/>
            <w:tcBorders>
              <w:top w:val="single" w:sz="8" w:space="0" w:color="000000"/>
              <w:left w:val="single" w:sz="8" w:space="0" w:color="000000"/>
              <w:bottom w:val="single" w:sz="8" w:space="0" w:color="000000"/>
              <w:right w:val="single" w:sz="4" w:space="0" w:color="000000"/>
            </w:tcBorders>
            <w:vAlign w:val="bottom"/>
          </w:tcPr>
          <w:p>
            <w:pPr>
              <w:pStyle w:val="TAC"/>
              <w:rPr>
                <w:lang w:eastAsia="en-US"/>
              </w:rPr>
            </w:pPr>
            <w:r>
              <w:rPr>
                <w:lang w:eastAsia="en-US"/>
              </w:rPr>
              <w:t>387</w:t>
            </w:r>
          </w:p>
        </w:tc>
        <w:tc>
          <w:tcPr>
            <w:tcW w:w="935" w:type="dxa"/>
            <w:tcBorders>
              <w:top w:val="single" w:sz="8" w:space="0" w:color="000000"/>
              <w:bottom w:val="single" w:sz="8" w:space="0" w:color="000000"/>
              <w:right w:val="single" w:sz="4" w:space="0" w:color="000000"/>
            </w:tcBorders>
            <w:vAlign w:val="bottom"/>
          </w:tcPr>
          <w:p>
            <w:pPr>
              <w:pStyle w:val="TAC"/>
              <w:rPr>
                <w:lang w:eastAsia="en-US"/>
              </w:rPr>
            </w:pPr>
            <w:r>
              <w:rPr>
                <w:lang w:eastAsia="en-US"/>
              </w:rPr>
              <w:t>412</w:t>
            </w:r>
          </w:p>
        </w:tc>
        <w:tc>
          <w:tcPr>
            <w:tcW w:w="936" w:type="dxa"/>
            <w:tcBorders>
              <w:top w:val="single" w:sz="8" w:space="0" w:color="000000"/>
              <w:bottom w:val="single" w:sz="8" w:space="0" w:color="000000"/>
              <w:right w:val="single" w:sz="8" w:space="0" w:color="000000"/>
            </w:tcBorders>
            <w:vAlign w:val="bottom"/>
          </w:tcPr>
          <w:p>
            <w:pPr>
              <w:pStyle w:val="TAC"/>
              <w:rPr>
                <w:lang w:eastAsia="en-US"/>
              </w:rPr>
            </w:pPr>
            <w:r>
              <w:rPr>
                <w:lang w:eastAsia="en-US"/>
              </w:rPr>
              <w:t>437</w:t>
            </w:r>
          </w:p>
        </w:tc>
        <w:tc>
          <w:tcPr>
            <w:tcW w:w="960" w:type="dxa"/>
            <w:tcBorders>
              <w:top w:val="single" w:sz="8" w:space="0" w:color="000000"/>
              <w:bottom w:val="single" w:sz="8" w:space="0" w:color="000000"/>
              <w:right w:val="single" w:sz="4" w:space="0" w:color="000000"/>
            </w:tcBorders>
            <w:vAlign w:val="bottom"/>
          </w:tcPr>
          <w:p>
            <w:pPr>
              <w:pStyle w:val="TAC"/>
              <w:rPr>
                <w:lang w:eastAsia="en-US"/>
              </w:rPr>
            </w:pPr>
            <w:r>
              <w:rPr>
                <w:lang w:eastAsia="en-US"/>
              </w:rPr>
              <w:t>787</w:t>
            </w:r>
          </w:p>
        </w:tc>
        <w:tc>
          <w:tcPr>
            <w:tcW w:w="960" w:type="dxa"/>
            <w:tcBorders>
              <w:top w:val="single" w:sz="8" w:space="0" w:color="000000"/>
              <w:bottom w:val="single" w:sz="8" w:space="0" w:color="000000"/>
              <w:right w:val="single" w:sz="4" w:space="0" w:color="000000"/>
            </w:tcBorders>
            <w:vAlign w:val="bottom"/>
          </w:tcPr>
          <w:p>
            <w:pPr>
              <w:pStyle w:val="TAC"/>
              <w:rPr>
                <w:lang w:eastAsia="en-US"/>
              </w:rPr>
            </w:pPr>
            <w:r>
              <w:rPr>
                <w:lang w:eastAsia="en-US"/>
              </w:rPr>
              <w:t>812</w:t>
            </w:r>
          </w:p>
        </w:tc>
        <w:tc>
          <w:tcPr>
            <w:tcW w:w="960" w:type="dxa"/>
            <w:tcBorders>
              <w:top w:val="single" w:sz="8" w:space="0" w:color="000000"/>
              <w:bottom w:val="single" w:sz="8" w:space="0" w:color="000000"/>
              <w:right w:val="single" w:sz="8" w:space="0" w:color="000000"/>
            </w:tcBorders>
            <w:vAlign w:val="bottom"/>
          </w:tcPr>
          <w:p>
            <w:pPr>
              <w:pStyle w:val="TAC"/>
              <w:rPr>
                <w:lang w:eastAsia="en-US"/>
              </w:rPr>
            </w:pPr>
            <w:r>
              <w:rPr>
                <w:lang w:eastAsia="en-US"/>
              </w:rPr>
              <w:t>837</w:t>
            </w:r>
          </w:p>
        </w:tc>
      </w:tr>
    </w:tbl>
    <w:p>
      <w:pPr>
        <w:pStyle w:val="Normal"/>
        <w:rPr/>
      </w:pPr>
      <w:r>
        <w:rPr/>
      </w:r>
    </w:p>
    <w:p>
      <w:pPr>
        <w:pStyle w:val="Heading2"/>
        <w:rPr/>
      </w:pPr>
      <w:bookmarkStart w:id="37" w:name="__RefHeading___Toc68600977"/>
      <w:bookmarkEnd w:id="37"/>
      <w:r>
        <w:rPr/>
        <w:t>5.2</w:t>
        <w:tab/>
        <w:t>UTRA TDD frequency bands and measurement channels</w:t>
      </w:r>
    </w:p>
    <w:p>
      <w:pPr>
        <w:pStyle w:val="Normal"/>
        <w:rPr/>
      </w:pPr>
      <w:r>
        <w:rPr/>
        <w:t>Table 5.2-1 provides the UTRA TDD frequency bands.</w:t>
      </w:r>
    </w:p>
    <w:p>
      <w:pPr>
        <w:pStyle w:val="TH"/>
        <w:rPr/>
      </w:pPr>
      <w:r>
        <w:rPr/>
        <w:t>Table 5.2</w:t>
      </w:r>
      <w:r>
        <w:rPr>
          <w:lang w:eastAsia="zh-CN"/>
        </w:rPr>
        <w:t>-1</w:t>
      </w:r>
      <w:r>
        <w:rPr/>
        <w:t xml:space="preserve">: UTRA </w:t>
      </w:r>
      <w:r>
        <w:rPr>
          <w:lang w:eastAsia="zh-CN"/>
        </w:rPr>
        <w:t>T</w:t>
      </w:r>
      <w:r>
        <w:rPr/>
        <w:t>DD frequency bands</w:t>
      </w:r>
    </w:p>
    <w:tbl>
      <w:tblPr>
        <w:tblW w:w="4758" w:type="dxa"/>
        <w:jc w:val="center"/>
        <w:tblInd w:w="0" w:type="dxa"/>
        <w:tblLayout w:type="fixed"/>
        <w:tblCellMar>
          <w:top w:w="0" w:type="dxa"/>
          <w:left w:w="108" w:type="dxa"/>
          <w:bottom w:w="0" w:type="dxa"/>
          <w:right w:w="108" w:type="dxa"/>
        </w:tblCellMar>
      </w:tblPr>
      <w:tblGrid>
        <w:gridCol w:w="1437"/>
        <w:gridCol w:w="3321"/>
      </w:tblGrid>
      <w:tr>
        <w:trPr>
          <w:trHeight w:val="567" w:hRule="atLeast"/>
        </w:trPr>
        <w:tc>
          <w:tcPr>
            <w:tcW w:w="1437" w:type="dxa"/>
            <w:tcBorders>
              <w:top w:val="single" w:sz="8" w:space="0" w:color="000000"/>
              <w:left w:val="single" w:sz="8" w:space="0" w:color="000000"/>
              <w:bottom w:val="single" w:sz="8" w:space="0" w:color="000000"/>
              <w:right w:val="single" w:sz="8" w:space="0" w:color="000000"/>
            </w:tcBorders>
            <w:vAlign w:val="center"/>
          </w:tcPr>
          <w:p>
            <w:pPr>
              <w:pStyle w:val="TAH"/>
              <w:rPr>
                <w:lang w:eastAsia="en-US"/>
              </w:rPr>
            </w:pPr>
            <w:r>
              <w:rPr>
                <w:lang w:eastAsia="en-US"/>
              </w:rPr>
              <w:t>Operating Band</w:t>
            </w:r>
          </w:p>
        </w:tc>
        <w:tc>
          <w:tcPr>
            <w:tcW w:w="3321" w:type="dxa"/>
            <w:tcBorders>
              <w:top w:val="single" w:sz="8" w:space="0" w:color="000000"/>
              <w:left w:val="single" w:sz="8" w:space="0" w:color="000000"/>
              <w:bottom w:val="single" w:sz="8" w:space="0" w:color="000000"/>
              <w:right w:val="single" w:sz="8" w:space="0" w:color="000000"/>
            </w:tcBorders>
            <w:vAlign w:val="center"/>
          </w:tcPr>
          <w:p>
            <w:pPr>
              <w:pStyle w:val="TAH"/>
              <w:rPr>
                <w:lang w:eastAsia="zh-CN"/>
              </w:rPr>
            </w:pPr>
            <w:r>
              <w:rPr>
                <w:lang w:eastAsia="en-US"/>
              </w:rPr>
              <w:t>Frequencies</w:t>
            </w:r>
          </w:p>
        </w:tc>
      </w:tr>
      <w:tr>
        <w:trPr>
          <w:trHeight w:val="491" w:hRule="exact"/>
        </w:trPr>
        <w:tc>
          <w:tcPr>
            <w:tcW w:w="1437" w:type="dxa"/>
            <w:tcBorders>
              <w:top w:val="single" w:sz="8" w:space="0" w:color="000000"/>
              <w:left w:val="single" w:sz="8" w:space="0" w:color="000000"/>
              <w:bottom w:val="single" w:sz="8" w:space="0" w:color="000000"/>
              <w:right w:val="single" w:sz="8" w:space="0" w:color="000000"/>
            </w:tcBorders>
            <w:vAlign w:val="center"/>
          </w:tcPr>
          <w:p>
            <w:pPr>
              <w:pStyle w:val="TAC"/>
              <w:rPr>
                <w:lang w:eastAsia="zh-CN"/>
              </w:rPr>
            </w:pPr>
            <w:r>
              <w:rPr>
                <w:lang w:eastAsia="zh-CN"/>
              </w:rPr>
              <w:t>a</w:t>
            </w:r>
          </w:p>
        </w:tc>
        <w:tc>
          <w:tcPr>
            <w:tcW w:w="3321" w:type="dxa"/>
            <w:tcBorders>
              <w:top w:val="single" w:sz="8" w:space="0" w:color="000000"/>
              <w:left w:val="single" w:sz="8" w:space="0" w:color="000000"/>
              <w:bottom w:val="single" w:sz="8" w:space="0" w:color="000000"/>
              <w:right w:val="single" w:sz="8" w:space="0" w:color="000000"/>
            </w:tcBorders>
            <w:vAlign w:val="center"/>
          </w:tcPr>
          <w:p>
            <w:pPr>
              <w:pStyle w:val="TAC"/>
              <w:rPr>
                <w:lang w:eastAsia="zh-CN"/>
              </w:rPr>
            </w:pPr>
            <w:r>
              <w:rPr>
                <w:lang w:eastAsia="zh-CN"/>
              </w:rPr>
              <w:t>1900-1920 MHz</w:t>
            </w:r>
          </w:p>
          <w:p>
            <w:pPr>
              <w:pStyle w:val="TAC"/>
              <w:rPr>
                <w:lang w:eastAsia="zh-CN"/>
              </w:rPr>
            </w:pPr>
            <w:r>
              <w:rPr>
                <w:lang w:eastAsia="zh-CN"/>
              </w:rPr>
              <w:t>2010-2025 MHz</w:t>
            </w:r>
          </w:p>
        </w:tc>
      </w:tr>
      <w:tr>
        <w:trPr>
          <w:trHeight w:val="469" w:hRule="exact"/>
        </w:trPr>
        <w:tc>
          <w:tcPr>
            <w:tcW w:w="1437" w:type="dxa"/>
            <w:tcBorders>
              <w:top w:val="single" w:sz="8" w:space="0" w:color="000000"/>
              <w:left w:val="single" w:sz="8" w:space="0" w:color="000000"/>
              <w:bottom w:val="single" w:sz="8" w:space="0" w:color="000000"/>
              <w:right w:val="single" w:sz="8" w:space="0" w:color="000000"/>
            </w:tcBorders>
            <w:vAlign w:val="center"/>
          </w:tcPr>
          <w:p>
            <w:pPr>
              <w:pStyle w:val="TAC"/>
              <w:rPr>
                <w:lang w:eastAsia="zh-CN"/>
              </w:rPr>
            </w:pPr>
            <w:r>
              <w:rPr>
                <w:lang w:eastAsia="zh-CN"/>
              </w:rPr>
              <w:t>b</w:t>
            </w:r>
            <w:r>
              <w:rPr>
                <w:lang w:eastAsia="en-US"/>
              </w:rPr>
              <w:t>*</w:t>
            </w:r>
          </w:p>
        </w:tc>
        <w:tc>
          <w:tcPr>
            <w:tcW w:w="3321" w:type="dxa"/>
            <w:tcBorders>
              <w:top w:val="single" w:sz="8" w:space="0" w:color="000000"/>
              <w:left w:val="single" w:sz="8" w:space="0" w:color="000000"/>
              <w:bottom w:val="single" w:sz="8" w:space="0" w:color="000000"/>
              <w:right w:val="single" w:sz="8" w:space="0" w:color="000000"/>
            </w:tcBorders>
            <w:vAlign w:val="center"/>
          </w:tcPr>
          <w:p>
            <w:pPr>
              <w:pStyle w:val="TAC"/>
              <w:rPr>
                <w:lang w:eastAsia="zh-CN"/>
              </w:rPr>
            </w:pPr>
            <w:r>
              <w:rPr>
                <w:lang w:eastAsia="zh-CN"/>
              </w:rPr>
              <w:t>1850-1910 MHz</w:t>
            </w:r>
          </w:p>
          <w:p>
            <w:pPr>
              <w:pStyle w:val="TAC"/>
              <w:rPr>
                <w:lang w:eastAsia="zh-CN"/>
              </w:rPr>
            </w:pPr>
            <w:r>
              <w:rPr>
                <w:lang w:eastAsia="zh-CN"/>
              </w:rPr>
              <w:t>1930-1990 MHz</w:t>
            </w:r>
          </w:p>
        </w:tc>
      </w:tr>
      <w:tr>
        <w:trPr>
          <w:trHeight w:val="284" w:hRule="exact"/>
        </w:trPr>
        <w:tc>
          <w:tcPr>
            <w:tcW w:w="1437" w:type="dxa"/>
            <w:tcBorders>
              <w:top w:val="single" w:sz="8" w:space="0" w:color="000000"/>
              <w:left w:val="single" w:sz="8" w:space="0" w:color="000000"/>
              <w:bottom w:val="single" w:sz="8" w:space="0" w:color="000000"/>
              <w:right w:val="single" w:sz="8" w:space="0" w:color="000000"/>
            </w:tcBorders>
            <w:vAlign w:val="center"/>
          </w:tcPr>
          <w:p>
            <w:pPr>
              <w:pStyle w:val="TAC"/>
              <w:rPr>
                <w:lang w:eastAsia="zh-CN"/>
              </w:rPr>
            </w:pPr>
            <w:r>
              <w:rPr>
                <w:lang w:eastAsia="zh-CN"/>
              </w:rPr>
              <w:t>c</w:t>
            </w:r>
            <w:r>
              <w:rPr>
                <w:lang w:eastAsia="en-US"/>
              </w:rPr>
              <w:t>*</w:t>
            </w:r>
          </w:p>
        </w:tc>
        <w:tc>
          <w:tcPr>
            <w:tcW w:w="3321" w:type="dxa"/>
            <w:tcBorders>
              <w:top w:val="single" w:sz="8" w:space="0" w:color="000000"/>
              <w:left w:val="single" w:sz="8" w:space="0" w:color="000000"/>
              <w:bottom w:val="single" w:sz="8" w:space="0" w:color="000000"/>
              <w:right w:val="single" w:sz="8" w:space="0" w:color="000000"/>
            </w:tcBorders>
            <w:vAlign w:val="center"/>
          </w:tcPr>
          <w:p>
            <w:pPr>
              <w:pStyle w:val="TAC"/>
              <w:rPr>
                <w:lang w:eastAsia="zh-CN"/>
              </w:rPr>
            </w:pPr>
            <w:r>
              <w:rPr>
                <w:lang w:eastAsia="zh-CN"/>
              </w:rPr>
              <w:t>1910-1930 MHz</w:t>
            </w:r>
          </w:p>
        </w:tc>
      </w:tr>
      <w:tr>
        <w:trPr>
          <w:trHeight w:val="284" w:hRule="exact"/>
        </w:trPr>
        <w:tc>
          <w:tcPr>
            <w:tcW w:w="1437" w:type="dxa"/>
            <w:tcBorders>
              <w:top w:val="single" w:sz="8" w:space="0" w:color="000000"/>
              <w:left w:val="single" w:sz="8" w:space="0" w:color="000000"/>
              <w:bottom w:val="single" w:sz="8" w:space="0" w:color="000000"/>
              <w:right w:val="single" w:sz="8" w:space="0" w:color="000000"/>
            </w:tcBorders>
            <w:vAlign w:val="center"/>
          </w:tcPr>
          <w:p>
            <w:pPr>
              <w:pStyle w:val="TAC"/>
              <w:rPr>
                <w:lang w:eastAsia="zh-CN"/>
              </w:rPr>
            </w:pPr>
            <w:r>
              <w:rPr>
                <w:lang w:eastAsia="zh-CN"/>
              </w:rPr>
              <w:t>d</w:t>
            </w:r>
            <w:r>
              <w:rPr>
                <w:lang w:eastAsia="en-US"/>
              </w:rPr>
              <w:t>**</w:t>
            </w:r>
          </w:p>
        </w:tc>
        <w:tc>
          <w:tcPr>
            <w:tcW w:w="3321" w:type="dxa"/>
            <w:tcBorders>
              <w:top w:val="single" w:sz="8" w:space="0" w:color="000000"/>
              <w:left w:val="single" w:sz="8" w:space="0" w:color="000000"/>
              <w:bottom w:val="single" w:sz="8" w:space="0" w:color="000000"/>
              <w:right w:val="single" w:sz="8" w:space="0" w:color="000000"/>
            </w:tcBorders>
            <w:vAlign w:val="center"/>
          </w:tcPr>
          <w:p>
            <w:pPr>
              <w:pStyle w:val="TAC"/>
              <w:rPr/>
            </w:pPr>
            <w:r>
              <w:rPr>
                <w:lang w:eastAsia="zh-CN"/>
              </w:rPr>
              <w:t>2570-2620 MHz</w:t>
            </w:r>
          </w:p>
        </w:tc>
      </w:tr>
      <w:tr>
        <w:trPr>
          <w:trHeight w:val="284" w:hRule="exact"/>
        </w:trPr>
        <w:tc>
          <w:tcPr>
            <w:tcW w:w="1437" w:type="dxa"/>
            <w:tcBorders>
              <w:top w:val="single" w:sz="8" w:space="0" w:color="000000"/>
              <w:left w:val="single" w:sz="8" w:space="0" w:color="000000"/>
              <w:bottom w:val="single" w:sz="8" w:space="0" w:color="000000"/>
              <w:right w:val="single" w:sz="8" w:space="0" w:color="000000"/>
            </w:tcBorders>
            <w:vAlign w:val="center"/>
          </w:tcPr>
          <w:p>
            <w:pPr>
              <w:pStyle w:val="TAC"/>
              <w:rPr>
                <w:lang w:eastAsia="zh-CN"/>
              </w:rPr>
            </w:pPr>
            <w:r>
              <w:rPr>
                <w:kern w:val="2"/>
                <w:lang w:eastAsia="en-US"/>
              </w:rPr>
              <w:t>e</w:t>
            </w:r>
          </w:p>
        </w:tc>
        <w:tc>
          <w:tcPr>
            <w:tcW w:w="3321" w:type="dxa"/>
            <w:tcBorders>
              <w:top w:val="single" w:sz="8" w:space="0" w:color="000000"/>
              <w:left w:val="single" w:sz="8" w:space="0" w:color="000000"/>
              <w:bottom w:val="single" w:sz="8" w:space="0" w:color="000000"/>
              <w:right w:val="single" w:sz="8" w:space="0" w:color="000000"/>
            </w:tcBorders>
            <w:vAlign w:val="center"/>
          </w:tcPr>
          <w:p>
            <w:pPr>
              <w:pStyle w:val="TAC"/>
              <w:rPr>
                <w:lang w:eastAsia="zh-CN"/>
              </w:rPr>
            </w:pPr>
            <w:r>
              <w:rPr>
                <w:kern w:val="2"/>
                <w:lang w:eastAsia="en-US"/>
              </w:rPr>
              <w:t>2300-2400 MHz</w:t>
            </w:r>
          </w:p>
        </w:tc>
      </w:tr>
      <w:tr>
        <w:trPr>
          <w:trHeight w:val="284" w:hRule="exact"/>
        </w:trPr>
        <w:tc>
          <w:tcPr>
            <w:tcW w:w="1437" w:type="dxa"/>
            <w:tcBorders>
              <w:top w:val="single" w:sz="8" w:space="0" w:color="000000"/>
              <w:left w:val="single" w:sz="8" w:space="0" w:color="000000"/>
              <w:bottom w:val="single" w:sz="8" w:space="0" w:color="000000"/>
              <w:right w:val="single" w:sz="8" w:space="0" w:color="000000"/>
            </w:tcBorders>
            <w:vAlign w:val="center"/>
          </w:tcPr>
          <w:p>
            <w:pPr>
              <w:pStyle w:val="TAC"/>
              <w:rPr>
                <w:lang w:eastAsia="zh-CN"/>
              </w:rPr>
            </w:pPr>
            <w:r>
              <w:rPr>
                <w:kern w:val="2"/>
                <w:lang w:eastAsia="en-US"/>
              </w:rPr>
              <w:t>f</w:t>
            </w:r>
          </w:p>
        </w:tc>
        <w:tc>
          <w:tcPr>
            <w:tcW w:w="3321" w:type="dxa"/>
            <w:tcBorders>
              <w:top w:val="single" w:sz="8" w:space="0" w:color="000000"/>
              <w:left w:val="single" w:sz="8" w:space="0" w:color="000000"/>
              <w:bottom w:val="single" w:sz="8" w:space="0" w:color="000000"/>
              <w:right w:val="single" w:sz="8" w:space="0" w:color="000000"/>
            </w:tcBorders>
            <w:vAlign w:val="center"/>
          </w:tcPr>
          <w:p>
            <w:pPr>
              <w:pStyle w:val="TAC"/>
              <w:rPr>
                <w:lang w:eastAsia="zh-CN"/>
              </w:rPr>
            </w:pPr>
            <w:r>
              <w:rPr>
                <w:kern w:val="2"/>
                <w:lang w:eastAsia="en-US"/>
              </w:rPr>
              <w:t>1880-1920 MHz</w:t>
            </w:r>
          </w:p>
        </w:tc>
      </w:tr>
    </w:tbl>
    <w:p>
      <w:pPr>
        <w:pStyle w:val="Normal"/>
        <w:rPr/>
      </w:pPr>
      <w:r>
        <w:rPr/>
      </w:r>
    </w:p>
    <w:p>
      <w:pPr>
        <w:pStyle w:val="NO"/>
        <w:rPr/>
      </w:pPr>
      <w:r>
        <w:rPr/>
        <w:t>NOTE:</w:t>
        <w:tab/>
        <w:t>Deployment in other frequency bands is not precluded</w:t>
      </w:r>
      <w:r>
        <w:rPr>
          <w:rFonts w:cs="v5.0.0;Times New Roman"/>
        </w:rPr>
        <w:t>.</w:t>
        <w:br/>
      </w:r>
      <w:r>
        <w:rPr/>
        <w:t>* Used in ITU Region 2</w:t>
        <w:br/>
        <w:t>** Used in ITU Region 1</w:t>
      </w:r>
    </w:p>
    <w:p>
      <w:pPr>
        <w:pStyle w:val="TH"/>
        <w:rPr/>
      </w:pPr>
      <w:r>
        <w:rPr/>
        <w:t>Table 5.2-2: specifies the measurement channels for UTRA TDD</w:t>
      </w:r>
    </w:p>
    <w:p>
      <w:pPr>
        <w:pStyle w:val="TAH"/>
        <w:rPr>
          <w:lang w:eastAsia="zh-CN"/>
        </w:rPr>
      </w:pPr>
      <w:r>
        <w:rPr>
          <w:lang w:eastAsia="zh-CN"/>
        </w:rPr>
        <w:t>TBD</w:t>
      </w:r>
    </w:p>
    <w:p>
      <w:pPr>
        <w:pStyle w:val="Normal"/>
        <w:keepLines/>
        <w:ind w:left="1135" w:hanging="851"/>
        <w:rPr>
          <w:rFonts w:cs="v5.0.0;Times New Roman"/>
          <w:lang w:eastAsia="zh-CN"/>
        </w:rPr>
      </w:pPr>
      <w:r>
        <w:rPr>
          <w:rFonts w:cs="v5.0.0;Times New Roman"/>
          <w:lang w:eastAsia="zh-CN"/>
        </w:rPr>
      </w:r>
    </w:p>
    <w:p>
      <w:pPr>
        <w:pStyle w:val="TH"/>
        <w:rPr>
          <w:lang w:eastAsia="zh-CN"/>
        </w:rPr>
      </w:pPr>
      <w:r>
        <w:rPr>
          <w:lang w:eastAsia="zh-CN"/>
        </w:rPr>
        <w:t>Table 5.2-3: UTRA TDD measurement channels</w:t>
      </w:r>
    </w:p>
    <w:tbl>
      <w:tblPr>
        <w:tblW w:w="4603" w:type="dxa"/>
        <w:jc w:val="center"/>
        <w:tblInd w:w="0" w:type="dxa"/>
        <w:tblLayout w:type="fixed"/>
        <w:tblCellMar>
          <w:top w:w="0" w:type="dxa"/>
          <w:left w:w="108" w:type="dxa"/>
          <w:bottom w:w="0" w:type="dxa"/>
          <w:right w:w="108" w:type="dxa"/>
        </w:tblCellMar>
      </w:tblPr>
      <w:tblGrid>
        <w:gridCol w:w="1797"/>
        <w:gridCol w:w="935"/>
        <w:gridCol w:w="935"/>
        <w:gridCol w:w="936"/>
      </w:tblGrid>
      <w:tr>
        <w:trPr>
          <w:trHeight w:val="255" w:hRule="atLeast"/>
        </w:trPr>
        <w:tc>
          <w:tcPr>
            <w:tcW w:w="1797" w:type="dxa"/>
            <w:tcBorders>
              <w:top w:val="single" w:sz="4" w:space="0" w:color="000000"/>
              <w:left w:val="single" w:sz="4" w:space="0" w:color="000000"/>
              <w:right w:val="single" w:sz="4" w:space="0" w:color="000000"/>
            </w:tcBorders>
            <w:vAlign w:val="center"/>
          </w:tcPr>
          <w:p>
            <w:pPr>
              <w:pStyle w:val="TAH"/>
              <w:rPr>
                <w:lang w:eastAsia="zh-CN"/>
              </w:rPr>
            </w:pPr>
            <w:r>
              <w:rPr>
                <w:lang w:eastAsia="en-US"/>
              </w:rPr>
              <w:t>Operating Band</w:t>
            </w:r>
          </w:p>
        </w:tc>
        <w:tc>
          <w:tcPr>
            <w:tcW w:w="2806" w:type="dxa"/>
            <w:gridSpan w:val="3"/>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en-US"/>
              </w:rPr>
              <w:t>Channels</w:t>
            </w:r>
          </w:p>
        </w:tc>
      </w:tr>
      <w:tr>
        <w:trPr>
          <w:trHeight w:val="255" w:hRule="atLeast"/>
        </w:trPr>
        <w:tc>
          <w:tcPr>
            <w:tcW w:w="1797" w:type="dxa"/>
            <w:tcBorders>
              <w:left w:val="single" w:sz="4" w:space="0" w:color="000000"/>
              <w:bottom w:val="single" w:sz="4" w:space="0" w:color="000000"/>
              <w:right w:val="single" w:sz="4" w:space="0" w:color="000000"/>
            </w:tcBorders>
            <w:vAlign w:val="bottom"/>
          </w:tcPr>
          <w:p>
            <w:pPr>
              <w:pStyle w:val="TAH"/>
              <w:snapToGrid w:val="false"/>
              <w:rPr>
                <w:lang w:eastAsia="zh-CN"/>
              </w:rPr>
            </w:pPr>
            <w:r>
              <w:rPr>
                <w:lang w:eastAsia="zh-CN"/>
              </w:rPr>
            </w:r>
          </w:p>
        </w:tc>
        <w:tc>
          <w:tcPr>
            <w:tcW w:w="935"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en-US"/>
              </w:rPr>
              <w:t>Low</w:t>
            </w:r>
          </w:p>
        </w:tc>
        <w:tc>
          <w:tcPr>
            <w:tcW w:w="935"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en-US"/>
              </w:rPr>
              <w:t>Mid</w:t>
            </w:r>
          </w:p>
        </w:tc>
        <w:tc>
          <w:tcPr>
            <w:tcW w:w="936"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en-US"/>
              </w:rPr>
              <w:t>High</w:t>
            </w:r>
          </w:p>
        </w:tc>
      </w:tr>
      <w:tr>
        <w:trPr>
          <w:trHeight w:val="255" w:hRule="atLeast"/>
        </w:trPr>
        <w:tc>
          <w:tcPr>
            <w:tcW w:w="1797" w:type="dxa"/>
            <w:tcBorders>
              <w:top w:val="single" w:sz="4" w:space="0" w:color="000000"/>
              <w:left w:val="single" w:sz="4" w:space="0" w:color="000000"/>
              <w:bottom w:val="single" w:sz="4" w:space="0" w:color="000000"/>
              <w:right w:val="single" w:sz="4" w:space="0" w:color="000000"/>
            </w:tcBorders>
            <w:vAlign w:val="bottom"/>
          </w:tcPr>
          <w:p>
            <w:pPr>
              <w:pStyle w:val="TAC"/>
              <w:rPr>
                <w:lang w:eastAsia="zh-CN"/>
              </w:rPr>
            </w:pPr>
            <w:r>
              <w:rPr>
                <w:lang w:eastAsia="zh-CN"/>
              </w:rPr>
              <w:t>a</w:t>
            </w:r>
          </w:p>
          <w:p>
            <w:pPr>
              <w:pStyle w:val="TAC"/>
              <w:rPr>
                <w:lang w:eastAsia="zh-CN"/>
              </w:rPr>
            </w:pPr>
            <w:r>
              <w:rPr>
                <w:lang w:eastAsia="zh-CN"/>
              </w:rPr>
              <w:t>1900-1920 MHz</w:t>
            </w:r>
          </w:p>
          <w:p>
            <w:pPr>
              <w:pStyle w:val="TAC"/>
              <w:rPr>
                <w:lang w:eastAsia="zh-CN"/>
              </w:rPr>
            </w:pPr>
            <w:r>
              <w:rPr>
                <w:lang w:eastAsia="zh-CN"/>
              </w:rPr>
              <w:t>2010-2025 MHz</w:t>
            </w:r>
          </w:p>
        </w:tc>
        <w:tc>
          <w:tcPr>
            <w:tcW w:w="935" w:type="dxa"/>
            <w:tcBorders>
              <w:top w:val="single" w:sz="4" w:space="0" w:color="000000"/>
              <w:left w:val="single" w:sz="4" w:space="0" w:color="000000"/>
              <w:bottom w:val="single" w:sz="4" w:space="0" w:color="000000"/>
              <w:right w:val="single" w:sz="4" w:space="0" w:color="000000"/>
            </w:tcBorders>
            <w:vAlign w:val="bottom"/>
          </w:tcPr>
          <w:p>
            <w:pPr>
              <w:pStyle w:val="TAC"/>
              <w:rPr>
                <w:lang w:eastAsia="zh-CN"/>
              </w:rPr>
            </w:pPr>
            <w:r>
              <w:rPr>
                <w:lang w:eastAsia="zh-CN"/>
              </w:rPr>
              <w:t>9504</w:t>
            </w:r>
          </w:p>
          <w:p>
            <w:pPr>
              <w:pStyle w:val="TAC"/>
              <w:rPr>
                <w:lang w:eastAsia="zh-CN"/>
              </w:rPr>
            </w:pPr>
            <w:r>
              <w:rPr>
                <w:lang w:eastAsia="zh-CN"/>
              </w:rPr>
              <w:t>10054</w:t>
            </w:r>
          </w:p>
        </w:tc>
        <w:tc>
          <w:tcPr>
            <w:tcW w:w="935" w:type="dxa"/>
            <w:tcBorders>
              <w:top w:val="single" w:sz="4" w:space="0" w:color="000000"/>
              <w:left w:val="single" w:sz="4" w:space="0" w:color="000000"/>
              <w:bottom w:val="single" w:sz="4" w:space="0" w:color="000000"/>
              <w:right w:val="single" w:sz="4" w:space="0" w:color="000000"/>
            </w:tcBorders>
            <w:vAlign w:val="bottom"/>
          </w:tcPr>
          <w:p>
            <w:pPr>
              <w:pStyle w:val="TAC"/>
              <w:rPr>
                <w:lang w:eastAsia="zh-CN"/>
              </w:rPr>
            </w:pPr>
            <w:r>
              <w:rPr>
                <w:lang w:eastAsia="zh-CN"/>
              </w:rPr>
              <w:t>9550</w:t>
            </w:r>
          </w:p>
          <w:p>
            <w:pPr>
              <w:pStyle w:val="TAC"/>
              <w:rPr>
                <w:lang w:eastAsia="zh-CN"/>
              </w:rPr>
            </w:pPr>
            <w:r>
              <w:rPr>
                <w:lang w:eastAsia="zh-CN"/>
              </w:rPr>
              <w:t>10087</w:t>
            </w:r>
          </w:p>
        </w:tc>
        <w:tc>
          <w:tcPr>
            <w:tcW w:w="936" w:type="dxa"/>
            <w:tcBorders>
              <w:top w:val="single" w:sz="4" w:space="0" w:color="000000"/>
              <w:left w:val="single" w:sz="4" w:space="0" w:color="000000"/>
              <w:bottom w:val="single" w:sz="4" w:space="0" w:color="000000"/>
              <w:right w:val="single" w:sz="4" w:space="0" w:color="000000"/>
            </w:tcBorders>
            <w:vAlign w:val="bottom"/>
          </w:tcPr>
          <w:p>
            <w:pPr>
              <w:pStyle w:val="TAC"/>
              <w:rPr>
                <w:lang w:eastAsia="zh-CN"/>
              </w:rPr>
            </w:pPr>
            <w:r>
              <w:rPr>
                <w:lang w:eastAsia="zh-CN"/>
              </w:rPr>
              <w:t>9596</w:t>
            </w:r>
          </w:p>
          <w:p>
            <w:pPr>
              <w:pStyle w:val="TAC"/>
              <w:rPr>
                <w:lang w:eastAsia="zh-CN"/>
              </w:rPr>
            </w:pPr>
            <w:r>
              <w:rPr>
                <w:lang w:eastAsia="zh-CN"/>
              </w:rPr>
              <w:t>10121</w:t>
            </w:r>
          </w:p>
        </w:tc>
      </w:tr>
      <w:tr>
        <w:trPr>
          <w:trHeight w:val="255" w:hRule="atLeast"/>
        </w:trPr>
        <w:tc>
          <w:tcPr>
            <w:tcW w:w="1797" w:type="dxa"/>
            <w:tcBorders>
              <w:top w:val="single" w:sz="4" w:space="0" w:color="000000"/>
              <w:left w:val="single" w:sz="4" w:space="0" w:color="000000"/>
              <w:bottom w:val="single" w:sz="4" w:space="0" w:color="000000"/>
              <w:right w:val="single" w:sz="4" w:space="0" w:color="000000"/>
            </w:tcBorders>
            <w:vAlign w:val="bottom"/>
          </w:tcPr>
          <w:p>
            <w:pPr>
              <w:pStyle w:val="TAC"/>
              <w:rPr>
                <w:lang w:eastAsia="zh-CN"/>
              </w:rPr>
            </w:pPr>
            <w:r>
              <w:rPr>
                <w:lang w:eastAsia="zh-CN"/>
              </w:rPr>
              <w:t>b</w:t>
            </w:r>
          </w:p>
          <w:p>
            <w:pPr>
              <w:pStyle w:val="TAC"/>
              <w:rPr>
                <w:lang w:eastAsia="zh-CN"/>
              </w:rPr>
            </w:pPr>
            <w:r>
              <w:rPr>
                <w:lang w:eastAsia="zh-CN"/>
              </w:rPr>
              <w:t>1850-1910 MHz</w:t>
            </w:r>
          </w:p>
          <w:p>
            <w:pPr>
              <w:pStyle w:val="TAC"/>
              <w:rPr>
                <w:lang w:eastAsia="zh-CN"/>
              </w:rPr>
            </w:pPr>
            <w:r>
              <w:rPr>
                <w:lang w:eastAsia="zh-CN"/>
              </w:rPr>
              <w:t>1930-1990 MHz</w:t>
            </w:r>
          </w:p>
        </w:tc>
        <w:tc>
          <w:tcPr>
            <w:tcW w:w="935" w:type="dxa"/>
            <w:tcBorders>
              <w:top w:val="single" w:sz="4" w:space="0" w:color="000000"/>
              <w:left w:val="single" w:sz="4" w:space="0" w:color="000000"/>
              <w:bottom w:val="single" w:sz="4" w:space="0" w:color="000000"/>
              <w:right w:val="single" w:sz="4" w:space="0" w:color="000000"/>
            </w:tcBorders>
            <w:vAlign w:val="bottom"/>
          </w:tcPr>
          <w:p>
            <w:pPr>
              <w:pStyle w:val="TAC"/>
              <w:rPr>
                <w:lang w:eastAsia="zh-CN"/>
              </w:rPr>
            </w:pPr>
            <w:r>
              <w:rPr>
                <w:lang w:eastAsia="zh-CN"/>
              </w:rPr>
              <w:t>9254</w:t>
            </w:r>
          </w:p>
          <w:p>
            <w:pPr>
              <w:pStyle w:val="TAC"/>
              <w:rPr>
                <w:lang w:eastAsia="zh-CN"/>
              </w:rPr>
            </w:pPr>
            <w:r>
              <w:rPr>
                <w:lang w:eastAsia="zh-CN"/>
              </w:rPr>
              <w:t>9654</w:t>
            </w:r>
          </w:p>
        </w:tc>
        <w:tc>
          <w:tcPr>
            <w:tcW w:w="935" w:type="dxa"/>
            <w:tcBorders>
              <w:top w:val="single" w:sz="4" w:space="0" w:color="000000"/>
              <w:left w:val="single" w:sz="4" w:space="0" w:color="000000"/>
              <w:bottom w:val="single" w:sz="4" w:space="0" w:color="000000"/>
              <w:right w:val="single" w:sz="4" w:space="0" w:color="000000"/>
            </w:tcBorders>
            <w:vAlign w:val="bottom"/>
          </w:tcPr>
          <w:p>
            <w:pPr>
              <w:pStyle w:val="TAC"/>
              <w:rPr>
                <w:lang w:eastAsia="zh-CN"/>
              </w:rPr>
            </w:pPr>
            <w:r>
              <w:rPr>
                <w:lang w:eastAsia="zh-CN"/>
              </w:rPr>
              <w:t>9400</w:t>
            </w:r>
          </w:p>
          <w:p>
            <w:pPr>
              <w:pStyle w:val="TAC"/>
              <w:rPr>
                <w:lang w:eastAsia="zh-CN"/>
              </w:rPr>
            </w:pPr>
            <w:r>
              <w:rPr>
                <w:lang w:eastAsia="zh-CN"/>
              </w:rPr>
              <w:t>9800</w:t>
            </w:r>
          </w:p>
        </w:tc>
        <w:tc>
          <w:tcPr>
            <w:tcW w:w="936" w:type="dxa"/>
            <w:tcBorders>
              <w:top w:val="single" w:sz="4" w:space="0" w:color="000000"/>
              <w:left w:val="single" w:sz="4" w:space="0" w:color="000000"/>
              <w:bottom w:val="single" w:sz="4" w:space="0" w:color="000000"/>
              <w:right w:val="single" w:sz="4" w:space="0" w:color="000000"/>
            </w:tcBorders>
            <w:vAlign w:val="bottom"/>
          </w:tcPr>
          <w:p>
            <w:pPr>
              <w:pStyle w:val="TAC"/>
              <w:rPr/>
            </w:pPr>
            <w:r>
              <w:rPr>
                <w:lang w:eastAsia="zh-CN"/>
              </w:rPr>
              <w:t>9546</w:t>
            </w:r>
          </w:p>
          <w:p>
            <w:pPr>
              <w:pStyle w:val="TAC"/>
              <w:rPr>
                <w:lang w:eastAsia="zh-CN"/>
              </w:rPr>
            </w:pPr>
            <w:r>
              <w:rPr>
                <w:lang w:eastAsia="zh-CN"/>
              </w:rPr>
              <w:t>9946</w:t>
            </w:r>
          </w:p>
        </w:tc>
      </w:tr>
      <w:tr>
        <w:trPr>
          <w:trHeight w:val="255" w:hRule="atLeast"/>
        </w:trPr>
        <w:tc>
          <w:tcPr>
            <w:tcW w:w="1797" w:type="dxa"/>
            <w:tcBorders>
              <w:top w:val="single" w:sz="4" w:space="0" w:color="000000"/>
              <w:left w:val="single" w:sz="4" w:space="0" w:color="000000"/>
              <w:bottom w:val="single" w:sz="4" w:space="0" w:color="000000"/>
              <w:right w:val="single" w:sz="4" w:space="0" w:color="000000"/>
            </w:tcBorders>
            <w:vAlign w:val="bottom"/>
          </w:tcPr>
          <w:p>
            <w:pPr>
              <w:pStyle w:val="TAC"/>
              <w:rPr>
                <w:lang w:eastAsia="zh-CN"/>
              </w:rPr>
            </w:pPr>
            <w:r>
              <w:rPr>
                <w:lang w:eastAsia="zh-CN"/>
              </w:rPr>
              <w:t>c</w:t>
            </w:r>
          </w:p>
          <w:p>
            <w:pPr>
              <w:pStyle w:val="TAC"/>
              <w:rPr>
                <w:lang w:eastAsia="zh-CN"/>
              </w:rPr>
            </w:pPr>
            <w:r>
              <w:rPr>
                <w:lang w:eastAsia="zh-CN"/>
              </w:rPr>
              <w:t>1910-1930 MHz</w:t>
            </w:r>
          </w:p>
        </w:tc>
        <w:tc>
          <w:tcPr>
            <w:tcW w:w="935" w:type="dxa"/>
            <w:tcBorders>
              <w:top w:val="single" w:sz="4" w:space="0" w:color="000000"/>
              <w:left w:val="single" w:sz="4" w:space="0" w:color="000000"/>
              <w:bottom w:val="single" w:sz="4" w:space="0" w:color="000000"/>
              <w:right w:val="single" w:sz="4" w:space="0" w:color="000000"/>
            </w:tcBorders>
            <w:vAlign w:val="bottom"/>
          </w:tcPr>
          <w:p>
            <w:pPr>
              <w:pStyle w:val="TAC"/>
              <w:rPr>
                <w:lang w:eastAsia="zh-CN"/>
              </w:rPr>
            </w:pPr>
            <w:r>
              <w:rPr>
                <w:lang w:eastAsia="zh-CN"/>
              </w:rPr>
              <w:t>9554</w:t>
            </w:r>
          </w:p>
        </w:tc>
        <w:tc>
          <w:tcPr>
            <w:tcW w:w="935" w:type="dxa"/>
            <w:tcBorders>
              <w:top w:val="single" w:sz="4" w:space="0" w:color="000000"/>
              <w:left w:val="single" w:sz="4" w:space="0" w:color="000000"/>
              <w:bottom w:val="single" w:sz="4" w:space="0" w:color="000000"/>
              <w:right w:val="single" w:sz="4" w:space="0" w:color="000000"/>
            </w:tcBorders>
            <w:vAlign w:val="bottom"/>
          </w:tcPr>
          <w:p>
            <w:pPr>
              <w:pStyle w:val="TAC"/>
              <w:rPr>
                <w:lang w:eastAsia="zh-CN"/>
              </w:rPr>
            </w:pPr>
            <w:r>
              <w:rPr>
                <w:lang w:eastAsia="zh-CN"/>
              </w:rPr>
              <w:t>9600</w:t>
            </w:r>
          </w:p>
        </w:tc>
        <w:tc>
          <w:tcPr>
            <w:tcW w:w="936" w:type="dxa"/>
            <w:tcBorders>
              <w:top w:val="single" w:sz="4" w:space="0" w:color="000000"/>
              <w:left w:val="single" w:sz="4" w:space="0" w:color="000000"/>
              <w:bottom w:val="single" w:sz="4" w:space="0" w:color="000000"/>
              <w:right w:val="single" w:sz="4" w:space="0" w:color="000000"/>
            </w:tcBorders>
            <w:vAlign w:val="bottom"/>
          </w:tcPr>
          <w:p>
            <w:pPr>
              <w:pStyle w:val="TAC"/>
              <w:rPr>
                <w:lang w:eastAsia="zh-CN"/>
              </w:rPr>
            </w:pPr>
            <w:r>
              <w:rPr>
                <w:lang w:eastAsia="zh-CN"/>
              </w:rPr>
              <w:t>9646</w:t>
            </w:r>
          </w:p>
        </w:tc>
      </w:tr>
      <w:tr>
        <w:trPr>
          <w:trHeight w:val="255" w:hRule="atLeast"/>
        </w:trPr>
        <w:tc>
          <w:tcPr>
            <w:tcW w:w="1797" w:type="dxa"/>
            <w:tcBorders>
              <w:top w:val="single" w:sz="4" w:space="0" w:color="000000"/>
              <w:left w:val="single" w:sz="4" w:space="0" w:color="000000"/>
              <w:bottom w:val="single" w:sz="4" w:space="0" w:color="000000"/>
              <w:right w:val="single" w:sz="4" w:space="0" w:color="000000"/>
            </w:tcBorders>
            <w:vAlign w:val="bottom"/>
          </w:tcPr>
          <w:p>
            <w:pPr>
              <w:pStyle w:val="TAC"/>
              <w:rPr>
                <w:lang w:eastAsia="zh-CN"/>
              </w:rPr>
            </w:pPr>
            <w:r>
              <w:rPr>
                <w:lang w:eastAsia="zh-CN"/>
              </w:rPr>
              <w:t>d</w:t>
            </w:r>
          </w:p>
          <w:p>
            <w:pPr>
              <w:pStyle w:val="TAC"/>
              <w:rPr>
                <w:lang w:eastAsia="zh-CN"/>
              </w:rPr>
            </w:pPr>
            <w:r>
              <w:rPr>
                <w:lang w:eastAsia="zh-CN"/>
              </w:rPr>
              <w:t>2570-2620 MHz</w:t>
            </w:r>
          </w:p>
        </w:tc>
        <w:tc>
          <w:tcPr>
            <w:tcW w:w="935" w:type="dxa"/>
            <w:tcBorders>
              <w:top w:val="single" w:sz="4" w:space="0" w:color="000000"/>
              <w:left w:val="single" w:sz="4" w:space="0" w:color="000000"/>
              <w:bottom w:val="single" w:sz="4" w:space="0" w:color="000000"/>
              <w:right w:val="single" w:sz="4" w:space="0" w:color="000000"/>
            </w:tcBorders>
            <w:vAlign w:val="bottom"/>
          </w:tcPr>
          <w:p>
            <w:pPr>
              <w:pStyle w:val="TAC"/>
              <w:rPr>
                <w:lang w:eastAsia="zh-CN"/>
              </w:rPr>
            </w:pPr>
            <w:r>
              <w:rPr>
                <w:lang w:eastAsia="zh-CN"/>
              </w:rPr>
              <w:t>12854</w:t>
            </w:r>
          </w:p>
        </w:tc>
        <w:tc>
          <w:tcPr>
            <w:tcW w:w="935" w:type="dxa"/>
            <w:tcBorders>
              <w:top w:val="single" w:sz="4" w:space="0" w:color="000000"/>
              <w:left w:val="single" w:sz="4" w:space="0" w:color="000000"/>
              <w:bottom w:val="single" w:sz="4" w:space="0" w:color="000000"/>
              <w:right w:val="single" w:sz="4" w:space="0" w:color="000000"/>
            </w:tcBorders>
            <w:vAlign w:val="bottom"/>
          </w:tcPr>
          <w:p>
            <w:pPr>
              <w:pStyle w:val="TAC"/>
              <w:rPr>
                <w:lang w:eastAsia="zh-CN"/>
              </w:rPr>
            </w:pPr>
            <w:r>
              <w:rPr>
                <w:lang w:eastAsia="zh-CN"/>
              </w:rPr>
              <w:t>12975</w:t>
            </w:r>
          </w:p>
        </w:tc>
        <w:tc>
          <w:tcPr>
            <w:tcW w:w="936" w:type="dxa"/>
            <w:tcBorders>
              <w:top w:val="single" w:sz="4" w:space="0" w:color="000000"/>
              <w:left w:val="single" w:sz="4" w:space="0" w:color="000000"/>
              <w:bottom w:val="single" w:sz="4" w:space="0" w:color="000000"/>
              <w:right w:val="single" w:sz="4" w:space="0" w:color="000000"/>
            </w:tcBorders>
            <w:vAlign w:val="bottom"/>
          </w:tcPr>
          <w:p>
            <w:pPr>
              <w:pStyle w:val="TAC"/>
              <w:rPr>
                <w:lang w:eastAsia="zh-CN"/>
              </w:rPr>
            </w:pPr>
            <w:r>
              <w:rPr>
                <w:lang w:eastAsia="zh-CN"/>
              </w:rPr>
              <w:t>13096</w:t>
            </w:r>
          </w:p>
        </w:tc>
      </w:tr>
      <w:tr>
        <w:trPr>
          <w:trHeight w:val="255" w:hRule="atLeast"/>
        </w:trPr>
        <w:tc>
          <w:tcPr>
            <w:tcW w:w="1797" w:type="dxa"/>
            <w:tcBorders>
              <w:top w:val="single" w:sz="4" w:space="0" w:color="000000"/>
              <w:left w:val="single" w:sz="4" w:space="0" w:color="000000"/>
              <w:bottom w:val="single" w:sz="4" w:space="0" w:color="000000"/>
              <w:right w:val="single" w:sz="4" w:space="0" w:color="000000"/>
            </w:tcBorders>
            <w:vAlign w:val="bottom"/>
          </w:tcPr>
          <w:p>
            <w:pPr>
              <w:pStyle w:val="TAC"/>
              <w:rPr>
                <w:lang w:eastAsia="zh-CN"/>
              </w:rPr>
            </w:pPr>
            <w:r>
              <w:rPr>
                <w:lang w:eastAsia="zh-CN"/>
              </w:rPr>
              <w:t>e</w:t>
            </w:r>
          </w:p>
          <w:p>
            <w:pPr>
              <w:pStyle w:val="TAC"/>
              <w:rPr>
                <w:lang w:eastAsia="zh-CN"/>
              </w:rPr>
            </w:pPr>
            <w:r>
              <w:rPr>
                <w:lang w:eastAsia="zh-CN"/>
              </w:rPr>
              <w:t>2300-2400 MHz</w:t>
            </w:r>
          </w:p>
        </w:tc>
        <w:tc>
          <w:tcPr>
            <w:tcW w:w="935" w:type="dxa"/>
            <w:tcBorders>
              <w:top w:val="single" w:sz="4" w:space="0" w:color="000000"/>
              <w:left w:val="single" w:sz="4" w:space="0" w:color="000000"/>
              <w:bottom w:val="single" w:sz="4" w:space="0" w:color="000000"/>
              <w:right w:val="single" w:sz="4" w:space="0" w:color="000000"/>
            </w:tcBorders>
            <w:vAlign w:val="bottom"/>
          </w:tcPr>
          <w:p>
            <w:pPr>
              <w:pStyle w:val="TAC"/>
              <w:rPr/>
            </w:pPr>
            <w:r>
              <w:rPr>
                <w:lang w:eastAsia="zh-CN"/>
              </w:rPr>
              <w:t>11504</w:t>
            </w:r>
          </w:p>
        </w:tc>
        <w:tc>
          <w:tcPr>
            <w:tcW w:w="935" w:type="dxa"/>
            <w:tcBorders>
              <w:top w:val="single" w:sz="4" w:space="0" w:color="000000"/>
              <w:left w:val="single" w:sz="4" w:space="0" w:color="000000"/>
              <w:bottom w:val="single" w:sz="4" w:space="0" w:color="000000"/>
              <w:right w:val="single" w:sz="4" w:space="0" w:color="000000"/>
            </w:tcBorders>
            <w:vAlign w:val="bottom"/>
          </w:tcPr>
          <w:p>
            <w:pPr>
              <w:pStyle w:val="TAC"/>
              <w:rPr>
                <w:lang w:eastAsia="zh-CN"/>
              </w:rPr>
            </w:pPr>
            <w:r>
              <w:rPr>
                <w:lang w:eastAsia="zh-CN"/>
              </w:rPr>
              <w:t>11750</w:t>
            </w:r>
          </w:p>
        </w:tc>
        <w:tc>
          <w:tcPr>
            <w:tcW w:w="936" w:type="dxa"/>
            <w:tcBorders>
              <w:top w:val="single" w:sz="4" w:space="0" w:color="000000"/>
              <w:left w:val="single" w:sz="4" w:space="0" w:color="000000"/>
              <w:bottom w:val="single" w:sz="4" w:space="0" w:color="000000"/>
              <w:right w:val="single" w:sz="4" w:space="0" w:color="000000"/>
            </w:tcBorders>
            <w:vAlign w:val="bottom"/>
          </w:tcPr>
          <w:p>
            <w:pPr>
              <w:pStyle w:val="TAC"/>
              <w:rPr>
                <w:lang w:eastAsia="zh-CN"/>
              </w:rPr>
            </w:pPr>
            <w:r>
              <w:rPr>
                <w:lang w:eastAsia="zh-CN"/>
              </w:rPr>
              <w:t>11996</w:t>
            </w:r>
          </w:p>
        </w:tc>
      </w:tr>
      <w:tr>
        <w:trPr>
          <w:trHeight w:val="255" w:hRule="atLeast"/>
        </w:trPr>
        <w:tc>
          <w:tcPr>
            <w:tcW w:w="1797" w:type="dxa"/>
            <w:tcBorders>
              <w:top w:val="single" w:sz="4" w:space="0" w:color="000000"/>
              <w:left w:val="single" w:sz="4" w:space="0" w:color="000000"/>
              <w:bottom w:val="single" w:sz="4" w:space="0" w:color="000000"/>
              <w:right w:val="single" w:sz="4" w:space="0" w:color="000000"/>
            </w:tcBorders>
            <w:vAlign w:val="bottom"/>
          </w:tcPr>
          <w:p>
            <w:pPr>
              <w:pStyle w:val="TAC"/>
              <w:rPr>
                <w:lang w:eastAsia="zh-CN"/>
              </w:rPr>
            </w:pPr>
            <w:r>
              <w:rPr>
                <w:lang w:eastAsia="zh-CN"/>
              </w:rPr>
              <w:t>f</w:t>
            </w:r>
          </w:p>
          <w:p>
            <w:pPr>
              <w:pStyle w:val="TAC"/>
              <w:rPr>
                <w:lang w:eastAsia="zh-CN"/>
              </w:rPr>
            </w:pPr>
            <w:r>
              <w:rPr>
                <w:lang w:eastAsia="zh-CN"/>
              </w:rPr>
              <w:t>1880-1920 MHz</w:t>
            </w:r>
          </w:p>
        </w:tc>
        <w:tc>
          <w:tcPr>
            <w:tcW w:w="935" w:type="dxa"/>
            <w:tcBorders>
              <w:top w:val="single" w:sz="4" w:space="0" w:color="000000"/>
              <w:left w:val="single" w:sz="4" w:space="0" w:color="000000"/>
              <w:bottom w:val="single" w:sz="4" w:space="0" w:color="000000"/>
              <w:right w:val="single" w:sz="4" w:space="0" w:color="000000"/>
            </w:tcBorders>
            <w:vAlign w:val="bottom"/>
          </w:tcPr>
          <w:p>
            <w:pPr>
              <w:pStyle w:val="TAC"/>
              <w:rPr>
                <w:lang w:eastAsia="zh-CN"/>
              </w:rPr>
            </w:pPr>
            <w:r>
              <w:rPr>
                <w:lang w:eastAsia="zh-CN"/>
              </w:rPr>
              <w:t>9404</w:t>
            </w:r>
          </w:p>
        </w:tc>
        <w:tc>
          <w:tcPr>
            <w:tcW w:w="935" w:type="dxa"/>
            <w:tcBorders>
              <w:top w:val="single" w:sz="4" w:space="0" w:color="000000"/>
              <w:left w:val="single" w:sz="4" w:space="0" w:color="000000"/>
              <w:bottom w:val="single" w:sz="4" w:space="0" w:color="000000"/>
              <w:right w:val="single" w:sz="4" w:space="0" w:color="000000"/>
            </w:tcBorders>
            <w:vAlign w:val="bottom"/>
          </w:tcPr>
          <w:p>
            <w:pPr>
              <w:pStyle w:val="TAC"/>
              <w:rPr>
                <w:lang w:eastAsia="zh-CN"/>
              </w:rPr>
            </w:pPr>
            <w:r>
              <w:rPr>
                <w:lang w:eastAsia="zh-CN"/>
              </w:rPr>
              <w:t>9500</w:t>
            </w:r>
          </w:p>
        </w:tc>
        <w:tc>
          <w:tcPr>
            <w:tcW w:w="936" w:type="dxa"/>
            <w:tcBorders>
              <w:top w:val="single" w:sz="4" w:space="0" w:color="000000"/>
              <w:left w:val="single" w:sz="4" w:space="0" w:color="000000"/>
              <w:bottom w:val="single" w:sz="4" w:space="0" w:color="000000"/>
              <w:right w:val="single" w:sz="4" w:space="0" w:color="000000"/>
            </w:tcBorders>
            <w:vAlign w:val="bottom"/>
          </w:tcPr>
          <w:p>
            <w:pPr>
              <w:pStyle w:val="TAC"/>
              <w:rPr>
                <w:lang w:eastAsia="zh-CN"/>
              </w:rPr>
            </w:pPr>
            <w:r>
              <w:rPr>
                <w:lang w:eastAsia="zh-CN"/>
              </w:rPr>
              <w:t>9596</w:t>
            </w:r>
          </w:p>
        </w:tc>
      </w:tr>
    </w:tbl>
    <w:p>
      <w:pPr>
        <w:pStyle w:val="Normal"/>
        <w:rPr/>
      </w:pPr>
      <w:r>
        <w:rPr/>
      </w:r>
    </w:p>
    <w:p>
      <w:pPr>
        <w:pStyle w:val="Heading2"/>
        <w:rPr/>
      </w:pPr>
      <w:bookmarkStart w:id="38" w:name="__RefHeading___Toc68600978"/>
      <w:bookmarkEnd w:id="38"/>
      <w:r>
        <w:rPr/>
        <w:t>5.3</w:t>
        <w:tab/>
        <w:t>E-UTRA FDD frequency bands and measurement frequencies allocations</w:t>
      </w:r>
    </w:p>
    <w:p>
      <w:pPr>
        <w:pStyle w:val="EditorsNote"/>
        <w:rPr/>
      </w:pPr>
      <w:r>
        <w:rPr/>
        <w:t>Editor’s notes: This Subclause is incomplete. The following item is missing or incomplete:</w:t>
      </w:r>
    </w:p>
    <w:p>
      <w:pPr>
        <w:pStyle w:val="EditorsNote"/>
        <w:rPr/>
      </w:pPr>
      <w:r>
        <w:rPr/>
        <w:t>- TBDs in Tables 5.3-1 (TRP) and 5.3.3 (TRS)</w:t>
      </w:r>
    </w:p>
    <w:p>
      <w:pPr>
        <w:pStyle w:val="EditorsNote"/>
        <w:rPr/>
      </w:pPr>
      <w:r>
        <w:rPr>
          <w:lang w:eastAsia="zh-CN"/>
        </w:rPr>
        <w:t>- Some E-UTRA bands are not included and are FFS</w:t>
      </w:r>
    </w:p>
    <w:p>
      <w:pPr>
        <w:pStyle w:val="Normal"/>
        <w:rPr/>
      </w:pPr>
      <w:r>
        <w:rPr/>
        <w:t xml:space="preserve">This section specifies the </w:t>
      </w:r>
      <w:bookmarkStart w:id="39" w:name="OLE_LINK6"/>
      <w:bookmarkStart w:id="40" w:name="OLE_LINK5"/>
      <w:r>
        <w:rPr/>
        <w:t>LTE-FDD TRP and TRS frequency bands and measurement frequencies allocations.</w:t>
      </w:r>
      <w:bookmarkEnd w:id="39"/>
      <w:bookmarkEnd w:id="40"/>
      <w:r>
        <w:rPr/>
        <w:t xml:space="preserve"> Table 5.3-0 lists the operating bands. Table 5.3-1 specifies the measurement frequency allocations for TRP and Table 5.3-2 specifies the measurement frequency allocations for TRS.</w:t>
      </w:r>
    </w:p>
    <w:p>
      <w:pPr>
        <w:pStyle w:val="TH"/>
        <w:rPr/>
      </w:pPr>
      <w:r>
        <w:rPr/>
        <w:t>Table 5.3-0 E-UTRA FDD operating bands for TRP and TRS</w:t>
      </w:r>
    </w:p>
    <w:tbl>
      <w:tblPr>
        <w:tblW w:w="7654" w:type="dxa"/>
        <w:jc w:val="center"/>
        <w:tblInd w:w="0" w:type="dxa"/>
        <w:tblLayout w:type="fixed"/>
        <w:tblCellMar>
          <w:top w:w="0" w:type="dxa"/>
          <w:left w:w="108" w:type="dxa"/>
          <w:bottom w:w="0" w:type="dxa"/>
          <w:right w:w="108" w:type="dxa"/>
        </w:tblCellMar>
      </w:tblPr>
      <w:tblGrid>
        <w:gridCol w:w="1068"/>
        <w:gridCol w:w="1227"/>
        <w:gridCol w:w="517"/>
        <w:gridCol w:w="1175"/>
        <w:gridCol w:w="1243"/>
        <w:gridCol w:w="317"/>
        <w:gridCol w:w="1201"/>
        <w:gridCol w:w="906"/>
      </w:tblGrid>
      <w:tr>
        <w:trPr/>
        <w:tc>
          <w:tcPr>
            <w:tcW w:w="1068" w:type="dxa"/>
            <w:vMerge w:val="restart"/>
            <w:tcBorders>
              <w:top w:val="single" w:sz="4" w:space="0" w:color="000000"/>
              <w:left w:val="single" w:sz="4" w:space="0" w:color="000000"/>
              <w:right w:val="single" w:sz="4" w:space="0" w:color="000000"/>
            </w:tcBorders>
            <w:vAlign w:val="center"/>
          </w:tcPr>
          <w:p>
            <w:pPr>
              <w:pStyle w:val="TAH"/>
              <w:rPr>
                <w:rFonts w:cs="Arial"/>
                <w:lang w:eastAsia="en-US"/>
              </w:rPr>
            </w:pPr>
            <w:r>
              <w:rPr>
                <w:rFonts w:cs="Arial"/>
                <w:lang w:eastAsia="en-US"/>
              </w:rPr>
              <w:t>E</w:t>
              <w:noBreakHyphen/>
              <w:t>UTRA Operating Band</w:t>
            </w:r>
          </w:p>
        </w:tc>
        <w:tc>
          <w:tcPr>
            <w:tcW w:w="291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cs="Arial"/>
                <w:lang w:eastAsia="en-US"/>
              </w:rPr>
              <w:t>Uplink (UL) operating band</w:t>
              <w:br/>
              <w:t>BS receive</w:t>
              <w:br/>
              <w:t>UE transmit</w:t>
            </w:r>
          </w:p>
        </w:tc>
        <w:tc>
          <w:tcPr>
            <w:tcW w:w="2761" w:type="dxa"/>
            <w:gridSpan w:val="3"/>
            <w:tcBorders>
              <w:top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Downlink (DL) operating band</w:t>
              <w:br/>
              <w:t>BS transmit</w:t>
              <w:br/>
              <w:t>UE receive</w:t>
            </w:r>
          </w:p>
        </w:tc>
        <w:tc>
          <w:tcPr>
            <w:tcW w:w="906" w:type="dxa"/>
            <w:vMerge w:val="restart"/>
            <w:tcBorders>
              <w:top w:val="single" w:sz="4" w:space="0" w:color="000000"/>
              <w:left w:val="single" w:sz="4" w:space="0" w:color="000000"/>
              <w:right w:val="single" w:sz="4" w:space="0" w:color="000000"/>
            </w:tcBorders>
          </w:tcPr>
          <w:p>
            <w:pPr>
              <w:pStyle w:val="TAH"/>
              <w:rPr>
                <w:rFonts w:cs="Arial"/>
                <w:lang w:eastAsia="en-US"/>
              </w:rPr>
            </w:pPr>
            <w:r>
              <w:rPr>
                <w:rFonts w:cs="Arial"/>
                <w:lang w:eastAsia="en-US"/>
              </w:rPr>
              <w:t>Duplex Mode</w:t>
            </w:r>
          </w:p>
        </w:tc>
      </w:tr>
      <w:tr>
        <w:trPr/>
        <w:tc>
          <w:tcPr>
            <w:tcW w:w="1068" w:type="dxa"/>
            <w:vMerge w:val="continue"/>
            <w:tcBorders>
              <w:top w:val="single" w:sz="4" w:space="0" w:color="000000"/>
              <w:left w:val="single" w:sz="4" w:space="0" w:color="000000"/>
              <w:right w:val="single" w:sz="4" w:space="0" w:color="000000"/>
            </w:tcBorders>
            <w:vAlign w:val="center"/>
          </w:tcPr>
          <w:p>
            <w:pPr>
              <w:pStyle w:val="TAH"/>
              <w:snapToGrid w:val="false"/>
              <w:rPr>
                <w:rFonts w:cs="Arial"/>
                <w:b/>
                <w:b/>
                <w:lang w:eastAsia="en-US"/>
              </w:rPr>
            </w:pPr>
            <w:r>
              <w:rPr>
                <w:rFonts w:cs="Arial"/>
                <w:b/>
                <w:lang w:eastAsia="en-US"/>
              </w:rPr>
            </w:r>
          </w:p>
        </w:tc>
        <w:tc>
          <w:tcPr>
            <w:tcW w:w="2919" w:type="dxa"/>
            <w:gridSpan w:val="3"/>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F</w:t>
            </w:r>
            <w:r>
              <w:rPr>
                <w:rFonts w:cs="Arial"/>
                <w:vertAlign w:val="subscript"/>
                <w:lang w:eastAsia="en-US"/>
              </w:rPr>
              <w:t>UL_low</w:t>
            </w:r>
            <w:r>
              <w:rPr>
                <w:rFonts w:cs="Arial"/>
                <w:lang w:eastAsia="en-US"/>
              </w:rPr>
              <w:t xml:space="preserve"> – F</w:t>
            </w:r>
            <w:r>
              <w:rPr>
                <w:rFonts w:cs="Arial"/>
                <w:vertAlign w:val="subscript"/>
                <w:lang w:eastAsia="en-US"/>
              </w:rPr>
              <w:t>UL_high</w:t>
            </w:r>
          </w:p>
        </w:tc>
        <w:tc>
          <w:tcPr>
            <w:tcW w:w="2761" w:type="dxa"/>
            <w:gridSpan w:val="3"/>
            <w:tcBorders>
              <w:top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F</w:t>
            </w:r>
            <w:r>
              <w:rPr>
                <w:rFonts w:cs="Arial"/>
                <w:vertAlign w:val="subscript"/>
                <w:lang w:eastAsia="en-US"/>
              </w:rPr>
              <w:t>DL_low</w:t>
            </w:r>
            <w:r>
              <w:rPr>
                <w:rFonts w:cs="Arial"/>
                <w:lang w:eastAsia="en-US"/>
              </w:rPr>
              <w:t xml:space="preserve"> – F</w:t>
            </w:r>
            <w:r>
              <w:rPr>
                <w:rFonts w:cs="Arial"/>
                <w:vertAlign w:val="subscript"/>
                <w:lang w:eastAsia="en-US"/>
              </w:rPr>
              <w:t>DL_high</w:t>
            </w:r>
          </w:p>
        </w:tc>
        <w:tc>
          <w:tcPr>
            <w:tcW w:w="906" w:type="dxa"/>
            <w:vMerge w:val="continue"/>
            <w:tcBorders>
              <w:top w:val="single" w:sz="4" w:space="0" w:color="000000"/>
              <w:left w:val="single" w:sz="4" w:space="0" w:color="000000"/>
              <w:right w:val="single" w:sz="4" w:space="0" w:color="000000"/>
            </w:tcBorders>
          </w:tcPr>
          <w:p>
            <w:pPr>
              <w:pStyle w:val="TAC"/>
              <w:snapToGrid w:val="false"/>
              <w:rPr>
                <w:rFonts w:cs="Arial"/>
                <w:lang w:eastAsia="en-US"/>
              </w:rPr>
            </w:pPr>
            <w:r>
              <w:rPr>
                <w:rFonts w:cs="Arial"/>
                <w:lang w:eastAsia="en-US"/>
              </w:rPr>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1227" w:type="dxa"/>
            <w:tcBorders>
              <w:top w:val="single" w:sz="4" w:space="0" w:color="000000"/>
              <w:left w:val="single" w:sz="4" w:space="0" w:color="000000"/>
              <w:bottom w:val="single" w:sz="4" w:space="0" w:color="000000"/>
            </w:tcBorders>
            <w:vAlign w:val="center"/>
          </w:tcPr>
          <w:p>
            <w:pPr>
              <w:pStyle w:val="TAR"/>
              <w:rPr>
                <w:lang w:eastAsia="en-US"/>
              </w:rPr>
            </w:pPr>
            <w:r>
              <w:rPr>
                <w:lang w:eastAsia="en-US"/>
              </w:rPr>
              <w:t>1920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vAlign w:val="center"/>
          </w:tcPr>
          <w:p>
            <w:pPr>
              <w:pStyle w:val="TAL1"/>
              <w:rPr>
                <w:lang w:eastAsia="en-US"/>
              </w:rPr>
            </w:pPr>
            <w:r>
              <w:rPr>
                <w:lang w:eastAsia="en-US"/>
              </w:rPr>
              <w:t xml:space="preserve">1980 MHz </w:t>
            </w:r>
          </w:p>
        </w:tc>
        <w:tc>
          <w:tcPr>
            <w:tcW w:w="1243" w:type="dxa"/>
            <w:tcBorders>
              <w:top w:val="single" w:sz="4" w:space="0" w:color="000000"/>
              <w:bottom w:val="single" w:sz="4" w:space="0" w:color="000000"/>
            </w:tcBorders>
            <w:vAlign w:val="center"/>
          </w:tcPr>
          <w:p>
            <w:pPr>
              <w:pStyle w:val="TAR"/>
              <w:rPr>
                <w:lang w:eastAsia="en-US"/>
              </w:rPr>
            </w:pPr>
            <w:r>
              <w:rPr>
                <w:lang w:eastAsia="en-US"/>
              </w:rPr>
              <w:t>2110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vAlign w:val="center"/>
          </w:tcPr>
          <w:p>
            <w:pPr>
              <w:pStyle w:val="TAL1"/>
              <w:rPr>
                <w:lang w:eastAsia="en-US"/>
              </w:rPr>
            </w:pPr>
            <w:r>
              <w:rPr>
                <w:lang w:eastAsia="en-US"/>
              </w:rPr>
              <w:t>2170 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FDD</w:t>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w:t>
            </w:r>
          </w:p>
        </w:tc>
        <w:tc>
          <w:tcPr>
            <w:tcW w:w="1227" w:type="dxa"/>
            <w:tcBorders>
              <w:top w:val="single" w:sz="4" w:space="0" w:color="000000"/>
              <w:left w:val="single" w:sz="4" w:space="0" w:color="000000"/>
              <w:bottom w:val="single" w:sz="4" w:space="0" w:color="000000"/>
            </w:tcBorders>
            <w:vAlign w:val="center"/>
          </w:tcPr>
          <w:p>
            <w:pPr>
              <w:pStyle w:val="TAR"/>
              <w:rPr>
                <w:lang w:eastAsia="en-US"/>
              </w:rPr>
            </w:pPr>
            <w:r>
              <w:rPr>
                <w:lang w:eastAsia="en-US"/>
              </w:rPr>
              <w:t>1850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vAlign w:val="center"/>
          </w:tcPr>
          <w:p>
            <w:pPr>
              <w:pStyle w:val="TAL1"/>
              <w:rPr>
                <w:lang w:eastAsia="en-US"/>
              </w:rPr>
            </w:pPr>
            <w:r>
              <w:rPr>
                <w:lang w:eastAsia="en-US"/>
              </w:rPr>
              <w:t>1910 MHz</w:t>
            </w:r>
          </w:p>
        </w:tc>
        <w:tc>
          <w:tcPr>
            <w:tcW w:w="1243" w:type="dxa"/>
            <w:tcBorders>
              <w:top w:val="single" w:sz="4" w:space="0" w:color="000000"/>
              <w:bottom w:val="single" w:sz="4" w:space="0" w:color="000000"/>
            </w:tcBorders>
            <w:vAlign w:val="center"/>
          </w:tcPr>
          <w:p>
            <w:pPr>
              <w:pStyle w:val="TAR"/>
              <w:rPr>
                <w:lang w:eastAsia="en-US"/>
              </w:rPr>
            </w:pPr>
            <w:r>
              <w:rPr>
                <w:lang w:eastAsia="en-US"/>
              </w:rPr>
              <w:t>1930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vAlign w:val="center"/>
          </w:tcPr>
          <w:p>
            <w:pPr>
              <w:pStyle w:val="TAL1"/>
              <w:rPr>
                <w:lang w:eastAsia="en-US"/>
              </w:rPr>
            </w:pPr>
            <w:r>
              <w:rPr>
                <w:lang w:eastAsia="en-US"/>
              </w:rPr>
              <w:t>1990 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FDD</w:t>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w:t>
            </w:r>
          </w:p>
        </w:tc>
        <w:tc>
          <w:tcPr>
            <w:tcW w:w="1227" w:type="dxa"/>
            <w:tcBorders>
              <w:top w:val="single" w:sz="4" w:space="0" w:color="000000"/>
              <w:left w:val="single" w:sz="4" w:space="0" w:color="000000"/>
              <w:bottom w:val="single" w:sz="4" w:space="0" w:color="000000"/>
            </w:tcBorders>
            <w:vAlign w:val="center"/>
          </w:tcPr>
          <w:p>
            <w:pPr>
              <w:pStyle w:val="TAR"/>
              <w:rPr>
                <w:lang w:eastAsia="en-US"/>
              </w:rPr>
            </w:pPr>
            <w:r>
              <w:rPr>
                <w:lang w:eastAsia="en-US"/>
              </w:rPr>
              <w:t>1710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vAlign w:val="center"/>
          </w:tcPr>
          <w:p>
            <w:pPr>
              <w:pStyle w:val="TAL1"/>
              <w:rPr>
                <w:lang w:eastAsia="en-US"/>
              </w:rPr>
            </w:pPr>
            <w:r>
              <w:rPr>
                <w:lang w:eastAsia="en-US"/>
              </w:rPr>
              <w:t>1785 MHz</w:t>
            </w:r>
          </w:p>
        </w:tc>
        <w:tc>
          <w:tcPr>
            <w:tcW w:w="1243" w:type="dxa"/>
            <w:tcBorders>
              <w:top w:val="single" w:sz="4" w:space="0" w:color="000000"/>
              <w:bottom w:val="single" w:sz="4" w:space="0" w:color="000000"/>
            </w:tcBorders>
            <w:vAlign w:val="center"/>
          </w:tcPr>
          <w:p>
            <w:pPr>
              <w:pStyle w:val="TAR"/>
              <w:rPr>
                <w:lang w:eastAsia="en-US"/>
              </w:rPr>
            </w:pPr>
            <w:r>
              <w:rPr>
                <w:lang w:eastAsia="en-US"/>
              </w:rPr>
              <w:t>1805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vAlign w:val="center"/>
          </w:tcPr>
          <w:p>
            <w:pPr>
              <w:pStyle w:val="TAL1"/>
              <w:rPr>
                <w:lang w:eastAsia="en-US"/>
              </w:rPr>
            </w:pPr>
            <w:r>
              <w:rPr>
                <w:lang w:eastAsia="en-US"/>
              </w:rPr>
              <w:t>1880 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FDD</w:t>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w:t>
            </w:r>
          </w:p>
        </w:tc>
        <w:tc>
          <w:tcPr>
            <w:tcW w:w="1227" w:type="dxa"/>
            <w:tcBorders>
              <w:top w:val="single" w:sz="4" w:space="0" w:color="000000"/>
              <w:left w:val="single" w:sz="4" w:space="0" w:color="000000"/>
              <w:bottom w:val="single" w:sz="4" w:space="0" w:color="000000"/>
            </w:tcBorders>
          </w:tcPr>
          <w:p>
            <w:pPr>
              <w:pStyle w:val="TAR"/>
              <w:rPr>
                <w:lang w:eastAsia="en-US"/>
              </w:rPr>
            </w:pPr>
            <w:r>
              <w:rPr>
                <w:lang w:eastAsia="en-US"/>
              </w:rPr>
              <w:t>1710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tcPr>
          <w:p>
            <w:pPr>
              <w:pStyle w:val="TAL1"/>
              <w:rPr>
                <w:lang w:eastAsia="en-US"/>
              </w:rPr>
            </w:pPr>
            <w:r>
              <w:rPr>
                <w:lang w:eastAsia="en-US"/>
              </w:rPr>
              <w:t xml:space="preserve">1755 MHz </w:t>
            </w:r>
          </w:p>
        </w:tc>
        <w:tc>
          <w:tcPr>
            <w:tcW w:w="1243" w:type="dxa"/>
            <w:tcBorders>
              <w:top w:val="single" w:sz="4" w:space="0" w:color="000000"/>
              <w:bottom w:val="single" w:sz="4" w:space="0" w:color="000000"/>
            </w:tcBorders>
          </w:tcPr>
          <w:p>
            <w:pPr>
              <w:pStyle w:val="TAR"/>
              <w:rPr>
                <w:lang w:eastAsia="en-US"/>
              </w:rPr>
            </w:pPr>
            <w:r>
              <w:rPr>
                <w:lang w:eastAsia="en-US"/>
              </w:rPr>
              <w:t>2110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tcPr>
          <w:p>
            <w:pPr>
              <w:pStyle w:val="TAL1"/>
              <w:rPr>
                <w:lang w:eastAsia="en-US"/>
              </w:rPr>
            </w:pPr>
            <w:r>
              <w:rPr>
                <w:lang w:eastAsia="en-US"/>
              </w:rPr>
              <w:t>2155 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FDD</w:t>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w:t>
            </w:r>
          </w:p>
        </w:tc>
        <w:tc>
          <w:tcPr>
            <w:tcW w:w="1227" w:type="dxa"/>
            <w:tcBorders>
              <w:top w:val="single" w:sz="4" w:space="0" w:color="000000"/>
              <w:left w:val="single" w:sz="4" w:space="0" w:color="000000"/>
              <w:bottom w:val="single" w:sz="4" w:space="0" w:color="000000"/>
            </w:tcBorders>
          </w:tcPr>
          <w:p>
            <w:pPr>
              <w:pStyle w:val="TAR"/>
              <w:rPr>
                <w:lang w:eastAsia="en-US"/>
              </w:rPr>
            </w:pPr>
            <w:r>
              <w:rPr>
                <w:lang w:eastAsia="en-US"/>
              </w:rPr>
              <w:t>824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tcPr>
          <w:p>
            <w:pPr>
              <w:pStyle w:val="TAL1"/>
              <w:rPr>
                <w:lang w:eastAsia="en-US"/>
              </w:rPr>
            </w:pPr>
            <w:r>
              <w:rPr>
                <w:lang w:eastAsia="en-US"/>
              </w:rPr>
              <w:t>849 MHz</w:t>
            </w:r>
          </w:p>
        </w:tc>
        <w:tc>
          <w:tcPr>
            <w:tcW w:w="1243" w:type="dxa"/>
            <w:tcBorders>
              <w:top w:val="single" w:sz="4" w:space="0" w:color="000000"/>
              <w:bottom w:val="single" w:sz="4" w:space="0" w:color="000000"/>
            </w:tcBorders>
          </w:tcPr>
          <w:p>
            <w:pPr>
              <w:pStyle w:val="TAR"/>
              <w:rPr/>
            </w:pPr>
            <w:r>
              <w:rPr>
                <w:lang w:eastAsia="en-US"/>
              </w:rPr>
              <w:t>869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tcPr>
          <w:p>
            <w:pPr>
              <w:pStyle w:val="TAL1"/>
              <w:rPr>
                <w:lang w:eastAsia="en-US"/>
              </w:rPr>
            </w:pPr>
            <w:r>
              <w:rPr>
                <w:lang w:eastAsia="en-US"/>
              </w:rPr>
              <w:t>894MHz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FDD</w:t>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w:t>
            </w:r>
          </w:p>
        </w:tc>
        <w:tc>
          <w:tcPr>
            <w:tcW w:w="1227" w:type="dxa"/>
            <w:tcBorders>
              <w:top w:val="single" w:sz="4" w:space="0" w:color="000000"/>
              <w:left w:val="single" w:sz="4" w:space="0" w:color="000000"/>
              <w:bottom w:val="single" w:sz="4" w:space="0" w:color="000000"/>
            </w:tcBorders>
            <w:vAlign w:val="center"/>
          </w:tcPr>
          <w:p>
            <w:pPr>
              <w:pStyle w:val="TAR"/>
              <w:rPr>
                <w:lang w:eastAsia="en-US"/>
              </w:rPr>
            </w:pPr>
            <w:r>
              <w:rPr>
                <w:lang w:eastAsia="en-US"/>
              </w:rPr>
              <w:t>2500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vAlign w:val="center"/>
          </w:tcPr>
          <w:p>
            <w:pPr>
              <w:pStyle w:val="TAL1"/>
              <w:rPr>
                <w:lang w:eastAsia="en-US"/>
              </w:rPr>
            </w:pPr>
            <w:r>
              <w:rPr>
                <w:lang w:eastAsia="en-US"/>
              </w:rPr>
              <w:t>2570 MHz</w:t>
            </w:r>
          </w:p>
        </w:tc>
        <w:tc>
          <w:tcPr>
            <w:tcW w:w="1243" w:type="dxa"/>
            <w:tcBorders>
              <w:top w:val="single" w:sz="4" w:space="0" w:color="000000"/>
              <w:bottom w:val="single" w:sz="4" w:space="0" w:color="000000"/>
            </w:tcBorders>
            <w:vAlign w:val="center"/>
          </w:tcPr>
          <w:p>
            <w:pPr>
              <w:pStyle w:val="TAR"/>
              <w:rPr>
                <w:lang w:eastAsia="en-US"/>
              </w:rPr>
            </w:pPr>
            <w:r>
              <w:rPr>
                <w:lang w:eastAsia="en-US"/>
              </w:rPr>
              <w:t>2620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vAlign w:val="center"/>
          </w:tcPr>
          <w:p>
            <w:pPr>
              <w:pStyle w:val="TAL1"/>
              <w:rPr>
                <w:lang w:eastAsia="en-US"/>
              </w:rPr>
            </w:pPr>
            <w:r>
              <w:rPr>
                <w:lang w:eastAsia="en-US"/>
              </w:rPr>
              <w:t>2690 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FDD</w:t>
            </w:r>
          </w:p>
        </w:tc>
      </w:tr>
      <w:tr>
        <w:trPr>
          <w:trHeight w:val="221" w:hRule="atLeast"/>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w:t>
            </w:r>
          </w:p>
        </w:tc>
        <w:tc>
          <w:tcPr>
            <w:tcW w:w="1227" w:type="dxa"/>
            <w:tcBorders>
              <w:top w:val="single" w:sz="4" w:space="0" w:color="000000"/>
              <w:left w:val="single" w:sz="4" w:space="0" w:color="000000"/>
              <w:bottom w:val="single" w:sz="4" w:space="0" w:color="000000"/>
            </w:tcBorders>
            <w:vAlign w:val="center"/>
          </w:tcPr>
          <w:p>
            <w:pPr>
              <w:pStyle w:val="TAR"/>
              <w:rPr>
                <w:lang w:eastAsia="en-US"/>
              </w:rPr>
            </w:pPr>
            <w:r>
              <w:rPr>
                <w:lang w:eastAsia="en-US"/>
              </w:rPr>
              <w:t>880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vAlign w:val="center"/>
          </w:tcPr>
          <w:p>
            <w:pPr>
              <w:pStyle w:val="TAL1"/>
              <w:rPr>
                <w:lang w:eastAsia="en-US"/>
              </w:rPr>
            </w:pPr>
            <w:r>
              <w:rPr>
                <w:lang w:eastAsia="en-US"/>
              </w:rPr>
              <w:t>915 MHz</w:t>
            </w:r>
          </w:p>
        </w:tc>
        <w:tc>
          <w:tcPr>
            <w:tcW w:w="1243" w:type="dxa"/>
            <w:tcBorders>
              <w:top w:val="single" w:sz="4" w:space="0" w:color="000000"/>
              <w:bottom w:val="single" w:sz="4" w:space="0" w:color="000000"/>
            </w:tcBorders>
            <w:vAlign w:val="center"/>
          </w:tcPr>
          <w:p>
            <w:pPr>
              <w:pStyle w:val="TAR"/>
              <w:rPr>
                <w:lang w:eastAsia="en-US"/>
              </w:rPr>
            </w:pPr>
            <w:r>
              <w:rPr>
                <w:lang w:eastAsia="en-US"/>
              </w:rPr>
              <w:t>925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vAlign w:val="center"/>
          </w:tcPr>
          <w:p>
            <w:pPr>
              <w:pStyle w:val="TAL1"/>
              <w:rPr>
                <w:lang w:eastAsia="en-US"/>
              </w:rPr>
            </w:pPr>
            <w:r>
              <w:rPr>
                <w:lang w:eastAsia="en-US"/>
              </w:rPr>
              <w:t>960 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FDD</w:t>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227" w:type="dxa"/>
            <w:tcBorders>
              <w:top w:val="single" w:sz="4" w:space="0" w:color="000000"/>
              <w:left w:val="single" w:sz="4" w:space="0" w:color="000000"/>
              <w:bottom w:val="single" w:sz="4" w:space="0" w:color="000000"/>
            </w:tcBorders>
          </w:tcPr>
          <w:p>
            <w:pPr>
              <w:pStyle w:val="TAR"/>
              <w:rPr>
                <w:lang w:eastAsia="en-US"/>
              </w:rPr>
            </w:pPr>
            <w:r>
              <w:rPr>
                <w:lang w:eastAsia="en-US"/>
              </w:rPr>
              <w:t>699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tcPr>
          <w:p>
            <w:pPr>
              <w:pStyle w:val="TAL1"/>
              <w:rPr>
                <w:lang w:eastAsia="en-US"/>
              </w:rPr>
            </w:pPr>
            <w:r>
              <w:rPr>
                <w:lang w:eastAsia="en-US"/>
              </w:rPr>
              <w:t>716 MHz</w:t>
            </w:r>
          </w:p>
        </w:tc>
        <w:tc>
          <w:tcPr>
            <w:tcW w:w="1243" w:type="dxa"/>
            <w:tcBorders>
              <w:top w:val="single" w:sz="4" w:space="0" w:color="000000"/>
              <w:bottom w:val="single" w:sz="4" w:space="0" w:color="000000"/>
            </w:tcBorders>
          </w:tcPr>
          <w:p>
            <w:pPr>
              <w:pStyle w:val="TAR"/>
              <w:rPr>
                <w:lang w:eastAsia="en-US"/>
              </w:rPr>
            </w:pPr>
            <w:r>
              <w:rPr>
                <w:lang w:eastAsia="en-US"/>
              </w:rPr>
              <w:t>729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tcPr>
          <w:p>
            <w:pPr>
              <w:pStyle w:val="TAL1"/>
              <w:rPr>
                <w:lang w:eastAsia="en-US"/>
              </w:rPr>
            </w:pPr>
            <w:r>
              <w:rPr>
                <w:lang w:eastAsia="en-US"/>
              </w:rPr>
              <w:t>746 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FDD</w:t>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13</w:t>
            </w:r>
          </w:p>
        </w:tc>
        <w:tc>
          <w:tcPr>
            <w:tcW w:w="1227" w:type="dxa"/>
            <w:tcBorders>
              <w:top w:val="single" w:sz="4" w:space="0" w:color="000000"/>
              <w:left w:val="single" w:sz="4" w:space="0" w:color="000000"/>
              <w:bottom w:val="single" w:sz="4" w:space="0" w:color="000000"/>
            </w:tcBorders>
          </w:tcPr>
          <w:p>
            <w:pPr>
              <w:pStyle w:val="TAR"/>
              <w:rPr>
                <w:lang w:eastAsia="en-US"/>
              </w:rPr>
            </w:pPr>
            <w:r>
              <w:rPr>
                <w:lang w:eastAsia="en-US"/>
              </w:rPr>
              <w:t>777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tcPr>
          <w:p>
            <w:pPr>
              <w:pStyle w:val="TAL1"/>
              <w:rPr>
                <w:lang w:eastAsia="en-US"/>
              </w:rPr>
            </w:pPr>
            <w:r>
              <w:rPr>
                <w:lang w:eastAsia="en-US"/>
              </w:rPr>
              <w:t>787 MHz</w:t>
            </w:r>
          </w:p>
        </w:tc>
        <w:tc>
          <w:tcPr>
            <w:tcW w:w="1243" w:type="dxa"/>
            <w:tcBorders>
              <w:top w:val="single" w:sz="4" w:space="0" w:color="000000"/>
              <w:bottom w:val="single" w:sz="4" w:space="0" w:color="000000"/>
            </w:tcBorders>
          </w:tcPr>
          <w:p>
            <w:pPr>
              <w:pStyle w:val="TAR"/>
              <w:rPr>
                <w:lang w:eastAsia="en-US"/>
              </w:rPr>
            </w:pPr>
            <w:r>
              <w:rPr>
                <w:lang w:eastAsia="en-US"/>
              </w:rPr>
              <w:t>746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tcPr>
          <w:p>
            <w:pPr>
              <w:pStyle w:val="TAL1"/>
              <w:rPr>
                <w:lang w:eastAsia="en-US"/>
              </w:rPr>
            </w:pPr>
            <w:r>
              <w:rPr>
                <w:lang w:eastAsia="en-US"/>
              </w:rPr>
              <w:t>756 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FDD</w:t>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14</w:t>
            </w:r>
          </w:p>
        </w:tc>
        <w:tc>
          <w:tcPr>
            <w:tcW w:w="1227" w:type="dxa"/>
            <w:tcBorders>
              <w:top w:val="single" w:sz="4" w:space="0" w:color="000000"/>
              <w:left w:val="single" w:sz="4" w:space="0" w:color="000000"/>
              <w:bottom w:val="single" w:sz="4" w:space="0" w:color="000000"/>
            </w:tcBorders>
          </w:tcPr>
          <w:p>
            <w:pPr>
              <w:pStyle w:val="TAR"/>
              <w:rPr>
                <w:lang w:eastAsia="en-US"/>
              </w:rPr>
            </w:pPr>
            <w:r>
              <w:rPr>
                <w:lang w:eastAsia="en-US"/>
              </w:rPr>
              <w:t>788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tcPr>
          <w:p>
            <w:pPr>
              <w:pStyle w:val="TAL1"/>
              <w:rPr>
                <w:lang w:eastAsia="en-US"/>
              </w:rPr>
            </w:pPr>
            <w:r>
              <w:rPr>
                <w:lang w:eastAsia="en-US"/>
              </w:rPr>
              <w:t>798 MHz</w:t>
            </w:r>
          </w:p>
        </w:tc>
        <w:tc>
          <w:tcPr>
            <w:tcW w:w="1243" w:type="dxa"/>
            <w:tcBorders>
              <w:top w:val="single" w:sz="4" w:space="0" w:color="000000"/>
              <w:bottom w:val="single" w:sz="4" w:space="0" w:color="000000"/>
            </w:tcBorders>
          </w:tcPr>
          <w:p>
            <w:pPr>
              <w:pStyle w:val="TAR"/>
              <w:rPr>
                <w:lang w:eastAsia="en-US"/>
              </w:rPr>
            </w:pPr>
            <w:r>
              <w:rPr>
                <w:lang w:eastAsia="en-US"/>
              </w:rPr>
              <w:t>758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tcPr>
          <w:p>
            <w:pPr>
              <w:pStyle w:val="TAL1"/>
              <w:rPr>
                <w:lang w:eastAsia="en-US"/>
              </w:rPr>
            </w:pPr>
            <w:r>
              <w:rPr>
                <w:lang w:eastAsia="en-US"/>
              </w:rPr>
              <w:t>768 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FDD</w:t>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17</w:t>
            </w:r>
          </w:p>
        </w:tc>
        <w:tc>
          <w:tcPr>
            <w:tcW w:w="1227" w:type="dxa"/>
            <w:tcBorders>
              <w:top w:val="single" w:sz="4" w:space="0" w:color="000000"/>
              <w:left w:val="single" w:sz="4" w:space="0" w:color="000000"/>
              <w:bottom w:val="single" w:sz="4" w:space="0" w:color="000000"/>
            </w:tcBorders>
          </w:tcPr>
          <w:p>
            <w:pPr>
              <w:pStyle w:val="TAR"/>
              <w:rPr>
                <w:lang w:eastAsia="en-US"/>
              </w:rPr>
            </w:pPr>
            <w:r>
              <w:rPr>
                <w:lang w:eastAsia="en-US"/>
              </w:rPr>
              <w:t>704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tcPr>
          <w:p>
            <w:pPr>
              <w:pStyle w:val="TAL1"/>
              <w:rPr/>
            </w:pPr>
            <w:r>
              <w:rPr>
                <w:lang w:eastAsia="en-US"/>
              </w:rPr>
              <w:t>716 MHz</w:t>
            </w:r>
          </w:p>
        </w:tc>
        <w:tc>
          <w:tcPr>
            <w:tcW w:w="1243" w:type="dxa"/>
            <w:tcBorders>
              <w:top w:val="single" w:sz="4" w:space="0" w:color="000000"/>
              <w:bottom w:val="single" w:sz="4" w:space="0" w:color="000000"/>
            </w:tcBorders>
          </w:tcPr>
          <w:p>
            <w:pPr>
              <w:pStyle w:val="TAR"/>
              <w:rPr>
                <w:lang w:eastAsia="en-US"/>
              </w:rPr>
            </w:pPr>
            <w:r>
              <w:rPr>
                <w:lang w:eastAsia="en-US"/>
              </w:rPr>
              <w:t>734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tcPr>
          <w:p>
            <w:pPr>
              <w:pStyle w:val="TAL1"/>
              <w:rPr>
                <w:lang w:eastAsia="en-US"/>
              </w:rPr>
            </w:pPr>
            <w:r>
              <w:rPr>
                <w:lang w:eastAsia="en-US"/>
              </w:rPr>
              <w:t>746 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FDD</w:t>
            </w:r>
          </w:p>
        </w:tc>
      </w:tr>
      <w:tr>
        <w:trPr/>
        <w:tc>
          <w:tcPr>
            <w:tcW w:w="106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19</w:t>
            </w:r>
          </w:p>
        </w:tc>
        <w:tc>
          <w:tcPr>
            <w:tcW w:w="1227" w:type="dxa"/>
            <w:tcBorders>
              <w:top w:val="single" w:sz="4" w:space="0" w:color="000000"/>
              <w:left w:val="single" w:sz="4" w:space="0" w:color="000000"/>
              <w:bottom w:val="single" w:sz="4" w:space="0" w:color="000000"/>
            </w:tcBorders>
          </w:tcPr>
          <w:p>
            <w:pPr>
              <w:pStyle w:val="TAR"/>
              <w:rPr>
                <w:lang w:eastAsia="en-US"/>
              </w:rPr>
            </w:pPr>
            <w:r>
              <w:rPr>
                <w:lang w:eastAsia="en-US"/>
              </w:rPr>
              <w:t>830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tcPr>
          <w:p>
            <w:pPr>
              <w:pStyle w:val="TAL1"/>
              <w:rPr>
                <w:lang w:eastAsia="en-US"/>
              </w:rPr>
            </w:pPr>
            <w:r>
              <w:rPr>
                <w:lang w:eastAsia="en-US"/>
              </w:rPr>
              <w:t>845 MHz</w:t>
            </w:r>
          </w:p>
        </w:tc>
        <w:tc>
          <w:tcPr>
            <w:tcW w:w="1243" w:type="dxa"/>
            <w:tcBorders>
              <w:top w:val="single" w:sz="4" w:space="0" w:color="000000"/>
              <w:bottom w:val="single" w:sz="4" w:space="0" w:color="000000"/>
            </w:tcBorders>
          </w:tcPr>
          <w:p>
            <w:pPr>
              <w:pStyle w:val="TAR"/>
              <w:rPr>
                <w:lang w:eastAsia="en-US"/>
              </w:rPr>
            </w:pPr>
            <w:r>
              <w:rPr>
                <w:lang w:eastAsia="en-US"/>
              </w:rPr>
              <w:t>875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tcPr>
          <w:p>
            <w:pPr>
              <w:pStyle w:val="TAL1"/>
              <w:rPr>
                <w:lang w:eastAsia="en-US"/>
              </w:rPr>
            </w:pPr>
            <w:r>
              <w:rPr>
                <w:lang w:eastAsia="en-US"/>
              </w:rPr>
              <w:t>890 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FDD</w:t>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7" w:type="dxa"/>
            <w:tcBorders>
              <w:top w:val="single" w:sz="4" w:space="0" w:color="000000"/>
              <w:left w:val="single" w:sz="4" w:space="0" w:color="000000"/>
              <w:bottom w:val="single" w:sz="4" w:space="0" w:color="000000"/>
            </w:tcBorders>
          </w:tcPr>
          <w:p>
            <w:pPr>
              <w:pStyle w:val="TAR"/>
              <w:rPr>
                <w:lang w:eastAsia="en-US"/>
              </w:rPr>
            </w:pPr>
            <w:r>
              <w:rPr>
                <w:lang w:eastAsia="en-US"/>
              </w:rPr>
              <w:t>832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tcPr>
          <w:p>
            <w:pPr>
              <w:pStyle w:val="TAL1"/>
              <w:rPr>
                <w:lang w:eastAsia="en-US"/>
              </w:rPr>
            </w:pPr>
            <w:r>
              <w:rPr>
                <w:lang w:eastAsia="en-US"/>
              </w:rPr>
              <w:t>862 MHz</w:t>
            </w:r>
          </w:p>
        </w:tc>
        <w:tc>
          <w:tcPr>
            <w:tcW w:w="1243" w:type="dxa"/>
            <w:tcBorders>
              <w:top w:val="single" w:sz="4" w:space="0" w:color="000000"/>
              <w:left w:val="single" w:sz="4" w:space="0" w:color="000000"/>
              <w:bottom w:val="single" w:sz="4" w:space="0" w:color="000000"/>
            </w:tcBorders>
          </w:tcPr>
          <w:p>
            <w:pPr>
              <w:pStyle w:val="TAR"/>
              <w:rPr>
                <w:lang w:eastAsia="en-US"/>
              </w:rPr>
            </w:pPr>
            <w:r>
              <w:rPr>
                <w:lang w:eastAsia="en-US"/>
              </w:rPr>
              <w:t>791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tcPr>
          <w:p>
            <w:pPr>
              <w:pStyle w:val="TAL1"/>
              <w:rPr>
                <w:lang w:eastAsia="en-US"/>
              </w:rPr>
            </w:pPr>
            <w:r>
              <w:rPr>
                <w:lang w:eastAsia="en-US"/>
              </w:rPr>
              <w:t>821 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FDD</w:t>
            </w:r>
          </w:p>
        </w:tc>
      </w:tr>
      <w:tr>
        <w:trPr/>
        <w:tc>
          <w:tcPr>
            <w:tcW w:w="106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21</w:t>
            </w:r>
          </w:p>
        </w:tc>
        <w:tc>
          <w:tcPr>
            <w:tcW w:w="1227" w:type="dxa"/>
            <w:tcBorders>
              <w:top w:val="single" w:sz="4" w:space="0" w:color="000000"/>
              <w:left w:val="single" w:sz="4" w:space="0" w:color="000000"/>
              <w:bottom w:val="single" w:sz="4" w:space="0" w:color="000000"/>
            </w:tcBorders>
          </w:tcPr>
          <w:p>
            <w:pPr>
              <w:pStyle w:val="TAR"/>
              <w:rPr>
                <w:lang w:eastAsia="en-US"/>
              </w:rPr>
            </w:pPr>
            <w:r>
              <w:rPr>
                <w:lang w:eastAsia="en-US"/>
              </w:rPr>
              <w:t>1447.9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tcPr>
          <w:p>
            <w:pPr>
              <w:pStyle w:val="TAL1"/>
              <w:rPr>
                <w:lang w:eastAsia="en-US"/>
              </w:rPr>
            </w:pPr>
            <w:r>
              <w:rPr>
                <w:lang w:eastAsia="en-US"/>
              </w:rPr>
              <w:t>1462.9 MHz</w:t>
            </w:r>
          </w:p>
        </w:tc>
        <w:tc>
          <w:tcPr>
            <w:tcW w:w="1243" w:type="dxa"/>
            <w:tcBorders>
              <w:top w:val="single" w:sz="4" w:space="0" w:color="000000"/>
              <w:left w:val="single" w:sz="4" w:space="0" w:color="000000"/>
              <w:bottom w:val="single" w:sz="4" w:space="0" w:color="000000"/>
            </w:tcBorders>
          </w:tcPr>
          <w:p>
            <w:pPr>
              <w:pStyle w:val="TAR"/>
              <w:rPr/>
            </w:pPr>
            <w:r>
              <w:rPr>
                <w:lang w:eastAsia="en-US"/>
              </w:rPr>
              <w:t>1495.9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tcPr>
          <w:p>
            <w:pPr>
              <w:pStyle w:val="TAL1"/>
              <w:rPr>
                <w:lang w:eastAsia="en-US"/>
              </w:rPr>
            </w:pPr>
            <w:r>
              <w:rPr>
                <w:lang w:eastAsia="en-US"/>
              </w:rPr>
              <w:t>1510.9 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FDD</w:t>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22</w:t>
            </w:r>
          </w:p>
        </w:tc>
        <w:tc>
          <w:tcPr>
            <w:tcW w:w="1227" w:type="dxa"/>
            <w:tcBorders>
              <w:top w:val="single" w:sz="4" w:space="0" w:color="000000"/>
              <w:left w:val="single" w:sz="4" w:space="0" w:color="000000"/>
              <w:bottom w:val="single" w:sz="4" w:space="0" w:color="000000"/>
            </w:tcBorders>
          </w:tcPr>
          <w:p>
            <w:pPr>
              <w:pStyle w:val="TAR"/>
              <w:rPr>
                <w:lang w:eastAsia="en-US"/>
              </w:rPr>
            </w:pPr>
            <w:r>
              <w:rPr>
                <w:lang w:eastAsia="en-US"/>
              </w:rPr>
              <w:t>3410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tcPr>
          <w:p>
            <w:pPr>
              <w:pStyle w:val="TAL1"/>
              <w:rPr>
                <w:lang w:eastAsia="en-US"/>
              </w:rPr>
            </w:pPr>
            <w:r>
              <w:rPr>
                <w:lang w:eastAsia="en-US"/>
              </w:rPr>
              <w:t>3490 MHz</w:t>
            </w:r>
          </w:p>
        </w:tc>
        <w:tc>
          <w:tcPr>
            <w:tcW w:w="1243" w:type="dxa"/>
            <w:tcBorders>
              <w:top w:val="single" w:sz="4" w:space="0" w:color="000000"/>
              <w:left w:val="single" w:sz="4" w:space="0" w:color="000000"/>
              <w:bottom w:val="single" w:sz="4" w:space="0" w:color="000000"/>
            </w:tcBorders>
          </w:tcPr>
          <w:p>
            <w:pPr>
              <w:pStyle w:val="TAR"/>
              <w:rPr>
                <w:lang w:eastAsia="en-US"/>
              </w:rPr>
            </w:pPr>
            <w:r>
              <w:rPr>
                <w:lang w:eastAsia="en-US"/>
              </w:rPr>
              <w:t>3510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tcPr>
          <w:p>
            <w:pPr>
              <w:pStyle w:val="TAL1"/>
              <w:rPr>
                <w:lang w:eastAsia="en-US"/>
              </w:rPr>
            </w:pPr>
            <w:r>
              <w:rPr>
                <w:lang w:eastAsia="en-US"/>
              </w:rPr>
              <w:t>3590 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FDD</w:t>
            </w:r>
          </w:p>
        </w:tc>
      </w:tr>
      <w:tr>
        <w:trPr/>
        <w:tc>
          <w:tcPr>
            <w:tcW w:w="106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23</w:t>
            </w:r>
          </w:p>
        </w:tc>
        <w:tc>
          <w:tcPr>
            <w:tcW w:w="1227" w:type="dxa"/>
            <w:tcBorders>
              <w:top w:val="single" w:sz="4" w:space="0" w:color="000000"/>
              <w:left w:val="single" w:sz="4" w:space="0" w:color="000000"/>
              <w:bottom w:val="single" w:sz="4" w:space="0" w:color="000000"/>
            </w:tcBorders>
          </w:tcPr>
          <w:p>
            <w:pPr>
              <w:pStyle w:val="TAR"/>
              <w:rPr>
                <w:lang w:eastAsia="en-US"/>
              </w:rPr>
            </w:pPr>
            <w:r>
              <w:rPr>
                <w:lang w:eastAsia="en-US"/>
              </w:rPr>
              <w:t>2000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tcPr>
          <w:p>
            <w:pPr>
              <w:pStyle w:val="TAL1"/>
              <w:rPr>
                <w:lang w:eastAsia="en-US"/>
              </w:rPr>
            </w:pPr>
            <w:r>
              <w:rPr>
                <w:lang w:eastAsia="en-US"/>
              </w:rPr>
              <w:t>2020 MHz</w:t>
            </w:r>
          </w:p>
        </w:tc>
        <w:tc>
          <w:tcPr>
            <w:tcW w:w="1243" w:type="dxa"/>
            <w:tcBorders>
              <w:top w:val="single" w:sz="4" w:space="0" w:color="000000"/>
              <w:left w:val="single" w:sz="4" w:space="0" w:color="000000"/>
              <w:bottom w:val="single" w:sz="4" w:space="0" w:color="000000"/>
            </w:tcBorders>
          </w:tcPr>
          <w:p>
            <w:pPr>
              <w:pStyle w:val="TAR"/>
              <w:rPr>
                <w:lang w:eastAsia="en-US"/>
              </w:rPr>
            </w:pPr>
            <w:r>
              <w:rPr>
                <w:lang w:eastAsia="en-US"/>
              </w:rPr>
              <w:t>2180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tcPr>
          <w:p>
            <w:pPr>
              <w:pStyle w:val="TAL1"/>
              <w:rPr/>
            </w:pPr>
            <w:r>
              <w:rPr>
                <w:lang w:eastAsia="en-US"/>
              </w:rPr>
              <w:t>2200 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FDD</w:t>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24</w:t>
            </w:r>
          </w:p>
        </w:tc>
        <w:tc>
          <w:tcPr>
            <w:tcW w:w="1227" w:type="dxa"/>
            <w:tcBorders>
              <w:top w:val="single" w:sz="4" w:space="0" w:color="000000"/>
              <w:left w:val="single" w:sz="4" w:space="0" w:color="000000"/>
              <w:bottom w:val="single" w:sz="4" w:space="0" w:color="000000"/>
            </w:tcBorders>
          </w:tcPr>
          <w:p>
            <w:pPr>
              <w:pStyle w:val="TAR"/>
              <w:rPr>
                <w:lang w:eastAsia="en-US"/>
              </w:rPr>
            </w:pPr>
            <w:r>
              <w:rPr>
                <w:lang w:eastAsia="en-US"/>
              </w:rPr>
              <w:t>1626.5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tcPr>
          <w:p>
            <w:pPr>
              <w:pStyle w:val="TAL1"/>
              <w:rPr>
                <w:lang w:eastAsia="en-US"/>
              </w:rPr>
            </w:pPr>
            <w:r>
              <w:rPr>
                <w:lang w:eastAsia="en-US"/>
              </w:rPr>
              <w:t>1660.5 MHz</w:t>
            </w:r>
          </w:p>
        </w:tc>
        <w:tc>
          <w:tcPr>
            <w:tcW w:w="1243" w:type="dxa"/>
            <w:tcBorders>
              <w:top w:val="single" w:sz="4" w:space="0" w:color="000000"/>
              <w:left w:val="single" w:sz="4" w:space="0" w:color="000000"/>
              <w:bottom w:val="single" w:sz="4" w:space="0" w:color="000000"/>
            </w:tcBorders>
          </w:tcPr>
          <w:p>
            <w:pPr>
              <w:pStyle w:val="TAR"/>
              <w:rPr>
                <w:lang w:eastAsia="en-US"/>
              </w:rPr>
            </w:pPr>
            <w:r>
              <w:rPr>
                <w:lang w:eastAsia="en-US"/>
              </w:rPr>
              <w:t>1525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tcPr>
          <w:p>
            <w:pPr>
              <w:pStyle w:val="TAL1"/>
              <w:rPr>
                <w:lang w:eastAsia="en-US"/>
              </w:rPr>
            </w:pPr>
            <w:r>
              <w:rPr>
                <w:lang w:eastAsia="en-US"/>
              </w:rPr>
              <w:t>1559 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FDD</w:t>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w:t>
            </w:r>
          </w:p>
        </w:tc>
        <w:tc>
          <w:tcPr>
            <w:tcW w:w="1227" w:type="dxa"/>
            <w:tcBorders>
              <w:top w:val="single" w:sz="4" w:space="0" w:color="000000"/>
              <w:left w:val="single" w:sz="4" w:space="0" w:color="000000"/>
              <w:bottom w:val="single" w:sz="4" w:space="0" w:color="000000"/>
            </w:tcBorders>
          </w:tcPr>
          <w:p>
            <w:pPr>
              <w:pStyle w:val="TAR"/>
              <w:rPr>
                <w:lang w:eastAsia="en-US"/>
              </w:rPr>
            </w:pPr>
            <w:r>
              <w:rPr>
                <w:lang w:eastAsia="en-US"/>
              </w:rPr>
              <w:t>1850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tcPr>
          <w:p>
            <w:pPr>
              <w:pStyle w:val="TAL1"/>
              <w:rPr>
                <w:lang w:eastAsia="en-US"/>
              </w:rPr>
            </w:pPr>
            <w:r>
              <w:rPr>
                <w:lang w:eastAsia="en-US"/>
              </w:rPr>
              <w:t>1915 MHz</w:t>
            </w:r>
          </w:p>
        </w:tc>
        <w:tc>
          <w:tcPr>
            <w:tcW w:w="1243" w:type="dxa"/>
            <w:tcBorders>
              <w:top w:val="single" w:sz="4" w:space="0" w:color="000000"/>
              <w:left w:val="single" w:sz="4" w:space="0" w:color="000000"/>
              <w:bottom w:val="single" w:sz="4" w:space="0" w:color="000000"/>
            </w:tcBorders>
          </w:tcPr>
          <w:p>
            <w:pPr>
              <w:pStyle w:val="TAR"/>
              <w:rPr>
                <w:lang w:eastAsia="en-US"/>
              </w:rPr>
            </w:pPr>
            <w:r>
              <w:rPr>
                <w:lang w:eastAsia="en-US"/>
              </w:rPr>
              <w:t>1930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tcPr>
          <w:p>
            <w:pPr>
              <w:pStyle w:val="TAL1"/>
              <w:rPr>
                <w:lang w:eastAsia="en-US"/>
              </w:rPr>
            </w:pPr>
            <w:r>
              <w:rPr>
                <w:lang w:eastAsia="en-US"/>
              </w:rPr>
              <w:t>1995 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FDD</w:t>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26</w:t>
            </w:r>
          </w:p>
        </w:tc>
        <w:tc>
          <w:tcPr>
            <w:tcW w:w="1227" w:type="dxa"/>
            <w:tcBorders>
              <w:top w:val="single" w:sz="4" w:space="0" w:color="000000"/>
              <w:left w:val="single" w:sz="4" w:space="0" w:color="000000"/>
              <w:bottom w:val="single" w:sz="4" w:space="0" w:color="000000"/>
            </w:tcBorders>
          </w:tcPr>
          <w:p>
            <w:pPr>
              <w:pStyle w:val="TAR"/>
              <w:rPr>
                <w:lang w:eastAsia="en-US"/>
              </w:rPr>
            </w:pPr>
            <w:r>
              <w:rPr>
                <w:lang w:eastAsia="en-US"/>
              </w:rPr>
              <w:t>814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tcPr>
          <w:p>
            <w:pPr>
              <w:pStyle w:val="TAL1"/>
              <w:rPr>
                <w:lang w:eastAsia="en-US"/>
              </w:rPr>
            </w:pPr>
            <w:r>
              <w:rPr>
                <w:lang w:eastAsia="en-US"/>
              </w:rPr>
              <w:t>849 MHz</w:t>
            </w:r>
          </w:p>
        </w:tc>
        <w:tc>
          <w:tcPr>
            <w:tcW w:w="1243" w:type="dxa"/>
            <w:tcBorders>
              <w:top w:val="single" w:sz="4" w:space="0" w:color="000000"/>
              <w:left w:val="single" w:sz="4" w:space="0" w:color="000000"/>
              <w:bottom w:val="single" w:sz="4" w:space="0" w:color="000000"/>
            </w:tcBorders>
          </w:tcPr>
          <w:p>
            <w:pPr>
              <w:pStyle w:val="TAR"/>
              <w:rPr>
                <w:lang w:eastAsia="en-US"/>
              </w:rPr>
            </w:pPr>
            <w:r>
              <w:rPr>
                <w:lang w:eastAsia="en-US"/>
              </w:rPr>
              <w:t>859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tcPr>
          <w:p>
            <w:pPr>
              <w:pStyle w:val="TAL1"/>
              <w:rPr>
                <w:lang w:eastAsia="en-US"/>
              </w:rPr>
            </w:pPr>
            <w:r>
              <w:rPr>
                <w:lang w:eastAsia="en-US"/>
              </w:rPr>
              <w:t>894 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FDD</w:t>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27</w:t>
            </w:r>
          </w:p>
        </w:tc>
        <w:tc>
          <w:tcPr>
            <w:tcW w:w="1227" w:type="dxa"/>
            <w:tcBorders>
              <w:top w:val="single" w:sz="4" w:space="0" w:color="000000"/>
              <w:left w:val="single" w:sz="4" w:space="0" w:color="000000"/>
              <w:bottom w:val="single" w:sz="4" w:space="0" w:color="000000"/>
            </w:tcBorders>
          </w:tcPr>
          <w:p>
            <w:pPr>
              <w:pStyle w:val="TAR"/>
              <w:rPr>
                <w:lang w:eastAsia="en-US"/>
              </w:rPr>
            </w:pPr>
            <w:r>
              <w:rPr>
                <w:lang w:eastAsia="en-US"/>
              </w:rPr>
              <w:t>807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tcPr>
          <w:p>
            <w:pPr>
              <w:pStyle w:val="TAL1"/>
              <w:rPr>
                <w:lang w:eastAsia="en-US"/>
              </w:rPr>
            </w:pPr>
            <w:r>
              <w:rPr>
                <w:lang w:eastAsia="en-US"/>
              </w:rPr>
              <w:t>824 MHz</w:t>
            </w:r>
          </w:p>
        </w:tc>
        <w:tc>
          <w:tcPr>
            <w:tcW w:w="1243" w:type="dxa"/>
            <w:tcBorders>
              <w:top w:val="single" w:sz="4" w:space="0" w:color="000000"/>
              <w:left w:val="single" w:sz="4" w:space="0" w:color="000000"/>
              <w:bottom w:val="single" w:sz="4" w:space="0" w:color="000000"/>
            </w:tcBorders>
          </w:tcPr>
          <w:p>
            <w:pPr>
              <w:pStyle w:val="TAR"/>
              <w:rPr>
                <w:lang w:eastAsia="en-US"/>
              </w:rPr>
            </w:pPr>
            <w:r>
              <w:rPr>
                <w:lang w:eastAsia="en-US"/>
              </w:rPr>
              <w:t>852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tcPr>
          <w:p>
            <w:pPr>
              <w:pStyle w:val="TAL1"/>
              <w:rPr>
                <w:lang w:eastAsia="en-US"/>
              </w:rPr>
            </w:pPr>
            <w:r>
              <w:rPr>
                <w:lang w:eastAsia="en-US"/>
              </w:rPr>
              <w:t>869 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FDD</w:t>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28</w:t>
            </w:r>
          </w:p>
        </w:tc>
        <w:tc>
          <w:tcPr>
            <w:tcW w:w="1227" w:type="dxa"/>
            <w:tcBorders>
              <w:top w:val="single" w:sz="4" w:space="0" w:color="000000"/>
              <w:left w:val="single" w:sz="4" w:space="0" w:color="000000"/>
              <w:bottom w:val="single" w:sz="4" w:space="0" w:color="000000"/>
            </w:tcBorders>
          </w:tcPr>
          <w:p>
            <w:pPr>
              <w:pStyle w:val="TAR"/>
              <w:rPr>
                <w:lang w:eastAsia="en-US"/>
              </w:rPr>
            </w:pPr>
            <w:r>
              <w:rPr>
                <w:lang w:eastAsia="en-US"/>
              </w:rPr>
              <w:t>703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tcPr>
          <w:p>
            <w:pPr>
              <w:pStyle w:val="TAL1"/>
              <w:rPr>
                <w:lang w:eastAsia="en-US"/>
              </w:rPr>
            </w:pPr>
            <w:r>
              <w:rPr>
                <w:lang w:eastAsia="en-US"/>
              </w:rPr>
              <w:t>748 MHz</w:t>
            </w:r>
          </w:p>
        </w:tc>
        <w:tc>
          <w:tcPr>
            <w:tcW w:w="1243" w:type="dxa"/>
            <w:tcBorders>
              <w:top w:val="single" w:sz="4" w:space="0" w:color="000000"/>
              <w:left w:val="single" w:sz="4" w:space="0" w:color="000000"/>
              <w:bottom w:val="single" w:sz="4" w:space="0" w:color="000000"/>
            </w:tcBorders>
          </w:tcPr>
          <w:p>
            <w:pPr>
              <w:pStyle w:val="TAR"/>
              <w:rPr>
                <w:lang w:eastAsia="en-US"/>
              </w:rPr>
            </w:pPr>
            <w:r>
              <w:rPr>
                <w:lang w:eastAsia="en-US"/>
              </w:rPr>
              <w:t>758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tcPr>
          <w:p>
            <w:pPr>
              <w:pStyle w:val="TAL1"/>
              <w:rPr>
                <w:lang w:eastAsia="en-US"/>
              </w:rPr>
            </w:pPr>
            <w:r>
              <w:rPr>
                <w:lang w:eastAsia="en-US"/>
              </w:rPr>
              <w:t>803 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FDD</w:t>
            </w:r>
          </w:p>
        </w:tc>
      </w:tr>
    </w:tbl>
    <w:p>
      <w:pPr>
        <w:pStyle w:val="Normal"/>
        <w:rPr/>
      </w:pPr>
      <w:r>
        <w:rPr/>
      </w:r>
    </w:p>
    <w:p>
      <w:pPr>
        <w:pStyle w:val="TH"/>
        <w:rPr/>
      </w:pPr>
      <w:r>
        <w:rPr>
          <w:lang w:eastAsia="zh-CN"/>
        </w:rPr>
        <w:t>Table 5.3-1: Measurement frequency allocations</w:t>
      </w:r>
      <w:r>
        <w:rPr/>
        <w:t xml:space="preserve"> for TRP (FDD)</w:t>
      </w:r>
    </w:p>
    <w:tbl>
      <w:tblPr>
        <w:tblW w:w="9699" w:type="dxa"/>
        <w:jc w:val="left"/>
        <w:tblInd w:w="-20" w:type="dxa"/>
        <w:tblLayout w:type="fixed"/>
        <w:tblCellMar>
          <w:top w:w="0" w:type="dxa"/>
          <w:left w:w="108" w:type="dxa"/>
          <w:bottom w:w="0" w:type="dxa"/>
          <w:right w:w="108" w:type="dxa"/>
        </w:tblCellMar>
      </w:tblPr>
      <w:tblGrid>
        <w:gridCol w:w="1050"/>
        <w:gridCol w:w="1077"/>
        <w:gridCol w:w="1005"/>
        <w:gridCol w:w="1228"/>
        <w:gridCol w:w="1172"/>
        <w:gridCol w:w="1027"/>
        <w:gridCol w:w="1060"/>
        <w:gridCol w:w="1060"/>
        <w:gridCol w:w="1020"/>
      </w:tblGrid>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DL EARFCN</w:t>
            </w:r>
          </w:p>
        </w:tc>
        <w:tc>
          <w:tcPr>
            <w:tcW w:w="1077"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UL EARFCN</w:t>
            </w:r>
          </w:p>
        </w:tc>
        <w:tc>
          <w:tcPr>
            <w:tcW w:w="1005" w:type="dxa"/>
            <w:tcBorders>
              <w:top w:val="single" w:sz="4" w:space="0" w:color="000000"/>
              <w:left w:val="single" w:sz="4" w:space="0" w:color="000000"/>
              <w:bottom w:val="single" w:sz="4" w:space="0" w:color="000000"/>
              <w:right w:val="single" w:sz="4" w:space="0" w:color="000000"/>
            </w:tcBorders>
            <w:vAlign w:val="bottom"/>
          </w:tcPr>
          <w:p>
            <w:pPr>
              <w:pStyle w:val="TAH"/>
              <w:rPr/>
            </w:pPr>
            <w:r>
              <w:rPr>
                <w:lang w:eastAsia="en-US"/>
              </w:rPr>
              <w:t>Channel BW</w:t>
            </w:r>
          </w:p>
        </w:tc>
        <w:tc>
          <w:tcPr>
            <w:tcW w:w="1228"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DL Carrier Frequency</w:t>
            </w:r>
          </w:p>
        </w:tc>
        <w:tc>
          <w:tcPr>
            <w:tcW w:w="1172"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UL Carrier frequency</w:t>
            </w:r>
          </w:p>
        </w:tc>
        <w:tc>
          <w:tcPr>
            <w:tcW w:w="1027"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DL C</w:t>
            </w:r>
            <w:r>
              <w:rPr>
                <w:vertAlign w:val="subscript"/>
                <w:lang w:eastAsia="en-US"/>
              </w:rPr>
              <w:t>LRB</w:t>
            </w:r>
          </w:p>
        </w:tc>
        <w:tc>
          <w:tcPr>
            <w:tcW w:w="106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DL RB</w:t>
            </w:r>
            <w:r>
              <w:rPr>
                <w:vertAlign w:val="subscript"/>
                <w:lang w:eastAsia="en-US"/>
              </w:rPr>
              <w:t>Start</w:t>
            </w:r>
          </w:p>
        </w:tc>
        <w:tc>
          <w:tcPr>
            <w:tcW w:w="106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UL C</w:t>
            </w:r>
            <w:r>
              <w:rPr>
                <w:vertAlign w:val="subscript"/>
                <w:lang w:eastAsia="en-US"/>
              </w:rPr>
              <w:t>LRB</w:t>
            </w:r>
          </w:p>
        </w:tc>
        <w:tc>
          <w:tcPr>
            <w:tcW w:w="102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UL RB</w:t>
            </w:r>
            <w:r>
              <w:rPr>
                <w:vertAlign w:val="subscript"/>
                <w:lang w:eastAsia="en-US"/>
              </w:rPr>
              <w:t>Start</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1</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bottom"/>
          </w:tcPr>
          <w:p>
            <w:pPr>
              <w:pStyle w:val="TAC"/>
              <w:snapToGrid w:val="false"/>
              <w:rPr>
                <w:rFonts w:cs="Arial"/>
                <w:lang w:eastAsia="en-US"/>
              </w:rPr>
            </w:pPr>
            <w:r>
              <w:rPr>
                <w:rFonts w:cs="Arial"/>
                <w:lang w:eastAsia="en-US"/>
              </w:rPr>
            </w:r>
          </w:p>
        </w:tc>
        <w:tc>
          <w:tcPr>
            <w:tcW w:w="1027" w:type="dxa"/>
            <w:tcBorders>
              <w:top w:val="single" w:sz="4" w:space="0" w:color="000000"/>
              <w:left w:val="single" w:sz="4" w:space="0" w:color="000000"/>
              <w:bottom w:val="single" w:sz="4" w:space="0" w:color="000000"/>
              <w:right w:val="single" w:sz="4" w:space="0" w:color="000000"/>
            </w:tcBorders>
            <w:vAlign w:val="bottom"/>
          </w:tcPr>
          <w:p>
            <w:pPr>
              <w:pStyle w:val="TAC"/>
              <w:snapToGrid w:val="false"/>
              <w:rPr>
                <w:rFonts w:cs="Arial"/>
                <w:lang w:eastAsia="en-US"/>
              </w:rPr>
            </w:pPr>
            <w:r>
              <w:rPr>
                <w:rFonts w:cs="Arial"/>
                <w:lang w:eastAsia="en-US"/>
              </w:rPr>
            </w:r>
          </w:p>
        </w:tc>
        <w:tc>
          <w:tcPr>
            <w:tcW w:w="1060" w:type="dxa"/>
            <w:tcBorders>
              <w:top w:val="single" w:sz="4" w:space="0" w:color="000000"/>
              <w:left w:val="single" w:sz="4" w:space="0" w:color="000000"/>
              <w:bottom w:val="single" w:sz="4" w:space="0" w:color="000000"/>
              <w:right w:val="single" w:sz="4" w:space="0" w:color="000000"/>
            </w:tcBorders>
            <w:vAlign w:val="bottom"/>
          </w:tcPr>
          <w:p>
            <w:pPr>
              <w:pStyle w:val="TAC"/>
              <w:snapToGrid w:val="false"/>
              <w:rPr>
                <w:rFonts w:cs="Arial"/>
                <w:lang w:eastAsia="en-US"/>
              </w:rPr>
            </w:pPr>
            <w:r>
              <w:rPr>
                <w:rFonts w:cs="Arial"/>
                <w:lang w:eastAsia="en-US"/>
              </w:rPr>
            </w:r>
          </w:p>
        </w:tc>
        <w:tc>
          <w:tcPr>
            <w:tcW w:w="1060" w:type="dxa"/>
            <w:tcBorders>
              <w:top w:val="single" w:sz="4" w:space="0" w:color="000000"/>
              <w:left w:val="single" w:sz="4" w:space="0" w:color="000000"/>
              <w:bottom w:val="single" w:sz="4" w:space="0" w:color="000000"/>
              <w:right w:val="single" w:sz="4" w:space="0" w:color="000000"/>
            </w:tcBorders>
            <w:vAlign w:val="bottom"/>
          </w:tcPr>
          <w:p>
            <w:pPr>
              <w:pStyle w:val="TAC"/>
              <w:snapToGrid w:val="false"/>
              <w:rPr>
                <w:rFonts w:cs="Arial"/>
                <w:lang w:eastAsia="en-US"/>
              </w:rPr>
            </w:pPr>
            <w:r>
              <w:rPr>
                <w:rFonts w:cs="Arial"/>
                <w:lang w:eastAsia="en-US"/>
              </w:rPr>
            </w:r>
          </w:p>
        </w:tc>
        <w:tc>
          <w:tcPr>
            <w:tcW w:w="1020" w:type="dxa"/>
            <w:tcBorders>
              <w:top w:val="single" w:sz="4" w:space="0" w:color="000000"/>
              <w:left w:val="single" w:sz="4" w:space="0" w:color="000000"/>
              <w:bottom w:val="single" w:sz="4" w:space="0" w:color="000000"/>
              <w:right w:val="single" w:sz="4" w:space="0" w:color="000000"/>
            </w:tcBorders>
            <w:vAlign w:val="bottom"/>
          </w:tcPr>
          <w:p>
            <w:pPr>
              <w:pStyle w:val="TAC"/>
              <w:snapToGrid w:val="false"/>
              <w:rPr>
                <w:rFonts w:cs="Arial"/>
                <w:lang w:eastAsia="en-US"/>
              </w:rPr>
            </w:pPr>
            <w:r>
              <w:rPr>
                <w:rFonts w:cs="Arial"/>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18050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2115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1925</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 xml:space="preserve">Note 1 </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300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18300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2140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1950</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550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18550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2165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1975</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2</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bottom"/>
          </w:tcPr>
          <w:p>
            <w:pPr>
              <w:pStyle w:val="TAC"/>
              <w:snapToGrid w:val="false"/>
              <w:rPr>
                <w:rFonts w:cs="Arial"/>
                <w:lang w:eastAsia="en-US"/>
              </w:rPr>
            </w:pPr>
            <w:r>
              <w:rPr>
                <w:rFonts w:cs="Arial"/>
                <w:lang w:eastAsia="en-US"/>
              </w:rPr>
            </w:r>
          </w:p>
        </w:tc>
        <w:tc>
          <w:tcPr>
            <w:tcW w:w="1027" w:type="dxa"/>
            <w:tcBorders>
              <w:top w:val="single" w:sz="4" w:space="0" w:color="000000"/>
              <w:left w:val="single" w:sz="4" w:space="0" w:color="000000"/>
              <w:bottom w:val="single" w:sz="4" w:space="0" w:color="000000"/>
              <w:right w:val="single" w:sz="4" w:space="0" w:color="000000"/>
            </w:tcBorders>
            <w:vAlign w:val="bottom"/>
          </w:tcPr>
          <w:p>
            <w:pPr>
              <w:pStyle w:val="TAC"/>
              <w:snapToGrid w:val="false"/>
              <w:rPr>
                <w:rFonts w:cs="Arial"/>
                <w:lang w:eastAsia="en-US"/>
              </w:rPr>
            </w:pPr>
            <w:r>
              <w:rPr>
                <w:rFonts w:cs="Arial"/>
                <w:lang w:eastAsia="en-US"/>
              </w:rPr>
            </w:r>
          </w:p>
        </w:tc>
        <w:tc>
          <w:tcPr>
            <w:tcW w:w="1060" w:type="dxa"/>
            <w:tcBorders>
              <w:top w:val="single" w:sz="4" w:space="0" w:color="000000"/>
              <w:left w:val="single" w:sz="4" w:space="0" w:color="000000"/>
              <w:bottom w:val="single" w:sz="4" w:space="0" w:color="000000"/>
              <w:right w:val="single" w:sz="4" w:space="0" w:color="000000"/>
            </w:tcBorders>
            <w:vAlign w:val="bottom"/>
          </w:tcPr>
          <w:p>
            <w:pPr>
              <w:pStyle w:val="TAC"/>
              <w:snapToGrid w:val="false"/>
              <w:rPr>
                <w:rFonts w:cs="Arial"/>
                <w:lang w:eastAsia="en-US"/>
              </w:rPr>
            </w:pPr>
            <w:r>
              <w:rPr>
                <w:rFonts w:cs="Arial"/>
                <w:lang w:eastAsia="en-US"/>
              </w:rPr>
            </w:r>
          </w:p>
        </w:tc>
        <w:tc>
          <w:tcPr>
            <w:tcW w:w="1060" w:type="dxa"/>
            <w:tcBorders>
              <w:top w:val="single" w:sz="4" w:space="0" w:color="000000"/>
              <w:left w:val="single" w:sz="4" w:space="0" w:color="000000"/>
              <w:bottom w:val="single" w:sz="4" w:space="0" w:color="000000"/>
              <w:right w:val="single" w:sz="4" w:space="0" w:color="000000"/>
            </w:tcBorders>
            <w:vAlign w:val="bottom"/>
          </w:tcPr>
          <w:p>
            <w:pPr>
              <w:pStyle w:val="TAC"/>
              <w:snapToGrid w:val="false"/>
              <w:rPr>
                <w:rFonts w:cs="Arial"/>
                <w:lang w:eastAsia="en-US"/>
              </w:rPr>
            </w:pPr>
            <w:r>
              <w:rPr>
                <w:rFonts w:cs="Arial"/>
                <w:lang w:eastAsia="en-US"/>
              </w:rPr>
            </w:r>
          </w:p>
        </w:tc>
        <w:tc>
          <w:tcPr>
            <w:tcW w:w="1020" w:type="dxa"/>
            <w:tcBorders>
              <w:top w:val="single" w:sz="4" w:space="0" w:color="000000"/>
              <w:left w:val="single" w:sz="4" w:space="0" w:color="000000"/>
              <w:bottom w:val="single" w:sz="4" w:space="0" w:color="000000"/>
              <w:right w:val="single" w:sz="4" w:space="0" w:color="000000"/>
            </w:tcBorders>
            <w:vAlign w:val="bottom"/>
          </w:tcPr>
          <w:p>
            <w:pPr>
              <w:pStyle w:val="TAC"/>
              <w:snapToGrid w:val="false"/>
              <w:rPr>
                <w:rFonts w:cs="Arial"/>
                <w:lang w:eastAsia="en-US"/>
              </w:rPr>
            </w:pPr>
            <w:r>
              <w:rPr>
                <w:rFonts w:cs="Arial"/>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650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18650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1935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1855</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900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18900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1960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1880</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1150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19150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1985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1905</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3</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1250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19250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1810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1715</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1575</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19575</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1842,5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1747,5</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1900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19900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1875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1780</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4</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2000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20000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2115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1715</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2175</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20175</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2132,5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1732,5</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2350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20350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2150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1750</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5</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2450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20450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874</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829</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2525</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20525</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881,5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836,5</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2600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20600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889</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844</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7</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2800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20800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2625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2505</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3100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21100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2655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2535</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3400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21400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2685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2565</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8</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3500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21500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930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885</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3625</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21625</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942,5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897,5</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3750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21750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955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910</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12</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5060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23060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734</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704</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5095</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23095</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737,5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707,5</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5130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23130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741</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711</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13</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5230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23230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751</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782</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5230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23230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751</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782</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5230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23230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751</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782</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14</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5330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23330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763</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793</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5330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23330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763</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793</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5330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23330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763</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793</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17</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5780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23780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739</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709</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 xml:space="preserve">Note 1 </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5790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23790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740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710</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5800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23800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741</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711</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pPr>
            <w:r>
              <w:rPr>
                <w:lang w:eastAsia="en-US"/>
              </w:rPr>
              <w:t>Band 19</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6050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24050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880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835</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6075</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24075</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882.5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837.5</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6100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24100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885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840</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6200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24200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796</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837</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6300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24300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806</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847</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6400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24400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816</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857</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21</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6525</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24525</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15</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1503.4</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1455.4</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16</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6525</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24525</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15</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1503.4</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1455.4</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16</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29</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6525</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24525</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15</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1503.4</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1455.4</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16</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59</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22</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23</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24</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TBD</w:t>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TBD</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25</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8065</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26065</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1932.5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1852.5</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8365</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26365</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1962.5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1882.5</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8665</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26665</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1992.5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1912.5</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17</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26</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27</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28</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9260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27260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763</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708</w:t>
            </w:r>
          </w:p>
        </w:tc>
        <w:tc>
          <w:tcPr>
            <w:tcW w:w="1027" w:type="dxa"/>
            <w:tcBorders>
              <w:top w:val="single" w:sz="4" w:space="0" w:color="000000"/>
              <w:left w:val="single" w:sz="4" w:space="0" w:color="000000"/>
              <w:bottom w:val="single" w:sz="4" w:space="0" w:color="000000"/>
              <w:right w:val="single" w:sz="4" w:space="0" w:color="000000"/>
            </w:tcBorders>
          </w:tcPr>
          <w:p>
            <w:pPr>
              <w:pStyle w:val="TAC"/>
              <w:rPr>
                <w:b/>
                <w:b/>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b/>
                <w:b/>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9410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27410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778</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723</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9610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27610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798</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743</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w:t>
            </w:r>
          </w:p>
        </w:tc>
      </w:tr>
      <w:tr>
        <w:trPr>
          <w:trHeight w:val="23" w:hRule="atLeast"/>
        </w:trPr>
        <w:tc>
          <w:tcPr>
            <w:tcW w:w="9699" w:type="dxa"/>
            <w:gridSpan w:val="9"/>
            <w:tcBorders>
              <w:top w:val="single" w:sz="4" w:space="0" w:color="000000"/>
              <w:left w:val="single" w:sz="4" w:space="0" w:color="000000"/>
              <w:bottom w:val="single" w:sz="4" w:space="0" w:color="000000"/>
              <w:right w:val="single" w:sz="4" w:space="0" w:color="000000"/>
            </w:tcBorders>
            <w:vAlign w:val="center"/>
          </w:tcPr>
          <w:p>
            <w:pPr>
              <w:pStyle w:val="TAN"/>
              <w:rPr>
                <w:lang w:eastAsia="en-US"/>
              </w:rPr>
            </w:pPr>
            <w:r>
              <w:rPr>
                <w:lang w:eastAsia="en-US"/>
              </w:rPr>
              <w:t>Note 1:</w:t>
              <w:tab/>
              <w:t>As per 3GPP TS 36.521-1 [11], Section 6.2 (UE Maximum Output Power), and Section A.3.2.A (Downlink Reference measurement channel for TX characteristics).</w:t>
            </w:r>
          </w:p>
          <w:p>
            <w:pPr>
              <w:pStyle w:val="TAN"/>
              <w:rPr/>
            </w:pPr>
            <w:r>
              <w:rPr>
                <w:lang w:eastAsia="en-US"/>
              </w:rPr>
              <w:t>Note 2:</w:t>
              <w:tab/>
              <w:t>Network signalling value NS_01 shall be used in TRP test</w:t>
            </w:r>
          </w:p>
        </w:tc>
      </w:tr>
    </w:tbl>
    <w:p>
      <w:pPr>
        <w:pStyle w:val="Normal"/>
        <w:rPr/>
      </w:pPr>
      <w:r>
        <w:rPr/>
      </w:r>
    </w:p>
    <w:p>
      <w:pPr>
        <w:pStyle w:val="TH"/>
        <w:rPr/>
      </w:pPr>
      <w:r>
        <w:rPr/>
        <w:t xml:space="preserve">Table </w:t>
      </w:r>
      <w:r>
        <w:rPr>
          <w:lang w:eastAsia="zh-CN"/>
        </w:rPr>
        <w:t xml:space="preserve">5.3-2: </w:t>
      </w:r>
      <w:r>
        <w:rPr/>
        <w:t>Measurement frequency allocations</w:t>
      </w:r>
      <w:r>
        <w:rPr>
          <w:lang w:eastAsia="zh-CN"/>
        </w:rPr>
        <w:t xml:space="preserve"> for TRS (FDD)</w:t>
      </w:r>
    </w:p>
    <w:tbl>
      <w:tblPr>
        <w:tblW w:w="9692" w:type="dxa"/>
        <w:jc w:val="left"/>
        <w:tblInd w:w="-20" w:type="dxa"/>
        <w:tblLayout w:type="fixed"/>
        <w:tblCellMar>
          <w:top w:w="0" w:type="dxa"/>
          <w:left w:w="108" w:type="dxa"/>
          <w:bottom w:w="0" w:type="dxa"/>
          <w:right w:w="108" w:type="dxa"/>
        </w:tblCellMar>
      </w:tblPr>
      <w:tblGrid>
        <w:gridCol w:w="1050"/>
        <w:gridCol w:w="1077"/>
        <w:gridCol w:w="1005"/>
        <w:gridCol w:w="1228"/>
        <w:gridCol w:w="1172"/>
        <w:gridCol w:w="1020"/>
        <w:gridCol w:w="1060"/>
        <w:gridCol w:w="1060"/>
        <w:gridCol w:w="1020"/>
      </w:tblGrid>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DL EARFCN</w:t>
            </w:r>
          </w:p>
        </w:tc>
        <w:tc>
          <w:tcPr>
            <w:tcW w:w="1077"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UL EARFCN</w:t>
            </w:r>
          </w:p>
        </w:tc>
        <w:tc>
          <w:tcPr>
            <w:tcW w:w="1005"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Channel BW</w:t>
            </w:r>
          </w:p>
        </w:tc>
        <w:tc>
          <w:tcPr>
            <w:tcW w:w="1228" w:type="dxa"/>
            <w:tcBorders>
              <w:top w:val="single" w:sz="4" w:space="0" w:color="000000"/>
              <w:left w:val="single" w:sz="4" w:space="0" w:color="000000"/>
              <w:bottom w:val="single" w:sz="4" w:space="0" w:color="000000"/>
              <w:right w:val="single" w:sz="4" w:space="0" w:color="000000"/>
            </w:tcBorders>
            <w:vAlign w:val="bottom"/>
          </w:tcPr>
          <w:p>
            <w:pPr>
              <w:pStyle w:val="TAH"/>
              <w:rPr/>
            </w:pPr>
            <w:r>
              <w:rPr>
                <w:lang w:eastAsia="en-US"/>
              </w:rPr>
              <w:t>DL Carrier Frequency</w:t>
            </w:r>
          </w:p>
        </w:tc>
        <w:tc>
          <w:tcPr>
            <w:tcW w:w="1172"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UL Carrier frequency</w:t>
            </w:r>
          </w:p>
        </w:tc>
        <w:tc>
          <w:tcPr>
            <w:tcW w:w="102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DL C</w:t>
            </w:r>
            <w:r>
              <w:rPr>
                <w:vertAlign w:val="subscript"/>
                <w:lang w:eastAsia="en-US"/>
              </w:rPr>
              <w:t>LRB</w:t>
            </w:r>
          </w:p>
        </w:tc>
        <w:tc>
          <w:tcPr>
            <w:tcW w:w="106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DL RB</w:t>
            </w:r>
            <w:r>
              <w:rPr>
                <w:vertAlign w:val="subscript"/>
                <w:lang w:eastAsia="en-US"/>
              </w:rPr>
              <w:t>Start</w:t>
            </w:r>
          </w:p>
        </w:tc>
        <w:tc>
          <w:tcPr>
            <w:tcW w:w="106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UL C</w:t>
            </w:r>
            <w:r>
              <w:rPr>
                <w:vertAlign w:val="subscript"/>
                <w:lang w:eastAsia="en-US"/>
              </w:rPr>
              <w:t>LRB</w:t>
            </w:r>
          </w:p>
        </w:tc>
        <w:tc>
          <w:tcPr>
            <w:tcW w:w="102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UL RB</w:t>
            </w:r>
            <w:r>
              <w:rPr>
                <w:vertAlign w:val="subscript"/>
                <w:lang w:eastAsia="en-US"/>
              </w:rPr>
              <w:t>Start</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1</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bottom"/>
          </w:tcPr>
          <w:p>
            <w:pPr>
              <w:pStyle w:val="TAC"/>
              <w:snapToGrid w:val="false"/>
              <w:rPr>
                <w:rFonts w:cs="Arial"/>
                <w:lang w:eastAsia="en-US"/>
              </w:rPr>
            </w:pPr>
            <w:r>
              <w:rPr>
                <w:rFonts w:cs="Arial"/>
                <w:lang w:eastAsia="en-US"/>
              </w:rPr>
            </w:r>
          </w:p>
        </w:tc>
        <w:tc>
          <w:tcPr>
            <w:tcW w:w="1020" w:type="dxa"/>
            <w:tcBorders>
              <w:top w:val="single" w:sz="4" w:space="0" w:color="000000"/>
              <w:left w:val="single" w:sz="4" w:space="0" w:color="000000"/>
              <w:bottom w:val="single" w:sz="4" w:space="0" w:color="000000"/>
              <w:right w:val="single" w:sz="4" w:space="0" w:color="000000"/>
            </w:tcBorders>
            <w:vAlign w:val="bottom"/>
          </w:tcPr>
          <w:p>
            <w:pPr>
              <w:pStyle w:val="TAC"/>
              <w:snapToGrid w:val="false"/>
              <w:rPr>
                <w:rFonts w:cs="Arial"/>
                <w:lang w:eastAsia="en-US"/>
              </w:rPr>
            </w:pPr>
            <w:r>
              <w:rPr>
                <w:rFonts w:cs="Arial"/>
                <w:lang w:eastAsia="en-US"/>
              </w:rPr>
            </w:r>
          </w:p>
        </w:tc>
        <w:tc>
          <w:tcPr>
            <w:tcW w:w="1060" w:type="dxa"/>
            <w:tcBorders>
              <w:top w:val="single" w:sz="4" w:space="0" w:color="000000"/>
              <w:left w:val="single" w:sz="4" w:space="0" w:color="000000"/>
              <w:bottom w:val="single" w:sz="4" w:space="0" w:color="000000"/>
              <w:right w:val="single" w:sz="4" w:space="0" w:color="000000"/>
            </w:tcBorders>
            <w:vAlign w:val="bottom"/>
          </w:tcPr>
          <w:p>
            <w:pPr>
              <w:pStyle w:val="TAC"/>
              <w:snapToGrid w:val="false"/>
              <w:rPr>
                <w:rFonts w:cs="Arial"/>
                <w:lang w:eastAsia="en-US"/>
              </w:rPr>
            </w:pPr>
            <w:r>
              <w:rPr>
                <w:rFonts w:cs="Arial"/>
                <w:lang w:eastAsia="en-US"/>
              </w:rPr>
            </w:r>
          </w:p>
        </w:tc>
        <w:tc>
          <w:tcPr>
            <w:tcW w:w="1060" w:type="dxa"/>
            <w:tcBorders>
              <w:top w:val="single" w:sz="4" w:space="0" w:color="000000"/>
              <w:left w:val="single" w:sz="4" w:space="0" w:color="000000"/>
              <w:bottom w:val="single" w:sz="4" w:space="0" w:color="000000"/>
              <w:right w:val="single" w:sz="4" w:space="0" w:color="000000"/>
            </w:tcBorders>
            <w:vAlign w:val="bottom"/>
          </w:tcPr>
          <w:p>
            <w:pPr>
              <w:pStyle w:val="TAC"/>
              <w:snapToGrid w:val="false"/>
              <w:rPr>
                <w:rFonts w:cs="Arial"/>
                <w:lang w:eastAsia="en-US"/>
              </w:rPr>
            </w:pPr>
            <w:r>
              <w:rPr>
                <w:rFonts w:cs="Arial"/>
                <w:lang w:eastAsia="en-US"/>
              </w:rPr>
            </w:r>
          </w:p>
        </w:tc>
        <w:tc>
          <w:tcPr>
            <w:tcW w:w="1020" w:type="dxa"/>
            <w:tcBorders>
              <w:top w:val="single" w:sz="4" w:space="0" w:color="000000"/>
              <w:left w:val="single" w:sz="4" w:space="0" w:color="000000"/>
              <w:bottom w:val="single" w:sz="4" w:space="0" w:color="000000"/>
              <w:right w:val="single" w:sz="4" w:space="0" w:color="000000"/>
            </w:tcBorders>
            <w:vAlign w:val="bottom"/>
          </w:tcPr>
          <w:p>
            <w:pPr>
              <w:pStyle w:val="TAC"/>
              <w:snapToGrid w:val="false"/>
              <w:rPr>
                <w:rFonts w:cs="Arial"/>
                <w:lang w:eastAsia="en-US"/>
              </w:rPr>
            </w:pPr>
            <w:r>
              <w:rPr>
                <w:rFonts w:cs="Arial"/>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18050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2115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1925</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300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18300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2140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1950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550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18550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2165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1975</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2</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bottom"/>
          </w:tcPr>
          <w:p>
            <w:pPr>
              <w:pStyle w:val="TAC"/>
              <w:snapToGrid w:val="false"/>
              <w:rPr>
                <w:rFonts w:cs="Arial"/>
                <w:lang w:eastAsia="en-US"/>
              </w:rPr>
            </w:pPr>
            <w:r>
              <w:rPr>
                <w:rFonts w:cs="Arial"/>
                <w:lang w:eastAsia="en-US"/>
              </w:rPr>
            </w:r>
          </w:p>
        </w:tc>
        <w:tc>
          <w:tcPr>
            <w:tcW w:w="1020" w:type="dxa"/>
            <w:tcBorders>
              <w:top w:val="single" w:sz="4" w:space="0" w:color="000000"/>
              <w:left w:val="single" w:sz="4" w:space="0" w:color="000000"/>
              <w:bottom w:val="single" w:sz="4" w:space="0" w:color="000000"/>
              <w:right w:val="single" w:sz="4" w:space="0" w:color="000000"/>
            </w:tcBorders>
            <w:vAlign w:val="bottom"/>
          </w:tcPr>
          <w:p>
            <w:pPr>
              <w:pStyle w:val="TAC"/>
              <w:snapToGrid w:val="false"/>
              <w:rPr>
                <w:rFonts w:cs="Arial"/>
                <w:lang w:eastAsia="en-US"/>
              </w:rPr>
            </w:pPr>
            <w:r>
              <w:rPr>
                <w:rFonts w:cs="Arial"/>
                <w:lang w:eastAsia="en-US"/>
              </w:rPr>
            </w:r>
          </w:p>
        </w:tc>
        <w:tc>
          <w:tcPr>
            <w:tcW w:w="1060" w:type="dxa"/>
            <w:tcBorders>
              <w:top w:val="single" w:sz="4" w:space="0" w:color="000000"/>
              <w:left w:val="single" w:sz="4" w:space="0" w:color="000000"/>
              <w:bottom w:val="single" w:sz="4" w:space="0" w:color="000000"/>
              <w:right w:val="single" w:sz="4" w:space="0" w:color="000000"/>
            </w:tcBorders>
            <w:vAlign w:val="bottom"/>
          </w:tcPr>
          <w:p>
            <w:pPr>
              <w:pStyle w:val="TAC"/>
              <w:snapToGrid w:val="false"/>
              <w:rPr>
                <w:rFonts w:cs="Arial"/>
                <w:lang w:eastAsia="en-US"/>
              </w:rPr>
            </w:pPr>
            <w:r>
              <w:rPr>
                <w:rFonts w:cs="Arial"/>
                <w:lang w:eastAsia="en-US"/>
              </w:rPr>
            </w:r>
          </w:p>
        </w:tc>
        <w:tc>
          <w:tcPr>
            <w:tcW w:w="1060" w:type="dxa"/>
            <w:tcBorders>
              <w:top w:val="single" w:sz="4" w:space="0" w:color="000000"/>
              <w:left w:val="single" w:sz="4" w:space="0" w:color="000000"/>
              <w:bottom w:val="single" w:sz="4" w:space="0" w:color="000000"/>
              <w:right w:val="single" w:sz="4" w:space="0" w:color="000000"/>
            </w:tcBorders>
            <w:vAlign w:val="bottom"/>
          </w:tcPr>
          <w:p>
            <w:pPr>
              <w:pStyle w:val="TAC"/>
              <w:snapToGrid w:val="false"/>
              <w:rPr>
                <w:rFonts w:cs="Arial"/>
                <w:lang w:eastAsia="en-US"/>
              </w:rPr>
            </w:pPr>
            <w:r>
              <w:rPr>
                <w:rFonts w:cs="Arial"/>
                <w:lang w:eastAsia="en-US"/>
              </w:rPr>
            </w:r>
          </w:p>
        </w:tc>
        <w:tc>
          <w:tcPr>
            <w:tcW w:w="1020" w:type="dxa"/>
            <w:tcBorders>
              <w:top w:val="single" w:sz="4" w:space="0" w:color="000000"/>
              <w:left w:val="single" w:sz="4" w:space="0" w:color="000000"/>
              <w:bottom w:val="single" w:sz="4" w:space="0" w:color="000000"/>
              <w:right w:val="single" w:sz="4" w:space="0" w:color="000000"/>
            </w:tcBorders>
            <w:vAlign w:val="bottom"/>
          </w:tcPr>
          <w:p>
            <w:pPr>
              <w:pStyle w:val="TAC"/>
              <w:snapToGrid w:val="false"/>
              <w:rPr>
                <w:rFonts w:cs="Arial"/>
                <w:lang w:eastAsia="en-US"/>
              </w:rPr>
            </w:pPr>
            <w:r>
              <w:rPr>
                <w:rFonts w:cs="Arial"/>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650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18650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1935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1855</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900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18900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1960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1880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1150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19150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1985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1905</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3</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1250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19250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1810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1715</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1575</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19575</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1842,5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1747,5</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1900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19900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1875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1780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4</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2000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20000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2115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1715</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2175</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20175</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2132,5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1732,5</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2350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20350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2150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1750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5</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2450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20450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874</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829</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2525</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20525</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881,5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836,5</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2600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20600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889</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844</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7</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2800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20800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2625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2505</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3100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21100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2655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2535</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3400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21400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2685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2565</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8</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3500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21500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930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885</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3625</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21625</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942,5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897,5</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25</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3750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21750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955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910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12</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5060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23060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734</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704</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5095</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23095</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737,5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707,5</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5130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23130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741</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711</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30</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13</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5230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23230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751</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782</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15</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5230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23230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751</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782</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15</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5230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23230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751</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782</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15</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14</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5330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23330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763</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793</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5330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23330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763</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793</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5330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23330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763</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793</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17</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 </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 </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5780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23780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739</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709</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5790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23790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740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710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5800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23800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741</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711</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30</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19</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6050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24050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880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835</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6075</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24075</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882.5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837.5</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6100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24100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885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840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6200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24200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796</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837</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6300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24300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806</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847</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6400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24400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816</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857</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30</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21</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6525</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24525</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15</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1503.4</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1455.4</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75</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6525</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24525</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15</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1503.4</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1455.4</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75</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6525</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24525</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15</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1503.4</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1455.4</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75</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22</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23</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24</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TBD</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25</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8065</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26065</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1932.5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1852.5</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25</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8365</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26365</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1962.5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1882.5</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25</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8665</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26665</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1992.5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1912.5</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25</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26</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TBD</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27</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TBD</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28</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9260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27260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763</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b/>
                <w:b/>
                <w:lang w:eastAsia="en-US"/>
              </w:rPr>
            </w:pPr>
            <w:r>
              <w:rPr>
                <w:lang w:eastAsia="en-US"/>
              </w:rPr>
              <w:t>708</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9410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27410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778</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723</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9610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27610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798</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743</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9692" w:type="dxa"/>
            <w:gridSpan w:val="9"/>
            <w:tcBorders>
              <w:top w:val="single" w:sz="4" w:space="0" w:color="000000"/>
              <w:left w:val="single" w:sz="4" w:space="0" w:color="000000"/>
              <w:bottom w:val="single" w:sz="4" w:space="0" w:color="000000"/>
              <w:right w:val="single" w:sz="4" w:space="0" w:color="000000"/>
            </w:tcBorders>
            <w:vAlign w:val="center"/>
          </w:tcPr>
          <w:p>
            <w:pPr>
              <w:pStyle w:val="TAN"/>
              <w:rPr/>
            </w:pPr>
            <w:r>
              <w:rPr>
                <w:lang w:eastAsia="en-US"/>
              </w:rPr>
              <w:t>Note 1:</w:t>
              <w:tab/>
              <w:t>Refer to TS 36.521-1-1 [11], Table A.3.2-1 (Fixed Reference Channel for Receiver Requirements (FDD)), 10MHz configuration</w:t>
            </w:r>
          </w:p>
          <w:p>
            <w:pPr>
              <w:pStyle w:val="TAN"/>
              <w:rPr/>
            </w:pPr>
            <w:r>
              <w:rPr>
                <w:lang w:eastAsia="en-US"/>
              </w:rPr>
              <w:t>Note 2:</w:t>
              <w:tab/>
              <w:t>Network signalling value NS_01 shall be used in TRS tests unless explicitly specified</w:t>
            </w:r>
          </w:p>
          <w:p>
            <w:pPr>
              <w:pStyle w:val="TAN"/>
              <w:rPr/>
            </w:pPr>
            <w:r>
              <w:rPr>
                <w:lang w:eastAsia="en-US"/>
              </w:rPr>
              <w:t>Note 3:</w:t>
              <w:tab/>
              <w:t>Network signalling value NS_03 shall be used for Bands 2, 4, and 23</w:t>
            </w:r>
          </w:p>
          <w:p>
            <w:pPr>
              <w:pStyle w:val="TAN"/>
              <w:rPr/>
            </w:pPr>
            <w:r>
              <w:rPr>
                <w:lang w:eastAsia="en-US"/>
              </w:rPr>
              <w:t>Note 4:</w:t>
              <w:tab/>
              <w:t>Network signalling value NS_06 shall be used for Bands 12, 13, 14, and 17</w:t>
            </w:r>
          </w:p>
          <w:p>
            <w:pPr>
              <w:pStyle w:val="TAN"/>
              <w:rPr>
                <w:lang w:eastAsia="en-US"/>
              </w:rPr>
            </w:pPr>
            <w:r>
              <w:rPr>
                <w:lang w:eastAsia="en-US"/>
              </w:rPr>
              <w:t>Note 5:</w:t>
              <w:tab/>
              <w:t>Network signalling value NS_08 shall be used for Band 19</w:t>
            </w:r>
          </w:p>
          <w:p>
            <w:pPr>
              <w:pStyle w:val="TAN"/>
              <w:rPr/>
            </w:pPr>
            <w:r>
              <w:rPr>
                <w:lang w:eastAsia="en-US"/>
              </w:rPr>
              <w:t>Note 6:</w:t>
              <w:tab/>
              <w:t xml:space="preserve">Network signalling value NS_09 shall be used for Band 21 </w:t>
            </w:r>
          </w:p>
        </w:tc>
      </w:tr>
    </w:tbl>
    <w:p>
      <w:pPr>
        <w:pStyle w:val="Normal"/>
        <w:rPr/>
      </w:pPr>
      <w:r>
        <w:rPr/>
      </w:r>
    </w:p>
    <w:p>
      <w:pPr>
        <w:pStyle w:val="Heading2"/>
        <w:rPr/>
      </w:pPr>
      <w:bookmarkStart w:id="41" w:name="__RefHeading___Toc68600979"/>
      <w:bookmarkEnd w:id="41"/>
      <w:r>
        <w:rPr/>
        <w:t>5.4</w:t>
        <w:tab/>
        <w:t>E-UTRA TDD frequency bands and measurement frequencies allocations</w:t>
      </w:r>
    </w:p>
    <w:p>
      <w:pPr>
        <w:pStyle w:val="EditorsNote"/>
        <w:rPr/>
      </w:pPr>
      <w:r>
        <w:rPr/>
        <w:t>Editor’s notes: This Subclause is incomplete. The following item is missing or incomplete:</w:t>
      </w:r>
    </w:p>
    <w:p>
      <w:pPr>
        <w:pStyle w:val="EditorsNote"/>
        <w:rPr/>
      </w:pPr>
      <w:r>
        <w:rPr/>
        <w:t>- TBDs in Tables 5.4-1 (TRP) and 5.4.3 (TRS)</w:t>
      </w:r>
    </w:p>
    <w:p>
      <w:pPr>
        <w:pStyle w:val="Normal"/>
        <w:rPr/>
      </w:pPr>
      <w:r>
        <w:rPr/>
        <w:t>This section specifies the LTE-TDD TRP and TRS frequency bands and measurement frequencies allocations. Table 5.4-0 lists the operating bands. Table 5.4-1 specifies the measurement frequency allocations for TRP and Table 5.4-2 specifies the measurement frequency allocations for TRS.</w:t>
      </w:r>
    </w:p>
    <w:p>
      <w:pPr>
        <w:pStyle w:val="TH"/>
        <w:rPr/>
      </w:pPr>
      <w:r>
        <w:rPr/>
        <w:t>Table 5.4-0 E-UTRA TDD operating bands for TRP and TRS</w:t>
      </w:r>
    </w:p>
    <w:tbl>
      <w:tblPr>
        <w:tblW w:w="7654" w:type="dxa"/>
        <w:jc w:val="center"/>
        <w:tblInd w:w="0" w:type="dxa"/>
        <w:tblLayout w:type="fixed"/>
        <w:tblCellMar>
          <w:top w:w="0" w:type="dxa"/>
          <w:left w:w="108" w:type="dxa"/>
          <w:bottom w:w="0" w:type="dxa"/>
          <w:right w:w="108" w:type="dxa"/>
        </w:tblCellMar>
      </w:tblPr>
      <w:tblGrid>
        <w:gridCol w:w="1068"/>
        <w:gridCol w:w="1227"/>
        <w:gridCol w:w="517"/>
        <w:gridCol w:w="1175"/>
        <w:gridCol w:w="1243"/>
        <w:gridCol w:w="317"/>
        <w:gridCol w:w="1201"/>
        <w:gridCol w:w="906"/>
      </w:tblGrid>
      <w:tr>
        <w:trPr/>
        <w:tc>
          <w:tcPr>
            <w:tcW w:w="1068" w:type="dxa"/>
            <w:vMerge w:val="restart"/>
            <w:tcBorders>
              <w:top w:val="single" w:sz="4" w:space="0" w:color="000000"/>
              <w:left w:val="single" w:sz="4" w:space="0" w:color="000000"/>
              <w:right w:val="single" w:sz="4" w:space="0" w:color="000000"/>
            </w:tcBorders>
            <w:vAlign w:val="center"/>
          </w:tcPr>
          <w:p>
            <w:pPr>
              <w:pStyle w:val="TAH"/>
              <w:rPr/>
            </w:pPr>
            <w:r>
              <w:rPr>
                <w:rFonts w:cs="Arial"/>
                <w:lang w:eastAsia="en-US"/>
              </w:rPr>
              <w:t>E</w:t>
              <w:noBreakHyphen/>
              <w:t>UTRA Operating Band</w:t>
            </w:r>
          </w:p>
        </w:tc>
        <w:tc>
          <w:tcPr>
            <w:tcW w:w="2919" w:type="dxa"/>
            <w:gridSpan w:val="3"/>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Uplink (UL) operating band</w:t>
              <w:br/>
              <w:t>BS receive</w:t>
              <w:br/>
              <w:t>UE transmit</w:t>
            </w:r>
          </w:p>
        </w:tc>
        <w:tc>
          <w:tcPr>
            <w:tcW w:w="2761" w:type="dxa"/>
            <w:gridSpan w:val="3"/>
            <w:tcBorders>
              <w:top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Downlink (DL) operating band</w:t>
              <w:br/>
              <w:t>BS transmit</w:t>
              <w:br/>
              <w:t>UE receive</w:t>
            </w:r>
          </w:p>
        </w:tc>
        <w:tc>
          <w:tcPr>
            <w:tcW w:w="906" w:type="dxa"/>
            <w:vMerge w:val="restart"/>
            <w:tcBorders>
              <w:top w:val="single" w:sz="4" w:space="0" w:color="000000"/>
              <w:left w:val="single" w:sz="4" w:space="0" w:color="000000"/>
              <w:right w:val="single" w:sz="4" w:space="0" w:color="000000"/>
            </w:tcBorders>
          </w:tcPr>
          <w:p>
            <w:pPr>
              <w:pStyle w:val="TAH"/>
              <w:rPr>
                <w:rFonts w:cs="Arial"/>
                <w:lang w:eastAsia="en-US"/>
              </w:rPr>
            </w:pPr>
            <w:r>
              <w:rPr>
                <w:rFonts w:cs="Arial"/>
                <w:lang w:eastAsia="en-US"/>
              </w:rPr>
              <w:t>Duplex Mode</w:t>
            </w:r>
          </w:p>
        </w:tc>
      </w:tr>
      <w:tr>
        <w:trPr/>
        <w:tc>
          <w:tcPr>
            <w:tcW w:w="1068" w:type="dxa"/>
            <w:vMerge w:val="continue"/>
            <w:tcBorders>
              <w:top w:val="single" w:sz="4" w:space="0" w:color="000000"/>
              <w:left w:val="single" w:sz="4" w:space="0" w:color="000000"/>
              <w:right w:val="single" w:sz="4" w:space="0" w:color="000000"/>
            </w:tcBorders>
            <w:vAlign w:val="center"/>
          </w:tcPr>
          <w:p>
            <w:pPr>
              <w:pStyle w:val="TAH"/>
              <w:snapToGrid w:val="false"/>
              <w:rPr>
                <w:rFonts w:cs="Arial"/>
                <w:lang w:eastAsia="en-US"/>
              </w:rPr>
            </w:pPr>
            <w:r>
              <w:rPr>
                <w:rFonts w:cs="Arial"/>
                <w:lang w:eastAsia="en-US"/>
              </w:rPr>
            </w:r>
          </w:p>
        </w:tc>
        <w:tc>
          <w:tcPr>
            <w:tcW w:w="2919" w:type="dxa"/>
            <w:gridSpan w:val="3"/>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F</w:t>
            </w:r>
            <w:r>
              <w:rPr>
                <w:rFonts w:cs="Arial"/>
                <w:vertAlign w:val="subscript"/>
                <w:lang w:eastAsia="en-US"/>
              </w:rPr>
              <w:t>UL_low</w:t>
            </w:r>
            <w:r>
              <w:rPr>
                <w:rFonts w:cs="Arial"/>
                <w:lang w:eastAsia="en-US"/>
              </w:rPr>
              <w:t xml:space="preserve"> – F</w:t>
            </w:r>
            <w:r>
              <w:rPr>
                <w:rFonts w:cs="Arial"/>
                <w:vertAlign w:val="subscript"/>
                <w:lang w:eastAsia="en-US"/>
              </w:rPr>
              <w:t>UL_high</w:t>
            </w:r>
          </w:p>
        </w:tc>
        <w:tc>
          <w:tcPr>
            <w:tcW w:w="2761" w:type="dxa"/>
            <w:gridSpan w:val="3"/>
            <w:tcBorders>
              <w:top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F</w:t>
            </w:r>
            <w:r>
              <w:rPr>
                <w:rFonts w:cs="Arial"/>
                <w:vertAlign w:val="subscript"/>
                <w:lang w:eastAsia="en-US"/>
              </w:rPr>
              <w:t>DL_low</w:t>
            </w:r>
            <w:r>
              <w:rPr>
                <w:rFonts w:cs="Arial"/>
                <w:lang w:eastAsia="en-US"/>
              </w:rPr>
              <w:t xml:space="preserve"> – F</w:t>
            </w:r>
            <w:r>
              <w:rPr>
                <w:rFonts w:cs="Arial"/>
                <w:vertAlign w:val="subscript"/>
                <w:lang w:eastAsia="en-US"/>
              </w:rPr>
              <w:t>DL_high</w:t>
            </w:r>
          </w:p>
        </w:tc>
        <w:tc>
          <w:tcPr>
            <w:tcW w:w="906" w:type="dxa"/>
            <w:vMerge w:val="continue"/>
            <w:tcBorders>
              <w:top w:val="single" w:sz="4" w:space="0" w:color="000000"/>
              <w:left w:val="single" w:sz="4" w:space="0" w:color="000000"/>
              <w:right w:val="single" w:sz="4" w:space="0" w:color="000000"/>
            </w:tcBorders>
          </w:tcPr>
          <w:p>
            <w:pPr>
              <w:pStyle w:val="TAC"/>
              <w:snapToGrid w:val="false"/>
              <w:rPr>
                <w:rFonts w:cs="Arial"/>
                <w:lang w:eastAsia="en-US"/>
              </w:rPr>
            </w:pPr>
            <w:r>
              <w:rPr>
                <w:rFonts w:cs="Arial"/>
                <w:lang w:eastAsia="en-US"/>
              </w:rPr>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33</w:t>
            </w:r>
          </w:p>
        </w:tc>
        <w:tc>
          <w:tcPr>
            <w:tcW w:w="1227" w:type="dxa"/>
            <w:tcBorders>
              <w:top w:val="single" w:sz="4" w:space="0" w:color="000000"/>
              <w:left w:val="single" w:sz="4" w:space="0" w:color="000000"/>
              <w:bottom w:val="single" w:sz="4" w:space="0" w:color="000000"/>
            </w:tcBorders>
          </w:tcPr>
          <w:p>
            <w:pPr>
              <w:pStyle w:val="TAR"/>
              <w:rPr>
                <w:lang w:eastAsia="en-US"/>
              </w:rPr>
            </w:pPr>
            <w:r>
              <w:rPr>
                <w:lang w:eastAsia="en-US"/>
              </w:rPr>
              <w:t>1900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tcPr>
          <w:p>
            <w:pPr>
              <w:pStyle w:val="TAL1"/>
              <w:rPr>
                <w:lang w:eastAsia="en-US"/>
              </w:rPr>
            </w:pPr>
            <w:r>
              <w:rPr>
                <w:lang w:eastAsia="en-US"/>
              </w:rPr>
              <w:t>1920 MHz</w:t>
            </w:r>
          </w:p>
        </w:tc>
        <w:tc>
          <w:tcPr>
            <w:tcW w:w="1243" w:type="dxa"/>
            <w:tcBorders>
              <w:top w:val="single" w:sz="4" w:space="0" w:color="000000"/>
              <w:bottom w:val="single" w:sz="4" w:space="0" w:color="000000"/>
            </w:tcBorders>
          </w:tcPr>
          <w:p>
            <w:pPr>
              <w:pStyle w:val="TAR"/>
              <w:rPr>
                <w:lang w:eastAsia="en-US"/>
              </w:rPr>
            </w:pPr>
            <w:r>
              <w:rPr>
                <w:lang w:eastAsia="en-US"/>
              </w:rPr>
              <w:t>1900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tcPr>
          <w:p>
            <w:pPr>
              <w:pStyle w:val="TAL1"/>
              <w:rPr>
                <w:lang w:eastAsia="en-US"/>
              </w:rPr>
            </w:pPr>
            <w:r>
              <w:rPr>
                <w:lang w:eastAsia="en-US"/>
              </w:rPr>
              <w:t>1920 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TDD</w:t>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34</w:t>
            </w:r>
          </w:p>
        </w:tc>
        <w:tc>
          <w:tcPr>
            <w:tcW w:w="1227" w:type="dxa"/>
            <w:tcBorders>
              <w:top w:val="single" w:sz="4" w:space="0" w:color="000000"/>
              <w:left w:val="single" w:sz="4" w:space="0" w:color="000000"/>
              <w:bottom w:val="single" w:sz="4" w:space="0" w:color="000000"/>
            </w:tcBorders>
          </w:tcPr>
          <w:p>
            <w:pPr>
              <w:pStyle w:val="TAR"/>
              <w:rPr>
                <w:lang w:eastAsia="en-US"/>
              </w:rPr>
            </w:pPr>
            <w:r>
              <w:rPr>
                <w:lang w:eastAsia="en-US"/>
              </w:rPr>
              <w:t>2010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tcPr>
          <w:p>
            <w:pPr>
              <w:pStyle w:val="TAL1"/>
              <w:rPr>
                <w:lang w:eastAsia="en-US"/>
              </w:rPr>
            </w:pPr>
            <w:r>
              <w:rPr>
                <w:lang w:eastAsia="en-US"/>
              </w:rPr>
              <w:t xml:space="preserve">2025 MHz </w:t>
            </w:r>
          </w:p>
        </w:tc>
        <w:tc>
          <w:tcPr>
            <w:tcW w:w="1243" w:type="dxa"/>
            <w:tcBorders>
              <w:top w:val="single" w:sz="4" w:space="0" w:color="000000"/>
              <w:bottom w:val="single" w:sz="4" w:space="0" w:color="000000"/>
            </w:tcBorders>
          </w:tcPr>
          <w:p>
            <w:pPr>
              <w:pStyle w:val="TAR"/>
              <w:rPr/>
            </w:pPr>
            <w:r>
              <w:rPr>
                <w:lang w:eastAsia="en-US"/>
              </w:rPr>
              <w:t>2010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tcPr>
          <w:p>
            <w:pPr>
              <w:pStyle w:val="TAL1"/>
              <w:rPr/>
            </w:pPr>
            <w:r>
              <w:rPr>
                <w:lang w:eastAsia="en-US"/>
              </w:rPr>
              <w:t>2025 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TDD</w:t>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35</w:t>
            </w:r>
          </w:p>
        </w:tc>
        <w:tc>
          <w:tcPr>
            <w:tcW w:w="1227" w:type="dxa"/>
            <w:tcBorders>
              <w:top w:val="single" w:sz="4" w:space="0" w:color="000000"/>
              <w:left w:val="single" w:sz="4" w:space="0" w:color="000000"/>
              <w:bottom w:val="single" w:sz="4" w:space="0" w:color="000000"/>
            </w:tcBorders>
          </w:tcPr>
          <w:p>
            <w:pPr>
              <w:pStyle w:val="TAR"/>
              <w:rPr>
                <w:lang w:eastAsia="en-US"/>
              </w:rPr>
            </w:pPr>
            <w:r>
              <w:rPr>
                <w:lang w:eastAsia="en-US"/>
              </w:rPr>
              <w:t>1850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tcPr>
          <w:p>
            <w:pPr>
              <w:pStyle w:val="TAL1"/>
              <w:rPr>
                <w:lang w:eastAsia="en-US"/>
              </w:rPr>
            </w:pPr>
            <w:r>
              <w:rPr>
                <w:lang w:eastAsia="en-US"/>
              </w:rPr>
              <w:t>1910 MHz</w:t>
            </w:r>
          </w:p>
        </w:tc>
        <w:tc>
          <w:tcPr>
            <w:tcW w:w="1243" w:type="dxa"/>
            <w:tcBorders>
              <w:top w:val="single" w:sz="4" w:space="0" w:color="000000"/>
              <w:left w:val="single" w:sz="4" w:space="0" w:color="000000"/>
              <w:bottom w:val="single" w:sz="4" w:space="0" w:color="000000"/>
            </w:tcBorders>
          </w:tcPr>
          <w:p>
            <w:pPr>
              <w:pStyle w:val="TAR"/>
              <w:rPr>
                <w:lang w:eastAsia="en-US"/>
              </w:rPr>
            </w:pPr>
            <w:r>
              <w:rPr>
                <w:lang w:eastAsia="en-US"/>
              </w:rPr>
              <w:t>1850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tcPr>
          <w:p>
            <w:pPr>
              <w:pStyle w:val="TAL1"/>
              <w:rPr>
                <w:lang w:eastAsia="en-US"/>
              </w:rPr>
            </w:pPr>
            <w:r>
              <w:rPr>
                <w:lang w:eastAsia="en-US"/>
              </w:rPr>
              <w:t>1910 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TDD</w:t>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36</w:t>
            </w:r>
          </w:p>
        </w:tc>
        <w:tc>
          <w:tcPr>
            <w:tcW w:w="1227" w:type="dxa"/>
            <w:tcBorders>
              <w:top w:val="single" w:sz="4" w:space="0" w:color="000000"/>
              <w:left w:val="single" w:sz="4" w:space="0" w:color="000000"/>
              <w:bottom w:val="single" w:sz="4" w:space="0" w:color="000000"/>
            </w:tcBorders>
          </w:tcPr>
          <w:p>
            <w:pPr>
              <w:pStyle w:val="TAR"/>
              <w:rPr>
                <w:lang w:eastAsia="en-US"/>
              </w:rPr>
            </w:pPr>
            <w:r>
              <w:rPr>
                <w:lang w:eastAsia="en-US"/>
              </w:rPr>
              <w:t>1930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tcPr>
          <w:p>
            <w:pPr>
              <w:pStyle w:val="TAL1"/>
              <w:rPr>
                <w:lang w:eastAsia="en-US"/>
              </w:rPr>
            </w:pPr>
            <w:r>
              <w:rPr>
                <w:lang w:eastAsia="en-US"/>
              </w:rPr>
              <w:t>1990 MHz</w:t>
            </w:r>
          </w:p>
        </w:tc>
        <w:tc>
          <w:tcPr>
            <w:tcW w:w="1243" w:type="dxa"/>
            <w:tcBorders>
              <w:top w:val="single" w:sz="4" w:space="0" w:color="000000"/>
              <w:bottom w:val="single" w:sz="4" w:space="0" w:color="000000"/>
            </w:tcBorders>
          </w:tcPr>
          <w:p>
            <w:pPr>
              <w:pStyle w:val="TAR"/>
              <w:rPr>
                <w:lang w:eastAsia="en-US"/>
              </w:rPr>
            </w:pPr>
            <w:r>
              <w:rPr>
                <w:lang w:eastAsia="en-US"/>
              </w:rPr>
              <w:t>1930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tcPr>
          <w:p>
            <w:pPr>
              <w:pStyle w:val="TAL1"/>
              <w:rPr>
                <w:lang w:eastAsia="en-US"/>
              </w:rPr>
            </w:pPr>
            <w:r>
              <w:rPr>
                <w:lang w:eastAsia="en-US"/>
              </w:rPr>
              <w:t>1990 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TDD</w:t>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37</w:t>
            </w:r>
          </w:p>
        </w:tc>
        <w:tc>
          <w:tcPr>
            <w:tcW w:w="1227" w:type="dxa"/>
            <w:tcBorders>
              <w:top w:val="single" w:sz="4" w:space="0" w:color="000000"/>
              <w:left w:val="single" w:sz="4" w:space="0" w:color="000000"/>
              <w:bottom w:val="single" w:sz="4" w:space="0" w:color="000000"/>
            </w:tcBorders>
          </w:tcPr>
          <w:p>
            <w:pPr>
              <w:pStyle w:val="TAR"/>
              <w:rPr>
                <w:lang w:eastAsia="en-US"/>
              </w:rPr>
            </w:pPr>
            <w:r>
              <w:rPr>
                <w:lang w:eastAsia="en-US"/>
              </w:rPr>
              <w:t>1910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tcPr>
          <w:p>
            <w:pPr>
              <w:pStyle w:val="TAL1"/>
              <w:rPr>
                <w:lang w:eastAsia="en-US"/>
              </w:rPr>
            </w:pPr>
            <w:r>
              <w:rPr>
                <w:lang w:eastAsia="en-US"/>
              </w:rPr>
              <w:t>1930 MHz</w:t>
            </w:r>
          </w:p>
        </w:tc>
        <w:tc>
          <w:tcPr>
            <w:tcW w:w="1243" w:type="dxa"/>
            <w:tcBorders>
              <w:top w:val="single" w:sz="4" w:space="0" w:color="000000"/>
              <w:bottom w:val="single" w:sz="4" w:space="0" w:color="000000"/>
            </w:tcBorders>
          </w:tcPr>
          <w:p>
            <w:pPr>
              <w:pStyle w:val="TAR"/>
              <w:rPr>
                <w:lang w:eastAsia="en-US"/>
              </w:rPr>
            </w:pPr>
            <w:r>
              <w:rPr>
                <w:lang w:eastAsia="en-US"/>
              </w:rPr>
              <w:t>1910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tcPr>
          <w:p>
            <w:pPr>
              <w:pStyle w:val="TAL1"/>
              <w:rPr>
                <w:lang w:eastAsia="en-US"/>
              </w:rPr>
            </w:pPr>
            <w:r>
              <w:rPr>
                <w:lang w:eastAsia="en-US"/>
              </w:rPr>
              <w:t>1930 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TDD</w:t>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w:t>
            </w:r>
          </w:p>
        </w:tc>
        <w:tc>
          <w:tcPr>
            <w:tcW w:w="1227" w:type="dxa"/>
            <w:tcBorders>
              <w:top w:val="single" w:sz="4" w:space="0" w:color="000000"/>
              <w:left w:val="single" w:sz="4" w:space="0" w:color="000000"/>
              <w:bottom w:val="single" w:sz="4" w:space="0" w:color="000000"/>
            </w:tcBorders>
          </w:tcPr>
          <w:p>
            <w:pPr>
              <w:pStyle w:val="TAR"/>
              <w:rPr>
                <w:lang w:eastAsia="en-US"/>
              </w:rPr>
            </w:pPr>
            <w:r>
              <w:rPr>
                <w:lang w:eastAsia="en-US"/>
              </w:rPr>
              <w:t>2570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tcPr>
          <w:p>
            <w:pPr>
              <w:pStyle w:val="TAL1"/>
              <w:rPr>
                <w:lang w:eastAsia="en-US"/>
              </w:rPr>
            </w:pPr>
            <w:r>
              <w:rPr>
                <w:lang w:eastAsia="en-US"/>
              </w:rPr>
              <w:t>2620 MHz</w:t>
            </w:r>
          </w:p>
        </w:tc>
        <w:tc>
          <w:tcPr>
            <w:tcW w:w="1243" w:type="dxa"/>
            <w:tcBorders>
              <w:top w:val="single" w:sz="4" w:space="0" w:color="000000"/>
              <w:bottom w:val="single" w:sz="4" w:space="0" w:color="000000"/>
            </w:tcBorders>
          </w:tcPr>
          <w:p>
            <w:pPr>
              <w:pStyle w:val="TAR"/>
              <w:rPr>
                <w:lang w:eastAsia="en-US"/>
              </w:rPr>
            </w:pPr>
            <w:r>
              <w:rPr>
                <w:lang w:eastAsia="en-US"/>
              </w:rPr>
              <w:t>2570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tcPr>
          <w:p>
            <w:pPr>
              <w:pStyle w:val="TAL1"/>
              <w:rPr>
                <w:lang w:eastAsia="en-US"/>
              </w:rPr>
            </w:pPr>
            <w:r>
              <w:rPr>
                <w:lang w:eastAsia="en-US"/>
              </w:rPr>
              <w:t>2620 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TDD</w:t>
            </w:r>
          </w:p>
        </w:tc>
      </w:tr>
      <w:tr>
        <w:trPr/>
        <w:tc>
          <w:tcPr>
            <w:tcW w:w="106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39</w:t>
            </w:r>
          </w:p>
        </w:tc>
        <w:tc>
          <w:tcPr>
            <w:tcW w:w="1227" w:type="dxa"/>
            <w:tcBorders>
              <w:top w:val="single" w:sz="4" w:space="0" w:color="000000"/>
              <w:left w:val="single" w:sz="4" w:space="0" w:color="000000"/>
              <w:bottom w:val="single" w:sz="4" w:space="0" w:color="000000"/>
            </w:tcBorders>
          </w:tcPr>
          <w:p>
            <w:pPr>
              <w:pStyle w:val="TAR"/>
              <w:rPr>
                <w:lang w:eastAsia="en-US"/>
              </w:rPr>
            </w:pPr>
            <w:r>
              <w:rPr>
                <w:lang w:eastAsia="en-US"/>
              </w:rPr>
              <w:t>1880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tcPr>
          <w:p>
            <w:pPr>
              <w:pStyle w:val="TAL1"/>
              <w:rPr>
                <w:lang w:eastAsia="en-US"/>
              </w:rPr>
            </w:pPr>
            <w:r>
              <w:rPr>
                <w:lang w:eastAsia="en-US"/>
              </w:rPr>
              <w:t>1920 MHz</w:t>
            </w:r>
          </w:p>
        </w:tc>
        <w:tc>
          <w:tcPr>
            <w:tcW w:w="1243" w:type="dxa"/>
            <w:tcBorders>
              <w:top w:val="single" w:sz="4" w:space="0" w:color="000000"/>
              <w:bottom w:val="single" w:sz="4" w:space="0" w:color="000000"/>
            </w:tcBorders>
          </w:tcPr>
          <w:p>
            <w:pPr>
              <w:pStyle w:val="TAR"/>
              <w:rPr>
                <w:lang w:eastAsia="en-US"/>
              </w:rPr>
            </w:pPr>
            <w:r>
              <w:rPr>
                <w:lang w:eastAsia="en-US"/>
              </w:rPr>
              <w:t>1880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tcPr>
          <w:p>
            <w:pPr>
              <w:pStyle w:val="TAL1"/>
              <w:rPr/>
            </w:pPr>
            <w:r>
              <w:rPr>
                <w:lang w:eastAsia="en-US"/>
              </w:rPr>
              <w:t>1920 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TDD</w:t>
            </w:r>
          </w:p>
        </w:tc>
      </w:tr>
      <w:tr>
        <w:trPr/>
        <w:tc>
          <w:tcPr>
            <w:tcW w:w="106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40</w:t>
            </w:r>
          </w:p>
        </w:tc>
        <w:tc>
          <w:tcPr>
            <w:tcW w:w="1227" w:type="dxa"/>
            <w:tcBorders>
              <w:top w:val="single" w:sz="4" w:space="0" w:color="000000"/>
              <w:left w:val="single" w:sz="4" w:space="0" w:color="000000"/>
              <w:bottom w:val="single" w:sz="4" w:space="0" w:color="000000"/>
            </w:tcBorders>
          </w:tcPr>
          <w:p>
            <w:pPr>
              <w:pStyle w:val="TAR"/>
              <w:rPr/>
            </w:pPr>
            <w:r>
              <w:rPr>
                <w:lang w:eastAsia="en-US"/>
              </w:rPr>
              <w:t>2300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tcPr>
          <w:p>
            <w:pPr>
              <w:pStyle w:val="TAL1"/>
              <w:rPr>
                <w:lang w:eastAsia="en-US"/>
              </w:rPr>
            </w:pPr>
            <w:r>
              <w:rPr>
                <w:lang w:eastAsia="en-US"/>
              </w:rPr>
              <w:t>2400 MHz</w:t>
            </w:r>
          </w:p>
        </w:tc>
        <w:tc>
          <w:tcPr>
            <w:tcW w:w="1243" w:type="dxa"/>
            <w:tcBorders>
              <w:top w:val="single" w:sz="4" w:space="0" w:color="000000"/>
              <w:bottom w:val="single" w:sz="4" w:space="0" w:color="000000"/>
            </w:tcBorders>
          </w:tcPr>
          <w:p>
            <w:pPr>
              <w:pStyle w:val="TAR"/>
              <w:rPr>
                <w:lang w:eastAsia="en-US"/>
              </w:rPr>
            </w:pPr>
            <w:r>
              <w:rPr>
                <w:lang w:eastAsia="en-US"/>
              </w:rPr>
              <w:t>2300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tcPr>
          <w:p>
            <w:pPr>
              <w:pStyle w:val="TAL1"/>
              <w:rPr>
                <w:lang w:eastAsia="en-US"/>
              </w:rPr>
            </w:pPr>
            <w:r>
              <w:rPr>
                <w:lang w:eastAsia="en-US"/>
              </w:rPr>
              <w:t>2400 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TDD</w:t>
            </w:r>
          </w:p>
        </w:tc>
      </w:tr>
      <w:tr>
        <w:trPr/>
        <w:tc>
          <w:tcPr>
            <w:tcW w:w="106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41</w:t>
            </w:r>
          </w:p>
        </w:tc>
        <w:tc>
          <w:tcPr>
            <w:tcW w:w="1227" w:type="dxa"/>
            <w:tcBorders>
              <w:top w:val="single" w:sz="4" w:space="0" w:color="000000"/>
              <w:left w:val="single" w:sz="4" w:space="0" w:color="000000"/>
              <w:bottom w:val="single" w:sz="4" w:space="0" w:color="000000"/>
            </w:tcBorders>
          </w:tcPr>
          <w:p>
            <w:pPr>
              <w:pStyle w:val="TAR"/>
              <w:rPr>
                <w:lang w:eastAsia="en-US"/>
              </w:rPr>
            </w:pPr>
            <w:r>
              <w:rPr>
                <w:lang w:eastAsia="en-US"/>
              </w:rPr>
              <w:t>2496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tcPr>
          <w:p>
            <w:pPr>
              <w:pStyle w:val="TAL1"/>
              <w:rPr>
                <w:lang w:eastAsia="en-US"/>
              </w:rPr>
            </w:pPr>
            <w:r>
              <w:rPr>
                <w:lang w:eastAsia="en-US"/>
              </w:rPr>
              <w:t>2690 MHz</w:t>
            </w:r>
          </w:p>
        </w:tc>
        <w:tc>
          <w:tcPr>
            <w:tcW w:w="1243" w:type="dxa"/>
            <w:tcBorders>
              <w:top w:val="single" w:sz="4" w:space="0" w:color="000000"/>
              <w:bottom w:val="single" w:sz="4" w:space="0" w:color="000000"/>
            </w:tcBorders>
          </w:tcPr>
          <w:p>
            <w:pPr>
              <w:pStyle w:val="TAR"/>
              <w:rPr>
                <w:lang w:eastAsia="en-US"/>
              </w:rPr>
            </w:pPr>
            <w:r>
              <w:rPr>
                <w:lang w:eastAsia="en-US"/>
              </w:rPr>
              <w:t>2496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tcPr>
          <w:p>
            <w:pPr>
              <w:pStyle w:val="TAL1"/>
              <w:rPr>
                <w:lang w:eastAsia="en-US"/>
              </w:rPr>
            </w:pPr>
            <w:r>
              <w:rPr>
                <w:lang w:eastAsia="en-US"/>
              </w:rPr>
              <w:t>2690 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TDD</w:t>
            </w:r>
          </w:p>
        </w:tc>
      </w:tr>
      <w:tr>
        <w:trPr/>
        <w:tc>
          <w:tcPr>
            <w:tcW w:w="106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42</w:t>
            </w:r>
          </w:p>
        </w:tc>
        <w:tc>
          <w:tcPr>
            <w:tcW w:w="1227" w:type="dxa"/>
            <w:tcBorders>
              <w:top w:val="single" w:sz="4" w:space="0" w:color="000000"/>
              <w:left w:val="single" w:sz="4" w:space="0" w:color="000000"/>
              <w:bottom w:val="single" w:sz="4" w:space="0" w:color="000000"/>
            </w:tcBorders>
          </w:tcPr>
          <w:p>
            <w:pPr>
              <w:pStyle w:val="TAR"/>
              <w:rPr>
                <w:lang w:eastAsia="en-US"/>
              </w:rPr>
            </w:pPr>
            <w:r>
              <w:rPr>
                <w:lang w:eastAsia="en-US"/>
              </w:rPr>
              <w:t>3400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tcPr>
          <w:p>
            <w:pPr>
              <w:pStyle w:val="TAL1"/>
              <w:rPr>
                <w:lang w:eastAsia="en-US"/>
              </w:rPr>
            </w:pPr>
            <w:r>
              <w:rPr>
                <w:lang w:eastAsia="en-US"/>
              </w:rPr>
              <w:t>3600 MHz</w:t>
            </w:r>
          </w:p>
        </w:tc>
        <w:tc>
          <w:tcPr>
            <w:tcW w:w="1243" w:type="dxa"/>
            <w:tcBorders>
              <w:top w:val="single" w:sz="4" w:space="0" w:color="000000"/>
              <w:bottom w:val="single" w:sz="4" w:space="0" w:color="000000"/>
            </w:tcBorders>
          </w:tcPr>
          <w:p>
            <w:pPr>
              <w:pStyle w:val="TAR"/>
              <w:rPr>
                <w:lang w:eastAsia="en-US"/>
              </w:rPr>
            </w:pPr>
            <w:r>
              <w:rPr>
                <w:lang w:eastAsia="en-US"/>
              </w:rPr>
              <w:t>3400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tcPr>
          <w:p>
            <w:pPr>
              <w:pStyle w:val="TAL1"/>
              <w:rPr>
                <w:lang w:eastAsia="en-US"/>
              </w:rPr>
            </w:pPr>
            <w:r>
              <w:rPr>
                <w:lang w:eastAsia="en-US"/>
              </w:rPr>
              <w:t>3600 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TDD</w:t>
            </w:r>
          </w:p>
        </w:tc>
      </w:tr>
      <w:tr>
        <w:trPr/>
        <w:tc>
          <w:tcPr>
            <w:tcW w:w="106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43</w:t>
            </w:r>
          </w:p>
        </w:tc>
        <w:tc>
          <w:tcPr>
            <w:tcW w:w="1227" w:type="dxa"/>
            <w:tcBorders>
              <w:top w:val="single" w:sz="4" w:space="0" w:color="000000"/>
              <w:left w:val="single" w:sz="4" w:space="0" w:color="000000"/>
              <w:bottom w:val="single" w:sz="4" w:space="0" w:color="000000"/>
            </w:tcBorders>
          </w:tcPr>
          <w:p>
            <w:pPr>
              <w:pStyle w:val="TAR"/>
              <w:rPr>
                <w:lang w:eastAsia="en-US"/>
              </w:rPr>
            </w:pPr>
            <w:r>
              <w:rPr>
                <w:lang w:eastAsia="en-US"/>
              </w:rPr>
              <w:t>3600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tcPr>
          <w:p>
            <w:pPr>
              <w:pStyle w:val="TAL1"/>
              <w:rPr>
                <w:lang w:eastAsia="en-US"/>
              </w:rPr>
            </w:pPr>
            <w:r>
              <w:rPr>
                <w:lang w:eastAsia="en-US"/>
              </w:rPr>
              <w:t>3800 MHz</w:t>
            </w:r>
          </w:p>
        </w:tc>
        <w:tc>
          <w:tcPr>
            <w:tcW w:w="1243" w:type="dxa"/>
            <w:tcBorders>
              <w:top w:val="single" w:sz="4" w:space="0" w:color="000000"/>
              <w:bottom w:val="single" w:sz="4" w:space="0" w:color="000000"/>
            </w:tcBorders>
          </w:tcPr>
          <w:p>
            <w:pPr>
              <w:pStyle w:val="TAR"/>
              <w:rPr>
                <w:lang w:eastAsia="en-US"/>
              </w:rPr>
            </w:pPr>
            <w:r>
              <w:rPr>
                <w:lang w:eastAsia="en-US"/>
              </w:rPr>
              <w:t>3600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tcPr>
          <w:p>
            <w:pPr>
              <w:pStyle w:val="TAL1"/>
              <w:rPr>
                <w:lang w:eastAsia="en-US"/>
              </w:rPr>
            </w:pPr>
            <w:r>
              <w:rPr>
                <w:lang w:eastAsia="en-US"/>
              </w:rPr>
              <w:t>3800 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TDD</w:t>
            </w:r>
          </w:p>
        </w:tc>
      </w:tr>
      <w:tr>
        <w:trPr/>
        <w:tc>
          <w:tcPr>
            <w:tcW w:w="106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44</w:t>
            </w:r>
          </w:p>
        </w:tc>
        <w:tc>
          <w:tcPr>
            <w:tcW w:w="1227" w:type="dxa"/>
            <w:tcBorders>
              <w:top w:val="single" w:sz="4" w:space="0" w:color="000000"/>
              <w:left w:val="single" w:sz="4" w:space="0" w:color="000000"/>
              <w:bottom w:val="single" w:sz="4" w:space="0" w:color="000000"/>
            </w:tcBorders>
          </w:tcPr>
          <w:p>
            <w:pPr>
              <w:pStyle w:val="TAR"/>
              <w:rPr>
                <w:lang w:eastAsia="en-US"/>
              </w:rPr>
            </w:pPr>
            <w:r>
              <w:rPr>
                <w:lang w:eastAsia="en-US"/>
              </w:rPr>
              <w:t>703 MHz</w:t>
            </w:r>
          </w:p>
        </w:tc>
        <w:tc>
          <w:tcPr>
            <w:tcW w:w="517" w:type="dxa"/>
            <w:tcBorders>
              <w:top w:val="single" w:sz="4" w:space="0" w:color="000000"/>
              <w:bottom w:val="single" w:sz="4" w:space="0" w:color="000000"/>
            </w:tcBorders>
          </w:tcPr>
          <w:p>
            <w:pPr>
              <w:pStyle w:val="TAC"/>
              <w:rPr>
                <w:lang w:eastAsia="en-US"/>
              </w:rPr>
            </w:pPr>
            <w:r>
              <w:rPr>
                <w:lang w:eastAsia="en-US"/>
              </w:rPr>
              <w:t>–</w:t>
            </w:r>
          </w:p>
        </w:tc>
        <w:tc>
          <w:tcPr>
            <w:tcW w:w="1175" w:type="dxa"/>
            <w:tcBorders>
              <w:top w:val="single" w:sz="4" w:space="0" w:color="000000"/>
              <w:bottom w:val="single" w:sz="4" w:space="0" w:color="000000"/>
              <w:right w:val="single" w:sz="4" w:space="0" w:color="000000"/>
            </w:tcBorders>
          </w:tcPr>
          <w:p>
            <w:pPr>
              <w:pStyle w:val="TAL1"/>
              <w:rPr>
                <w:lang w:eastAsia="en-US"/>
              </w:rPr>
            </w:pPr>
            <w:r>
              <w:rPr>
                <w:lang w:eastAsia="en-US"/>
              </w:rPr>
              <w:t>803 MHz</w:t>
            </w:r>
          </w:p>
        </w:tc>
        <w:tc>
          <w:tcPr>
            <w:tcW w:w="1243" w:type="dxa"/>
            <w:tcBorders>
              <w:top w:val="single" w:sz="4" w:space="0" w:color="000000"/>
              <w:bottom w:val="single" w:sz="4" w:space="0" w:color="000000"/>
            </w:tcBorders>
          </w:tcPr>
          <w:p>
            <w:pPr>
              <w:pStyle w:val="TAR"/>
              <w:rPr>
                <w:lang w:eastAsia="en-US"/>
              </w:rPr>
            </w:pPr>
            <w:r>
              <w:rPr>
                <w:lang w:eastAsia="en-US"/>
              </w:rPr>
              <w:t>703 MHz</w:t>
            </w:r>
          </w:p>
        </w:tc>
        <w:tc>
          <w:tcPr>
            <w:tcW w:w="317" w:type="dxa"/>
            <w:tcBorders>
              <w:top w:val="single" w:sz="4" w:space="0" w:color="000000"/>
              <w:bottom w:val="single" w:sz="4" w:space="0" w:color="000000"/>
            </w:tcBorders>
          </w:tcPr>
          <w:p>
            <w:pPr>
              <w:pStyle w:val="TAC"/>
              <w:rPr>
                <w:lang w:eastAsia="en-US"/>
              </w:rPr>
            </w:pPr>
            <w:r>
              <w:rPr>
                <w:lang w:eastAsia="en-US"/>
              </w:rPr>
              <w:t>–</w:t>
            </w:r>
          </w:p>
        </w:tc>
        <w:tc>
          <w:tcPr>
            <w:tcW w:w="1201" w:type="dxa"/>
            <w:tcBorders>
              <w:top w:val="single" w:sz="4" w:space="0" w:color="000000"/>
              <w:bottom w:val="single" w:sz="4" w:space="0" w:color="000000"/>
              <w:right w:val="single" w:sz="4" w:space="0" w:color="000000"/>
            </w:tcBorders>
          </w:tcPr>
          <w:p>
            <w:pPr>
              <w:pStyle w:val="TAL1"/>
              <w:rPr>
                <w:lang w:eastAsia="en-US"/>
              </w:rPr>
            </w:pPr>
            <w:r>
              <w:rPr>
                <w:lang w:eastAsia="en-US"/>
              </w:rPr>
              <w:t>803 MHz</w:t>
            </w:r>
          </w:p>
        </w:tc>
        <w:tc>
          <w:tcPr>
            <w:tcW w:w="9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TDD</w:t>
            </w:r>
          </w:p>
        </w:tc>
      </w:tr>
    </w:tbl>
    <w:p>
      <w:pPr>
        <w:pStyle w:val="Normal"/>
        <w:rPr/>
      </w:pPr>
      <w:r>
        <w:rPr/>
      </w:r>
    </w:p>
    <w:p>
      <w:pPr>
        <w:pStyle w:val="TH"/>
        <w:rPr/>
      </w:pPr>
      <w:r>
        <w:rPr>
          <w:lang w:eastAsia="zh-CN"/>
        </w:rPr>
        <w:t>Table 5.4-1: Measurement frequency allocations</w:t>
      </w:r>
      <w:r>
        <w:rPr/>
        <w:t xml:space="preserve"> for TRP (TDD)</w:t>
      </w:r>
    </w:p>
    <w:tbl>
      <w:tblPr>
        <w:tblW w:w="9665" w:type="dxa"/>
        <w:jc w:val="left"/>
        <w:tblInd w:w="-20" w:type="dxa"/>
        <w:tblLayout w:type="fixed"/>
        <w:tblCellMar>
          <w:top w:w="0" w:type="dxa"/>
          <w:left w:w="108" w:type="dxa"/>
          <w:bottom w:w="0" w:type="dxa"/>
          <w:right w:w="108" w:type="dxa"/>
        </w:tblCellMar>
      </w:tblPr>
      <w:tblGrid>
        <w:gridCol w:w="1050"/>
        <w:gridCol w:w="1050"/>
        <w:gridCol w:w="1005"/>
        <w:gridCol w:w="1228"/>
        <w:gridCol w:w="1172"/>
        <w:gridCol w:w="1020"/>
        <w:gridCol w:w="1060"/>
        <w:gridCol w:w="1060"/>
        <w:gridCol w:w="1020"/>
      </w:tblGrid>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DL EARFCN</w:t>
            </w:r>
          </w:p>
        </w:tc>
        <w:tc>
          <w:tcPr>
            <w:tcW w:w="105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UL EARFCN</w:t>
            </w:r>
          </w:p>
        </w:tc>
        <w:tc>
          <w:tcPr>
            <w:tcW w:w="1005" w:type="dxa"/>
            <w:tcBorders>
              <w:top w:val="single" w:sz="4" w:space="0" w:color="000000"/>
              <w:left w:val="single" w:sz="4" w:space="0" w:color="000000"/>
              <w:bottom w:val="single" w:sz="4" w:space="0" w:color="000000"/>
              <w:right w:val="single" w:sz="4" w:space="0" w:color="000000"/>
            </w:tcBorders>
            <w:vAlign w:val="bottom"/>
          </w:tcPr>
          <w:p>
            <w:pPr>
              <w:pStyle w:val="TAH"/>
              <w:rPr/>
            </w:pPr>
            <w:r>
              <w:rPr>
                <w:lang w:eastAsia="en-US"/>
              </w:rPr>
              <w:t>Channel BW</w:t>
            </w:r>
          </w:p>
        </w:tc>
        <w:tc>
          <w:tcPr>
            <w:tcW w:w="1228"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DL Carrier Frequency</w:t>
            </w:r>
          </w:p>
        </w:tc>
        <w:tc>
          <w:tcPr>
            <w:tcW w:w="1172"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UL Carrier frequency</w:t>
            </w:r>
          </w:p>
        </w:tc>
        <w:tc>
          <w:tcPr>
            <w:tcW w:w="102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DL C</w:t>
            </w:r>
            <w:r>
              <w:rPr>
                <w:vertAlign w:val="subscript"/>
                <w:lang w:eastAsia="en-US"/>
              </w:rPr>
              <w:t>LRB</w:t>
            </w:r>
          </w:p>
        </w:tc>
        <w:tc>
          <w:tcPr>
            <w:tcW w:w="106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DL RB</w:t>
            </w:r>
            <w:r>
              <w:rPr>
                <w:vertAlign w:val="subscript"/>
                <w:lang w:eastAsia="en-US"/>
              </w:rPr>
              <w:t>Start</w:t>
            </w:r>
          </w:p>
        </w:tc>
        <w:tc>
          <w:tcPr>
            <w:tcW w:w="106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UL C</w:t>
            </w:r>
            <w:r>
              <w:rPr>
                <w:vertAlign w:val="subscript"/>
                <w:lang w:eastAsia="en-US"/>
              </w:rPr>
              <w:t>LRB</w:t>
            </w:r>
          </w:p>
        </w:tc>
        <w:tc>
          <w:tcPr>
            <w:tcW w:w="102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UL RB</w:t>
            </w:r>
            <w:r>
              <w:rPr>
                <w:vertAlign w:val="subscript"/>
                <w:lang w:eastAsia="en-US"/>
              </w:rPr>
              <w:t>Start</w:t>
            </w:r>
          </w:p>
        </w:tc>
      </w:tr>
      <w:tr>
        <w:trPr>
          <w:trHeight w:val="23" w:hRule="atLeast"/>
        </w:trPr>
        <w:tc>
          <w:tcPr>
            <w:tcW w:w="3105"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pPr>
            <w:r>
              <w:rPr>
                <w:lang w:eastAsia="en-US"/>
              </w:rPr>
              <w:t>Band 33</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i/>
                <w:i/>
                <w:iCs/>
                <w:lang w:eastAsia="en-US"/>
              </w:rPr>
            </w:pPr>
            <w:r>
              <w:rPr>
                <w:rFonts w:cs="Arial" w:ascii="Arial" w:hAnsi="Arial"/>
                <w:b/>
                <w:bCs/>
                <w:i/>
                <w:iCs/>
                <w:lang w:eastAsia="en-US"/>
              </w:rPr>
            </w:r>
          </w:p>
        </w:tc>
        <w:tc>
          <w:tcPr>
            <w:tcW w:w="1172" w:type="dxa"/>
            <w:tcBorders>
              <w:top w:val="single" w:sz="4" w:space="0" w:color="000000"/>
              <w:left w:val="single" w:sz="4" w:space="0" w:color="000000"/>
              <w:bottom w:val="single" w:sz="4" w:space="0" w:color="000000"/>
              <w:right w:val="single" w:sz="4" w:space="0" w:color="000000"/>
            </w:tcBorders>
            <w:vAlign w:val="bottom"/>
          </w:tcPr>
          <w:p>
            <w:pPr>
              <w:pStyle w:val="Normal"/>
              <w:snapToGrid w:val="false"/>
              <w:spacing w:before="0" w:after="0"/>
              <w:rPr>
                <w:rFonts w:ascii="Arial" w:hAnsi="Arial" w:cs="Arial"/>
                <w:b/>
                <w:b/>
                <w:bCs/>
                <w:i/>
                <w:i/>
                <w:iCs/>
              </w:rPr>
            </w:pPr>
            <w:r>
              <w:rPr>
                <w:rFonts w:cs="Arial" w:ascii="Arial" w:hAnsi="Arial"/>
                <w:b/>
                <w:bCs/>
                <w:i/>
                <w:iCs/>
              </w:rPr>
            </w:r>
          </w:p>
        </w:tc>
        <w:tc>
          <w:tcPr>
            <w:tcW w:w="1020" w:type="dxa"/>
            <w:tcBorders>
              <w:top w:val="single" w:sz="4" w:space="0" w:color="000000"/>
              <w:left w:val="single" w:sz="4" w:space="0" w:color="000000"/>
              <w:bottom w:val="single" w:sz="4" w:space="0" w:color="000000"/>
              <w:right w:val="single" w:sz="4" w:space="0" w:color="000000"/>
            </w:tcBorders>
            <w:vAlign w:val="bottom"/>
          </w:tcPr>
          <w:p>
            <w:pPr>
              <w:pStyle w:val="Normal"/>
              <w:snapToGrid w:val="false"/>
              <w:spacing w:before="0" w:after="0"/>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bottom"/>
          </w:tcPr>
          <w:p>
            <w:pPr>
              <w:pStyle w:val="Normal"/>
              <w:snapToGrid w:val="false"/>
              <w:spacing w:before="0" w:after="0"/>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bottom"/>
          </w:tcPr>
          <w:p>
            <w:pPr>
              <w:pStyle w:val="Normal"/>
              <w:snapToGrid w:val="false"/>
              <w:spacing w:before="0" w:after="0"/>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bottom"/>
          </w:tcPr>
          <w:p>
            <w:pPr>
              <w:pStyle w:val="Normal"/>
              <w:snapToGrid w:val="false"/>
              <w:spacing w:before="0" w:after="0"/>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36100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36100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1910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1910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41</w:t>
            </w:r>
          </w:p>
        </w:tc>
      </w:tr>
      <w:tr>
        <w:trPr>
          <w:trHeight w:val="23" w:hRule="atLeast"/>
        </w:trPr>
        <w:tc>
          <w:tcPr>
            <w:tcW w:w="3105"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34</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i/>
                <w:i/>
                <w:iCs/>
                <w:lang w:eastAsia="en-US"/>
              </w:rPr>
            </w:pPr>
            <w:r>
              <w:rPr>
                <w:rFonts w:cs="Arial" w:ascii="Arial" w:hAnsi="Arial"/>
                <w:b/>
                <w:bCs/>
                <w:i/>
                <w:iCs/>
                <w:lang w:eastAsia="en-US"/>
              </w:rPr>
            </w:r>
          </w:p>
        </w:tc>
        <w:tc>
          <w:tcPr>
            <w:tcW w:w="1172" w:type="dxa"/>
            <w:tcBorders>
              <w:top w:val="single" w:sz="4" w:space="0" w:color="000000"/>
              <w:left w:val="single" w:sz="4" w:space="0" w:color="000000"/>
              <w:bottom w:val="single" w:sz="4" w:space="0" w:color="000000"/>
              <w:right w:val="single" w:sz="4" w:space="0" w:color="000000"/>
            </w:tcBorders>
            <w:vAlign w:val="bottom"/>
          </w:tcPr>
          <w:p>
            <w:pPr>
              <w:pStyle w:val="Normal"/>
              <w:snapToGrid w:val="false"/>
              <w:spacing w:before="0" w:after="0"/>
              <w:rPr>
                <w:rFonts w:ascii="Arial" w:hAnsi="Arial" w:cs="Arial"/>
                <w:b/>
                <w:b/>
                <w:bCs/>
                <w:i/>
                <w:i/>
                <w:iCs/>
              </w:rPr>
            </w:pPr>
            <w:r>
              <w:rPr>
                <w:rFonts w:cs="Arial" w:ascii="Arial" w:hAnsi="Arial"/>
                <w:b/>
                <w:bCs/>
                <w:i/>
                <w:iCs/>
              </w:rPr>
            </w:r>
          </w:p>
        </w:tc>
        <w:tc>
          <w:tcPr>
            <w:tcW w:w="1020" w:type="dxa"/>
            <w:tcBorders>
              <w:top w:val="single" w:sz="4" w:space="0" w:color="000000"/>
              <w:left w:val="single" w:sz="4" w:space="0" w:color="000000"/>
              <w:bottom w:val="single" w:sz="4" w:space="0" w:color="000000"/>
              <w:right w:val="single" w:sz="4" w:space="0" w:color="000000"/>
            </w:tcBorders>
            <w:vAlign w:val="bottom"/>
          </w:tcPr>
          <w:p>
            <w:pPr>
              <w:pStyle w:val="Normal"/>
              <w:snapToGrid w:val="false"/>
              <w:spacing w:before="0" w:after="0"/>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i/>
                <w:i/>
                <w:iCs/>
              </w:rPr>
            </w:pPr>
            <w:r>
              <w:rPr>
                <w:rFonts w:cs="Arial" w:ascii="Arial" w:hAnsi="Arial"/>
                <w:b/>
                <w:bCs/>
                <w:i/>
                <w:iCs/>
              </w:rPr>
            </w:r>
          </w:p>
        </w:tc>
        <w:tc>
          <w:tcPr>
            <w:tcW w:w="1060" w:type="dxa"/>
            <w:tcBorders>
              <w:top w:val="single" w:sz="4" w:space="0" w:color="000000"/>
              <w:left w:val="single" w:sz="4" w:space="0" w:color="000000"/>
              <w:bottom w:val="single" w:sz="4" w:space="0" w:color="000000"/>
              <w:right w:val="single" w:sz="4" w:space="0" w:color="000000"/>
            </w:tcBorders>
            <w:vAlign w:val="bottom"/>
          </w:tcPr>
          <w:p>
            <w:pPr>
              <w:pStyle w:val="Normal"/>
              <w:snapToGrid w:val="false"/>
              <w:spacing w:before="0" w:after="0"/>
              <w:rPr>
                <w:rFonts w:ascii="Arial" w:hAnsi="Arial" w:cs="Arial"/>
                <w:b/>
                <w:b/>
                <w:bCs/>
                <w:i/>
                <w:i/>
                <w:iCs/>
              </w:rPr>
            </w:pPr>
            <w:r>
              <w:rPr>
                <w:rFonts w:cs="Arial" w:ascii="Arial" w:hAnsi="Arial"/>
                <w:b/>
                <w:bCs/>
                <w:i/>
                <w:iCs/>
              </w:rPr>
            </w:r>
          </w:p>
        </w:tc>
        <w:tc>
          <w:tcPr>
            <w:tcW w:w="1020" w:type="dxa"/>
            <w:tcBorders>
              <w:top w:val="single" w:sz="4" w:space="0" w:color="000000"/>
              <w:left w:val="single" w:sz="4" w:space="0" w:color="000000"/>
              <w:bottom w:val="single" w:sz="4" w:space="0" w:color="000000"/>
              <w:right w:val="single" w:sz="4" w:space="0" w:color="000000"/>
            </w:tcBorders>
            <w:vAlign w:val="bottom"/>
          </w:tcPr>
          <w:p>
            <w:pPr>
              <w:pStyle w:val="Normal"/>
              <w:snapToGrid w:val="false"/>
              <w:spacing w:before="0" w:after="0"/>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TBD</w:t>
            </w:r>
          </w:p>
        </w:tc>
      </w:tr>
      <w:tr>
        <w:trPr>
          <w:trHeight w:val="23" w:hRule="atLeast"/>
        </w:trPr>
        <w:tc>
          <w:tcPr>
            <w:tcW w:w="3105"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35</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i/>
                <w:i/>
                <w:iCs/>
                <w:lang w:eastAsia="en-US"/>
              </w:rPr>
            </w:pPr>
            <w:r>
              <w:rPr>
                <w:rFonts w:cs="Arial" w:ascii="Arial" w:hAnsi="Arial"/>
                <w:b/>
                <w:bCs/>
                <w:i/>
                <w:iCs/>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i/>
                <w:i/>
                <w:iCs/>
              </w:rPr>
            </w:pPr>
            <w:r>
              <w:rPr>
                <w:rFonts w:cs="Arial" w:ascii="Arial" w:hAnsi="Arial"/>
                <w:b/>
                <w:bCs/>
                <w:i/>
                <w:iC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i/>
                <w:i/>
                <w:iCs/>
              </w:rPr>
            </w:pPr>
            <w:r>
              <w:rPr>
                <w:rFonts w:cs="Arial" w:ascii="Arial" w:hAnsi="Arial"/>
                <w:b/>
                <w:bCs/>
                <w:i/>
                <w:iC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i/>
                <w:i/>
                <w:iCs/>
              </w:rPr>
            </w:pPr>
            <w:r>
              <w:rPr>
                <w:rFonts w:cs="Arial" w:ascii="Arial" w:hAnsi="Arial"/>
                <w:b/>
                <w:bCs/>
                <w:i/>
                <w:iC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36450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36450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1860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1860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36650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36650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1880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1880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41</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36850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36850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1900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1900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82</w:t>
            </w:r>
          </w:p>
        </w:tc>
      </w:tr>
      <w:tr>
        <w:trPr>
          <w:trHeight w:val="23" w:hRule="atLeast"/>
        </w:trPr>
        <w:tc>
          <w:tcPr>
            <w:tcW w:w="3105"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36</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i/>
                <w:i/>
                <w:iCs/>
                <w:lang w:eastAsia="en-US"/>
              </w:rPr>
            </w:pPr>
            <w:r>
              <w:rPr>
                <w:rFonts w:cs="Arial" w:ascii="Arial" w:hAnsi="Arial"/>
                <w:b/>
                <w:bCs/>
                <w:i/>
                <w:iCs/>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i/>
                <w:i/>
                <w:iCs/>
              </w:rPr>
            </w:pPr>
            <w:r>
              <w:rPr>
                <w:rFonts w:cs="Arial" w:ascii="Arial" w:hAnsi="Arial"/>
                <w:b/>
                <w:bCs/>
                <w:i/>
                <w:iC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i/>
                <w:i/>
                <w:iCs/>
              </w:rPr>
            </w:pPr>
            <w:r>
              <w:rPr>
                <w:rFonts w:cs="Arial" w:ascii="Arial" w:hAnsi="Arial"/>
                <w:b/>
                <w:bCs/>
                <w:i/>
                <w:iC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i/>
                <w:i/>
                <w:iCs/>
              </w:rPr>
            </w:pPr>
            <w:r>
              <w:rPr>
                <w:rFonts w:cs="Arial" w:ascii="Arial" w:hAnsi="Arial"/>
                <w:b/>
                <w:bCs/>
                <w:i/>
                <w:iC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37050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37050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1940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1940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37250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37250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1960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1960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18</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41</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37450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37450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1980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1980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82</w:t>
            </w:r>
          </w:p>
        </w:tc>
      </w:tr>
      <w:tr>
        <w:trPr>
          <w:trHeight w:val="23" w:hRule="atLeast"/>
        </w:trPr>
        <w:tc>
          <w:tcPr>
            <w:tcW w:w="3105"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37</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37650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37650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1920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1920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41</w:t>
            </w:r>
          </w:p>
        </w:tc>
      </w:tr>
      <w:tr>
        <w:trPr>
          <w:trHeight w:val="23" w:hRule="atLeast"/>
        </w:trPr>
        <w:tc>
          <w:tcPr>
            <w:tcW w:w="3105"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38</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37850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37850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2580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2580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38000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38000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2595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2595</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41</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38150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38150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2610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2610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82</w:t>
            </w:r>
          </w:p>
        </w:tc>
      </w:tr>
      <w:tr>
        <w:trPr>
          <w:trHeight w:val="23" w:hRule="atLeast"/>
        </w:trPr>
        <w:tc>
          <w:tcPr>
            <w:tcW w:w="3105"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39</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38350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38350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1890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1890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38450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38450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1900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1900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41</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38550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38550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1910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1910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82</w:t>
            </w:r>
          </w:p>
        </w:tc>
      </w:tr>
      <w:tr>
        <w:trPr>
          <w:trHeight w:val="23" w:hRule="atLeast"/>
        </w:trPr>
        <w:tc>
          <w:tcPr>
            <w:tcW w:w="3105"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40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38750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38750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2310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2310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39150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39150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2350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2350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41</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39550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39550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2390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2390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82</w:t>
            </w:r>
          </w:p>
        </w:tc>
      </w:tr>
      <w:tr>
        <w:trPr>
          <w:trHeight w:val="23" w:hRule="atLeast"/>
        </w:trPr>
        <w:tc>
          <w:tcPr>
            <w:tcW w:w="3105"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41</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39750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39750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2506</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2506</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40620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40620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2593</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2593</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41</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41490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41490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2680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2680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82</w:t>
            </w:r>
          </w:p>
        </w:tc>
      </w:tr>
      <w:tr>
        <w:trPr>
          <w:trHeight w:val="23" w:hRule="atLeast"/>
        </w:trPr>
        <w:tc>
          <w:tcPr>
            <w:tcW w:w="3105"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42</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41690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41690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3410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3410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42590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42590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3500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3500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41</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43490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43490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3590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3590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82</w:t>
            </w:r>
          </w:p>
        </w:tc>
      </w:tr>
      <w:tr>
        <w:trPr>
          <w:trHeight w:val="23" w:hRule="atLeast"/>
        </w:trPr>
        <w:tc>
          <w:tcPr>
            <w:tcW w:w="3105"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43</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43690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43690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3610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3610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44590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44590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3700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3700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41</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45490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45490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3790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3790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Note 1</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82</w:t>
            </w:r>
          </w:p>
        </w:tc>
      </w:tr>
      <w:tr>
        <w:trPr>
          <w:trHeight w:val="23" w:hRule="atLeast"/>
        </w:trPr>
        <w:tc>
          <w:tcPr>
            <w:tcW w:w="3105"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44</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3" w:hRule="atLeast"/>
        </w:trPr>
        <w:tc>
          <w:tcPr>
            <w:tcW w:w="9665" w:type="dxa"/>
            <w:gridSpan w:val="9"/>
            <w:tcBorders>
              <w:top w:val="single" w:sz="4" w:space="0" w:color="000000"/>
              <w:left w:val="single" w:sz="4" w:space="0" w:color="000000"/>
              <w:bottom w:val="single" w:sz="4" w:space="0" w:color="000000"/>
              <w:right w:val="single" w:sz="4" w:space="0" w:color="000000"/>
            </w:tcBorders>
            <w:vAlign w:val="center"/>
          </w:tcPr>
          <w:p>
            <w:pPr>
              <w:pStyle w:val="TAN"/>
              <w:rPr>
                <w:lang w:eastAsia="en-US"/>
              </w:rPr>
            </w:pPr>
            <w:r>
              <w:rPr>
                <w:lang w:eastAsia="en-US"/>
              </w:rPr>
              <w:t>Note 1:</w:t>
              <w:tab/>
              <w:t>As per 3GPP TS 36.521-1 [11], Section 6.2 (UE Maximum Output Power), and Section A.3.2.A (Downlink Reference measurement channel for TX characteristics).</w:t>
            </w:r>
          </w:p>
          <w:p>
            <w:pPr>
              <w:pStyle w:val="TAN"/>
              <w:rPr>
                <w:lang w:eastAsia="en-US"/>
              </w:rPr>
            </w:pPr>
            <w:r>
              <w:rPr>
                <w:lang w:eastAsia="en-US"/>
              </w:rPr>
              <w:t>Note 2:</w:t>
              <w:tab/>
              <w:t>Network signalling value NS_01 shall be used in TRP tests.</w:t>
            </w:r>
          </w:p>
        </w:tc>
      </w:tr>
    </w:tbl>
    <w:p>
      <w:pPr>
        <w:pStyle w:val="Normal"/>
        <w:rPr/>
      </w:pPr>
      <w:r>
        <w:rPr/>
      </w:r>
    </w:p>
    <w:p>
      <w:pPr>
        <w:pStyle w:val="TH"/>
        <w:rPr/>
      </w:pPr>
      <w:r>
        <w:rPr>
          <w:lang w:eastAsia="zh-CN"/>
        </w:rPr>
        <w:t>Table 5.4-2: Measurement frequency allocations</w:t>
      </w:r>
      <w:r>
        <w:rPr/>
        <w:t xml:space="preserve"> for TRS (TDD)</w:t>
      </w:r>
    </w:p>
    <w:tbl>
      <w:tblPr>
        <w:tblW w:w="9665" w:type="dxa"/>
        <w:jc w:val="left"/>
        <w:tblInd w:w="-20" w:type="dxa"/>
        <w:tblLayout w:type="fixed"/>
        <w:tblCellMar>
          <w:top w:w="0" w:type="dxa"/>
          <w:left w:w="108" w:type="dxa"/>
          <w:bottom w:w="0" w:type="dxa"/>
          <w:right w:w="108" w:type="dxa"/>
        </w:tblCellMar>
      </w:tblPr>
      <w:tblGrid>
        <w:gridCol w:w="1050"/>
        <w:gridCol w:w="1050"/>
        <w:gridCol w:w="1005"/>
        <w:gridCol w:w="1228"/>
        <w:gridCol w:w="1172"/>
        <w:gridCol w:w="1020"/>
        <w:gridCol w:w="1060"/>
        <w:gridCol w:w="1060"/>
        <w:gridCol w:w="1020"/>
      </w:tblGrid>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DL EARFCN</w:t>
            </w:r>
          </w:p>
        </w:tc>
        <w:tc>
          <w:tcPr>
            <w:tcW w:w="105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UL EARFCN</w:t>
            </w:r>
          </w:p>
        </w:tc>
        <w:tc>
          <w:tcPr>
            <w:tcW w:w="1005" w:type="dxa"/>
            <w:tcBorders>
              <w:top w:val="single" w:sz="4" w:space="0" w:color="000000"/>
              <w:left w:val="single" w:sz="4" w:space="0" w:color="000000"/>
              <w:bottom w:val="single" w:sz="4" w:space="0" w:color="000000"/>
              <w:right w:val="single" w:sz="4" w:space="0" w:color="000000"/>
            </w:tcBorders>
            <w:vAlign w:val="bottom"/>
          </w:tcPr>
          <w:p>
            <w:pPr>
              <w:pStyle w:val="TAH"/>
              <w:rPr/>
            </w:pPr>
            <w:r>
              <w:rPr>
                <w:lang w:eastAsia="en-US"/>
              </w:rPr>
              <w:t>Channel BW</w:t>
            </w:r>
          </w:p>
        </w:tc>
        <w:tc>
          <w:tcPr>
            <w:tcW w:w="1228"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DL Carrier Frequency</w:t>
            </w:r>
          </w:p>
        </w:tc>
        <w:tc>
          <w:tcPr>
            <w:tcW w:w="1172" w:type="dxa"/>
            <w:tcBorders>
              <w:top w:val="single" w:sz="4" w:space="0" w:color="000000"/>
              <w:left w:val="single" w:sz="4" w:space="0" w:color="000000"/>
              <w:bottom w:val="single" w:sz="4" w:space="0" w:color="000000"/>
              <w:right w:val="single" w:sz="4" w:space="0" w:color="000000"/>
            </w:tcBorders>
            <w:vAlign w:val="bottom"/>
          </w:tcPr>
          <w:p>
            <w:pPr>
              <w:pStyle w:val="TAH"/>
              <w:rPr/>
            </w:pPr>
            <w:r>
              <w:rPr>
                <w:lang w:eastAsia="en-US"/>
              </w:rPr>
              <w:t>UL Carrier frequency</w:t>
            </w:r>
          </w:p>
        </w:tc>
        <w:tc>
          <w:tcPr>
            <w:tcW w:w="102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DL C</w:t>
            </w:r>
            <w:r>
              <w:rPr>
                <w:vertAlign w:val="subscript"/>
                <w:lang w:eastAsia="en-US"/>
              </w:rPr>
              <w:t>LRB</w:t>
            </w:r>
          </w:p>
        </w:tc>
        <w:tc>
          <w:tcPr>
            <w:tcW w:w="106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DL RB</w:t>
            </w:r>
            <w:r>
              <w:rPr>
                <w:vertAlign w:val="subscript"/>
                <w:lang w:eastAsia="en-US"/>
              </w:rPr>
              <w:t>Start</w:t>
            </w:r>
          </w:p>
        </w:tc>
        <w:tc>
          <w:tcPr>
            <w:tcW w:w="106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UL C</w:t>
            </w:r>
            <w:r>
              <w:rPr>
                <w:vertAlign w:val="subscript"/>
                <w:lang w:eastAsia="en-US"/>
              </w:rPr>
              <w:t>LRB</w:t>
            </w:r>
          </w:p>
        </w:tc>
        <w:tc>
          <w:tcPr>
            <w:tcW w:w="102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UL RB</w:t>
            </w:r>
            <w:r>
              <w:rPr>
                <w:vertAlign w:val="subscript"/>
                <w:lang w:eastAsia="en-US"/>
              </w:rPr>
              <w:t>Start</w:t>
            </w:r>
          </w:p>
        </w:tc>
      </w:tr>
      <w:tr>
        <w:trPr>
          <w:trHeight w:val="23" w:hRule="atLeast"/>
        </w:trPr>
        <w:tc>
          <w:tcPr>
            <w:tcW w:w="3105"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33</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i/>
                <w:i/>
                <w:iCs/>
                <w:lang w:eastAsia="en-US"/>
              </w:rPr>
            </w:pPr>
            <w:r>
              <w:rPr>
                <w:rFonts w:cs="Arial" w:ascii="Arial" w:hAnsi="Arial"/>
                <w:b/>
                <w:bCs/>
                <w:i/>
                <w:iCs/>
                <w:lang w:eastAsia="en-US"/>
              </w:rPr>
            </w:r>
          </w:p>
        </w:tc>
        <w:tc>
          <w:tcPr>
            <w:tcW w:w="1172" w:type="dxa"/>
            <w:tcBorders>
              <w:top w:val="single" w:sz="4" w:space="0" w:color="000000"/>
              <w:left w:val="single" w:sz="4" w:space="0" w:color="000000"/>
              <w:bottom w:val="single" w:sz="4" w:space="0" w:color="000000"/>
              <w:right w:val="single" w:sz="4" w:space="0" w:color="000000"/>
            </w:tcBorders>
            <w:vAlign w:val="bottom"/>
          </w:tcPr>
          <w:p>
            <w:pPr>
              <w:pStyle w:val="Normal"/>
              <w:snapToGrid w:val="false"/>
              <w:spacing w:before="0" w:after="0"/>
              <w:rPr>
                <w:rFonts w:ascii="Arial" w:hAnsi="Arial" w:cs="Arial"/>
                <w:b/>
                <w:b/>
                <w:bCs/>
                <w:i/>
                <w:i/>
                <w:iCs/>
              </w:rPr>
            </w:pPr>
            <w:r>
              <w:rPr>
                <w:rFonts w:cs="Arial" w:ascii="Arial" w:hAnsi="Arial"/>
                <w:b/>
                <w:bCs/>
                <w:i/>
                <w:iCs/>
              </w:rPr>
            </w:r>
          </w:p>
        </w:tc>
        <w:tc>
          <w:tcPr>
            <w:tcW w:w="1020" w:type="dxa"/>
            <w:tcBorders>
              <w:top w:val="single" w:sz="4" w:space="0" w:color="000000"/>
              <w:left w:val="single" w:sz="4" w:space="0" w:color="000000"/>
              <w:bottom w:val="single" w:sz="4" w:space="0" w:color="000000"/>
              <w:right w:val="single" w:sz="4" w:space="0" w:color="000000"/>
            </w:tcBorders>
            <w:vAlign w:val="bottom"/>
          </w:tcPr>
          <w:p>
            <w:pPr>
              <w:pStyle w:val="Normal"/>
              <w:snapToGrid w:val="false"/>
              <w:spacing w:before="0" w:after="0"/>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bottom"/>
          </w:tcPr>
          <w:p>
            <w:pPr>
              <w:pStyle w:val="Normal"/>
              <w:snapToGrid w:val="false"/>
              <w:spacing w:before="0" w:after="0"/>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bottom"/>
          </w:tcPr>
          <w:p>
            <w:pPr>
              <w:pStyle w:val="Normal"/>
              <w:snapToGrid w:val="false"/>
              <w:spacing w:before="0" w:after="0"/>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bottom"/>
          </w:tcPr>
          <w:p>
            <w:pPr>
              <w:pStyle w:val="Normal"/>
              <w:snapToGrid w:val="false"/>
              <w:spacing w:before="0" w:after="0"/>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36100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36100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1910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1910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3105"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pPr>
            <w:r>
              <w:rPr>
                <w:lang w:eastAsia="en-US"/>
              </w:rPr>
              <w:t>Band 34</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i/>
                <w:i/>
                <w:iCs/>
                <w:lang w:eastAsia="en-US"/>
              </w:rPr>
            </w:pPr>
            <w:r>
              <w:rPr>
                <w:rFonts w:cs="Arial" w:ascii="Arial" w:hAnsi="Arial"/>
                <w:b/>
                <w:bCs/>
                <w:i/>
                <w:iCs/>
                <w:lang w:eastAsia="en-US"/>
              </w:rPr>
            </w:r>
          </w:p>
        </w:tc>
        <w:tc>
          <w:tcPr>
            <w:tcW w:w="1172" w:type="dxa"/>
            <w:tcBorders>
              <w:top w:val="single" w:sz="4" w:space="0" w:color="000000"/>
              <w:left w:val="single" w:sz="4" w:space="0" w:color="000000"/>
              <w:bottom w:val="single" w:sz="4" w:space="0" w:color="000000"/>
              <w:right w:val="single" w:sz="4" w:space="0" w:color="000000"/>
            </w:tcBorders>
            <w:vAlign w:val="bottom"/>
          </w:tcPr>
          <w:p>
            <w:pPr>
              <w:pStyle w:val="Normal"/>
              <w:snapToGrid w:val="false"/>
              <w:spacing w:before="0" w:after="0"/>
              <w:rPr>
                <w:rFonts w:ascii="Arial" w:hAnsi="Arial" w:cs="Arial"/>
                <w:b/>
                <w:b/>
                <w:bCs/>
                <w:i/>
                <w:i/>
                <w:iCs/>
              </w:rPr>
            </w:pPr>
            <w:r>
              <w:rPr>
                <w:rFonts w:cs="Arial" w:ascii="Arial" w:hAnsi="Arial"/>
                <w:b/>
                <w:bCs/>
                <w:i/>
                <w:iCs/>
              </w:rPr>
            </w:r>
          </w:p>
        </w:tc>
        <w:tc>
          <w:tcPr>
            <w:tcW w:w="1020" w:type="dxa"/>
            <w:tcBorders>
              <w:top w:val="single" w:sz="4" w:space="0" w:color="000000"/>
              <w:left w:val="single" w:sz="4" w:space="0" w:color="000000"/>
              <w:bottom w:val="single" w:sz="4" w:space="0" w:color="000000"/>
              <w:right w:val="single" w:sz="4" w:space="0" w:color="000000"/>
            </w:tcBorders>
            <w:vAlign w:val="bottom"/>
          </w:tcPr>
          <w:p>
            <w:pPr>
              <w:pStyle w:val="Normal"/>
              <w:snapToGrid w:val="false"/>
              <w:spacing w:before="0" w:after="0"/>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i/>
                <w:i/>
                <w:iCs/>
              </w:rPr>
            </w:pPr>
            <w:r>
              <w:rPr>
                <w:rFonts w:cs="Arial" w:ascii="Arial" w:hAnsi="Arial"/>
                <w:b/>
                <w:bCs/>
                <w:i/>
                <w:iCs/>
              </w:rPr>
            </w:r>
          </w:p>
        </w:tc>
        <w:tc>
          <w:tcPr>
            <w:tcW w:w="1060" w:type="dxa"/>
            <w:tcBorders>
              <w:top w:val="single" w:sz="4" w:space="0" w:color="000000"/>
              <w:left w:val="single" w:sz="4" w:space="0" w:color="000000"/>
              <w:bottom w:val="single" w:sz="4" w:space="0" w:color="000000"/>
              <w:right w:val="single" w:sz="4" w:space="0" w:color="000000"/>
            </w:tcBorders>
            <w:vAlign w:val="bottom"/>
          </w:tcPr>
          <w:p>
            <w:pPr>
              <w:pStyle w:val="Normal"/>
              <w:snapToGrid w:val="false"/>
              <w:spacing w:before="0" w:after="0"/>
              <w:rPr>
                <w:rFonts w:ascii="Arial" w:hAnsi="Arial" w:cs="Arial"/>
                <w:b/>
                <w:b/>
                <w:bCs/>
                <w:i/>
                <w:i/>
                <w:iCs/>
              </w:rPr>
            </w:pPr>
            <w:r>
              <w:rPr>
                <w:rFonts w:cs="Arial" w:ascii="Arial" w:hAnsi="Arial"/>
                <w:b/>
                <w:bCs/>
                <w:i/>
                <w:iCs/>
              </w:rPr>
            </w:r>
          </w:p>
        </w:tc>
        <w:tc>
          <w:tcPr>
            <w:tcW w:w="1020" w:type="dxa"/>
            <w:tcBorders>
              <w:top w:val="single" w:sz="4" w:space="0" w:color="000000"/>
              <w:left w:val="single" w:sz="4" w:space="0" w:color="000000"/>
              <w:bottom w:val="single" w:sz="4" w:space="0" w:color="000000"/>
              <w:right w:val="single" w:sz="4" w:space="0" w:color="000000"/>
            </w:tcBorders>
            <w:vAlign w:val="bottom"/>
          </w:tcPr>
          <w:p>
            <w:pPr>
              <w:pStyle w:val="Normal"/>
              <w:snapToGrid w:val="false"/>
              <w:spacing w:before="0" w:after="0"/>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3" w:hRule="atLeast"/>
        </w:trPr>
        <w:tc>
          <w:tcPr>
            <w:tcW w:w="3105"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35</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i/>
                <w:i/>
                <w:iCs/>
                <w:lang w:eastAsia="en-US"/>
              </w:rPr>
            </w:pPr>
            <w:r>
              <w:rPr>
                <w:rFonts w:cs="Arial" w:ascii="Arial" w:hAnsi="Arial"/>
                <w:b/>
                <w:bCs/>
                <w:i/>
                <w:iCs/>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i/>
                <w:i/>
                <w:iCs/>
              </w:rPr>
            </w:pPr>
            <w:r>
              <w:rPr>
                <w:rFonts w:cs="Arial" w:ascii="Arial" w:hAnsi="Arial"/>
                <w:b/>
                <w:bCs/>
                <w:i/>
                <w:iC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i/>
                <w:i/>
                <w:iCs/>
              </w:rPr>
            </w:pPr>
            <w:r>
              <w:rPr>
                <w:rFonts w:cs="Arial" w:ascii="Arial" w:hAnsi="Arial"/>
                <w:b/>
                <w:bCs/>
                <w:i/>
                <w:iC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i/>
                <w:i/>
                <w:iCs/>
              </w:rPr>
            </w:pPr>
            <w:r>
              <w:rPr>
                <w:rFonts w:cs="Arial" w:ascii="Arial" w:hAnsi="Arial"/>
                <w:b/>
                <w:bCs/>
                <w:i/>
                <w:iC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36450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36450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1860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1860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36650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36650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1880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1880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36850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36850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1900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1900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3105"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36</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i/>
                <w:i/>
                <w:iCs/>
                <w:lang w:eastAsia="en-US"/>
              </w:rPr>
            </w:pPr>
            <w:r>
              <w:rPr>
                <w:rFonts w:cs="Arial" w:ascii="Arial" w:hAnsi="Arial"/>
                <w:b/>
                <w:bCs/>
                <w:i/>
                <w:iCs/>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i/>
                <w:i/>
                <w:iCs/>
              </w:rPr>
            </w:pPr>
            <w:r>
              <w:rPr>
                <w:rFonts w:cs="Arial" w:ascii="Arial" w:hAnsi="Arial"/>
                <w:b/>
                <w:bCs/>
                <w:i/>
                <w:iC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i/>
                <w:i/>
                <w:iCs/>
              </w:rPr>
            </w:pPr>
            <w:r>
              <w:rPr>
                <w:rFonts w:cs="Arial" w:ascii="Arial" w:hAnsi="Arial"/>
                <w:b/>
                <w:bCs/>
                <w:i/>
                <w:iC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i/>
                <w:i/>
                <w:iCs/>
              </w:rPr>
            </w:pPr>
            <w:r>
              <w:rPr>
                <w:rFonts w:cs="Arial" w:ascii="Arial" w:hAnsi="Arial"/>
                <w:b/>
                <w:bCs/>
                <w:i/>
                <w:iC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37050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37050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1940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1940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37250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37250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1960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1960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37450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37450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1980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1980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3105"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37</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37650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37650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1920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1920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3105"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38</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37850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37850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2580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2580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38000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38000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2595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2595</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38150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38150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2610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2610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3105"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39</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38350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38350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1890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1890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38450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38450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1900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1900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38550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38550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1910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1910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3105"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40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38750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38750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2310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2310</w:t>
            </w:r>
          </w:p>
        </w:tc>
        <w:tc>
          <w:tcPr>
            <w:tcW w:w="1020"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100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39150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39150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2350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2350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39550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39550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2390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2390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3105"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pPr>
            <w:r>
              <w:rPr>
                <w:lang w:eastAsia="en-US"/>
              </w:rPr>
              <w:t>Band 41</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39750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39750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2506</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2506</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40620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40620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2593</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2593</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41490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41490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2680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2680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3105"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42</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41690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41690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3410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3410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42590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42590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3500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3500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43490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43490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3590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3590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3105"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pPr>
            <w:r>
              <w:rPr>
                <w:lang w:eastAsia="en-US"/>
              </w:rPr>
              <w:t>Band 43</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43690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43690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3610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3610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44590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44590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3700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3700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45490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45490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3790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3790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3105"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44</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3" w:hRule="atLeast"/>
        </w:trPr>
        <w:tc>
          <w:tcPr>
            <w:tcW w:w="9665" w:type="dxa"/>
            <w:gridSpan w:val="9"/>
            <w:tcBorders>
              <w:top w:val="single" w:sz="4" w:space="0" w:color="000000"/>
              <w:left w:val="single" w:sz="4" w:space="0" w:color="000000"/>
              <w:bottom w:val="single" w:sz="4" w:space="0" w:color="000000"/>
              <w:right w:val="single" w:sz="4" w:space="0" w:color="000000"/>
            </w:tcBorders>
            <w:vAlign w:val="center"/>
          </w:tcPr>
          <w:p>
            <w:pPr>
              <w:pStyle w:val="TAN"/>
              <w:rPr/>
            </w:pPr>
            <w:r>
              <w:rPr>
                <w:lang w:eastAsia="en-US"/>
              </w:rPr>
              <w:t>Note 1:</w:t>
              <w:tab/>
              <w:t>Refer to TS 36.521-1 [7], Table A.3.2-2 (Fixed Reference Channel for Receiver Requirements (TDD)), 20MHz configuration</w:t>
            </w:r>
          </w:p>
          <w:p>
            <w:pPr>
              <w:pStyle w:val="TAN"/>
              <w:rPr>
                <w:lang w:eastAsia="en-US"/>
              </w:rPr>
            </w:pPr>
            <w:r>
              <w:rPr>
                <w:lang w:eastAsia="en-US"/>
              </w:rPr>
              <w:t>Note 2:</w:t>
              <w:tab/>
              <w:t>Network signalling value NS_01 shall be used in TRS tests</w:t>
            </w:r>
          </w:p>
        </w:tc>
      </w:tr>
    </w:tbl>
    <w:p>
      <w:pPr>
        <w:pStyle w:val="Normal"/>
        <w:rPr/>
      </w:pPr>
      <w:r>
        <w:rPr/>
      </w:r>
    </w:p>
    <w:p>
      <w:pPr>
        <w:pStyle w:val="Heading2"/>
        <w:rPr/>
      </w:pPr>
      <w:bookmarkStart w:id="42" w:name="__RefHeading___Toc68600980"/>
      <w:bookmarkEnd w:id="42"/>
      <w:r>
        <w:rPr/>
        <w:t>5.5</w:t>
        <w:tab/>
        <w:t>E-UTRA FDD operating bands and measurement frequency allocations for receiver total radiated multi-antenna sensitivity</w:t>
      </w:r>
    </w:p>
    <w:p>
      <w:pPr>
        <w:pStyle w:val="Normal"/>
        <w:rPr/>
      </w:pPr>
      <w:r>
        <w:rPr/>
        <w:t>This section specifies the E-UTRA FDD operating bands and measurement frequency allocations for TRMS. Table 5.5-1 lists the operating bands and Table 5.5-2 specifies the measurement frequency allocations for TRMS.</w:t>
      </w:r>
    </w:p>
    <w:p>
      <w:pPr>
        <w:pStyle w:val="TH"/>
        <w:rPr/>
      </w:pPr>
      <w:r>
        <w:rPr/>
        <w:t>Table 5.5-1 E-UTRA FDD operating bands for receiver total radiated multi-antenna sensitivity requirements</w:t>
      </w:r>
    </w:p>
    <w:tbl>
      <w:tblPr>
        <w:tblW w:w="7654" w:type="dxa"/>
        <w:jc w:val="center"/>
        <w:tblInd w:w="0" w:type="dxa"/>
        <w:tblLayout w:type="fixed"/>
        <w:tblCellMar>
          <w:top w:w="0" w:type="dxa"/>
          <w:left w:w="108" w:type="dxa"/>
          <w:bottom w:w="0" w:type="dxa"/>
          <w:right w:w="108" w:type="dxa"/>
        </w:tblCellMar>
      </w:tblPr>
      <w:tblGrid>
        <w:gridCol w:w="1068"/>
        <w:gridCol w:w="1227"/>
        <w:gridCol w:w="517"/>
        <w:gridCol w:w="1175"/>
        <w:gridCol w:w="1243"/>
        <w:gridCol w:w="317"/>
        <w:gridCol w:w="1201"/>
        <w:gridCol w:w="906"/>
      </w:tblGrid>
      <w:tr>
        <w:trPr/>
        <w:tc>
          <w:tcPr>
            <w:tcW w:w="1068" w:type="dxa"/>
            <w:vMerge w:val="restart"/>
            <w:tcBorders>
              <w:top w:val="single" w:sz="4" w:space="0" w:color="000000"/>
              <w:left w:val="single" w:sz="4" w:space="0" w:color="000000"/>
              <w:right w:val="single" w:sz="4" w:space="0" w:color="000000"/>
            </w:tcBorders>
            <w:vAlign w:val="center"/>
          </w:tcPr>
          <w:p>
            <w:pPr>
              <w:pStyle w:val="TAH"/>
              <w:rPr>
                <w:rFonts w:cs="Arial"/>
                <w:lang w:eastAsia="en-US"/>
              </w:rPr>
            </w:pPr>
            <w:r>
              <w:rPr>
                <w:rFonts w:cs="Arial"/>
                <w:lang w:eastAsia="en-US"/>
              </w:rPr>
              <w:t>E</w:t>
              <w:noBreakHyphen/>
              <w:t>UTRA Operating Band</w:t>
            </w:r>
          </w:p>
        </w:tc>
        <w:tc>
          <w:tcPr>
            <w:tcW w:w="2919" w:type="dxa"/>
            <w:gridSpan w:val="3"/>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Uplink (UL) operating band</w:t>
              <w:br/>
              <w:t>BS receive</w:t>
              <w:br/>
              <w:t>UE transmit</w:t>
            </w:r>
          </w:p>
        </w:tc>
        <w:tc>
          <w:tcPr>
            <w:tcW w:w="2761" w:type="dxa"/>
            <w:gridSpan w:val="3"/>
            <w:tcBorders>
              <w:top w:val="single" w:sz="4" w:space="0" w:color="000000"/>
              <w:bottom w:val="single" w:sz="4" w:space="0" w:color="000000"/>
              <w:right w:val="single" w:sz="4" w:space="0" w:color="000000"/>
            </w:tcBorders>
            <w:vAlign w:val="center"/>
          </w:tcPr>
          <w:p>
            <w:pPr>
              <w:pStyle w:val="TAH"/>
              <w:rPr/>
            </w:pPr>
            <w:r>
              <w:rPr>
                <w:rFonts w:cs="Arial"/>
                <w:lang w:eastAsia="en-US"/>
              </w:rPr>
              <w:t>Downlink (DL) operating band</w:t>
              <w:br/>
              <w:t>BS transmit</w:t>
              <w:br/>
              <w:t>UE receive</w:t>
            </w:r>
          </w:p>
        </w:tc>
        <w:tc>
          <w:tcPr>
            <w:tcW w:w="906" w:type="dxa"/>
            <w:vMerge w:val="restart"/>
            <w:tcBorders>
              <w:top w:val="single" w:sz="4" w:space="0" w:color="000000"/>
              <w:left w:val="single" w:sz="4" w:space="0" w:color="000000"/>
              <w:right w:val="single" w:sz="4" w:space="0" w:color="000000"/>
            </w:tcBorders>
          </w:tcPr>
          <w:p>
            <w:pPr>
              <w:pStyle w:val="TAH"/>
              <w:rPr>
                <w:rFonts w:cs="Arial"/>
                <w:lang w:eastAsia="en-US"/>
              </w:rPr>
            </w:pPr>
            <w:r>
              <w:rPr>
                <w:rFonts w:cs="Arial"/>
                <w:lang w:eastAsia="en-US"/>
              </w:rPr>
              <w:t>Duplex Mode</w:t>
            </w:r>
          </w:p>
        </w:tc>
      </w:tr>
      <w:tr>
        <w:trPr/>
        <w:tc>
          <w:tcPr>
            <w:tcW w:w="1068" w:type="dxa"/>
            <w:vMerge w:val="continue"/>
            <w:tcBorders>
              <w:top w:val="single" w:sz="4" w:space="0" w:color="000000"/>
              <w:left w:val="single" w:sz="4" w:space="0" w:color="000000"/>
              <w:right w:val="single" w:sz="4" w:space="0" w:color="000000"/>
            </w:tcBorders>
            <w:vAlign w:val="center"/>
          </w:tcPr>
          <w:p>
            <w:pPr>
              <w:pStyle w:val="TAH"/>
              <w:snapToGrid w:val="false"/>
              <w:rPr>
                <w:rFonts w:cs="Arial"/>
                <w:b/>
                <w:b/>
                <w:lang w:eastAsia="en-US"/>
              </w:rPr>
            </w:pPr>
            <w:r>
              <w:rPr>
                <w:rFonts w:cs="Arial"/>
                <w:b/>
                <w:lang w:eastAsia="en-US"/>
              </w:rPr>
            </w:r>
          </w:p>
        </w:tc>
        <w:tc>
          <w:tcPr>
            <w:tcW w:w="2919" w:type="dxa"/>
            <w:gridSpan w:val="3"/>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F</w:t>
            </w:r>
            <w:r>
              <w:rPr>
                <w:rFonts w:cs="Arial"/>
                <w:vertAlign w:val="subscript"/>
                <w:lang w:eastAsia="en-US"/>
              </w:rPr>
              <w:t>UL_low</w:t>
            </w:r>
            <w:r>
              <w:rPr>
                <w:rFonts w:cs="Arial"/>
                <w:lang w:eastAsia="en-US"/>
              </w:rPr>
              <w:t xml:space="preserve"> – F</w:t>
            </w:r>
            <w:r>
              <w:rPr>
                <w:rFonts w:cs="Arial"/>
                <w:vertAlign w:val="subscript"/>
                <w:lang w:eastAsia="en-US"/>
              </w:rPr>
              <w:t>UL_high</w:t>
            </w:r>
          </w:p>
        </w:tc>
        <w:tc>
          <w:tcPr>
            <w:tcW w:w="2761" w:type="dxa"/>
            <w:gridSpan w:val="3"/>
            <w:tcBorders>
              <w:top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F</w:t>
            </w:r>
            <w:r>
              <w:rPr>
                <w:rFonts w:cs="Arial"/>
                <w:vertAlign w:val="subscript"/>
                <w:lang w:eastAsia="en-US"/>
              </w:rPr>
              <w:t>DL_low</w:t>
            </w:r>
            <w:r>
              <w:rPr>
                <w:rFonts w:cs="Arial"/>
                <w:lang w:eastAsia="en-US"/>
              </w:rPr>
              <w:t xml:space="preserve"> – F</w:t>
            </w:r>
            <w:r>
              <w:rPr>
                <w:rFonts w:cs="Arial"/>
                <w:vertAlign w:val="subscript"/>
                <w:lang w:eastAsia="en-US"/>
              </w:rPr>
              <w:t>DL_high</w:t>
            </w:r>
          </w:p>
        </w:tc>
        <w:tc>
          <w:tcPr>
            <w:tcW w:w="906" w:type="dxa"/>
            <w:vMerge w:val="continue"/>
            <w:tcBorders>
              <w:top w:val="single" w:sz="4" w:space="0" w:color="000000"/>
              <w:left w:val="single" w:sz="4" w:space="0" w:color="000000"/>
              <w:right w:val="single" w:sz="4" w:space="0" w:color="000000"/>
            </w:tcBorders>
          </w:tcPr>
          <w:p>
            <w:pPr>
              <w:pStyle w:val="TAC"/>
              <w:snapToGrid w:val="false"/>
              <w:rPr>
                <w:rFonts w:cs="Arial"/>
                <w:lang w:eastAsia="en-US"/>
              </w:rPr>
            </w:pPr>
            <w:r>
              <w:rPr>
                <w:rFonts w:cs="Arial"/>
                <w:lang w:eastAsia="en-US"/>
              </w:rPr>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1227" w:type="dxa"/>
            <w:tcBorders>
              <w:top w:val="single" w:sz="4" w:space="0" w:color="000000"/>
              <w:left w:val="single" w:sz="4" w:space="0" w:color="000000"/>
              <w:bottom w:val="single" w:sz="4" w:space="0" w:color="000000"/>
            </w:tcBorders>
            <w:vAlign w:val="center"/>
          </w:tcPr>
          <w:p>
            <w:pPr>
              <w:pStyle w:val="TAR"/>
              <w:rPr>
                <w:rFonts w:cs="Arial"/>
                <w:lang w:eastAsia="en-US"/>
              </w:rPr>
            </w:pPr>
            <w:r>
              <w:rPr>
                <w:rFonts w:cs="Arial"/>
                <w:lang w:eastAsia="en-US"/>
              </w:rPr>
              <w:t>1920 MHz</w:t>
            </w:r>
          </w:p>
        </w:tc>
        <w:tc>
          <w:tcPr>
            <w:tcW w:w="5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175" w:type="dxa"/>
            <w:tcBorders>
              <w:top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 xml:space="preserve">1980 MHz </w:t>
            </w:r>
          </w:p>
        </w:tc>
        <w:tc>
          <w:tcPr>
            <w:tcW w:w="1243" w:type="dxa"/>
            <w:tcBorders>
              <w:top w:val="single" w:sz="4" w:space="0" w:color="000000"/>
              <w:bottom w:val="single" w:sz="4" w:space="0" w:color="000000"/>
            </w:tcBorders>
            <w:vAlign w:val="center"/>
          </w:tcPr>
          <w:p>
            <w:pPr>
              <w:pStyle w:val="TAR"/>
              <w:rPr/>
            </w:pPr>
            <w:r>
              <w:rPr>
                <w:rFonts w:cs="Arial"/>
                <w:lang w:eastAsia="en-US"/>
              </w:rPr>
              <w:t>2110 MHz</w:t>
            </w:r>
          </w:p>
        </w:tc>
        <w:tc>
          <w:tcPr>
            <w:tcW w:w="3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201" w:type="dxa"/>
            <w:tcBorders>
              <w:top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2170 MHz</w:t>
            </w:r>
          </w:p>
        </w:tc>
        <w:tc>
          <w:tcPr>
            <w:tcW w:w="906" w:type="dxa"/>
            <w:tcBorders>
              <w:top w:val="single" w:sz="4" w:space="0" w:color="000000"/>
              <w:left w:val="single" w:sz="4" w:space="0" w:color="000000"/>
              <w:bottom w:val="single" w:sz="4" w:space="0" w:color="000000"/>
              <w:right w:val="single" w:sz="4" w:space="0" w:color="000000"/>
            </w:tcBorders>
          </w:tcPr>
          <w:p>
            <w:pPr>
              <w:pStyle w:val="TAC"/>
              <w:rPr/>
            </w:pPr>
            <w:r>
              <w:rPr>
                <w:rFonts w:cs="Arial"/>
                <w:lang w:eastAsia="en-US"/>
              </w:rPr>
              <w:t>FDD</w:t>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2</w:t>
            </w:r>
          </w:p>
        </w:tc>
        <w:tc>
          <w:tcPr>
            <w:tcW w:w="1227" w:type="dxa"/>
            <w:tcBorders>
              <w:top w:val="single" w:sz="4" w:space="0" w:color="000000"/>
              <w:left w:val="single" w:sz="4" w:space="0" w:color="000000"/>
              <w:bottom w:val="single" w:sz="4" w:space="0" w:color="000000"/>
            </w:tcBorders>
            <w:vAlign w:val="center"/>
          </w:tcPr>
          <w:p>
            <w:pPr>
              <w:pStyle w:val="TAR"/>
              <w:rPr>
                <w:rFonts w:cs="Arial"/>
                <w:lang w:eastAsia="en-US"/>
              </w:rPr>
            </w:pPr>
            <w:r>
              <w:rPr>
                <w:rFonts w:cs="Arial"/>
                <w:lang w:eastAsia="en-US"/>
              </w:rPr>
              <w:t>1850 MHz</w:t>
            </w:r>
          </w:p>
        </w:tc>
        <w:tc>
          <w:tcPr>
            <w:tcW w:w="5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175" w:type="dxa"/>
            <w:tcBorders>
              <w:top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1910 MHz</w:t>
            </w:r>
          </w:p>
        </w:tc>
        <w:tc>
          <w:tcPr>
            <w:tcW w:w="1243" w:type="dxa"/>
            <w:tcBorders>
              <w:top w:val="single" w:sz="4" w:space="0" w:color="000000"/>
              <w:bottom w:val="single" w:sz="4" w:space="0" w:color="000000"/>
            </w:tcBorders>
            <w:vAlign w:val="center"/>
          </w:tcPr>
          <w:p>
            <w:pPr>
              <w:pStyle w:val="TAR"/>
              <w:rPr>
                <w:rFonts w:cs="Arial"/>
                <w:lang w:eastAsia="en-US"/>
              </w:rPr>
            </w:pPr>
            <w:r>
              <w:rPr>
                <w:rFonts w:cs="Arial"/>
                <w:lang w:eastAsia="en-US"/>
              </w:rPr>
              <w:t>1930 MHz</w:t>
            </w:r>
          </w:p>
        </w:tc>
        <w:tc>
          <w:tcPr>
            <w:tcW w:w="3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201" w:type="dxa"/>
            <w:tcBorders>
              <w:top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1990 MHz</w:t>
            </w:r>
          </w:p>
        </w:tc>
        <w:tc>
          <w:tcPr>
            <w:tcW w:w="90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FDD</w:t>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3</w:t>
            </w:r>
          </w:p>
        </w:tc>
        <w:tc>
          <w:tcPr>
            <w:tcW w:w="1227" w:type="dxa"/>
            <w:tcBorders>
              <w:top w:val="single" w:sz="4" w:space="0" w:color="000000"/>
              <w:left w:val="single" w:sz="4" w:space="0" w:color="000000"/>
              <w:bottom w:val="single" w:sz="4" w:space="0" w:color="000000"/>
            </w:tcBorders>
            <w:vAlign w:val="center"/>
          </w:tcPr>
          <w:p>
            <w:pPr>
              <w:pStyle w:val="TAR"/>
              <w:rPr>
                <w:rFonts w:cs="Arial"/>
                <w:lang w:eastAsia="en-US"/>
              </w:rPr>
            </w:pPr>
            <w:r>
              <w:rPr>
                <w:rFonts w:cs="Arial"/>
                <w:lang w:eastAsia="en-US"/>
              </w:rPr>
              <w:t>1710 MHz</w:t>
            </w:r>
          </w:p>
        </w:tc>
        <w:tc>
          <w:tcPr>
            <w:tcW w:w="5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175" w:type="dxa"/>
            <w:tcBorders>
              <w:top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1785 MHz</w:t>
            </w:r>
          </w:p>
        </w:tc>
        <w:tc>
          <w:tcPr>
            <w:tcW w:w="1243" w:type="dxa"/>
            <w:tcBorders>
              <w:top w:val="single" w:sz="4" w:space="0" w:color="000000"/>
              <w:bottom w:val="single" w:sz="4" w:space="0" w:color="000000"/>
            </w:tcBorders>
            <w:vAlign w:val="center"/>
          </w:tcPr>
          <w:p>
            <w:pPr>
              <w:pStyle w:val="TAR"/>
              <w:rPr>
                <w:rFonts w:cs="Arial"/>
                <w:lang w:eastAsia="en-US"/>
              </w:rPr>
            </w:pPr>
            <w:r>
              <w:rPr>
                <w:rFonts w:cs="Arial"/>
                <w:lang w:eastAsia="en-US"/>
              </w:rPr>
              <w:t>1805 MHz</w:t>
            </w:r>
          </w:p>
        </w:tc>
        <w:tc>
          <w:tcPr>
            <w:tcW w:w="3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201" w:type="dxa"/>
            <w:tcBorders>
              <w:top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1880 MHz</w:t>
            </w:r>
          </w:p>
        </w:tc>
        <w:tc>
          <w:tcPr>
            <w:tcW w:w="90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FDD</w:t>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4</w:t>
            </w:r>
          </w:p>
        </w:tc>
        <w:tc>
          <w:tcPr>
            <w:tcW w:w="1227" w:type="dxa"/>
            <w:tcBorders>
              <w:top w:val="single" w:sz="4" w:space="0" w:color="000000"/>
              <w:left w:val="single" w:sz="4" w:space="0" w:color="000000"/>
              <w:bottom w:val="single" w:sz="4" w:space="0" w:color="000000"/>
            </w:tcBorders>
          </w:tcPr>
          <w:p>
            <w:pPr>
              <w:pStyle w:val="TAR"/>
              <w:rPr>
                <w:rFonts w:cs="Arial"/>
                <w:lang w:eastAsia="en-US"/>
              </w:rPr>
            </w:pPr>
            <w:r>
              <w:rPr>
                <w:rFonts w:cs="Arial"/>
                <w:lang w:eastAsia="en-US"/>
              </w:rPr>
              <w:t>1710 MHz</w:t>
            </w:r>
          </w:p>
        </w:tc>
        <w:tc>
          <w:tcPr>
            <w:tcW w:w="5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175" w:type="dxa"/>
            <w:tcBorders>
              <w:top w:val="single" w:sz="4" w:space="0" w:color="000000"/>
              <w:bottom w:val="single" w:sz="4" w:space="0" w:color="000000"/>
              <w:right w:val="single" w:sz="4" w:space="0" w:color="000000"/>
            </w:tcBorders>
          </w:tcPr>
          <w:p>
            <w:pPr>
              <w:pStyle w:val="TAL1"/>
              <w:rPr>
                <w:rFonts w:cs="Arial"/>
                <w:lang w:eastAsia="en-US"/>
              </w:rPr>
            </w:pPr>
            <w:r>
              <w:rPr>
                <w:rFonts w:cs="Arial"/>
                <w:lang w:eastAsia="en-US"/>
              </w:rPr>
              <w:t xml:space="preserve">1755 MHz </w:t>
            </w:r>
          </w:p>
        </w:tc>
        <w:tc>
          <w:tcPr>
            <w:tcW w:w="1243" w:type="dxa"/>
            <w:tcBorders>
              <w:top w:val="single" w:sz="4" w:space="0" w:color="000000"/>
              <w:bottom w:val="single" w:sz="4" w:space="0" w:color="000000"/>
            </w:tcBorders>
          </w:tcPr>
          <w:p>
            <w:pPr>
              <w:pStyle w:val="TAR"/>
              <w:rPr>
                <w:rFonts w:cs="Arial"/>
                <w:lang w:eastAsia="en-US"/>
              </w:rPr>
            </w:pPr>
            <w:r>
              <w:rPr>
                <w:rFonts w:cs="Arial"/>
                <w:lang w:eastAsia="en-US"/>
              </w:rPr>
              <w:t>2110 MHz</w:t>
            </w:r>
          </w:p>
        </w:tc>
        <w:tc>
          <w:tcPr>
            <w:tcW w:w="3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201" w:type="dxa"/>
            <w:tcBorders>
              <w:top w:val="single" w:sz="4" w:space="0" w:color="000000"/>
              <w:bottom w:val="single" w:sz="4" w:space="0" w:color="000000"/>
              <w:right w:val="single" w:sz="4" w:space="0" w:color="000000"/>
            </w:tcBorders>
          </w:tcPr>
          <w:p>
            <w:pPr>
              <w:pStyle w:val="TAL1"/>
              <w:rPr>
                <w:rFonts w:cs="Arial"/>
                <w:lang w:eastAsia="en-US"/>
              </w:rPr>
            </w:pPr>
            <w:r>
              <w:rPr>
                <w:rFonts w:cs="Arial"/>
                <w:lang w:eastAsia="en-US"/>
              </w:rPr>
              <w:t>2155 MHz</w:t>
            </w:r>
          </w:p>
        </w:tc>
        <w:tc>
          <w:tcPr>
            <w:tcW w:w="90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FDD</w:t>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5</w:t>
            </w:r>
          </w:p>
        </w:tc>
        <w:tc>
          <w:tcPr>
            <w:tcW w:w="1227" w:type="dxa"/>
            <w:tcBorders>
              <w:top w:val="single" w:sz="4" w:space="0" w:color="000000"/>
              <w:left w:val="single" w:sz="4" w:space="0" w:color="000000"/>
              <w:bottom w:val="single" w:sz="4" w:space="0" w:color="000000"/>
            </w:tcBorders>
          </w:tcPr>
          <w:p>
            <w:pPr>
              <w:pStyle w:val="TAR"/>
              <w:rPr/>
            </w:pPr>
            <w:r>
              <w:rPr>
                <w:rFonts w:cs="Arial"/>
                <w:lang w:eastAsia="en-US"/>
              </w:rPr>
              <w:t>824 MHz</w:t>
            </w:r>
          </w:p>
        </w:tc>
        <w:tc>
          <w:tcPr>
            <w:tcW w:w="5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175" w:type="dxa"/>
            <w:tcBorders>
              <w:top w:val="single" w:sz="4" w:space="0" w:color="000000"/>
              <w:bottom w:val="single" w:sz="4" w:space="0" w:color="000000"/>
              <w:right w:val="single" w:sz="4" w:space="0" w:color="000000"/>
            </w:tcBorders>
          </w:tcPr>
          <w:p>
            <w:pPr>
              <w:pStyle w:val="TAL1"/>
              <w:rPr>
                <w:rFonts w:cs="Arial"/>
                <w:lang w:eastAsia="en-US"/>
              </w:rPr>
            </w:pPr>
            <w:r>
              <w:rPr>
                <w:rFonts w:cs="Arial"/>
                <w:lang w:eastAsia="en-US"/>
              </w:rPr>
              <w:t>849 MHz</w:t>
            </w:r>
          </w:p>
        </w:tc>
        <w:tc>
          <w:tcPr>
            <w:tcW w:w="1243" w:type="dxa"/>
            <w:tcBorders>
              <w:top w:val="single" w:sz="4" w:space="0" w:color="000000"/>
              <w:bottom w:val="single" w:sz="4" w:space="0" w:color="000000"/>
            </w:tcBorders>
          </w:tcPr>
          <w:p>
            <w:pPr>
              <w:pStyle w:val="TAR"/>
              <w:rPr>
                <w:rFonts w:cs="Arial"/>
                <w:lang w:eastAsia="en-US"/>
              </w:rPr>
            </w:pPr>
            <w:r>
              <w:rPr>
                <w:rFonts w:cs="Arial"/>
                <w:lang w:eastAsia="en-US"/>
              </w:rPr>
              <w:t>869 MHz</w:t>
            </w:r>
          </w:p>
        </w:tc>
        <w:tc>
          <w:tcPr>
            <w:tcW w:w="3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201" w:type="dxa"/>
            <w:tcBorders>
              <w:top w:val="single" w:sz="4" w:space="0" w:color="000000"/>
              <w:bottom w:val="single" w:sz="4" w:space="0" w:color="000000"/>
              <w:right w:val="single" w:sz="4" w:space="0" w:color="000000"/>
            </w:tcBorders>
          </w:tcPr>
          <w:p>
            <w:pPr>
              <w:pStyle w:val="TAL1"/>
              <w:rPr>
                <w:rFonts w:cs="Arial"/>
                <w:lang w:eastAsia="en-US"/>
              </w:rPr>
            </w:pPr>
            <w:r>
              <w:rPr>
                <w:rFonts w:cs="Arial"/>
                <w:lang w:eastAsia="en-US"/>
              </w:rPr>
              <w:t>894MHz</w:t>
            </w:r>
          </w:p>
        </w:tc>
        <w:tc>
          <w:tcPr>
            <w:tcW w:w="90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FDD</w:t>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7</w:t>
            </w:r>
          </w:p>
        </w:tc>
        <w:tc>
          <w:tcPr>
            <w:tcW w:w="1227" w:type="dxa"/>
            <w:tcBorders>
              <w:top w:val="single" w:sz="4" w:space="0" w:color="000000"/>
              <w:left w:val="single" w:sz="4" w:space="0" w:color="000000"/>
              <w:bottom w:val="single" w:sz="4" w:space="0" w:color="000000"/>
            </w:tcBorders>
            <w:vAlign w:val="center"/>
          </w:tcPr>
          <w:p>
            <w:pPr>
              <w:pStyle w:val="TAR"/>
              <w:rPr>
                <w:rFonts w:cs="Arial"/>
                <w:lang w:eastAsia="en-US"/>
              </w:rPr>
            </w:pPr>
            <w:r>
              <w:rPr>
                <w:rFonts w:cs="Arial"/>
                <w:lang w:eastAsia="en-US"/>
              </w:rPr>
              <w:t>2500 MHz</w:t>
            </w:r>
          </w:p>
        </w:tc>
        <w:tc>
          <w:tcPr>
            <w:tcW w:w="5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175" w:type="dxa"/>
            <w:tcBorders>
              <w:top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2570 MHz</w:t>
            </w:r>
          </w:p>
        </w:tc>
        <w:tc>
          <w:tcPr>
            <w:tcW w:w="1243" w:type="dxa"/>
            <w:tcBorders>
              <w:top w:val="single" w:sz="4" w:space="0" w:color="000000"/>
              <w:bottom w:val="single" w:sz="4" w:space="0" w:color="000000"/>
            </w:tcBorders>
            <w:vAlign w:val="center"/>
          </w:tcPr>
          <w:p>
            <w:pPr>
              <w:pStyle w:val="TAR"/>
              <w:rPr>
                <w:rFonts w:cs="Arial"/>
                <w:lang w:eastAsia="en-US"/>
              </w:rPr>
            </w:pPr>
            <w:r>
              <w:rPr>
                <w:rFonts w:cs="Arial"/>
                <w:lang w:eastAsia="en-US"/>
              </w:rPr>
              <w:t>2620 MHz</w:t>
            </w:r>
          </w:p>
        </w:tc>
        <w:tc>
          <w:tcPr>
            <w:tcW w:w="3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201" w:type="dxa"/>
            <w:tcBorders>
              <w:top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2690 MHz</w:t>
            </w:r>
          </w:p>
        </w:tc>
        <w:tc>
          <w:tcPr>
            <w:tcW w:w="90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FDD</w:t>
            </w:r>
          </w:p>
        </w:tc>
      </w:tr>
      <w:tr>
        <w:trPr>
          <w:trHeight w:val="221" w:hRule="atLeast"/>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8</w:t>
            </w:r>
          </w:p>
        </w:tc>
        <w:tc>
          <w:tcPr>
            <w:tcW w:w="1227" w:type="dxa"/>
            <w:tcBorders>
              <w:top w:val="single" w:sz="4" w:space="0" w:color="000000"/>
              <w:left w:val="single" w:sz="4" w:space="0" w:color="000000"/>
              <w:bottom w:val="single" w:sz="4" w:space="0" w:color="000000"/>
            </w:tcBorders>
            <w:vAlign w:val="center"/>
          </w:tcPr>
          <w:p>
            <w:pPr>
              <w:pStyle w:val="TAR"/>
              <w:rPr/>
            </w:pPr>
            <w:r>
              <w:rPr>
                <w:rFonts w:cs="Arial"/>
                <w:lang w:eastAsia="en-US"/>
              </w:rPr>
              <w:t>880 MHz</w:t>
            </w:r>
          </w:p>
        </w:tc>
        <w:tc>
          <w:tcPr>
            <w:tcW w:w="5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175" w:type="dxa"/>
            <w:tcBorders>
              <w:top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915 MHz</w:t>
            </w:r>
          </w:p>
        </w:tc>
        <w:tc>
          <w:tcPr>
            <w:tcW w:w="1243" w:type="dxa"/>
            <w:tcBorders>
              <w:top w:val="single" w:sz="4" w:space="0" w:color="000000"/>
              <w:bottom w:val="single" w:sz="4" w:space="0" w:color="000000"/>
            </w:tcBorders>
            <w:vAlign w:val="center"/>
          </w:tcPr>
          <w:p>
            <w:pPr>
              <w:pStyle w:val="TAR"/>
              <w:rPr/>
            </w:pPr>
            <w:r>
              <w:rPr>
                <w:rFonts w:cs="Arial"/>
                <w:lang w:eastAsia="en-US"/>
              </w:rPr>
              <w:t>925 MHz</w:t>
            </w:r>
          </w:p>
        </w:tc>
        <w:tc>
          <w:tcPr>
            <w:tcW w:w="3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201" w:type="dxa"/>
            <w:tcBorders>
              <w:top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960 MHz</w:t>
            </w:r>
          </w:p>
        </w:tc>
        <w:tc>
          <w:tcPr>
            <w:tcW w:w="90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FDD</w:t>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12</w:t>
            </w:r>
          </w:p>
        </w:tc>
        <w:tc>
          <w:tcPr>
            <w:tcW w:w="1227" w:type="dxa"/>
            <w:tcBorders>
              <w:top w:val="single" w:sz="4" w:space="0" w:color="000000"/>
              <w:left w:val="single" w:sz="4" w:space="0" w:color="000000"/>
              <w:bottom w:val="single" w:sz="4" w:space="0" w:color="000000"/>
            </w:tcBorders>
          </w:tcPr>
          <w:p>
            <w:pPr>
              <w:pStyle w:val="TAR"/>
              <w:rPr>
                <w:rFonts w:cs="Arial"/>
                <w:lang w:eastAsia="en-US"/>
              </w:rPr>
            </w:pPr>
            <w:r>
              <w:rPr>
                <w:rFonts w:cs="Arial"/>
                <w:lang w:eastAsia="en-US"/>
              </w:rPr>
              <w:t>699 MHz</w:t>
            </w:r>
          </w:p>
        </w:tc>
        <w:tc>
          <w:tcPr>
            <w:tcW w:w="5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175" w:type="dxa"/>
            <w:tcBorders>
              <w:top w:val="single" w:sz="4" w:space="0" w:color="000000"/>
              <w:bottom w:val="single" w:sz="4" w:space="0" w:color="000000"/>
              <w:right w:val="single" w:sz="4" w:space="0" w:color="000000"/>
            </w:tcBorders>
          </w:tcPr>
          <w:p>
            <w:pPr>
              <w:pStyle w:val="TAL1"/>
              <w:rPr>
                <w:rFonts w:cs="Arial"/>
                <w:lang w:eastAsia="en-US"/>
              </w:rPr>
            </w:pPr>
            <w:r>
              <w:rPr>
                <w:rFonts w:cs="Arial"/>
                <w:lang w:eastAsia="en-US"/>
              </w:rPr>
              <w:t>716 MHz</w:t>
            </w:r>
          </w:p>
        </w:tc>
        <w:tc>
          <w:tcPr>
            <w:tcW w:w="1243" w:type="dxa"/>
            <w:tcBorders>
              <w:top w:val="single" w:sz="4" w:space="0" w:color="000000"/>
              <w:bottom w:val="single" w:sz="4" w:space="0" w:color="000000"/>
            </w:tcBorders>
          </w:tcPr>
          <w:p>
            <w:pPr>
              <w:pStyle w:val="TAR"/>
              <w:rPr>
                <w:rFonts w:cs="Arial"/>
                <w:lang w:eastAsia="en-US"/>
              </w:rPr>
            </w:pPr>
            <w:r>
              <w:rPr>
                <w:rFonts w:cs="Arial"/>
                <w:lang w:eastAsia="en-US"/>
              </w:rPr>
              <w:t>729 MHz</w:t>
            </w:r>
          </w:p>
        </w:tc>
        <w:tc>
          <w:tcPr>
            <w:tcW w:w="3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201" w:type="dxa"/>
            <w:tcBorders>
              <w:top w:val="single" w:sz="4" w:space="0" w:color="000000"/>
              <w:bottom w:val="single" w:sz="4" w:space="0" w:color="000000"/>
              <w:right w:val="single" w:sz="4" w:space="0" w:color="000000"/>
            </w:tcBorders>
          </w:tcPr>
          <w:p>
            <w:pPr>
              <w:pStyle w:val="TAL1"/>
              <w:rPr>
                <w:rFonts w:cs="Arial"/>
                <w:lang w:eastAsia="en-US"/>
              </w:rPr>
            </w:pPr>
            <w:r>
              <w:rPr>
                <w:rFonts w:cs="Arial"/>
                <w:lang w:eastAsia="en-US"/>
              </w:rPr>
              <w:t>746 MHz</w:t>
            </w:r>
          </w:p>
        </w:tc>
        <w:tc>
          <w:tcPr>
            <w:tcW w:w="90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FDD</w:t>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13</w:t>
            </w:r>
          </w:p>
        </w:tc>
        <w:tc>
          <w:tcPr>
            <w:tcW w:w="1227" w:type="dxa"/>
            <w:tcBorders>
              <w:top w:val="single" w:sz="4" w:space="0" w:color="000000"/>
              <w:left w:val="single" w:sz="4" w:space="0" w:color="000000"/>
              <w:bottom w:val="single" w:sz="4" w:space="0" w:color="000000"/>
            </w:tcBorders>
          </w:tcPr>
          <w:p>
            <w:pPr>
              <w:pStyle w:val="TAR"/>
              <w:rPr>
                <w:rFonts w:cs="Arial"/>
                <w:lang w:eastAsia="en-US"/>
              </w:rPr>
            </w:pPr>
            <w:r>
              <w:rPr>
                <w:rFonts w:cs="Arial"/>
                <w:lang w:eastAsia="en-US"/>
              </w:rPr>
              <w:t>777 MHz</w:t>
            </w:r>
          </w:p>
        </w:tc>
        <w:tc>
          <w:tcPr>
            <w:tcW w:w="5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175" w:type="dxa"/>
            <w:tcBorders>
              <w:top w:val="single" w:sz="4" w:space="0" w:color="000000"/>
              <w:bottom w:val="single" w:sz="4" w:space="0" w:color="000000"/>
              <w:right w:val="single" w:sz="4" w:space="0" w:color="000000"/>
            </w:tcBorders>
          </w:tcPr>
          <w:p>
            <w:pPr>
              <w:pStyle w:val="TAL1"/>
              <w:rPr>
                <w:rFonts w:cs="Arial"/>
                <w:lang w:eastAsia="en-US"/>
              </w:rPr>
            </w:pPr>
            <w:r>
              <w:rPr>
                <w:rFonts w:cs="Arial"/>
                <w:lang w:eastAsia="en-US"/>
              </w:rPr>
              <w:t>787 MHz</w:t>
            </w:r>
          </w:p>
        </w:tc>
        <w:tc>
          <w:tcPr>
            <w:tcW w:w="1243" w:type="dxa"/>
            <w:tcBorders>
              <w:top w:val="single" w:sz="4" w:space="0" w:color="000000"/>
              <w:bottom w:val="single" w:sz="4" w:space="0" w:color="000000"/>
            </w:tcBorders>
          </w:tcPr>
          <w:p>
            <w:pPr>
              <w:pStyle w:val="TAR"/>
              <w:rPr>
                <w:rFonts w:cs="Arial"/>
                <w:lang w:eastAsia="en-US"/>
              </w:rPr>
            </w:pPr>
            <w:r>
              <w:rPr>
                <w:rFonts w:cs="Arial"/>
                <w:lang w:eastAsia="en-US"/>
              </w:rPr>
              <w:t>746 MHz</w:t>
            </w:r>
          </w:p>
        </w:tc>
        <w:tc>
          <w:tcPr>
            <w:tcW w:w="3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201" w:type="dxa"/>
            <w:tcBorders>
              <w:top w:val="single" w:sz="4" w:space="0" w:color="000000"/>
              <w:bottom w:val="single" w:sz="4" w:space="0" w:color="000000"/>
              <w:right w:val="single" w:sz="4" w:space="0" w:color="000000"/>
            </w:tcBorders>
          </w:tcPr>
          <w:p>
            <w:pPr>
              <w:pStyle w:val="TAL1"/>
              <w:rPr>
                <w:rFonts w:cs="Arial"/>
                <w:lang w:eastAsia="en-US"/>
              </w:rPr>
            </w:pPr>
            <w:r>
              <w:rPr>
                <w:rFonts w:cs="Arial"/>
                <w:lang w:eastAsia="en-US"/>
              </w:rPr>
              <w:t>756 MHz</w:t>
            </w:r>
          </w:p>
        </w:tc>
        <w:tc>
          <w:tcPr>
            <w:tcW w:w="90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FDD</w:t>
            </w:r>
          </w:p>
        </w:tc>
      </w:tr>
      <w:tr>
        <w:trPr/>
        <w:tc>
          <w:tcPr>
            <w:tcW w:w="106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19</w:t>
            </w:r>
          </w:p>
        </w:tc>
        <w:tc>
          <w:tcPr>
            <w:tcW w:w="1227" w:type="dxa"/>
            <w:tcBorders>
              <w:top w:val="single" w:sz="4" w:space="0" w:color="000000"/>
              <w:left w:val="single" w:sz="4" w:space="0" w:color="000000"/>
              <w:bottom w:val="single" w:sz="4" w:space="0" w:color="000000"/>
            </w:tcBorders>
          </w:tcPr>
          <w:p>
            <w:pPr>
              <w:pStyle w:val="TAR"/>
              <w:rPr>
                <w:rFonts w:cs="Arial"/>
                <w:lang w:eastAsia="en-US"/>
              </w:rPr>
            </w:pPr>
            <w:r>
              <w:rPr>
                <w:rFonts w:cs="Arial"/>
                <w:lang w:eastAsia="en-US"/>
              </w:rPr>
              <w:t>830 MHz</w:t>
            </w:r>
          </w:p>
        </w:tc>
        <w:tc>
          <w:tcPr>
            <w:tcW w:w="5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175" w:type="dxa"/>
            <w:tcBorders>
              <w:top w:val="single" w:sz="4" w:space="0" w:color="000000"/>
              <w:bottom w:val="single" w:sz="4" w:space="0" w:color="000000"/>
              <w:right w:val="single" w:sz="4" w:space="0" w:color="000000"/>
            </w:tcBorders>
          </w:tcPr>
          <w:p>
            <w:pPr>
              <w:pStyle w:val="TAL1"/>
              <w:rPr>
                <w:rFonts w:cs="Arial"/>
                <w:lang w:eastAsia="en-US"/>
              </w:rPr>
            </w:pPr>
            <w:r>
              <w:rPr>
                <w:rFonts w:cs="Arial"/>
                <w:lang w:eastAsia="en-US"/>
              </w:rPr>
              <w:t>845 MHz</w:t>
            </w:r>
          </w:p>
        </w:tc>
        <w:tc>
          <w:tcPr>
            <w:tcW w:w="1243" w:type="dxa"/>
            <w:tcBorders>
              <w:top w:val="single" w:sz="4" w:space="0" w:color="000000"/>
              <w:bottom w:val="single" w:sz="4" w:space="0" w:color="000000"/>
            </w:tcBorders>
          </w:tcPr>
          <w:p>
            <w:pPr>
              <w:pStyle w:val="TAR"/>
              <w:rPr>
                <w:rFonts w:cs="Arial"/>
                <w:lang w:eastAsia="en-US"/>
              </w:rPr>
            </w:pPr>
            <w:r>
              <w:rPr>
                <w:rFonts w:cs="Arial"/>
                <w:lang w:eastAsia="en-US"/>
              </w:rPr>
              <w:t>875 MHz</w:t>
            </w:r>
          </w:p>
        </w:tc>
        <w:tc>
          <w:tcPr>
            <w:tcW w:w="3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201" w:type="dxa"/>
            <w:tcBorders>
              <w:top w:val="single" w:sz="4" w:space="0" w:color="000000"/>
              <w:bottom w:val="single" w:sz="4" w:space="0" w:color="000000"/>
              <w:right w:val="single" w:sz="4" w:space="0" w:color="000000"/>
            </w:tcBorders>
          </w:tcPr>
          <w:p>
            <w:pPr>
              <w:pStyle w:val="TAL1"/>
              <w:rPr>
                <w:rFonts w:cs="Arial"/>
                <w:lang w:eastAsia="en-US"/>
              </w:rPr>
            </w:pPr>
            <w:r>
              <w:rPr>
                <w:rFonts w:cs="Arial"/>
                <w:lang w:eastAsia="en-US"/>
              </w:rPr>
              <w:t>890 MHz</w:t>
            </w:r>
          </w:p>
        </w:tc>
        <w:tc>
          <w:tcPr>
            <w:tcW w:w="90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FDD</w:t>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20</w:t>
            </w:r>
          </w:p>
        </w:tc>
        <w:tc>
          <w:tcPr>
            <w:tcW w:w="1227" w:type="dxa"/>
            <w:tcBorders>
              <w:top w:val="single" w:sz="4" w:space="0" w:color="000000"/>
              <w:left w:val="single" w:sz="4" w:space="0" w:color="000000"/>
              <w:bottom w:val="single" w:sz="4" w:space="0" w:color="000000"/>
            </w:tcBorders>
          </w:tcPr>
          <w:p>
            <w:pPr>
              <w:pStyle w:val="TAR"/>
              <w:rPr>
                <w:rFonts w:cs="Arial"/>
                <w:lang w:eastAsia="en-US"/>
              </w:rPr>
            </w:pPr>
            <w:r>
              <w:rPr>
                <w:rFonts w:cs="Arial"/>
                <w:lang w:eastAsia="en-US"/>
              </w:rPr>
              <w:t>832 MHz</w:t>
            </w:r>
          </w:p>
        </w:tc>
        <w:tc>
          <w:tcPr>
            <w:tcW w:w="5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175" w:type="dxa"/>
            <w:tcBorders>
              <w:top w:val="single" w:sz="4" w:space="0" w:color="000000"/>
              <w:bottom w:val="single" w:sz="4" w:space="0" w:color="000000"/>
              <w:right w:val="single" w:sz="4" w:space="0" w:color="000000"/>
            </w:tcBorders>
          </w:tcPr>
          <w:p>
            <w:pPr>
              <w:pStyle w:val="TAL1"/>
              <w:rPr>
                <w:rFonts w:cs="Arial"/>
                <w:lang w:eastAsia="en-US"/>
              </w:rPr>
            </w:pPr>
            <w:r>
              <w:rPr>
                <w:rFonts w:cs="Arial"/>
                <w:lang w:eastAsia="en-US"/>
              </w:rPr>
              <w:t>862 MHz</w:t>
            </w:r>
          </w:p>
        </w:tc>
        <w:tc>
          <w:tcPr>
            <w:tcW w:w="1243" w:type="dxa"/>
            <w:tcBorders>
              <w:top w:val="single" w:sz="4" w:space="0" w:color="000000"/>
              <w:left w:val="single" w:sz="4" w:space="0" w:color="000000"/>
              <w:bottom w:val="single" w:sz="4" w:space="0" w:color="000000"/>
            </w:tcBorders>
          </w:tcPr>
          <w:p>
            <w:pPr>
              <w:pStyle w:val="TAR"/>
              <w:rPr>
                <w:rFonts w:cs="Arial"/>
                <w:lang w:eastAsia="en-US"/>
              </w:rPr>
            </w:pPr>
            <w:r>
              <w:rPr>
                <w:rFonts w:cs="Arial"/>
                <w:lang w:eastAsia="en-US"/>
              </w:rPr>
              <w:t>791 MHz</w:t>
            </w:r>
          </w:p>
        </w:tc>
        <w:tc>
          <w:tcPr>
            <w:tcW w:w="3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201" w:type="dxa"/>
            <w:tcBorders>
              <w:top w:val="single" w:sz="4" w:space="0" w:color="000000"/>
              <w:bottom w:val="single" w:sz="4" w:space="0" w:color="000000"/>
              <w:right w:val="single" w:sz="4" w:space="0" w:color="000000"/>
            </w:tcBorders>
          </w:tcPr>
          <w:p>
            <w:pPr>
              <w:pStyle w:val="TAL1"/>
              <w:rPr>
                <w:rFonts w:cs="Arial"/>
                <w:lang w:eastAsia="en-US"/>
              </w:rPr>
            </w:pPr>
            <w:r>
              <w:rPr>
                <w:rFonts w:cs="Arial"/>
                <w:lang w:eastAsia="en-US"/>
              </w:rPr>
              <w:t>821 MHz</w:t>
            </w:r>
          </w:p>
        </w:tc>
        <w:tc>
          <w:tcPr>
            <w:tcW w:w="90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FDD</w:t>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28</w:t>
            </w:r>
          </w:p>
        </w:tc>
        <w:tc>
          <w:tcPr>
            <w:tcW w:w="1227" w:type="dxa"/>
            <w:tcBorders>
              <w:top w:val="single" w:sz="4" w:space="0" w:color="000000"/>
              <w:left w:val="single" w:sz="4" w:space="0" w:color="000000"/>
              <w:bottom w:val="single" w:sz="4" w:space="0" w:color="000000"/>
            </w:tcBorders>
          </w:tcPr>
          <w:p>
            <w:pPr>
              <w:pStyle w:val="TAR"/>
              <w:rPr>
                <w:rFonts w:cs="Arial"/>
                <w:lang w:eastAsia="en-US"/>
              </w:rPr>
            </w:pPr>
            <w:r>
              <w:rPr>
                <w:rFonts w:cs="Arial"/>
                <w:lang w:eastAsia="en-US"/>
              </w:rPr>
              <w:t>703 MHz</w:t>
            </w:r>
          </w:p>
        </w:tc>
        <w:tc>
          <w:tcPr>
            <w:tcW w:w="5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175" w:type="dxa"/>
            <w:tcBorders>
              <w:top w:val="single" w:sz="4" w:space="0" w:color="000000"/>
              <w:bottom w:val="single" w:sz="4" w:space="0" w:color="000000"/>
              <w:right w:val="single" w:sz="4" w:space="0" w:color="000000"/>
            </w:tcBorders>
          </w:tcPr>
          <w:p>
            <w:pPr>
              <w:pStyle w:val="TAL1"/>
              <w:rPr>
                <w:rFonts w:cs="Arial"/>
                <w:lang w:eastAsia="en-US"/>
              </w:rPr>
            </w:pPr>
            <w:r>
              <w:rPr>
                <w:rFonts w:cs="Arial"/>
                <w:lang w:eastAsia="en-US"/>
              </w:rPr>
              <w:t>748 MHz</w:t>
            </w:r>
          </w:p>
        </w:tc>
        <w:tc>
          <w:tcPr>
            <w:tcW w:w="1243" w:type="dxa"/>
            <w:tcBorders>
              <w:top w:val="single" w:sz="4" w:space="0" w:color="000000"/>
              <w:left w:val="single" w:sz="4" w:space="0" w:color="000000"/>
              <w:bottom w:val="single" w:sz="4" w:space="0" w:color="000000"/>
            </w:tcBorders>
          </w:tcPr>
          <w:p>
            <w:pPr>
              <w:pStyle w:val="TAR"/>
              <w:rPr>
                <w:rFonts w:cs="Arial"/>
                <w:lang w:eastAsia="en-US"/>
              </w:rPr>
            </w:pPr>
            <w:r>
              <w:rPr>
                <w:rFonts w:cs="Arial"/>
                <w:lang w:eastAsia="en-US"/>
              </w:rPr>
              <w:t>758 MHz</w:t>
            </w:r>
          </w:p>
        </w:tc>
        <w:tc>
          <w:tcPr>
            <w:tcW w:w="3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201" w:type="dxa"/>
            <w:tcBorders>
              <w:top w:val="single" w:sz="4" w:space="0" w:color="000000"/>
              <w:bottom w:val="single" w:sz="4" w:space="0" w:color="000000"/>
              <w:right w:val="single" w:sz="4" w:space="0" w:color="000000"/>
            </w:tcBorders>
          </w:tcPr>
          <w:p>
            <w:pPr>
              <w:pStyle w:val="TAL1"/>
              <w:rPr>
                <w:rFonts w:cs="Arial"/>
                <w:lang w:eastAsia="en-US"/>
              </w:rPr>
            </w:pPr>
            <w:r>
              <w:rPr>
                <w:rFonts w:cs="Arial"/>
                <w:lang w:eastAsia="en-US"/>
              </w:rPr>
              <w:t>803 MHz</w:t>
            </w:r>
          </w:p>
        </w:tc>
        <w:tc>
          <w:tcPr>
            <w:tcW w:w="90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FDD</w:t>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32</w:t>
            </w:r>
          </w:p>
        </w:tc>
        <w:tc>
          <w:tcPr>
            <w:tcW w:w="1227" w:type="dxa"/>
            <w:tcBorders>
              <w:top w:val="single" w:sz="4" w:space="0" w:color="000000"/>
              <w:left w:val="single" w:sz="4" w:space="0" w:color="000000"/>
              <w:bottom w:val="single" w:sz="4" w:space="0" w:color="000000"/>
            </w:tcBorders>
          </w:tcPr>
          <w:p>
            <w:pPr>
              <w:pStyle w:val="TAR"/>
              <w:snapToGrid w:val="false"/>
              <w:rPr>
                <w:rFonts w:cs="Arial"/>
                <w:lang w:eastAsia="en-US"/>
              </w:rPr>
            </w:pPr>
            <w:r>
              <w:rPr>
                <w:rFonts w:cs="Arial"/>
                <w:lang w:eastAsia="en-US"/>
              </w:rPr>
            </w:r>
          </w:p>
        </w:tc>
        <w:tc>
          <w:tcPr>
            <w:tcW w:w="517" w:type="dxa"/>
            <w:tcBorders>
              <w:top w:val="single" w:sz="4" w:space="0" w:color="000000"/>
              <w:bottom w:val="single" w:sz="4" w:space="0" w:color="000000"/>
            </w:tcBorders>
          </w:tcPr>
          <w:p>
            <w:pPr>
              <w:pStyle w:val="TAC"/>
              <w:rPr>
                <w:rFonts w:cs="Arial"/>
                <w:lang w:eastAsia="en-US"/>
              </w:rPr>
            </w:pPr>
            <w:r>
              <w:rPr>
                <w:rFonts w:cs="Arial"/>
                <w:lang w:eastAsia="zh-CN"/>
              </w:rPr>
              <w:t>N/A</w:t>
            </w:r>
          </w:p>
        </w:tc>
        <w:tc>
          <w:tcPr>
            <w:tcW w:w="1175" w:type="dxa"/>
            <w:tcBorders>
              <w:top w:val="single" w:sz="4" w:space="0" w:color="000000"/>
              <w:bottom w:val="single" w:sz="4" w:space="0" w:color="000000"/>
              <w:right w:val="single" w:sz="4" w:space="0" w:color="000000"/>
            </w:tcBorders>
          </w:tcPr>
          <w:p>
            <w:pPr>
              <w:pStyle w:val="TAL1"/>
              <w:snapToGrid w:val="false"/>
              <w:rPr>
                <w:rFonts w:cs="Arial"/>
                <w:lang w:eastAsia="en-US"/>
              </w:rPr>
            </w:pPr>
            <w:r>
              <w:rPr>
                <w:rFonts w:cs="Arial"/>
                <w:lang w:eastAsia="en-US"/>
              </w:rPr>
            </w:r>
          </w:p>
        </w:tc>
        <w:tc>
          <w:tcPr>
            <w:tcW w:w="1243" w:type="dxa"/>
            <w:tcBorders>
              <w:top w:val="single" w:sz="4" w:space="0" w:color="000000"/>
              <w:left w:val="single" w:sz="4" w:space="0" w:color="000000"/>
              <w:bottom w:val="single" w:sz="4" w:space="0" w:color="000000"/>
            </w:tcBorders>
          </w:tcPr>
          <w:p>
            <w:pPr>
              <w:pStyle w:val="TAR"/>
              <w:rPr/>
            </w:pPr>
            <w:r>
              <w:rPr>
                <w:rFonts w:cs="Arial"/>
                <w:lang w:eastAsia="en-US"/>
              </w:rPr>
              <w:t>1452 MHz</w:t>
            </w:r>
          </w:p>
        </w:tc>
        <w:tc>
          <w:tcPr>
            <w:tcW w:w="3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201" w:type="dxa"/>
            <w:tcBorders>
              <w:top w:val="single" w:sz="4" w:space="0" w:color="000000"/>
              <w:bottom w:val="single" w:sz="4" w:space="0" w:color="000000"/>
              <w:right w:val="single" w:sz="4" w:space="0" w:color="000000"/>
            </w:tcBorders>
          </w:tcPr>
          <w:p>
            <w:pPr>
              <w:pStyle w:val="TAL1"/>
              <w:rPr>
                <w:rFonts w:cs="Arial"/>
                <w:lang w:eastAsia="en-US"/>
              </w:rPr>
            </w:pPr>
            <w:r>
              <w:rPr>
                <w:rFonts w:cs="Arial"/>
                <w:lang w:eastAsia="en-US"/>
              </w:rPr>
              <w:t>1496 MHz</w:t>
            </w:r>
          </w:p>
        </w:tc>
        <w:tc>
          <w:tcPr>
            <w:tcW w:w="90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FDD</w:t>
            </w:r>
            <w:r>
              <w:rPr>
                <w:rFonts w:cs="Arial"/>
                <w:vertAlign w:val="superscript"/>
                <w:lang w:eastAsia="en-US"/>
              </w:rPr>
              <w:t>1</w:t>
            </w:r>
          </w:p>
        </w:tc>
      </w:tr>
      <w:tr>
        <w:trPr/>
        <w:tc>
          <w:tcPr>
            <w:tcW w:w="7654" w:type="dxa"/>
            <w:gridSpan w:val="8"/>
            <w:tcBorders>
              <w:top w:val="single" w:sz="4" w:space="0" w:color="000000"/>
              <w:left w:val="single" w:sz="4" w:space="0" w:color="000000"/>
              <w:bottom w:val="single" w:sz="4" w:space="0" w:color="000000"/>
              <w:right w:val="single" w:sz="4" w:space="0" w:color="000000"/>
            </w:tcBorders>
          </w:tcPr>
          <w:p>
            <w:pPr>
              <w:pStyle w:val="TAN"/>
              <w:rPr/>
            </w:pPr>
            <w:r>
              <w:rPr>
                <w:rFonts w:cs="Arial"/>
                <w:lang w:eastAsia="en-US"/>
              </w:rPr>
              <w:t>NOTE 1:</w:t>
              <w:tab/>
              <w:t>Restricted to E-UTRA operation when carrier aggregation is configured. The downlink operating band is paired with the uplink operating band (external) of the carrier aggregation configuration that is supporting the configured Pcell.</w:t>
            </w:r>
          </w:p>
        </w:tc>
      </w:tr>
    </w:tbl>
    <w:p>
      <w:pPr>
        <w:pStyle w:val="Normal"/>
        <w:rPr/>
      </w:pPr>
      <w:r>
        <w:rPr/>
      </w:r>
    </w:p>
    <w:p>
      <w:pPr>
        <w:pStyle w:val="Normal"/>
        <w:rPr/>
      </w:pPr>
      <w:r>
        <w:rPr/>
        <w:t>Deployment in other frequency bands is not precluded.</w:t>
      </w:r>
    </w:p>
    <w:p>
      <w:pPr>
        <w:pStyle w:val="TH"/>
        <w:rPr/>
      </w:pPr>
      <w:r>
        <w:rPr/>
        <w:t xml:space="preserve">Table </w:t>
      </w:r>
      <w:r>
        <w:rPr>
          <w:lang w:eastAsia="zh-CN"/>
        </w:rPr>
        <w:t xml:space="preserve">5.5-2: </w:t>
      </w:r>
      <w:r>
        <w:rPr/>
        <w:t>Measurement frequency allocations</w:t>
      </w:r>
      <w:r>
        <w:rPr>
          <w:lang w:eastAsia="zh-CN"/>
        </w:rPr>
        <w:t xml:space="preserve"> for TRMS (FDD)</w:t>
      </w:r>
    </w:p>
    <w:tbl>
      <w:tblPr>
        <w:tblW w:w="9692" w:type="dxa"/>
        <w:jc w:val="left"/>
        <w:tblInd w:w="-20" w:type="dxa"/>
        <w:tblLayout w:type="fixed"/>
        <w:tblCellMar>
          <w:top w:w="0" w:type="dxa"/>
          <w:left w:w="108" w:type="dxa"/>
          <w:bottom w:w="0" w:type="dxa"/>
          <w:right w:w="108" w:type="dxa"/>
        </w:tblCellMar>
      </w:tblPr>
      <w:tblGrid>
        <w:gridCol w:w="1050"/>
        <w:gridCol w:w="1077"/>
        <w:gridCol w:w="1005"/>
        <w:gridCol w:w="1228"/>
        <w:gridCol w:w="1172"/>
        <w:gridCol w:w="1020"/>
        <w:gridCol w:w="1060"/>
        <w:gridCol w:w="1060"/>
        <w:gridCol w:w="1020"/>
      </w:tblGrid>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DL EARFCN</w:t>
            </w:r>
          </w:p>
        </w:tc>
        <w:tc>
          <w:tcPr>
            <w:tcW w:w="1077"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UL EARFCN</w:t>
            </w:r>
          </w:p>
        </w:tc>
        <w:tc>
          <w:tcPr>
            <w:tcW w:w="1005" w:type="dxa"/>
            <w:tcBorders>
              <w:top w:val="single" w:sz="4" w:space="0" w:color="000000"/>
              <w:left w:val="single" w:sz="4" w:space="0" w:color="000000"/>
              <w:bottom w:val="single" w:sz="4" w:space="0" w:color="000000"/>
              <w:right w:val="single" w:sz="4" w:space="0" w:color="000000"/>
            </w:tcBorders>
            <w:vAlign w:val="bottom"/>
          </w:tcPr>
          <w:p>
            <w:pPr>
              <w:pStyle w:val="TAH"/>
              <w:rPr/>
            </w:pPr>
            <w:r>
              <w:rPr>
                <w:lang w:eastAsia="en-US"/>
              </w:rPr>
              <w:t>Channel BW</w:t>
            </w:r>
          </w:p>
        </w:tc>
        <w:tc>
          <w:tcPr>
            <w:tcW w:w="1228"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DL Carrier Frequency</w:t>
            </w:r>
          </w:p>
        </w:tc>
        <w:tc>
          <w:tcPr>
            <w:tcW w:w="1172"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UL Carrier frequency</w:t>
            </w:r>
          </w:p>
        </w:tc>
        <w:tc>
          <w:tcPr>
            <w:tcW w:w="102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DL C</w:t>
            </w:r>
            <w:r>
              <w:rPr>
                <w:vertAlign w:val="subscript"/>
                <w:lang w:eastAsia="en-US"/>
              </w:rPr>
              <w:t>LRB</w:t>
            </w:r>
          </w:p>
        </w:tc>
        <w:tc>
          <w:tcPr>
            <w:tcW w:w="106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DL RB</w:t>
            </w:r>
            <w:r>
              <w:rPr>
                <w:vertAlign w:val="subscript"/>
                <w:lang w:eastAsia="en-US"/>
              </w:rPr>
              <w:t>Start</w:t>
            </w:r>
          </w:p>
        </w:tc>
        <w:tc>
          <w:tcPr>
            <w:tcW w:w="106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UL C</w:t>
            </w:r>
            <w:r>
              <w:rPr>
                <w:vertAlign w:val="subscript"/>
                <w:lang w:eastAsia="en-US"/>
              </w:rPr>
              <w:t>LRB</w:t>
            </w:r>
          </w:p>
        </w:tc>
        <w:tc>
          <w:tcPr>
            <w:tcW w:w="102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UL RB</w:t>
            </w:r>
            <w:r>
              <w:rPr>
                <w:vertAlign w:val="subscript"/>
                <w:lang w:eastAsia="en-US"/>
              </w:rPr>
              <w:t>Start</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1</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bottom"/>
          </w:tcPr>
          <w:p>
            <w:pPr>
              <w:pStyle w:val="TAC"/>
              <w:snapToGrid w:val="false"/>
              <w:rPr>
                <w:rFonts w:cs="Arial"/>
                <w:lang w:eastAsia="en-US"/>
              </w:rPr>
            </w:pPr>
            <w:r>
              <w:rPr>
                <w:rFonts w:cs="Arial"/>
                <w:lang w:eastAsia="en-US"/>
              </w:rPr>
            </w:r>
          </w:p>
        </w:tc>
        <w:tc>
          <w:tcPr>
            <w:tcW w:w="1020" w:type="dxa"/>
            <w:tcBorders>
              <w:top w:val="single" w:sz="4" w:space="0" w:color="000000"/>
              <w:left w:val="single" w:sz="4" w:space="0" w:color="000000"/>
              <w:bottom w:val="single" w:sz="4" w:space="0" w:color="000000"/>
              <w:right w:val="single" w:sz="4" w:space="0" w:color="000000"/>
            </w:tcBorders>
            <w:vAlign w:val="bottom"/>
          </w:tcPr>
          <w:p>
            <w:pPr>
              <w:pStyle w:val="TAC"/>
              <w:snapToGrid w:val="false"/>
              <w:rPr>
                <w:rFonts w:cs="Arial"/>
                <w:lang w:eastAsia="en-US"/>
              </w:rPr>
            </w:pPr>
            <w:r>
              <w:rPr>
                <w:rFonts w:cs="Arial"/>
                <w:lang w:eastAsia="en-US"/>
              </w:rPr>
            </w:r>
          </w:p>
        </w:tc>
        <w:tc>
          <w:tcPr>
            <w:tcW w:w="1060" w:type="dxa"/>
            <w:tcBorders>
              <w:top w:val="single" w:sz="4" w:space="0" w:color="000000"/>
              <w:left w:val="single" w:sz="4" w:space="0" w:color="000000"/>
              <w:bottom w:val="single" w:sz="4" w:space="0" w:color="000000"/>
              <w:right w:val="single" w:sz="4" w:space="0" w:color="000000"/>
            </w:tcBorders>
            <w:vAlign w:val="bottom"/>
          </w:tcPr>
          <w:p>
            <w:pPr>
              <w:pStyle w:val="TAC"/>
              <w:snapToGrid w:val="false"/>
              <w:rPr>
                <w:rFonts w:cs="Arial"/>
                <w:lang w:eastAsia="en-US"/>
              </w:rPr>
            </w:pPr>
            <w:r>
              <w:rPr>
                <w:rFonts w:cs="Arial"/>
                <w:lang w:eastAsia="en-US"/>
              </w:rPr>
            </w:r>
          </w:p>
        </w:tc>
        <w:tc>
          <w:tcPr>
            <w:tcW w:w="1060" w:type="dxa"/>
            <w:tcBorders>
              <w:top w:val="single" w:sz="4" w:space="0" w:color="000000"/>
              <w:left w:val="single" w:sz="4" w:space="0" w:color="000000"/>
              <w:bottom w:val="single" w:sz="4" w:space="0" w:color="000000"/>
              <w:right w:val="single" w:sz="4" w:space="0" w:color="000000"/>
            </w:tcBorders>
            <w:vAlign w:val="bottom"/>
          </w:tcPr>
          <w:p>
            <w:pPr>
              <w:pStyle w:val="TAC"/>
              <w:snapToGrid w:val="false"/>
              <w:rPr>
                <w:rFonts w:cs="Arial"/>
                <w:lang w:eastAsia="en-US"/>
              </w:rPr>
            </w:pPr>
            <w:r>
              <w:rPr>
                <w:rFonts w:cs="Arial"/>
                <w:lang w:eastAsia="en-US"/>
              </w:rPr>
            </w:r>
          </w:p>
        </w:tc>
        <w:tc>
          <w:tcPr>
            <w:tcW w:w="1020" w:type="dxa"/>
            <w:tcBorders>
              <w:top w:val="single" w:sz="4" w:space="0" w:color="000000"/>
              <w:left w:val="single" w:sz="4" w:space="0" w:color="000000"/>
              <w:bottom w:val="single" w:sz="4" w:space="0" w:color="000000"/>
              <w:right w:val="single" w:sz="4" w:space="0" w:color="000000"/>
            </w:tcBorders>
            <w:vAlign w:val="bottom"/>
          </w:tcPr>
          <w:p>
            <w:pPr>
              <w:pStyle w:val="TAC"/>
              <w:snapToGrid w:val="false"/>
              <w:rPr>
                <w:rFonts w:cs="Arial"/>
                <w:lang w:eastAsia="en-US"/>
              </w:rPr>
            </w:pPr>
            <w:r>
              <w:rPr>
                <w:rFonts w:cs="Arial"/>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300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18300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2140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1950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2</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bottom"/>
          </w:tcPr>
          <w:p>
            <w:pPr>
              <w:pStyle w:val="TAC"/>
              <w:snapToGrid w:val="false"/>
              <w:rPr>
                <w:rFonts w:cs="Arial"/>
                <w:lang w:eastAsia="en-US"/>
              </w:rPr>
            </w:pPr>
            <w:r>
              <w:rPr>
                <w:rFonts w:cs="Arial"/>
                <w:lang w:eastAsia="en-US"/>
              </w:rPr>
            </w:r>
          </w:p>
        </w:tc>
        <w:tc>
          <w:tcPr>
            <w:tcW w:w="1020" w:type="dxa"/>
            <w:tcBorders>
              <w:top w:val="single" w:sz="4" w:space="0" w:color="000000"/>
              <w:left w:val="single" w:sz="4" w:space="0" w:color="000000"/>
              <w:bottom w:val="single" w:sz="4" w:space="0" w:color="000000"/>
              <w:right w:val="single" w:sz="4" w:space="0" w:color="000000"/>
            </w:tcBorders>
            <w:vAlign w:val="bottom"/>
          </w:tcPr>
          <w:p>
            <w:pPr>
              <w:pStyle w:val="TAC"/>
              <w:snapToGrid w:val="false"/>
              <w:rPr>
                <w:rFonts w:cs="Arial"/>
                <w:lang w:eastAsia="en-US"/>
              </w:rPr>
            </w:pPr>
            <w:r>
              <w:rPr>
                <w:rFonts w:cs="Arial"/>
                <w:lang w:eastAsia="en-US"/>
              </w:rPr>
            </w:r>
          </w:p>
        </w:tc>
        <w:tc>
          <w:tcPr>
            <w:tcW w:w="1060" w:type="dxa"/>
            <w:tcBorders>
              <w:top w:val="single" w:sz="4" w:space="0" w:color="000000"/>
              <w:left w:val="single" w:sz="4" w:space="0" w:color="000000"/>
              <w:bottom w:val="single" w:sz="4" w:space="0" w:color="000000"/>
              <w:right w:val="single" w:sz="4" w:space="0" w:color="000000"/>
            </w:tcBorders>
            <w:vAlign w:val="bottom"/>
          </w:tcPr>
          <w:p>
            <w:pPr>
              <w:pStyle w:val="TAC"/>
              <w:rPr>
                <w:rFonts w:cs="Arial"/>
                <w:lang w:eastAsia="en-US"/>
              </w:rPr>
            </w:pPr>
            <w:r>
              <w:rPr>
                <w:rFonts w:cs="Arial"/>
                <w:lang w:eastAsia="en-US"/>
              </w:rPr>
              <w:t> </w:t>
            </w:r>
          </w:p>
        </w:tc>
        <w:tc>
          <w:tcPr>
            <w:tcW w:w="1060" w:type="dxa"/>
            <w:tcBorders>
              <w:top w:val="single" w:sz="4" w:space="0" w:color="000000"/>
              <w:left w:val="single" w:sz="4" w:space="0" w:color="000000"/>
              <w:bottom w:val="single" w:sz="4" w:space="0" w:color="000000"/>
              <w:right w:val="single" w:sz="4" w:space="0" w:color="000000"/>
            </w:tcBorders>
            <w:vAlign w:val="bottom"/>
          </w:tcPr>
          <w:p>
            <w:pPr>
              <w:pStyle w:val="TAC"/>
              <w:snapToGrid w:val="false"/>
              <w:rPr>
                <w:rFonts w:cs="Arial"/>
                <w:lang w:eastAsia="en-US"/>
              </w:rPr>
            </w:pPr>
            <w:r>
              <w:rPr>
                <w:rFonts w:cs="Arial"/>
                <w:lang w:eastAsia="en-US"/>
              </w:rPr>
            </w:r>
          </w:p>
        </w:tc>
        <w:tc>
          <w:tcPr>
            <w:tcW w:w="1020" w:type="dxa"/>
            <w:tcBorders>
              <w:top w:val="single" w:sz="4" w:space="0" w:color="000000"/>
              <w:left w:val="single" w:sz="4" w:space="0" w:color="000000"/>
              <w:bottom w:val="single" w:sz="4" w:space="0" w:color="000000"/>
              <w:right w:val="single" w:sz="4" w:space="0" w:color="000000"/>
            </w:tcBorders>
            <w:vAlign w:val="bottom"/>
          </w:tcPr>
          <w:p>
            <w:pPr>
              <w:pStyle w:val="TAC"/>
              <w:snapToGrid w:val="false"/>
              <w:rPr>
                <w:rFonts w:cs="Arial"/>
                <w:lang w:eastAsia="en-US"/>
              </w:rPr>
            </w:pPr>
            <w:r>
              <w:rPr>
                <w:rFonts w:cs="Arial"/>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900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18900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1960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1880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3</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 </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1575</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19575</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1842,5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1747,5</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4</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 </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2175</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20175</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2132,5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1732,5</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5</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 </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2525</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20525</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881,5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836,5</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pPr>
            <w:r>
              <w:rPr>
                <w:lang w:eastAsia="en-US"/>
              </w:rPr>
              <w:t>Band 7</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 </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3100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21100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2655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2535</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8</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 </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3625</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21625</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942,5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897,5</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12</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 </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5095</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23095</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737,5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707,5</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13</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 </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5230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23230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751</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782</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19</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6075</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24075</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882.5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837.5</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pPr>
            <w:r>
              <w:rPr>
                <w:lang w:eastAsia="en-US"/>
              </w:rPr>
              <w:t>Band 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6300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24300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806</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847</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28</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9410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27410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778</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723</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r>
      <w:tr>
        <w:trPr>
          <w:trHeight w:val="23" w:hRule="atLeast"/>
        </w:trPr>
        <w:tc>
          <w:tcPr>
            <w:tcW w:w="3132"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32</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10140</w:t>
            </w:r>
          </w:p>
        </w:tc>
        <w:tc>
          <w:tcPr>
            <w:tcW w:w="107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N/A</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w:t>
            </w:r>
          </w:p>
        </w:tc>
        <w:tc>
          <w:tcPr>
            <w:tcW w:w="122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1474</w:t>
            </w:r>
          </w:p>
        </w:tc>
        <w:tc>
          <w:tcPr>
            <w:tcW w:w="11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N/A</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N/A</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N/A</w:t>
            </w:r>
          </w:p>
        </w:tc>
      </w:tr>
    </w:tbl>
    <w:p>
      <w:pPr>
        <w:pStyle w:val="Normal"/>
        <w:rPr/>
      </w:pPr>
      <w:r>
        <w:rPr/>
      </w:r>
    </w:p>
    <w:p>
      <w:pPr>
        <w:pStyle w:val="Heading2"/>
        <w:rPr/>
      </w:pPr>
      <w:bookmarkStart w:id="43" w:name="__RefHeading___Toc68600981"/>
      <w:bookmarkEnd w:id="43"/>
      <w:r>
        <w:rPr/>
        <w:t>5.6</w:t>
        <w:tab/>
        <w:t>E-UTRA TDD operating bands and measurement frequency allocations for receiver total radiated multi-antenna sensitivity</w:t>
      </w:r>
    </w:p>
    <w:p>
      <w:pPr>
        <w:pStyle w:val="Normal"/>
        <w:rPr/>
      </w:pPr>
      <w:r>
        <w:rPr/>
        <w:t>This section specifies the E-UTRA TDD operating bands and measurement frequency allocations for TRMS. Table 5.6-1 lists the operating bands and Table 5.6-2 specifies the measurement frequency allocations for TRMS.</w:t>
      </w:r>
    </w:p>
    <w:p>
      <w:pPr>
        <w:pStyle w:val="TH"/>
        <w:rPr/>
      </w:pPr>
      <w:r>
        <w:rPr/>
        <w:t>Table 5.6-1 E-UTRA TDD operating bands for receiver total radiated multi-antenna sensitivity requirements</w:t>
      </w:r>
    </w:p>
    <w:tbl>
      <w:tblPr>
        <w:tblW w:w="7654" w:type="dxa"/>
        <w:jc w:val="center"/>
        <w:tblInd w:w="0" w:type="dxa"/>
        <w:tblLayout w:type="fixed"/>
        <w:tblCellMar>
          <w:top w:w="0" w:type="dxa"/>
          <w:left w:w="108" w:type="dxa"/>
          <w:bottom w:w="0" w:type="dxa"/>
          <w:right w:w="108" w:type="dxa"/>
        </w:tblCellMar>
      </w:tblPr>
      <w:tblGrid>
        <w:gridCol w:w="1068"/>
        <w:gridCol w:w="1227"/>
        <w:gridCol w:w="517"/>
        <w:gridCol w:w="1175"/>
        <w:gridCol w:w="1243"/>
        <w:gridCol w:w="317"/>
        <w:gridCol w:w="1201"/>
        <w:gridCol w:w="906"/>
      </w:tblGrid>
      <w:tr>
        <w:trPr/>
        <w:tc>
          <w:tcPr>
            <w:tcW w:w="1068" w:type="dxa"/>
            <w:vMerge w:val="restart"/>
            <w:tcBorders>
              <w:top w:val="single" w:sz="4" w:space="0" w:color="000000"/>
              <w:left w:val="single" w:sz="4" w:space="0" w:color="000000"/>
              <w:right w:val="single" w:sz="4" w:space="0" w:color="000000"/>
            </w:tcBorders>
            <w:vAlign w:val="center"/>
          </w:tcPr>
          <w:p>
            <w:pPr>
              <w:pStyle w:val="TAH"/>
              <w:rPr>
                <w:rFonts w:cs="Arial"/>
                <w:lang w:eastAsia="en-US"/>
              </w:rPr>
            </w:pPr>
            <w:r>
              <w:rPr>
                <w:rFonts w:cs="Arial"/>
                <w:lang w:eastAsia="en-US"/>
              </w:rPr>
              <w:t>E</w:t>
              <w:noBreakHyphen/>
              <w:t>UTRA Operating Band</w:t>
            </w:r>
          </w:p>
        </w:tc>
        <w:tc>
          <w:tcPr>
            <w:tcW w:w="2919" w:type="dxa"/>
            <w:gridSpan w:val="3"/>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Uplink (UL) operating band</w:t>
              <w:br/>
              <w:t>BS receive</w:t>
              <w:br/>
              <w:t>UE transmit</w:t>
            </w:r>
          </w:p>
        </w:tc>
        <w:tc>
          <w:tcPr>
            <w:tcW w:w="2761" w:type="dxa"/>
            <w:gridSpan w:val="3"/>
            <w:tcBorders>
              <w:top w:val="single" w:sz="4" w:space="0" w:color="000000"/>
              <w:bottom w:val="single" w:sz="4" w:space="0" w:color="000000"/>
              <w:right w:val="single" w:sz="4" w:space="0" w:color="000000"/>
            </w:tcBorders>
            <w:vAlign w:val="center"/>
          </w:tcPr>
          <w:p>
            <w:pPr>
              <w:pStyle w:val="TAH"/>
              <w:rPr/>
            </w:pPr>
            <w:r>
              <w:rPr>
                <w:rFonts w:cs="Arial"/>
                <w:lang w:eastAsia="en-US"/>
              </w:rPr>
              <w:t>Downlink (DL) operating band</w:t>
              <w:br/>
              <w:t>BS transmit</w:t>
              <w:br/>
              <w:t>UE receive</w:t>
            </w:r>
          </w:p>
        </w:tc>
        <w:tc>
          <w:tcPr>
            <w:tcW w:w="906" w:type="dxa"/>
            <w:vMerge w:val="restart"/>
            <w:tcBorders>
              <w:top w:val="single" w:sz="4" w:space="0" w:color="000000"/>
              <w:left w:val="single" w:sz="4" w:space="0" w:color="000000"/>
              <w:right w:val="single" w:sz="4" w:space="0" w:color="000000"/>
            </w:tcBorders>
          </w:tcPr>
          <w:p>
            <w:pPr>
              <w:pStyle w:val="TAH"/>
              <w:rPr>
                <w:rFonts w:cs="Arial"/>
                <w:lang w:eastAsia="en-US"/>
              </w:rPr>
            </w:pPr>
            <w:r>
              <w:rPr>
                <w:rFonts w:cs="Arial"/>
                <w:lang w:eastAsia="en-US"/>
              </w:rPr>
              <w:t>Duplex Mode</w:t>
            </w:r>
          </w:p>
        </w:tc>
      </w:tr>
      <w:tr>
        <w:trPr/>
        <w:tc>
          <w:tcPr>
            <w:tcW w:w="1068" w:type="dxa"/>
            <w:vMerge w:val="continue"/>
            <w:tcBorders>
              <w:top w:val="single" w:sz="4" w:space="0" w:color="000000"/>
              <w:left w:val="single" w:sz="4" w:space="0" w:color="000000"/>
              <w:right w:val="single" w:sz="4" w:space="0" w:color="000000"/>
            </w:tcBorders>
            <w:vAlign w:val="center"/>
          </w:tcPr>
          <w:p>
            <w:pPr>
              <w:pStyle w:val="TAH"/>
              <w:snapToGrid w:val="false"/>
              <w:rPr>
                <w:rFonts w:cs="Arial"/>
                <w:b/>
                <w:b/>
                <w:lang w:eastAsia="en-US"/>
              </w:rPr>
            </w:pPr>
            <w:r>
              <w:rPr>
                <w:rFonts w:cs="Arial"/>
                <w:b/>
                <w:lang w:eastAsia="en-US"/>
              </w:rPr>
            </w:r>
          </w:p>
        </w:tc>
        <w:tc>
          <w:tcPr>
            <w:tcW w:w="2919" w:type="dxa"/>
            <w:gridSpan w:val="3"/>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F</w:t>
            </w:r>
            <w:r>
              <w:rPr>
                <w:vertAlign w:val="subscript"/>
                <w:lang w:eastAsia="en-US"/>
              </w:rPr>
              <w:t>UL_low</w:t>
            </w:r>
            <w:r>
              <w:rPr>
                <w:lang w:eastAsia="en-US"/>
              </w:rPr>
              <w:t xml:space="preserve"> – F</w:t>
            </w:r>
            <w:r>
              <w:rPr>
                <w:vertAlign w:val="subscript"/>
                <w:lang w:eastAsia="en-US"/>
              </w:rPr>
              <w:t>UL_high</w:t>
            </w:r>
          </w:p>
        </w:tc>
        <w:tc>
          <w:tcPr>
            <w:tcW w:w="2761" w:type="dxa"/>
            <w:gridSpan w:val="3"/>
            <w:tcBorders>
              <w:top w:val="single" w:sz="4" w:space="0" w:color="000000"/>
              <w:bottom w:val="single" w:sz="4" w:space="0" w:color="000000"/>
              <w:right w:val="single" w:sz="4" w:space="0" w:color="000000"/>
            </w:tcBorders>
            <w:vAlign w:val="center"/>
          </w:tcPr>
          <w:p>
            <w:pPr>
              <w:pStyle w:val="TAH"/>
              <w:rPr>
                <w:lang w:eastAsia="en-US"/>
              </w:rPr>
            </w:pPr>
            <w:r>
              <w:rPr>
                <w:lang w:eastAsia="en-US"/>
              </w:rPr>
              <w:t>F</w:t>
            </w:r>
            <w:r>
              <w:rPr>
                <w:vertAlign w:val="subscript"/>
                <w:lang w:eastAsia="en-US"/>
              </w:rPr>
              <w:t>DL_low</w:t>
            </w:r>
            <w:r>
              <w:rPr>
                <w:lang w:eastAsia="en-US"/>
              </w:rPr>
              <w:t xml:space="preserve"> – F</w:t>
            </w:r>
            <w:r>
              <w:rPr>
                <w:vertAlign w:val="subscript"/>
                <w:lang w:eastAsia="en-US"/>
              </w:rPr>
              <w:t>DL_high</w:t>
            </w:r>
          </w:p>
        </w:tc>
        <w:tc>
          <w:tcPr>
            <w:tcW w:w="906" w:type="dxa"/>
            <w:vMerge w:val="continue"/>
            <w:tcBorders>
              <w:top w:val="single" w:sz="4" w:space="0" w:color="000000"/>
              <w:left w:val="single" w:sz="4" w:space="0" w:color="000000"/>
              <w:right w:val="single" w:sz="4" w:space="0" w:color="000000"/>
            </w:tcBorders>
          </w:tcPr>
          <w:p>
            <w:pPr>
              <w:pStyle w:val="TAH"/>
              <w:snapToGrid w:val="false"/>
              <w:rPr>
                <w:lang w:eastAsia="en-US"/>
              </w:rPr>
            </w:pPr>
            <w:r>
              <w:rPr>
                <w:lang w:eastAsia="en-US"/>
              </w:rPr>
            </w:r>
          </w:p>
        </w:tc>
      </w:tr>
      <w:tr>
        <w:trPr/>
        <w:tc>
          <w:tcPr>
            <w:tcW w:w="106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38</w:t>
            </w:r>
          </w:p>
        </w:tc>
        <w:tc>
          <w:tcPr>
            <w:tcW w:w="1227" w:type="dxa"/>
            <w:tcBorders>
              <w:top w:val="single" w:sz="4" w:space="0" w:color="000000"/>
              <w:left w:val="single" w:sz="4" w:space="0" w:color="000000"/>
              <w:bottom w:val="single" w:sz="4" w:space="0" w:color="000000"/>
            </w:tcBorders>
          </w:tcPr>
          <w:p>
            <w:pPr>
              <w:pStyle w:val="TAR"/>
              <w:rPr/>
            </w:pPr>
            <w:r>
              <w:rPr>
                <w:rFonts w:cs="Arial"/>
                <w:lang w:eastAsia="en-US"/>
              </w:rPr>
              <w:t>2570 MHz</w:t>
            </w:r>
          </w:p>
        </w:tc>
        <w:tc>
          <w:tcPr>
            <w:tcW w:w="5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175" w:type="dxa"/>
            <w:tcBorders>
              <w:top w:val="single" w:sz="4" w:space="0" w:color="000000"/>
              <w:bottom w:val="single" w:sz="4" w:space="0" w:color="000000"/>
              <w:right w:val="single" w:sz="4" w:space="0" w:color="000000"/>
            </w:tcBorders>
          </w:tcPr>
          <w:p>
            <w:pPr>
              <w:pStyle w:val="TAL1"/>
              <w:rPr/>
            </w:pPr>
            <w:r>
              <w:rPr>
                <w:rFonts w:cs="Arial"/>
                <w:lang w:eastAsia="en-US"/>
              </w:rPr>
              <w:t>2620 MHz</w:t>
            </w:r>
          </w:p>
        </w:tc>
        <w:tc>
          <w:tcPr>
            <w:tcW w:w="1243" w:type="dxa"/>
            <w:tcBorders>
              <w:top w:val="single" w:sz="4" w:space="0" w:color="000000"/>
              <w:bottom w:val="single" w:sz="4" w:space="0" w:color="000000"/>
            </w:tcBorders>
          </w:tcPr>
          <w:p>
            <w:pPr>
              <w:pStyle w:val="TAR"/>
              <w:rPr>
                <w:rFonts w:cs="Arial"/>
                <w:lang w:eastAsia="en-US"/>
              </w:rPr>
            </w:pPr>
            <w:r>
              <w:rPr>
                <w:rFonts w:cs="Arial"/>
                <w:lang w:eastAsia="en-US"/>
              </w:rPr>
              <w:t>2570 MHz</w:t>
            </w:r>
          </w:p>
        </w:tc>
        <w:tc>
          <w:tcPr>
            <w:tcW w:w="3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201" w:type="dxa"/>
            <w:tcBorders>
              <w:top w:val="single" w:sz="4" w:space="0" w:color="000000"/>
              <w:bottom w:val="single" w:sz="4" w:space="0" w:color="000000"/>
              <w:right w:val="single" w:sz="4" w:space="0" w:color="000000"/>
            </w:tcBorders>
          </w:tcPr>
          <w:p>
            <w:pPr>
              <w:pStyle w:val="TAL1"/>
              <w:rPr>
                <w:rFonts w:cs="Arial"/>
                <w:lang w:eastAsia="en-US"/>
              </w:rPr>
            </w:pPr>
            <w:r>
              <w:rPr>
                <w:rFonts w:cs="Arial"/>
                <w:lang w:eastAsia="en-US"/>
              </w:rPr>
              <w:t>2620 MHz</w:t>
            </w:r>
          </w:p>
        </w:tc>
        <w:tc>
          <w:tcPr>
            <w:tcW w:w="90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TDD</w:t>
            </w:r>
          </w:p>
        </w:tc>
      </w:tr>
      <w:tr>
        <w:trPr/>
        <w:tc>
          <w:tcPr>
            <w:tcW w:w="106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39</w:t>
            </w:r>
          </w:p>
        </w:tc>
        <w:tc>
          <w:tcPr>
            <w:tcW w:w="1227" w:type="dxa"/>
            <w:tcBorders>
              <w:top w:val="single" w:sz="4" w:space="0" w:color="000000"/>
              <w:left w:val="single" w:sz="4" w:space="0" w:color="000000"/>
              <w:bottom w:val="single" w:sz="4" w:space="0" w:color="000000"/>
            </w:tcBorders>
          </w:tcPr>
          <w:p>
            <w:pPr>
              <w:pStyle w:val="TAR"/>
              <w:rPr>
                <w:rFonts w:cs="Arial"/>
                <w:lang w:eastAsia="en-US"/>
              </w:rPr>
            </w:pPr>
            <w:r>
              <w:rPr>
                <w:rFonts w:cs="Arial"/>
                <w:lang w:eastAsia="en-US"/>
              </w:rPr>
              <w:t>1880 MHz</w:t>
            </w:r>
          </w:p>
        </w:tc>
        <w:tc>
          <w:tcPr>
            <w:tcW w:w="5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175" w:type="dxa"/>
            <w:tcBorders>
              <w:top w:val="single" w:sz="4" w:space="0" w:color="000000"/>
              <w:bottom w:val="single" w:sz="4" w:space="0" w:color="000000"/>
              <w:right w:val="single" w:sz="4" w:space="0" w:color="000000"/>
            </w:tcBorders>
          </w:tcPr>
          <w:p>
            <w:pPr>
              <w:pStyle w:val="TAL1"/>
              <w:rPr>
                <w:rFonts w:cs="Arial"/>
                <w:lang w:eastAsia="en-US"/>
              </w:rPr>
            </w:pPr>
            <w:r>
              <w:rPr>
                <w:rFonts w:cs="Arial"/>
                <w:lang w:eastAsia="en-US"/>
              </w:rPr>
              <w:t>1920 MHz</w:t>
            </w:r>
          </w:p>
        </w:tc>
        <w:tc>
          <w:tcPr>
            <w:tcW w:w="1243" w:type="dxa"/>
            <w:tcBorders>
              <w:top w:val="single" w:sz="4" w:space="0" w:color="000000"/>
              <w:bottom w:val="single" w:sz="4" w:space="0" w:color="000000"/>
            </w:tcBorders>
          </w:tcPr>
          <w:p>
            <w:pPr>
              <w:pStyle w:val="TAR"/>
              <w:rPr>
                <w:rFonts w:cs="Arial"/>
                <w:lang w:eastAsia="en-US"/>
              </w:rPr>
            </w:pPr>
            <w:r>
              <w:rPr>
                <w:rFonts w:cs="Arial"/>
                <w:lang w:eastAsia="en-US"/>
              </w:rPr>
              <w:t>1880 MHz</w:t>
            </w:r>
          </w:p>
        </w:tc>
        <w:tc>
          <w:tcPr>
            <w:tcW w:w="3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201" w:type="dxa"/>
            <w:tcBorders>
              <w:top w:val="single" w:sz="4" w:space="0" w:color="000000"/>
              <w:bottom w:val="single" w:sz="4" w:space="0" w:color="000000"/>
              <w:right w:val="single" w:sz="4" w:space="0" w:color="000000"/>
            </w:tcBorders>
          </w:tcPr>
          <w:p>
            <w:pPr>
              <w:pStyle w:val="TAL1"/>
              <w:rPr>
                <w:rFonts w:cs="Arial"/>
                <w:lang w:eastAsia="en-US"/>
              </w:rPr>
            </w:pPr>
            <w:r>
              <w:rPr>
                <w:rFonts w:cs="Arial"/>
                <w:lang w:eastAsia="en-US"/>
              </w:rPr>
              <w:t>1920 MHz</w:t>
            </w:r>
          </w:p>
        </w:tc>
        <w:tc>
          <w:tcPr>
            <w:tcW w:w="90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TDD</w:t>
            </w:r>
          </w:p>
        </w:tc>
      </w:tr>
      <w:tr>
        <w:trPr/>
        <w:tc>
          <w:tcPr>
            <w:tcW w:w="106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40</w:t>
            </w:r>
          </w:p>
        </w:tc>
        <w:tc>
          <w:tcPr>
            <w:tcW w:w="1227" w:type="dxa"/>
            <w:tcBorders>
              <w:top w:val="single" w:sz="4" w:space="0" w:color="000000"/>
              <w:left w:val="single" w:sz="4" w:space="0" w:color="000000"/>
              <w:bottom w:val="single" w:sz="4" w:space="0" w:color="000000"/>
            </w:tcBorders>
          </w:tcPr>
          <w:p>
            <w:pPr>
              <w:pStyle w:val="TAR"/>
              <w:rPr>
                <w:rFonts w:cs="Arial"/>
                <w:lang w:eastAsia="en-US"/>
              </w:rPr>
            </w:pPr>
            <w:r>
              <w:rPr>
                <w:rFonts w:cs="Arial"/>
                <w:lang w:eastAsia="en-US"/>
              </w:rPr>
              <w:t>2300 MHz</w:t>
            </w:r>
          </w:p>
        </w:tc>
        <w:tc>
          <w:tcPr>
            <w:tcW w:w="5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175" w:type="dxa"/>
            <w:tcBorders>
              <w:top w:val="single" w:sz="4" w:space="0" w:color="000000"/>
              <w:bottom w:val="single" w:sz="4" w:space="0" w:color="000000"/>
              <w:right w:val="single" w:sz="4" w:space="0" w:color="000000"/>
            </w:tcBorders>
          </w:tcPr>
          <w:p>
            <w:pPr>
              <w:pStyle w:val="TAL1"/>
              <w:rPr>
                <w:rFonts w:cs="Arial"/>
                <w:lang w:eastAsia="en-US"/>
              </w:rPr>
            </w:pPr>
            <w:r>
              <w:rPr>
                <w:rFonts w:cs="Arial"/>
                <w:lang w:eastAsia="en-US"/>
              </w:rPr>
              <w:t>2400 MHz</w:t>
            </w:r>
          </w:p>
        </w:tc>
        <w:tc>
          <w:tcPr>
            <w:tcW w:w="1243" w:type="dxa"/>
            <w:tcBorders>
              <w:top w:val="single" w:sz="4" w:space="0" w:color="000000"/>
              <w:bottom w:val="single" w:sz="4" w:space="0" w:color="000000"/>
            </w:tcBorders>
          </w:tcPr>
          <w:p>
            <w:pPr>
              <w:pStyle w:val="TAR"/>
              <w:rPr>
                <w:rFonts w:cs="Arial"/>
                <w:lang w:eastAsia="en-US"/>
              </w:rPr>
            </w:pPr>
            <w:r>
              <w:rPr>
                <w:rFonts w:cs="Arial"/>
                <w:lang w:eastAsia="en-US"/>
              </w:rPr>
              <w:t>2300 MHz</w:t>
            </w:r>
          </w:p>
        </w:tc>
        <w:tc>
          <w:tcPr>
            <w:tcW w:w="3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201" w:type="dxa"/>
            <w:tcBorders>
              <w:top w:val="single" w:sz="4" w:space="0" w:color="000000"/>
              <w:bottom w:val="single" w:sz="4" w:space="0" w:color="000000"/>
              <w:right w:val="single" w:sz="4" w:space="0" w:color="000000"/>
            </w:tcBorders>
          </w:tcPr>
          <w:p>
            <w:pPr>
              <w:pStyle w:val="TAL1"/>
              <w:rPr>
                <w:rFonts w:cs="Arial"/>
                <w:lang w:eastAsia="en-US"/>
              </w:rPr>
            </w:pPr>
            <w:r>
              <w:rPr>
                <w:rFonts w:cs="Arial"/>
                <w:lang w:eastAsia="en-US"/>
              </w:rPr>
              <w:t>2400 MHz</w:t>
            </w:r>
          </w:p>
        </w:tc>
        <w:tc>
          <w:tcPr>
            <w:tcW w:w="90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TDD</w:t>
            </w:r>
          </w:p>
        </w:tc>
      </w:tr>
      <w:tr>
        <w:trPr/>
        <w:tc>
          <w:tcPr>
            <w:tcW w:w="106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zh-CN"/>
              </w:rPr>
              <w:t>41</w:t>
            </w:r>
          </w:p>
        </w:tc>
        <w:tc>
          <w:tcPr>
            <w:tcW w:w="1227" w:type="dxa"/>
            <w:tcBorders>
              <w:top w:val="single" w:sz="4" w:space="0" w:color="000000"/>
              <w:left w:val="single" w:sz="4" w:space="0" w:color="000000"/>
              <w:bottom w:val="single" w:sz="4" w:space="0" w:color="000000"/>
            </w:tcBorders>
          </w:tcPr>
          <w:p>
            <w:pPr>
              <w:pStyle w:val="TAR"/>
              <w:rPr>
                <w:rFonts w:cs="Arial"/>
                <w:lang w:eastAsia="zh-CN"/>
              </w:rPr>
            </w:pPr>
            <w:r>
              <w:rPr>
                <w:rFonts w:cs="Arial"/>
                <w:lang w:eastAsia="zh-CN"/>
              </w:rPr>
              <w:t>2496 MHz</w:t>
            </w:r>
          </w:p>
        </w:tc>
        <w:tc>
          <w:tcPr>
            <w:tcW w:w="517" w:type="dxa"/>
            <w:tcBorders>
              <w:top w:val="single" w:sz="4" w:space="0" w:color="000000"/>
              <w:bottom w:val="single" w:sz="4" w:space="0" w:color="000000"/>
            </w:tcBorders>
          </w:tcPr>
          <w:p>
            <w:pPr>
              <w:pStyle w:val="TAC"/>
              <w:snapToGrid w:val="false"/>
              <w:rPr>
                <w:rFonts w:cs="Arial"/>
                <w:lang w:eastAsia="en-US"/>
              </w:rPr>
            </w:pPr>
            <w:r>
              <w:rPr>
                <w:rFonts w:cs="Arial"/>
                <w:lang w:eastAsia="en-US"/>
              </w:rPr>
            </w:r>
          </w:p>
        </w:tc>
        <w:tc>
          <w:tcPr>
            <w:tcW w:w="1175" w:type="dxa"/>
            <w:tcBorders>
              <w:top w:val="single" w:sz="4" w:space="0" w:color="000000"/>
              <w:bottom w:val="single" w:sz="4" w:space="0" w:color="000000"/>
              <w:right w:val="single" w:sz="4" w:space="0" w:color="000000"/>
            </w:tcBorders>
          </w:tcPr>
          <w:p>
            <w:pPr>
              <w:pStyle w:val="TAL1"/>
              <w:rPr>
                <w:rFonts w:cs="Arial"/>
                <w:lang w:eastAsia="zh-CN"/>
              </w:rPr>
            </w:pPr>
            <w:r>
              <w:rPr>
                <w:rFonts w:cs="Arial"/>
                <w:lang w:eastAsia="zh-CN"/>
              </w:rPr>
              <w:t>2690 MHz</w:t>
            </w:r>
          </w:p>
        </w:tc>
        <w:tc>
          <w:tcPr>
            <w:tcW w:w="1243" w:type="dxa"/>
            <w:tcBorders>
              <w:top w:val="single" w:sz="4" w:space="0" w:color="000000"/>
              <w:bottom w:val="single" w:sz="4" w:space="0" w:color="000000"/>
            </w:tcBorders>
          </w:tcPr>
          <w:p>
            <w:pPr>
              <w:pStyle w:val="TAR"/>
              <w:rPr>
                <w:rFonts w:cs="Arial"/>
                <w:lang w:eastAsia="en-US"/>
              </w:rPr>
            </w:pPr>
            <w:r>
              <w:rPr>
                <w:rFonts w:cs="Arial"/>
                <w:lang w:eastAsia="zh-CN"/>
              </w:rPr>
              <w:t>2496 MHz</w:t>
            </w:r>
          </w:p>
        </w:tc>
        <w:tc>
          <w:tcPr>
            <w:tcW w:w="317" w:type="dxa"/>
            <w:tcBorders>
              <w:top w:val="single" w:sz="4" w:space="0" w:color="000000"/>
              <w:bottom w:val="single" w:sz="4" w:space="0" w:color="000000"/>
            </w:tcBorders>
          </w:tcPr>
          <w:p>
            <w:pPr>
              <w:pStyle w:val="TAC"/>
              <w:snapToGrid w:val="false"/>
              <w:rPr>
                <w:rFonts w:cs="Arial"/>
                <w:lang w:eastAsia="en-US"/>
              </w:rPr>
            </w:pPr>
            <w:r>
              <w:rPr>
                <w:rFonts w:cs="Arial"/>
                <w:lang w:eastAsia="en-US"/>
              </w:rPr>
            </w:r>
          </w:p>
        </w:tc>
        <w:tc>
          <w:tcPr>
            <w:tcW w:w="1201" w:type="dxa"/>
            <w:tcBorders>
              <w:top w:val="single" w:sz="4" w:space="0" w:color="000000"/>
              <w:bottom w:val="single" w:sz="4" w:space="0" w:color="000000"/>
              <w:right w:val="single" w:sz="4" w:space="0" w:color="000000"/>
            </w:tcBorders>
          </w:tcPr>
          <w:p>
            <w:pPr>
              <w:pStyle w:val="TAL1"/>
              <w:rPr>
                <w:rFonts w:cs="Arial"/>
                <w:lang w:eastAsia="en-US"/>
              </w:rPr>
            </w:pPr>
            <w:r>
              <w:rPr>
                <w:rFonts w:cs="Arial"/>
                <w:lang w:eastAsia="zh-CN"/>
              </w:rPr>
              <w:t>2690 MHz</w:t>
            </w:r>
          </w:p>
        </w:tc>
        <w:tc>
          <w:tcPr>
            <w:tcW w:w="90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TDD</w:t>
            </w:r>
          </w:p>
        </w:tc>
      </w:tr>
      <w:tr>
        <w:trPr/>
        <w:tc>
          <w:tcPr>
            <w:tcW w:w="1068"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42</w:t>
            </w:r>
          </w:p>
        </w:tc>
        <w:tc>
          <w:tcPr>
            <w:tcW w:w="1227" w:type="dxa"/>
            <w:tcBorders>
              <w:top w:val="single" w:sz="4" w:space="0" w:color="000000"/>
              <w:left w:val="single" w:sz="4" w:space="0" w:color="000000"/>
              <w:bottom w:val="single" w:sz="4" w:space="0" w:color="000000"/>
            </w:tcBorders>
          </w:tcPr>
          <w:p>
            <w:pPr>
              <w:pStyle w:val="TAR"/>
              <w:rPr>
                <w:rFonts w:cs="Arial"/>
                <w:lang w:eastAsia="zh-CN"/>
              </w:rPr>
            </w:pPr>
            <w:r>
              <w:rPr>
                <w:rFonts w:cs="Arial"/>
                <w:lang w:eastAsia="zh-CN"/>
              </w:rPr>
              <w:t>3400 MHz</w:t>
            </w:r>
          </w:p>
        </w:tc>
        <w:tc>
          <w:tcPr>
            <w:tcW w:w="5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175" w:type="dxa"/>
            <w:tcBorders>
              <w:top w:val="single" w:sz="4" w:space="0" w:color="000000"/>
              <w:bottom w:val="single" w:sz="4" w:space="0" w:color="000000"/>
              <w:right w:val="single" w:sz="4" w:space="0" w:color="000000"/>
            </w:tcBorders>
          </w:tcPr>
          <w:p>
            <w:pPr>
              <w:pStyle w:val="TAL1"/>
              <w:rPr>
                <w:rFonts w:cs="Arial"/>
                <w:lang w:eastAsia="zh-CN"/>
              </w:rPr>
            </w:pPr>
            <w:r>
              <w:rPr>
                <w:rFonts w:cs="Arial"/>
                <w:lang w:eastAsia="zh-CN"/>
              </w:rPr>
              <w:t>3600 MHz</w:t>
            </w:r>
          </w:p>
        </w:tc>
        <w:tc>
          <w:tcPr>
            <w:tcW w:w="1243" w:type="dxa"/>
            <w:tcBorders>
              <w:top w:val="single" w:sz="4" w:space="0" w:color="000000"/>
              <w:bottom w:val="single" w:sz="4" w:space="0" w:color="000000"/>
            </w:tcBorders>
          </w:tcPr>
          <w:p>
            <w:pPr>
              <w:pStyle w:val="TAR"/>
              <w:rPr>
                <w:rFonts w:cs="Arial"/>
                <w:lang w:eastAsia="zh-CN"/>
              </w:rPr>
            </w:pPr>
            <w:r>
              <w:rPr>
                <w:rFonts w:cs="Arial"/>
                <w:lang w:eastAsia="zh-CN"/>
              </w:rPr>
              <w:t>3400 MHz</w:t>
            </w:r>
          </w:p>
        </w:tc>
        <w:tc>
          <w:tcPr>
            <w:tcW w:w="3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201" w:type="dxa"/>
            <w:tcBorders>
              <w:top w:val="single" w:sz="4" w:space="0" w:color="000000"/>
              <w:bottom w:val="single" w:sz="4" w:space="0" w:color="000000"/>
              <w:right w:val="single" w:sz="4" w:space="0" w:color="000000"/>
            </w:tcBorders>
          </w:tcPr>
          <w:p>
            <w:pPr>
              <w:pStyle w:val="TAL1"/>
              <w:rPr>
                <w:rFonts w:cs="Arial"/>
                <w:lang w:eastAsia="zh-CN"/>
              </w:rPr>
            </w:pPr>
            <w:r>
              <w:rPr>
                <w:rFonts w:cs="Arial"/>
                <w:lang w:eastAsia="zh-CN"/>
              </w:rPr>
              <w:t>3600 MHz</w:t>
            </w:r>
          </w:p>
        </w:tc>
        <w:tc>
          <w:tcPr>
            <w:tcW w:w="90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TDD</w:t>
            </w:r>
          </w:p>
        </w:tc>
      </w:tr>
      <w:tr>
        <w:trPr/>
        <w:tc>
          <w:tcPr>
            <w:tcW w:w="106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46</w:t>
            </w:r>
          </w:p>
        </w:tc>
        <w:tc>
          <w:tcPr>
            <w:tcW w:w="1227" w:type="dxa"/>
            <w:tcBorders>
              <w:top w:val="single" w:sz="4" w:space="0" w:color="000000"/>
              <w:left w:val="single" w:sz="4" w:space="0" w:color="000000"/>
              <w:bottom w:val="single" w:sz="4" w:space="0" w:color="000000"/>
            </w:tcBorders>
          </w:tcPr>
          <w:p>
            <w:pPr>
              <w:pStyle w:val="TAR"/>
              <w:rPr>
                <w:rFonts w:cs="Arial"/>
                <w:lang w:eastAsia="zh-CN"/>
              </w:rPr>
            </w:pPr>
            <w:r>
              <w:rPr>
                <w:rFonts w:cs="Arial"/>
                <w:lang w:eastAsia="zh-CN"/>
              </w:rPr>
              <w:t>5150 MHz</w:t>
            </w:r>
          </w:p>
        </w:tc>
        <w:tc>
          <w:tcPr>
            <w:tcW w:w="5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175" w:type="dxa"/>
            <w:tcBorders>
              <w:top w:val="single" w:sz="4" w:space="0" w:color="000000"/>
              <w:bottom w:val="single" w:sz="4" w:space="0" w:color="000000"/>
              <w:right w:val="single" w:sz="4" w:space="0" w:color="000000"/>
            </w:tcBorders>
          </w:tcPr>
          <w:p>
            <w:pPr>
              <w:pStyle w:val="TAL1"/>
              <w:rPr>
                <w:rFonts w:cs="Arial"/>
                <w:lang w:eastAsia="zh-CN"/>
              </w:rPr>
            </w:pPr>
            <w:r>
              <w:rPr>
                <w:rFonts w:cs="Arial"/>
                <w:lang w:eastAsia="zh-CN"/>
              </w:rPr>
              <w:t>5925 MHz</w:t>
            </w:r>
          </w:p>
        </w:tc>
        <w:tc>
          <w:tcPr>
            <w:tcW w:w="1243" w:type="dxa"/>
            <w:tcBorders>
              <w:top w:val="single" w:sz="4" w:space="0" w:color="000000"/>
              <w:bottom w:val="single" w:sz="4" w:space="0" w:color="000000"/>
            </w:tcBorders>
          </w:tcPr>
          <w:p>
            <w:pPr>
              <w:pStyle w:val="TAR"/>
              <w:rPr>
                <w:rFonts w:cs="Arial"/>
                <w:lang w:eastAsia="zh-CN"/>
              </w:rPr>
            </w:pPr>
            <w:r>
              <w:rPr>
                <w:rFonts w:cs="Arial"/>
                <w:lang w:eastAsia="zh-CN"/>
              </w:rPr>
              <w:t>5150 MHz</w:t>
            </w:r>
          </w:p>
        </w:tc>
        <w:tc>
          <w:tcPr>
            <w:tcW w:w="317" w:type="dxa"/>
            <w:tcBorders>
              <w:top w:val="single" w:sz="4" w:space="0" w:color="000000"/>
              <w:bottom w:val="single" w:sz="4" w:space="0" w:color="000000"/>
            </w:tcBorders>
          </w:tcPr>
          <w:p>
            <w:pPr>
              <w:pStyle w:val="TAC"/>
              <w:rPr>
                <w:rFonts w:cs="Arial"/>
                <w:lang w:eastAsia="en-US"/>
              </w:rPr>
            </w:pPr>
            <w:r>
              <w:rPr>
                <w:rFonts w:cs="Arial"/>
                <w:lang w:eastAsia="en-US"/>
              </w:rPr>
              <w:t>–</w:t>
            </w:r>
          </w:p>
        </w:tc>
        <w:tc>
          <w:tcPr>
            <w:tcW w:w="1201" w:type="dxa"/>
            <w:tcBorders>
              <w:top w:val="single" w:sz="4" w:space="0" w:color="000000"/>
              <w:bottom w:val="single" w:sz="4" w:space="0" w:color="000000"/>
              <w:right w:val="single" w:sz="4" w:space="0" w:color="000000"/>
            </w:tcBorders>
          </w:tcPr>
          <w:p>
            <w:pPr>
              <w:pStyle w:val="TAL1"/>
              <w:rPr/>
            </w:pPr>
            <w:r>
              <w:rPr>
                <w:rFonts w:cs="Arial"/>
                <w:lang w:eastAsia="zh-CN"/>
              </w:rPr>
              <w:t>5925 MHz</w:t>
            </w:r>
          </w:p>
        </w:tc>
        <w:tc>
          <w:tcPr>
            <w:tcW w:w="90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TDD</w:t>
            </w:r>
            <w:r>
              <w:rPr>
                <w:rFonts w:cs="Arial"/>
                <w:vertAlign w:val="superscript"/>
                <w:lang w:eastAsia="en-US"/>
              </w:rPr>
              <w:t>1,2</w:t>
            </w:r>
          </w:p>
        </w:tc>
      </w:tr>
      <w:tr>
        <w:trPr/>
        <w:tc>
          <w:tcPr>
            <w:tcW w:w="7654" w:type="dxa"/>
            <w:gridSpan w:val="8"/>
            <w:tcBorders>
              <w:top w:val="single" w:sz="4" w:space="0" w:color="000000"/>
              <w:left w:val="single" w:sz="4" w:space="0" w:color="000000"/>
              <w:bottom w:val="single" w:sz="4" w:space="0" w:color="000000"/>
              <w:right w:val="single" w:sz="4" w:space="0" w:color="000000"/>
            </w:tcBorders>
          </w:tcPr>
          <w:p>
            <w:pPr>
              <w:pStyle w:val="TAN"/>
              <w:rPr>
                <w:rFonts w:cs="Arial"/>
                <w:lang w:eastAsia="zh-CN"/>
              </w:rPr>
            </w:pPr>
            <w:r>
              <w:rPr>
                <w:rFonts w:cs="Arial"/>
                <w:lang w:eastAsia="en-US"/>
              </w:rPr>
              <w:t>NOTE 1:</w:t>
              <w:tab/>
              <w:t>This band is</w:t>
            </w:r>
            <w:r>
              <w:rPr>
                <w:rFonts w:cs="Arial"/>
                <w:lang w:eastAsia="zh-CN"/>
              </w:rPr>
              <w:t xml:space="preserve"> an unlicensed band restricted to licensed-assisted operation using Frame Structure Type 3</w:t>
            </w:r>
            <w:r>
              <w:rPr>
                <w:rFonts w:cs="Arial"/>
                <w:lang w:eastAsia="en-US"/>
              </w:rPr>
              <w:t>.</w:t>
            </w:r>
          </w:p>
          <w:p>
            <w:pPr>
              <w:pStyle w:val="TAN"/>
              <w:rPr/>
            </w:pPr>
            <w:r>
              <w:rPr>
                <w:rFonts w:cs="Arial"/>
                <w:lang w:eastAsia="en-US"/>
              </w:rPr>
              <w:t>NOTE 2:</w:t>
              <w:tab/>
              <w:t>In this version of the specification, restricted to E-UTRA DL operation when carrier aggregation is configured.</w:t>
            </w:r>
          </w:p>
        </w:tc>
      </w:tr>
    </w:tbl>
    <w:p>
      <w:pPr>
        <w:pStyle w:val="Normal"/>
        <w:rPr/>
      </w:pPr>
      <w:r>
        <w:rPr/>
      </w:r>
    </w:p>
    <w:p>
      <w:pPr>
        <w:pStyle w:val="Normal"/>
        <w:rPr/>
      </w:pPr>
      <w:r>
        <w:rPr/>
        <w:t>Deployment in other frequency bands is not precluded.</w:t>
      </w:r>
    </w:p>
    <w:p>
      <w:pPr>
        <w:pStyle w:val="TH"/>
        <w:rPr/>
      </w:pPr>
      <w:r>
        <w:rPr>
          <w:lang w:eastAsia="zh-CN"/>
        </w:rPr>
        <w:t>Table 5.6-2: Measurement frequency allocations</w:t>
      </w:r>
      <w:r>
        <w:rPr/>
        <w:t xml:space="preserve"> for TRMS (TDD)</w:t>
      </w:r>
    </w:p>
    <w:tbl>
      <w:tblPr>
        <w:tblW w:w="9665" w:type="dxa"/>
        <w:jc w:val="left"/>
        <w:tblInd w:w="-20" w:type="dxa"/>
        <w:tblLayout w:type="fixed"/>
        <w:tblCellMar>
          <w:top w:w="0" w:type="dxa"/>
          <w:left w:w="108" w:type="dxa"/>
          <w:bottom w:w="0" w:type="dxa"/>
          <w:right w:w="108" w:type="dxa"/>
        </w:tblCellMar>
      </w:tblPr>
      <w:tblGrid>
        <w:gridCol w:w="1050"/>
        <w:gridCol w:w="1050"/>
        <w:gridCol w:w="1005"/>
        <w:gridCol w:w="1228"/>
        <w:gridCol w:w="1172"/>
        <w:gridCol w:w="1020"/>
        <w:gridCol w:w="1060"/>
        <w:gridCol w:w="1060"/>
        <w:gridCol w:w="1020"/>
      </w:tblGrid>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DL EARFCN</w:t>
            </w:r>
          </w:p>
        </w:tc>
        <w:tc>
          <w:tcPr>
            <w:tcW w:w="105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UL EARFCN</w:t>
            </w:r>
          </w:p>
        </w:tc>
        <w:tc>
          <w:tcPr>
            <w:tcW w:w="1005"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Channel BW</w:t>
            </w:r>
          </w:p>
        </w:tc>
        <w:tc>
          <w:tcPr>
            <w:tcW w:w="1228" w:type="dxa"/>
            <w:tcBorders>
              <w:top w:val="single" w:sz="4" w:space="0" w:color="000000"/>
              <w:left w:val="single" w:sz="4" w:space="0" w:color="000000"/>
              <w:bottom w:val="single" w:sz="4" w:space="0" w:color="000000"/>
              <w:right w:val="single" w:sz="4" w:space="0" w:color="000000"/>
            </w:tcBorders>
            <w:vAlign w:val="bottom"/>
          </w:tcPr>
          <w:p>
            <w:pPr>
              <w:pStyle w:val="TAH"/>
              <w:rPr/>
            </w:pPr>
            <w:r>
              <w:rPr>
                <w:lang w:eastAsia="en-US"/>
              </w:rPr>
              <w:t>DL Carrier Frequency</w:t>
            </w:r>
          </w:p>
        </w:tc>
        <w:tc>
          <w:tcPr>
            <w:tcW w:w="1172"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UL Carrier frequency</w:t>
            </w:r>
          </w:p>
        </w:tc>
        <w:tc>
          <w:tcPr>
            <w:tcW w:w="102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DL C</w:t>
            </w:r>
            <w:r>
              <w:rPr>
                <w:vertAlign w:val="subscript"/>
                <w:lang w:eastAsia="en-US"/>
              </w:rPr>
              <w:t>LRB</w:t>
            </w:r>
          </w:p>
        </w:tc>
        <w:tc>
          <w:tcPr>
            <w:tcW w:w="106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DL RB</w:t>
            </w:r>
            <w:r>
              <w:rPr>
                <w:vertAlign w:val="subscript"/>
                <w:lang w:eastAsia="en-US"/>
              </w:rPr>
              <w:t>Start</w:t>
            </w:r>
          </w:p>
        </w:tc>
        <w:tc>
          <w:tcPr>
            <w:tcW w:w="106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UL C</w:t>
            </w:r>
            <w:r>
              <w:rPr>
                <w:vertAlign w:val="subscript"/>
                <w:lang w:eastAsia="en-US"/>
              </w:rPr>
              <w:t>LRB</w:t>
            </w:r>
          </w:p>
        </w:tc>
        <w:tc>
          <w:tcPr>
            <w:tcW w:w="102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UL RB</w:t>
            </w:r>
            <w:r>
              <w:rPr>
                <w:vertAlign w:val="subscript"/>
                <w:lang w:eastAsia="en-US"/>
              </w:rPr>
              <w:t>Start</w:t>
            </w:r>
          </w:p>
        </w:tc>
      </w:tr>
      <w:tr>
        <w:trPr>
          <w:trHeight w:val="23" w:hRule="atLeast"/>
        </w:trPr>
        <w:tc>
          <w:tcPr>
            <w:tcW w:w="3105"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38</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38000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38000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2595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2595</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3105"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39</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38450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38450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1900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1900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3105"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40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39150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39150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2350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2350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3105"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41</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40620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40620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2593</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2593</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3105"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42</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42590</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42590</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3500</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3500</w:t>
            </w:r>
          </w:p>
        </w:tc>
        <w:tc>
          <w:tcPr>
            <w:tcW w:w="102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c>
          <w:tcPr>
            <w:tcW w:w="106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3105" w:type="dxa"/>
            <w:gridSpan w:val="3"/>
            <w:tcBorders>
              <w:top w:val="single" w:sz="4" w:space="0" w:color="000000"/>
              <w:left w:val="single" w:sz="4" w:space="0" w:color="000000"/>
              <w:bottom w:val="single" w:sz="4" w:space="0" w:color="000000"/>
              <w:right w:val="single" w:sz="4" w:space="0" w:color="000000"/>
            </w:tcBorders>
            <w:vAlign w:val="center"/>
          </w:tcPr>
          <w:p>
            <w:pPr>
              <w:pStyle w:val="TAH"/>
              <w:jc w:val="left"/>
              <w:rPr>
                <w:lang w:eastAsia="en-US"/>
              </w:rPr>
            </w:pPr>
            <w:r>
              <w:rPr>
                <w:lang w:eastAsia="en-US"/>
              </w:rPr>
              <w:t>Band 46</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lang w:eastAsia="en-US"/>
              </w:rPr>
            </w:pPr>
            <w:r>
              <w:rPr>
                <w:rFonts w:cs="Arial" w:ascii="Arial" w:hAnsi="Arial"/>
                <w:lang w:eastAsia="en-US"/>
              </w:rPr>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rPr>
            </w:pPr>
            <w:r>
              <w:rPr>
                <w:rFonts w:cs="Arial" w:ascii="Arial" w:hAnsi="Arial"/>
              </w:rPr>
            </w:r>
          </w:p>
        </w:tc>
      </w:tr>
      <w:tr>
        <w:trPr>
          <w:trHeight w:val="23" w:hRule="atLeast"/>
        </w:trPr>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50665</w:t>
            </w:r>
          </w:p>
        </w:tc>
        <w:tc>
          <w:tcPr>
            <w:tcW w:w="105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50665</w:t>
            </w:r>
          </w:p>
        </w:tc>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w:t>
            </w:r>
          </w:p>
        </w:tc>
        <w:tc>
          <w:tcPr>
            <w:tcW w:w="122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5537,5</w:t>
            </w:r>
          </w:p>
        </w:tc>
        <w:tc>
          <w:tcPr>
            <w:tcW w:w="11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5537,5</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100</w:t>
            </w:r>
          </w:p>
        </w:tc>
        <w:tc>
          <w:tcPr>
            <w:tcW w:w="10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23" w:hRule="atLeast"/>
        </w:trPr>
        <w:tc>
          <w:tcPr>
            <w:tcW w:w="9665" w:type="dxa"/>
            <w:gridSpan w:val="9"/>
            <w:tcBorders>
              <w:top w:val="single" w:sz="4" w:space="0" w:color="000000"/>
              <w:left w:val="single" w:sz="4" w:space="0" w:color="000000"/>
              <w:bottom w:val="single" w:sz="4" w:space="0" w:color="000000"/>
              <w:right w:val="single" w:sz="4" w:space="0" w:color="000000"/>
            </w:tcBorders>
            <w:vAlign w:val="center"/>
          </w:tcPr>
          <w:p>
            <w:pPr>
              <w:pStyle w:val="TAN"/>
              <w:snapToGrid w:val="false"/>
              <w:rPr>
                <w:lang w:eastAsia="en-US"/>
              </w:rPr>
            </w:pPr>
            <w:r>
              <w:rPr>
                <w:lang w:eastAsia="en-US"/>
              </w:rPr>
            </w:r>
          </w:p>
        </w:tc>
      </w:tr>
    </w:tbl>
    <w:p>
      <w:pPr>
        <w:pStyle w:val="Normal"/>
        <w:rPr/>
      </w:pPr>
      <w:r>
        <w:rPr/>
      </w:r>
    </w:p>
    <w:p>
      <w:pPr>
        <w:pStyle w:val="Heading1"/>
        <w:ind w:left="1138" w:hanging="1138"/>
        <w:rPr/>
      </w:pPr>
      <w:bookmarkStart w:id="44" w:name="__RefHeading___Toc68600982"/>
      <w:bookmarkEnd w:id="44"/>
      <w:r>
        <w:rPr/>
        <w:t>6</w:t>
        <w:tab/>
        <w:t>Transmitter Performance</w:t>
      </w:r>
    </w:p>
    <w:p>
      <w:pPr>
        <w:pStyle w:val="Heading2"/>
        <w:ind w:left="1138" w:hanging="1138"/>
        <w:rPr/>
      </w:pPr>
      <w:bookmarkStart w:id="45" w:name="__RefHeading___Toc68600983"/>
      <w:bookmarkEnd w:id="45"/>
      <w:r>
        <w:rPr/>
        <w:t>6.1</w:t>
        <w:tab/>
        <w:t>Performance for handheld UE</w:t>
      </w:r>
    </w:p>
    <w:p>
      <w:pPr>
        <w:pStyle w:val="Heading3"/>
        <w:rPr/>
      </w:pPr>
      <w:bookmarkStart w:id="46" w:name="__RefHeading___Toc68600984"/>
      <w:r>
        <w:rPr/>
        <w:t>6.1.1</w:t>
        <w:tab/>
        <w:t>Total Radiated Power (TRP) for UTRA FDD in Speech Mode with beside the Head Phantom</w:t>
      </w:r>
      <w:bookmarkEnd w:id="46"/>
      <w:r>
        <w:rPr/>
        <w:t xml:space="preserve"> </w:t>
      </w:r>
    </w:p>
    <w:p>
      <w:pPr>
        <w:pStyle w:val="Heading4"/>
        <w:ind w:left="1418" w:hanging="1418"/>
        <w:rPr>
          <w:rFonts w:eastAsia="PMingLiU;新細明體"/>
        </w:rPr>
      </w:pPr>
      <w:bookmarkStart w:id="47" w:name="__RefHeading___Toc68600985"/>
      <w:bookmarkEnd w:id="47"/>
      <w:r>
        <w:rPr>
          <w:rFonts w:eastAsia="PMingLiU;新細明體"/>
        </w:rPr>
        <w:t>6.1.1.1</w:t>
        <w:tab/>
        <w:t>Definition and applicability</w:t>
      </w:r>
    </w:p>
    <w:p>
      <w:pPr>
        <w:pStyle w:val="Normal"/>
        <w:rPr/>
      </w:pPr>
      <w:r>
        <w:rPr/>
        <w:t>The Total Radiated Power (TRP) is a measure of how much power the DUT actually radiates. The TRP is defined as the integral of the power transmitted in different directions over the entire radiation sphere:</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TRP</m:t>
          </m:r>
          <m:r>
            <w:rPr>
              <w:rFonts w:ascii="Cambria Math" w:hAnsi="Cambria Math"/>
            </w:rPr>
            <m:t xml:space="preserve">=</m:t>
          </m:r>
          <m:f>
            <m:num>
              <m:r>
                <w:rPr>
                  <w:rFonts w:ascii="Cambria Math" w:hAnsi="Cambria Math"/>
                </w:rPr>
                <m:t xml:space="preserve">1</m:t>
              </m:r>
            </m:num>
            <m:den>
              <m:r>
                <w:rPr>
                  <w:rFonts w:ascii="Cambria Math" w:hAnsi="Cambria Math"/>
                </w:rPr>
                <m:t xml:space="preserve">4</m:t>
              </m:r>
              <m:r>
                <w:rPr>
                  <w:rFonts w:ascii="Cambria Math" w:hAnsi="Cambria Math"/>
                </w:rPr>
                <m:t xml:space="preserve">π</m:t>
              </m:r>
            </m:den>
          </m:f>
          <m:nary>
            <m:naryPr>
              <m:chr m:val="∮"/>
              <m:subHide m:val="1"/>
              <m:supHide m:val="1"/>
            </m:naryPr>
            <m:sub/>
            <m:sup/>
            <m:e>
              <m:d>
                <m:dPr>
                  <m:begChr m:val="("/>
                  <m:endChr m:val=")"/>
                </m:dPr>
                <m:e>
                  <m:sSub>
                    <m:e>
                      <m:r>
                        <m:rPr>
                          <m:lit/>
                          <m:nor/>
                        </m:rPr>
                        <w:rPr>
                          <w:rFonts w:ascii="Cambria Math" w:hAnsi="Cambria Math"/>
                        </w:rPr>
                        <m:t xml:space="preserve">EIRP</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EIRP</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e>
              </m:d>
            </m:e>
          </m:nary>
          <m:r>
            <w:rPr>
              <w:rFonts w:ascii="Cambria Math" w:hAnsi="Cambria Math"/>
            </w:rPr>
            <m:t xml:space="preserve">d</m:t>
          </m:r>
          <m:r>
            <w:rPr>
              <w:rFonts w:ascii="Cambria Math" w:hAnsi="Cambria Math"/>
            </w:rPr>
            <m:t xml:space="preserve">Ω</m:t>
          </m:r>
        </m:oMath>
      </m:oMathPara>
    </w:p>
    <w:p>
      <w:pPr>
        <w:pStyle w:val="Normal"/>
        <w:rPr/>
      </w:pPr>
      <w:r>
        <w:rPr/>
        <w:t xml:space="preserve">Where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r>
          <w:rPr>
            <w:rFonts w:ascii="Cambria Math" w:hAnsi="Cambria Math"/>
          </w:rPr>
          <m:t xml:space="preserve">f</m:t>
        </m:r>
      </m:oMath>
      <w:r>
        <w:rPr/>
        <w:t xml:space="preserve"> is frequency.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 are the orthogonal polarizations.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θ</m:t>
            </m:r>
          </m:sub>
        </m:sSub>
      </m:oMath>
      <w:r>
        <w:rPr/>
        <w:t xml:space="preserve"> and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ϕ</m:t>
            </m:r>
          </m:sub>
        </m:sSub>
      </m:oMath>
      <w:r>
        <w:rPr/>
        <w:t xml:space="preserve"> are the actually transmitted power-levels in corresponding polarizations.</w:t>
      </w:r>
    </w:p>
    <w:p>
      <w:pPr>
        <w:pStyle w:val="Normal"/>
        <w:rPr/>
      </w:pPr>
      <w:r>
        <w:rPr/>
        <w:t>Thus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TRP</m:t>
          </m:r>
          <m:r>
            <w:rPr>
              <w:rFonts w:ascii="Cambria Math" w:hAnsi="Cambria Math"/>
            </w:rPr>
            <m:t xml:space="preserve">≈</m:t>
          </m:r>
          <m:f>
            <m:num>
              <m:r>
                <w:rPr>
                  <w:rFonts w:ascii="Cambria Math" w:hAnsi="Cambria Math"/>
                </w:rPr>
                <m:t xml:space="preserve">π</m:t>
              </m:r>
            </m:num>
            <m:den>
              <m:r>
                <w:rPr>
                  <w:rFonts w:ascii="Cambria Math" w:hAnsi="Cambria Math"/>
                </w:rPr>
                <m:t xml:space="preserve">2</m:t>
              </m:r>
              <m:r>
                <m:rPr>
                  <m:lit/>
                  <m:nor/>
                </m:rPr>
                <w:rPr>
                  <w:rFonts w:ascii="Cambria Math" w:hAnsi="Cambria Math"/>
                </w:rPr>
                <m:t xml:space="preserve">NM</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m:rPr>
                              <m:lit/>
                              <m:nor/>
                            </m:rPr>
                            <w:rPr>
                              <w:rFonts w:ascii="Cambria Math" w:hAnsi="Cambria Math"/>
                            </w:rPr>
                            <m:t xml:space="preserve">EIRP</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EIRP</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rPr/>
      </w:pPr>
      <w:r>
        <w:rPr/>
        <w:t xml:space="preserve">In these formulas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are the number of sampling intervals for theta and phi.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oMath>
      <w:r>
        <w:rPr/>
        <w:t xml:space="preserve"> are the measurement angles. The sampling intervals are discussed further in S</w:t>
      </w:r>
      <w:r>
        <w:rPr>
          <w:lang w:eastAsia="zh-TW"/>
        </w:rPr>
        <w:t>ubclause 4.4</w:t>
      </w:r>
      <w:r>
        <w:rPr/>
        <w:t>.</w:t>
      </w:r>
    </w:p>
    <w:p>
      <w:pPr>
        <w:pStyle w:val="Normal"/>
        <w:rPr/>
      </w:pPr>
      <w:r>
        <w:rPr/>
        <w:t>The TRP can also be calculated from Rayleigh faded samples of the total power transmitted from the UE. The measurement of transmitter performance in an isotropic Rayleigh fading environment is based on sampling the radiated power of the UE for a discrete number of field combinations in the chamber. The average value of these statistically distributed samples is proportional to the TRP and by calibrating the average power transfer function, an absolute value of the TRP can be obtained. Thus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TRP</m:t>
          </m:r>
          <m:r>
            <w:rPr>
              <w:rFonts w:ascii="Cambria Math" w:hAnsi="Cambria Math"/>
            </w:rPr>
            <m:t xml:space="preserve">≈</m:t>
          </m:r>
          <m:f>
            <m:num>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f>
                        <m:num>
                          <m:sSub>
                            <m:e>
                              <m:r>
                                <w:rPr>
                                  <w:rFonts w:ascii="Cambria Math" w:hAnsi="Cambria Math"/>
                                </w:rPr>
                                <m:t xml:space="preserve">P</m:t>
                              </m:r>
                            </m:e>
                            <m:sub>
                              <m:r>
                                <w:rPr>
                                  <w:rFonts w:ascii="Cambria Math" w:hAnsi="Cambria Math"/>
                                </w:rPr>
                                <m:t xml:space="preserve">n</m:t>
                              </m:r>
                            </m:sub>
                          </m:sSub>
                        </m:num>
                        <m:den>
                          <m:sSub>
                            <m:e>
                              <m:r>
                                <w:rPr>
                                  <w:rFonts w:ascii="Cambria Math" w:hAnsi="Cambria Math"/>
                                </w:rPr>
                                <m:t xml:space="preserve">C</m:t>
                              </m:r>
                            </m:e>
                            <m:sub>
                              <m:r>
                                <w:rPr>
                                  <w:rFonts w:ascii="Cambria Math" w:hAnsi="Cambria Math"/>
                                </w:rPr>
                                <m:t xml:space="preserve">n</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den>
                      </m:f>
                    </m:e>
                  </m:d>
                </m:e>
              </m:nary>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e>
              </m:nary>
            </m:den>
          </m:f>
        </m:oMath>
      </m:oMathPara>
    </w:p>
    <w:p>
      <w:pPr>
        <w:pStyle w:val="Normal"/>
        <w:rPr/>
      </w:pPr>
      <w:r>
        <w:rPr/>
        <w:t xml:space="preserve">where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oMath>
      <w:r>
        <w:rPr/>
        <w:t xml:space="preserve"> is the reference power transfer function for fixed measurement antenna n, </w:t>
      </w:r>
      <w:r>
        <w:rPr/>
      </w:r>
      <m:oMath xmlns:m="http://schemas.openxmlformats.org/officeDocument/2006/math">
        <m:sSub>
          <m:e>
            <m:r>
              <w:rPr>
                <w:rFonts w:ascii="Cambria Math" w:hAnsi="Cambria Math"/>
              </w:rPr>
              <m:t xml:space="preserve">R</m:t>
            </m:r>
          </m:e>
          <m:sub>
            <m:r>
              <w:rPr>
                <w:rFonts w:ascii="Cambria Math" w:hAnsi="Cambria Math"/>
              </w:rPr>
              <m:t xml:space="preserve">n</m:t>
            </m:r>
          </m:sub>
        </m:sSub>
      </m:oMath>
      <w:r>
        <w:rPr/>
        <w:t xml:space="preserve"> is the reflection coefficient for fixed measurement antenna n and </w:t>
      </w:r>
      <w:r>
        <w:rPr/>
      </w:r>
      <m:oMath xmlns:m="http://schemas.openxmlformats.org/officeDocument/2006/math">
        <m:sSub>
          <m:e>
            <m:r>
              <w:rPr>
                <w:rFonts w:ascii="Cambria Math" w:hAnsi="Cambria Math"/>
              </w:rPr>
              <m:t xml:space="preserve">C</m:t>
            </m:r>
          </m:e>
          <m:sub>
            <m:r>
              <w:rPr>
                <w:rFonts w:ascii="Cambria Math" w:hAnsi="Cambria Math"/>
              </w:rPr>
              <m:t xml:space="preserve">n</m:t>
            </m:r>
          </m:sub>
        </m:sSub>
      </m:oMath>
      <w:r>
        <w:rPr/>
        <w:t xml:space="preserve"> is the path loss in the cables connecting the measurement receiver to fixed measurement antenna n. These parameters are calculated from the calibration measurement and are further discussed in Annex B.2. </w:t>
      </w:r>
      <w:r>
        <w:rPr/>
      </w:r>
      <m:oMath xmlns:m="http://schemas.openxmlformats.org/officeDocument/2006/math">
        <m:sSub>
          <m:e>
            <m:r>
              <w:rPr>
                <w:rFonts w:ascii="Cambria Math" w:hAnsi="Cambria Math"/>
              </w:rPr>
              <m:t xml:space="preserve">P</m:t>
            </m:r>
          </m:e>
          <m:sub>
            <m:r>
              <w:rPr>
                <w:rFonts w:ascii="Cambria Math" w:hAnsi="Cambria Math"/>
              </w:rPr>
              <m:t xml:space="preserve">n</m:t>
            </m:r>
          </m:sub>
        </m:sSub>
      </m:oMath>
      <w:r>
        <w:rPr/>
        <w:t xml:space="preserve"> is the average power measured by fixed measurement antenna n and can be calculated using the following expression:</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w:rPr>
                  <w:rFonts w:ascii="Cambria Math" w:hAnsi="Cambria Math"/>
                </w:rPr>
                <m:t xml:space="preserve">n</m:t>
              </m:r>
            </m:sub>
          </m:sSub>
          <m:r>
            <w:rPr>
              <w:rFonts w:ascii="Cambria Math" w:hAnsi="Cambria Math"/>
            </w:rPr>
            <m:t xml:space="preserve">=</m:t>
          </m:r>
          <m:f>
            <m:num>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p>
                    <m:e>
                      <m:d>
                        <m:dPr>
                          <m:begChr m:val="|"/>
                          <m:endChr m:val="|"/>
                        </m:dPr>
                        <m:e>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e>
                      </m:d>
                    </m:e>
                    <m:sup>
                      <m:r>
                        <w:rPr>
                          <w:rFonts w:ascii="Cambria Math" w:hAnsi="Cambria Math"/>
                        </w:rPr>
                        <m:t xml:space="preserve">2</m:t>
                      </m:r>
                    </m:sup>
                  </m:sSup>
                </m:e>
              </m:nary>
            </m:num>
            <m:den>
              <m:r>
                <w:rPr>
                  <w:rFonts w:ascii="Cambria Math" w:hAnsi="Cambria Math"/>
                </w:rPr>
                <m:t xml:space="preserve">M</m:t>
              </m:r>
            </m:den>
          </m:f>
        </m:oMath>
      </m:oMathPara>
    </w:p>
    <w:p>
      <w:pPr>
        <w:pStyle w:val="Normal"/>
        <w:rPr/>
      </w:pPr>
      <w:r>
        <w:rPr/>
        <w:t xml:space="preserve">where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oMath>
      <w:r>
        <w:rPr/>
        <w:t xml:space="preserve"> is sample number m of the complex transfer function measured with fixed measurement antenna n and </w:t>
      </w:r>
      <w:r>
        <w:rPr/>
      </w:r>
      <m:oMath xmlns:m="http://schemas.openxmlformats.org/officeDocument/2006/math">
        <m:r>
          <w:rPr>
            <w:rFonts w:ascii="Cambria Math" w:hAnsi="Cambria Math"/>
          </w:rPr>
          <m:t xml:space="preserve">M</m:t>
        </m:r>
      </m:oMath>
      <w:r>
        <w:rPr/>
        <w:t xml:space="preserve"> is the total number of samples measured for each fixed measurement antenna.</w:t>
      </w:r>
    </w:p>
    <w:p>
      <w:pPr>
        <w:pStyle w:val="Normal"/>
        <w:rPr/>
      </w:pPr>
      <w:r>
        <w:rPr/>
        <w:t>Note that all averaging must be performed using linear power values (e.g. measurements in Watts).</w:t>
      </w:r>
    </w:p>
    <w:p>
      <w:pPr>
        <w:pStyle w:val="Normal"/>
        <w:rPr/>
      </w:pPr>
      <w:r>
        <w:rPr/>
        <w:t>The requirements and this test apply to all types of UTRA for the FDD UE for Release 7 and later releases.</w:t>
      </w:r>
    </w:p>
    <w:p>
      <w:pPr>
        <w:pStyle w:val="Heading4"/>
        <w:numPr>
          <w:ilvl w:val="2"/>
          <w:numId w:val="5"/>
        </w:numPr>
        <w:tabs>
          <w:tab w:val="clear" w:pos="284"/>
        </w:tabs>
        <w:ind w:left="1418" w:hanging="1418"/>
        <w:rPr/>
      </w:pPr>
      <w:bookmarkStart w:id="48" w:name="__RefHeading___Toc68600986"/>
      <w:bookmarkEnd w:id="48"/>
      <w:r>
        <w:rPr>
          <w:rFonts w:eastAsia="PMingLiU;新細明體"/>
          <w:lang w:eastAsia="zh-TW"/>
        </w:rPr>
        <w:t>6.1.1.2</w:t>
        <w:tab/>
        <w:t>Minimum Requirements</w:t>
      </w:r>
    </w:p>
    <w:p>
      <w:pPr>
        <w:pStyle w:val="Normal"/>
        <w:jc w:val="both"/>
        <w:rPr/>
      </w:pPr>
      <w:r>
        <w:rPr/>
        <w:t xml:space="preserve">The average TRP of low, mid and high channel in beside head position shall be higher than minimum performance requirements for roaming bands shown in Table </w:t>
      </w:r>
      <w:r>
        <w:rPr>
          <w:lang w:eastAsia="zh-TW"/>
        </w:rPr>
        <w:t>6.1.1.2-1</w:t>
      </w:r>
      <w:r>
        <w:rPr/>
        <w:t>. The averaging shall be done in linear scale for the TRP results of both right and left side of the phantom head.</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num>
                <m:den>
                  <m:r>
                    <w:rPr>
                      <w:rFonts w:ascii="Cambria Math" w:hAnsi="Cambria Math"/>
                    </w:rPr>
                    <m:t xml:space="preserve">6</m:t>
                  </m:r>
                </m:den>
              </m:f>
            </m:e>
          </m:d>
        </m:oMath>
      </m:oMathPara>
    </w:p>
    <w:p>
      <w:pPr>
        <w:pStyle w:val="Normal"/>
        <w:rPr/>
      </w:pPr>
      <w:r>
        <w:rPr/>
        <w:t>In addition the minimum TRP of each measured channel in beside head position shall be higher than minimum performance requirements shown in the columns “Min”.</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min</m:t>
          </m:r>
          <m:d>
            <m:dPr>
              <m:begChr m:val="["/>
              <m:endChr m:val="]"/>
            </m:dPr>
            <m:e>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e>
          </m:d>
        </m:oMath>
      </m:oMathPara>
    </w:p>
    <w:p>
      <w:pPr>
        <w:pStyle w:val="TH"/>
        <w:rPr/>
      </w:pPr>
      <w:r>
        <w:rPr/>
        <w:t xml:space="preserve">Table </w:t>
      </w:r>
      <w:r>
        <w:rPr>
          <w:lang w:eastAsia="zh-TW"/>
        </w:rPr>
        <w:t>6.1</w:t>
      </w:r>
      <w:r>
        <w:rPr/>
        <w:t>.1.</w:t>
      </w:r>
      <w:r>
        <w:rPr>
          <w:lang w:eastAsia="zh-TW"/>
        </w:rPr>
        <w:t>2-1:</w:t>
      </w:r>
      <w:r>
        <w:rPr/>
        <w:t xml:space="preserve"> TRP minimum performance requirement for FDD roaming bands in the speech position and the primary mechanical mode</w:t>
      </w:r>
    </w:p>
    <w:tbl>
      <w:tblPr>
        <w:tblW w:w="9360" w:type="dxa"/>
        <w:jc w:val="left"/>
        <w:tblInd w:w="-113" w:type="dxa"/>
        <w:tblLayout w:type="fixed"/>
        <w:tblCellMar>
          <w:top w:w="0" w:type="dxa"/>
          <w:left w:w="108" w:type="dxa"/>
          <w:bottom w:w="0" w:type="dxa"/>
          <w:right w:w="108" w:type="dxa"/>
        </w:tblCellMar>
      </w:tblPr>
      <w:tblGrid>
        <w:gridCol w:w="1101"/>
        <w:gridCol w:w="1134"/>
        <w:gridCol w:w="1134"/>
        <w:gridCol w:w="1030"/>
        <w:gridCol w:w="992"/>
        <w:gridCol w:w="993"/>
        <w:gridCol w:w="992"/>
        <w:gridCol w:w="992"/>
        <w:gridCol w:w="992"/>
      </w:tblGrid>
      <w:tr>
        <w:trPr/>
        <w:tc>
          <w:tcPr>
            <w:tcW w:w="1101" w:type="dxa"/>
            <w:vMerge w:val="restart"/>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Operating band</w:t>
            </w:r>
          </w:p>
        </w:tc>
        <w:tc>
          <w:tcPr>
            <w:tcW w:w="1134"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Class 1</w:t>
            </w:r>
          </w:p>
        </w:tc>
        <w:tc>
          <w:tcPr>
            <w:tcW w:w="1134"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Class 2</w:t>
            </w:r>
          </w:p>
        </w:tc>
        <w:tc>
          <w:tcPr>
            <w:tcW w:w="2022"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Class 3</w:t>
            </w:r>
          </w:p>
        </w:tc>
        <w:tc>
          <w:tcPr>
            <w:tcW w:w="1985"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Class 3bis</w:t>
            </w:r>
          </w:p>
        </w:tc>
        <w:tc>
          <w:tcPr>
            <w:tcW w:w="1984"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Class 4</w:t>
            </w:r>
          </w:p>
        </w:tc>
      </w:tr>
      <w:tr>
        <w:trPr/>
        <w:tc>
          <w:tcPr>
            <w:tcW w:w="1101" w:type="dxa"/>
            <w:vMerge w:val="continue"/>
            <w:tcBorders>
              <w:top w:val="single" w:sz="4" w:space="0" w:color="000000"/>
              <w:left w:val="single" w:sz="4" w:space="0" w:color="000000"/>
              <w:bottom w:val="single" w:sz="4" w:space="0" w:color="000000"/>
              <w:right w:val="single" w:sz="4" w:space="0" w:color="000000"/>
            </w:tcBorders>
          </w:tcPr>
          <w:p>
            <w:pPr>
              <w:pStyle w:val="Fp1"/>
              <w:snapToGrid w:val="false"/>
              <w:rPr>
                <w:rFonts w:ascii="Arial" w:hAnsi="Arial" w:cs="Arial"/>
                <w:b/>
                <w:b/>
                <w:bCs/>
                <w:sz w:val="18"/>
                <w:lang w:val="en-GB"/>
              </w:rPr>
            </w:pPr>
            <w:r>
              <w:rPr>
                <w:rFonts w:cs="Arial" w:ascii="Arial" w:hAnsi="Arial"/>
                <w:b/>
                <w:bCs/>
                <w:sz w:val="18"/>
                <w:lang w:val="en-GB"/>
              </w:rPr>
            </w:r>
          </w:p>
        </w:tc>
        <w:tc>
          <w:tcPr>
            <w:tcW w:w="1134"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(dBm)</w:t>
            </w:r>
          </w:p>
        </w:tc>
        <w:tc>
          <w:tcPr>
            <w:tcW w:w="1134"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(dBm)</w:t>
            </w:r>
          </w:p>
        </w:tc>
        <w:tc>
          <w:tcPr>
            <w:tcW w:w="2022"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(dBm)</w:t>
            </w:r>
          </w:p>
        </w:tc>
        <w:tc>
          <w:tcPr>
            <w:tcW w:w="1985"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(dBm)</w:t>
            </w:r>
          </w:p>
        </w:tc>
        <w:tc>
          <w:tcPr>
            <w:tcW w:w="1984"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(dBm)</w:t>
            </w:r>
          </w:p>
        </w:tc>
      </w:tr>
      <w:tr>
        <w:trPr/>
        <w:tc>
          <w:tcPr>
            <w:tcW w:w="1101" w:type="dxa"/>
            <w:vMerge w:val="continue"/>
            <w:tcBorders>
              <w:top w:val="single" w:sz="4" w:space="0" w:color="000000"/>
              <w:left w:val="single" w:sz="4" w:space="0" w:color="000000"/>
              <w:bottom w:val="single" w:sz="4" w:space="0" w:color="000000"/>
              <w:right w:val="single" w:sz="4" w:space="0" w:color="000000"/>
            </w:tcBorders>
          </w:tcPr>
          <w:p>
            <w:pPr>
              <w:pStyle w:val="Fp1"/>
              <w:snapToGrid w:val="false"/>
              <w:rPr>
                <w:rFonts w:ascii="Arial" w:hAnsi="Arial" w:cs="Arial"/>
                <w:b/>
                <w:b/>
                <w:bCs/>
                <w:sz w:val="18"/>
                <w:lang w:val="en-GB"/>
              </w:rPr>
            </w:pPr>
            <w:r>
              <w:rPr>
                <w:rFonts w:cs="Arial" w:ascii="Arial" w:hAnsi="Arial"/>
                <w:b/>
                <w:bCs/>
                <w:sz w:val="18"/>
                <w:lang w:val="en-GB"/>
              </w:rPr>
            </w:r>
          </w:p>
        </w:tc>
        <w:tc>
          <w:tcPr>
            <w:tcW w:w="1134" w:type="dxa"/>
            <w:tcBorders>
              <w:top w:val="single" w:sz="4" w:space="0" w:color="000000"/>
              <w:left w:val="single" w:sz="4" w:space="0" w:color="000000"/>
              <w:bottom w:val="single" w:sz="4" w:space="0" w:color="000000"/>
              <w:right w:val="single" w:sz="4" w:space="0" w:color="000000"/>
            </w:tcBorders>
          </w:tcPr>
          <w:p>
            <w:pPr>
              <w:pStyle w:val="Tah1"/>
              <w:snapToGrid w:val="false"/>
              <w:rPr>
                <w:rFonts w:ascii="Arial" w:hAnsi="Arial" w:cs="Arial"/>
                <w:b/>
                <w:b/>
                <w:bCs/>
                <w:sz w:val="18"/>
                <w:lang w:val="en-GB"/>
              </w:rPr>
            </w:pPr>
            <w:r>
              <w:rPr>
                <w:rFonts w:cs="Arial"/>
                <w:b/>
                <w:bCs/>
                <w:sz w:val="18"/>
                <w:lang w:val="en-GB"/>
              </w:rPr>
            </w:r>
          </w:p>
        </w:tc>
        <w:tc>
          <w:tcPr>
            <w:tcW w:w="1134" w:type="dxa"/>
            <w:tcBorders>
              <w:top w:val="single" w:sz="4" w:space="0" w:color="000000"/>
              <w:left w:val="single" w:sz="4" w:space="0" w:color="000000"/>
              <w:bottom w:val="single" w:sz="4" w:space="0" w:color="000000"/>
              <w:right w:val="single" w:sz="4" w:space="0" w:color="000000"/>
            </w:tcBorders>
          </w:tcPr>
          <w:p>
            <w:pPr>
              <w:pStyle w:val="Tah1"/>
              <w:snapToGrid w:val="false"/>
              <w:rPr>
                <w:lang w:val="en-GB"/>
              </w:rPr>
            </w:pPr>
            <w:r>
              <w:rPr>
                <w:lang w:val="en-GB"/>
              </w:rPr>
            </w:r>
          </w:p>
        </w:tc>
        <w:tc>
          <w:tcPr>
            <w:tcW w:w="1030"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Average</w:t>
            </w:r>
          </w:p>
        </w:tc>
        <w:tc>
          <w:tcPr>
            <w:tcW w:w="992"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Min</w:t>
            </w:r>
          </w:p>
        </w:tc>
        <w:tc>
          <w:tcPr>
            <w:tcW w:w="993"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Average</w:t>
            </w:r>
          </w:p>
        </w:tc>
        <w:tc>
          <w:tcPr>
            <w:tcW w:w="992"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Min</w:t>
            </w:r>
          </w:p>
        </w:tc>
        <w:tc>
          <w:tcPr>
            <w:tcW w:w="992"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Average</w:t>
            </w:r>
          </w:p>
        </w:tc>
        <w:tc>
          <w:tcPr>
            <w:tcW w:w="992"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Min</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3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+15</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+13</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+15</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+13</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+13</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+11</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3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+15</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+13</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+15</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+13</w:t>
            </w:r>
          </w:p>
        </w:tc>
        <w:tc>
          <w:tcPr>
            <w:tcW w:w="992" w:type="dxa"/>
            <w:tcBorders>
              <w:top w:val="single" w:sz="4" w:space="0" w:color="000000"/>
              <w:left w:val="single" w:sz="4" w:space="0" w:color="000000"/>
              <w:bottom w:val="single" w:sz="4" w:space="0" w:color="000000"/>
              <w:right w:val="single" w:sz="4" w:space="0" w:color="000000"/>
            </w:tcBorders>
          </w:tcPr>
          <w:p>
            <w:pPr>
              <w:pStyle w:val="TAC"/>
              <w:rPr>
                <w:sz w:val="20"/>
                <w:lang w:eastAsia="en-US"/>
              </w:rPr>
            </w:pPr>
            <w:r>
              <w:rPr>
                <w:lang w:eastAsia="en-US"/>
              </w:rPr>
              <w:t>+13</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+11</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3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+15</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+13</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+15</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+13</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+13</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+11</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IV</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3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+15</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+13</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+15</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+13</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+13</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+11</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3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+11</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+9</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+11</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+7</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3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+11</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+11</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+7</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3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+15</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+13</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+15</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+13</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+13</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+11</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3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+12</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+12</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+8</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IX</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3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+15</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+13</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+15</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+13</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+13</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+11</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XIX</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3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+11.5</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+9.5</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+11.5</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+9.5</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+9.5</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+7.5</w:t>
            </w:r>
          </w:p>
        </w:tc>
      </w:tr>
      <w:tr>
        <w:trPr/>
        <w:tc>
          <w:tcPr>
            <w:tcW w:w="9360" w:type="dxa"/>
            <w:gridSpan w:val="9"/>
            <w:tcBorders>
              <w:top w:val="single" w:sz="4" w:space="0" w:color="000000"/>
              <w:left w:val="single" w:sz="4" w:space="0" w:color="000000"/>
              <w:bottom w:val="single" w:sz="4" w:space="0" w:color="000000"/>
              <w:right w:val="single" w:sz="4" w:space="0" w:color="000000"/>
            </w:tcBorders>
          </w:tcPr>
          <w:p>
            <w:pPr>
              <w:pStyle w:val="TAN"/>
              <w:rPr>
                <w:bCs/>
                <w:lang w:eastAsia="en-US"/>
              </w:rPr>
            </w:pPr>
            <w:r>
              <w:rPr>
                <w:lang w:eastAsia="en-US"/>
              </w:rPr>
              <w:t>NOTE:</w:t>
              <w:tab/>
              <w:t>Applicable for dual-mode GSM/UMTS.</w:t>
            </w:r>
          </w:p>
        </w:tc>
      </w:tr>
    </w:tbl>
    <w:p>
      <w:pPr>
        <w:pStyle w:val="Normal"/>
        <w:rPr/>
      </w:pPr>
      <w:r>
        <w:rPr/>
      </w:r>
    </w:p>
    <w:p>
      <w:pPr>
        <w:pStyle w:val="Normal"/>
        <w:rPr/>
      </w:pPr>
      <w:r>
        <w:rPr/>
        <w:t xml:space="preserve">The normative reference for this </w:t>
      </w:r>
      <w:r>
        <w:rPr>
          <w:lang w:eastAsia="zh-TW"/>
        </w:rPr>
        <w:t>Sub</w:t>
      </w:r>
      <w:r>
        <w:rPr/>
        <w:t>clause is TS</w:t>
      </w:r>
      <w:r>
        <w:rPr>
          <w:lang w:eastAsia="zh-TW"/>
        </w:rPr>
        <w:t xml:space="preserve"> 37</w:t>
      </w:r>
      <w:r>
        <w:rPr/>
        <w:t>.144</w:t>
      </w:r>
      <w:r>
        <w:rPr>
          <w:lang w:eastAsia="zh-TW"/>
        </w:rPr>
        <w:t xml:space="preserve"> Subclause</w:t>
      </w:r>
      <w:r>
        <w:rPr/>
        <w:t xml:space="preserve"> 6.1.1.</w:t>
      </w:r>
      <w:r>
        <w:rPr>
          <w:lang w:eastAsia="zh-TW"/>
        </w:rPr>
        <w:t>2</w:t>
      </w:r>
      <w:r>
        <w:rPr/>
        <w:t>.</w:t>
      </w:r>
    </w:p>
    <w:p>
      <w:pPr>
        <w:pStyle w:val="Heading4"/>
        <w:numPr>
          <w:ilvl w:val="2"/>
          <w:numId w:val="5"/>
        </w:numPr>
        <w:tabs>
          <w:tab w:val="clear" w:pos="284"/>
        </w:tabs>
        <w:ind w:left="1418" w:hanging="1418"/>
        <w:rPr/>
      </w:pPr>
      <w:bookmarkStart w:id="49" w:name="__RefHeading___Toc68600987"/>
      <w:bookmarkEnd w:id="49"/>
      <w:r>
        <w:rPr>
          <w:rFonts w:eastAsia="PMingLiU;新細明體"/>
          <w:lang w:eastAsia="zh-TW"/>
        </w:rPr>
        <w:t>6.1.1.3</w:t>
        <w:tab/>
        <w:t>Test purpose</w:t>
      </w:r>
    </w:p>
    <w:p>
      <w:pPr>
        <w:pStyle w:val="Normal"/>
        <w:rPr/>
      </w:pPr>
      <w:r>
        <w:rPr/>
        <w:t xml:space="preserve">The purpose of this test is to verify that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 xml:space="preserve">of the UE is not below specified values. A lower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decrease the coverage area.</w:t>
      </w:r>
    </w:p>
    <w:p>
      <w:pPr>
        <w:pStyle w:val="Heading4"/>
        <w:numPr>
          <w:ilvl w:val="2"/>
          <w:numId w:val="5"/>
        </w:numPr>
        <w:tabs>
          <w:tab w:val="clear" w:pos="284"/>
        </w:tabs>
        <w:ind w:left="1418" w:hanging="1418"/>
        <w:rPr/>
      </w:pPr>
      <w:bookmarkStart w:id="50" w:name="__RefHeading___Toc68600988"/>
      <w:bookmarkEnd w:id="50"/>
      <w:r>
        <w:rPr>
          <w:rFonts w:eastAsia="PMingLiU;新細明體"/>
          <w:lang w:eastAsia="zh-TW"/>
        </w:rPr>
        <w:t>6.1.1.4</w:t>
        <w:tab/>
        <w:t>Method of test</w:t>
      </w:r>
    </w:p>
    <w:p>
      <w:pPr>
        <w:pStyle w:val="Heading4"/>
        <w:ind w:left="1418" w:hanging="1418"/>
        <w:rPr/>
      </w:pPr>
      <w:bookmarkStart w:id="51" w:name="__RefHeading___Toc68600989"/>
      <w:bookmarkEnd w:id="51"/>
      <w:r>
        <w:rPr>
          <w:rFonts w:eastAsia="PMingLiU;新細明體"/>
          <w:lang w:eastAsia="zh-TW"/>
        </w:rPr>
        <w:t>6.1</w:t>
      </w:r>
      <w:r>
        <w:rPr/>
        <w:t>.1.4.1</w:t>
        <w:tab/>
        <w:t>Initial conditions</w:t>
      </w:r>
    </w:p>
    <w:p>
      <w:pPr>
        <w:pStyle w:val="Normal"/>
        <w:rPr/>
      </w:pPr>
      <w:r>
        <w:rPr/>
        <w:t xml:space="preserve">The output power is a measure of the maximum power the UE can transmit in a bandwidth of at least (1+ </w:t>
      </w:r>
      <w:r>
        <w:rPr>
          <w:rFonts w:cs="Symbol" w:ascii="Symbol" w:hAnsi="Symbol"/>
        </w:rPr>
        <w:t></w:t>
      </w:r>
      <w:r>
        <w:rPr/>
        <w:t xml:space="preserve"> times the chip rate of the radio access mode, for more information see 3GPP TS 34.121-1 [7] chapter 5.2. The period of measurement shall be at least one timeslot. Also care should be taken that the noise floor of the measurement receiver is not disturbing the power measurement.</w:t>
      </w:r>
    </w:p>
    <w:p>
      <w:pPr>
        <w:pStyle w:val="Normal"/>
        <w:rPr/>
      </w:pPr>
      <w:r>
        <w:rPr/>
        <w:t xml:space="preserve">Test environment: normal; see TS34.121-1 [7] </w:t>
      </w:r>
      <w:r>
        <w:rPr>
          <w:lang w:eastAsia="zh-TW"/>
        </w:rPr>
        <w:t>Annex</w:t>
      </w:r>
      <w:r>
        <w:rPr/>
        <w:t xml:space="preserve"> G.2.1.</w:t>
      </w:r>
    </w:p>
    <w:p>
      <w:pPr>
        <w:pStyle w:val="Normal"/>
        <w:rPr/>
      </w:pPr>
      <w:r>
        <w:rPr/>
        <w:t>Frequencies to be tested: low range, mid range, high range; see Table 5.1-2.</w:t>
      </w:r>
    </w:p>
    <w:p>
      <w:pPr>
        <w:pStyle w:val="B1"/>
        <w:rPr/>
      </w:pPr>
      <w:r>
        <w:rPr/>
        <w:t>1)</w:t>
        <w:tab/>
        <w:t xml:space="preserve">Set the SS downlink physical channels according to settings in Table </w:t>
      </w:r>
      <w:r>
        <w:rPr>
          <w:lang w:eastAsia="zh-TW"/>
        </w:rPr>
        <w:t>6.1.1.4.1-1</w:t>
      </w:r>
      <w:r>
        <w:rPr/>
        <w:t>. Set the DPCH power such that there will not be transmission gaps due to too low signal strength throughout the measurement.</w:t>
      </w:r>
    </w:p>
    <w:p>
      <w:pPr>
        <w:pStyle w:val="B1"/>
        <w:rPr/>
      </w:pPr>
      <w:r>
        <w:rPr/>
        <w:t>2)</w:t>
        <w:tab/>
        <w:t>Power on the UE.</w:t>
      </w:r>
    </w:p>
    <w:p>
      <w:pPr>
        <w:pStyle w:val="B1"/>
        <w:rPr/>
      </w:pPr>
      <w:r>
        <w:rPr/>
        <w:t>3)</w:t>
        <w:tab/>
        <w:t>A call is set up according to the Generic call setup procedure. The power control algorithm shall be set to Power Control Algorithm 2. Compressed mode shall be set to OFF.</w:t>
      </w:r>
    </w:p>
    <w:p>
      <w:pPr>
        <w:pStyle w:val="B1"/>
        <w:rPr/>
      </w:pPr>
      <w:r>
        <w:rPr/>
        <w:t>4)</w:t>
        <w:tab/>
        <w:t>Enter the UE into loopback test mode 2 and start the loopback test.</w:t>
      </w:r>
    </w:p>
    <w:p>
      <w:pPr>
        <w:pStyle w:val="Normal"/>
        <w:rPr/>
      </w:pPr>
      <w:r>
        <w:rPr/>
        <w:t>See TS 34.108 [4] and TS 34.109 [5] for details regarding generic call setup procedure and loopback test.</w:t>
      </w:r>
    </w:p>
    <w:p>
      <w:pPr>
        <w:pStyle w:val="TH"/>
        <w:rPr/>
      </w:pPr>
      <w:r>
        <w:rPr/>
        <w:t xml:space="preserve">Table </w:t>
      </w:r>
      <w:r>
        <w:rPr>
          <w:lang w:eastAsia="zh-TW"/>
        </w:rPr>
        <w:t>6.1</w:t>
      </w:r>
      <w:r>
        <w:rPr/>
        <w:t>.1.</w:t>
      </w:r>
      <w:r>
        <w:rPr>
          <w:lang w:eastAsia="zh-TW"/>
        </w:rPr>
        <w:t>4.1-1</w:t>
      </w:r>
      <w:r>
        <w:rPr/>
        <w:t>: Downlink Physical Channels transmitted during a connection</w:t>
      </w:r>
    </w:p>
    <w:tbl>
      <w:tblPr>
        <w:tblW w:w="6612" w:type="dxa"/>
        <w:jc w:val="left"/>
        <w:tblInd w:w="1553" w:type="dxa"/>
        <w:tblLayout w:type="fixed"/>
        <w:tblCellMar>
          <w:top w:w="0" w:type="dxa"/>
          <w:left w:w="108" w:type="dxa"/>
          <w:bottom w:w="0" w:type="dxa"/>
          <w:right w:w="108" w:type="dxa"/>
        </w:tblCellMar>
      </w:tblPr>
      <w:tblGrid>
        <w:gridCol w:w="2301"/>
        <w:gridCol w:w="4311"/>
      </w:tblGrid>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Physical Channel</w:t>
            </w:r>
          </w:p>
        </w:tc>
        <w:tc>
          <w:tcPr>
            <w:tcW w:w="4311"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Power</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CPICH</w:t>
            </w:r>
          </w:p>
        </w:tc>
        <w:tc>
          <w:tcPr>
            <w:tcW w:w="431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CPICH_Ec / DPCH_Ec</w:t>
              <w:tab/>
              <w:t>= 7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P-CCPCH</w:t>
            </w:r>
          </w:p>
        </w:tc>
        <w:tc>
          <w:tcPr>
            <w:tcW w:w="431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P-CCPCH_Ec / DPCH_Ec</w:t>
              <w:tab/>
              <w:t>= 5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SCH</w:t>
            </w:r>
          </w:p>
        </w:tc>
        <w:tc>
          <w:tcPr>
            <w:tcW w:w="431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SCH_Ec / DPCH_Ec</w:t>
              <w:tab/>
              <w:t>= 5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PICH</w:t>
            </w:r>
          </w:p>
        </w:tc>
        <w:tc>
          <w:tcPr>
            <w:tcW w:w="431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PICH_Ec / DPCH_Ec</w:t>
              <w:tab/>
              <w:t>= 2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DPCH</w:t>
            </w:r>
          </w:p>
        </w:tc>
        <w:tc>
          <w:tcPr>
            <w:tcW w:w="4311" w:type="dxa"/>
            <w:tcBorders>
              <w:top w:val="single" w:sz="6" w:space="0" w:color="000000"/>
              <w:left w:val="single" w:sz="6" w:space="0" w:color="000000"/>
              <w:bottom w:val="single" w:sz="6" w:space="0" w:color="000000"/>
              <w:right w:val="single" w:sz="6" w:space="0" w:color="000000"/>
            </w:tcBorders>
          </w:tcPr>
          <w:p>
            <w:pPr>
              <w:pStyle w:val="TAL1"/>
              <w:rPr/>
            </w:pPr>
            <w:r>
              <w:rPr>
                <w:lang w:eastAsia="en-US"/>
              </w:rPr>
              <w:t>Test dependent power</w:t>
            </w:r>
          </w:p>
        </w:tc>
      </w:tr>
    </w:tbl>
    <w:p>
      <w:pPr>
        <w:pStyle w:val="Normal"/>
        <w:rPr/>
      </w:pPr>
      <w:r>
        <w:rPr/>
      </w:r>
    </w:p>
    <w:p>
      <w:pPr>
        <w:pStyle w:val="Heading4"/>
        <w:ind w:left="1418" w:hanging="1418"/>
        <w:rPr/>
      </w:pPr>
      <w:bookmarkStart w:id="52" w:name="__RefHeading___Toc68600990"/>
      <w:bookmarkEnd w:id="52"/>
      <w:r>
        <w:rPr>
          <w:rFonts w:eastAsia="PMingLiU;新細明體"/>
          <w:lang w:eastAsia="zh-TW"/>
        </w:rPr>
        <w:t>6.1</w:t>
      </w:r>
      <w:r>
        <w:rPr/>
        <w:t>.1.4.2</w:t>
        <w:tab/>
        <w:t>Procedure</w:t>
      </w:r>
    </w:p>
    <w:p>
      <w:pPr>
        <w:pStyle w:val="B1"/>
        <w:rPr/>
      </w:pPr>
      <w:r>
        <w:rPr/>
        <w:t>1)</w:t>
        <w:tab/>
        <w:t>Send continuously Up power control commands to the UE.</w:t>
      </w:r>
    </w:p>
    <w:p>
      <w:pPr>
        <w:pStyle w:val="B1"/>
        <w:rPr/>
      </w:pPr>
      <w:r>
        <w:rPr/>
        <w:t>2)</w:t>
        <w:tab/>
        <w:t>As the UE reaches maximum power, start sending PN15 data pattern.</w:t>
      </w:r>
    </w:p>
    <w:p>
      <w:pPr>
        <w:pStyle w:val="B1"/>
        <w:rPr/>
      </w:pPr>
      <w:r>
        <w:rPr/>
        <w:t>3)</w:t>
        <w:tab/>
        <w:t>Position the UE against the SAM phantom</w:t>
      </w:r>
    </w:p>
    <w:p>
      <w:pPr>
        <w:pStyle w:val="B1"/>
        <w:rPr/>
      </w:pPr>
      <w:r>
        <w:rPr/>
        <w:t>4)</w:t>
        <w:tab/>
        <w:t xml:space="preserve">Measure the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θ</m:t>
            </m:r>
          </m:sub>
        </m:sSub>
      </m:oMath>
      <w:r>
        <w:rPr/>
        <w:t xml:space="preserve"> and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ϕ</m:t>
            </m:r>
          </m:sub>
        </m:sSub>
      </m:oMath>
      <w:r>
        <w:rPr/>
        <w:t xml:space="preserve"> with a sample step of 15° in theta (</w:t>
      </w:r>
      <w:r>
        <w:rPr>
          <w:rFonts w:eastAsia="Symbol" w:cs="Symbol" w:ascii="Symbol" w:hAnsi="Symbol"/>
        </w:rPr>
        <w:t></w:t>
      </w:r>
      <w:r>
        <w:rPr/>
        <w:t>) and phi (</w:t>
      </w:r>
      <w:r>
        <w:rPr>
          <w:rFonts w:eastAsia="Symbol" w:cs="Symbol" w:ascii="Symbol" w:hAnsi="Symbol"/>
        </w:rPr>
        <w:t></w:t>
      </w:r>
      <w:r>
        <w:rPr/>
        <w:t>) directions using a test system having characteristics as described in Annex A.</w:t>
      </w:r>
    </w:p>
    <w:p>
      <w:pPr>
        <w:pStyle w:val="B1"/>
        <w:rPr/>
      </w:pPr>
      <w:r>
        <w:rPr/>
        <w:t>5)</w:t>
        <w:tab/>
        <w:t xml:space="preserve">Calculate TRP using equations from </w:t>
      </w:r>
      <w:r>
        <w:rPr>
          <w:lang w:eastAsia="zh-TW"/>
        </w:rPr>
        <w:t>Subclause</w:t>
      </w:r>
      <w:r>
        <w:rPr/>
        <w:t xml:space="preserve"> </w:t>
      </w:r>
      <w:r>
        <w:rPr>
          <w:lang w:eastAsia="zh-TW"/>
        </w:rPr>
        <w:t>6.1</w:t>
      </w:r>
      <w:r>
        <w:rPr/>
        <w:t>.1.1</w:t>
      </w:r>
    </w:p>
    <w:p>
      <w:pPr>
        <w:pStyle w:val="NO"/>
        <w:rPr/>
      </w:pPr>
      <w:r>
        <w:rPr/>
        <w:t>NOTE 1:</w:t>
        <w:tab/>
        <w:t xml:space="preserve">The measurement procedure is based on the measurement of the spherical radiation pattern of the DUT. The power radiated by the DUT is sampled in far field in a group of points located on a spherical surface enclosing the DUT. The EIRP samples are taken using a constant sample step of </w:t>
      </w:r>
      <w:bookmarkStart w:id="53" w:name="OLE_LINK27"/>
      <w:bookmarkStart w:id="54" w:name="OLE_LINK26"/>
      <w:r>
        <w:rPr/>
        <w:t>15° both in theta (</w:t>
      </w:r>
      <w:r>
        <w:rPr>
          <w:rFonts w:eastAsia="Symbol" w:cs="Symbol" w:ascii="Symbol" w:hAnsi="Symbol"/>
        </w:rPr>
        <w:t></w:t>
      </w:r>
      <w:r>
        <w:rPr/>
        <w:t>) and phi (</w:t>
      </w:r>
      <w:r>
        <w:rPr>
          <w:rFonts w:eastAsia="Symbol" w:cs="Symbol" w:ascii="Symbol" w:hAnsi="Symbol"/>
        </w:rPr>
        <w:t></w:t>
      </w:r>
      <w:r>
        <w:rPr/>
        <w:t>) directions</w:t>
      </w:r>
      <w:bookmarkEnd w:id="53"/>
      <w:bookmarkEnd w:id="54"/>
      <w:r>
        <w:rPr/>
        <w:t xml:space="preserve">. In some cases a different sampling grid may be used to speed up the measurements (See </w:t>
      </w:r>
      <w:r>
        <w:rPr>
          <w:lang w:eastAsia="zh-TW"/>
        </w:rPr>
        <w:t>Subclause 4.4</w:t>
      </w:r>
      <w:r>
        <w:rPr/>
        <w:t xml:space="preserve">). All the EIRP samples are taken with two orthogonal polarizations,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-polarisations.</w:t>
      </w:r>
    </w:p>
    <w:p>
      <w:pPr>
        <w:pStyle w:val="NO"/>
        <w:rPr/>
      </w:pPr>
      <w:r>
        <w:rPr/>
        <w:t>NOTE 2:</w:t>
        <w:tab/>
        <w:t>The noise floor of the measurement receiver shall not disturb the power measurement.</w:t>
      </w:r>
    </w:p>
    <w:p>
      <w:pPr>
        <w:pStyle w:val="NO"/>
        <w:rPr/>
      </w:pPr>
      <w:r>
        <w:rPr/>
        <w:t>NOTE 3:</w:t>
        <w:tab/>
        <w:t>Non Standard settings: To speed up sensitivity measurements, power measurements may be done with non standard modulation. However to obtain TRP result the measured EIRP figures shall be normalized by</w:t>
      </w:r>
    </w:p>
    <w:p>
      <w:pPr>
        <w:pStyle w:val="EQ"/>
        <w:jc w:val="center"/>
        <w:rPr>
          <w:lang w:val="en-GB" w:eastAsia="en-GB"/>
        </w:rPr>
      </w:pPr>
      <w:r>
        <w:rPr>
          <w:lang w:val="en-GB" w:eastAsia="en-GB"/>
        </w:rPr>
      </w:r>
      <m:oMathPara xmlns:m="http://schemas.openxmlformats.org/officeDocument/2006/math">
        <m:oMathParaPr>
          <m:jc m:val="center"/>
        </m:oMathParaPr>
        <m:oMath>
          <m:r>
            <w:rPr>
              <w:rFonts w:ascii="Cambria Math" w:hAnsi="Cambria Math"/>
            </w:rPr>
            <m:t xml:space="preserve">Δ</m:t>
          </m:r>
          <m:bar>
            <m:barPr>
              <m:pos m:val="top"/>
            </m:barPr>
            <m:e>
              <m:r>
                <m:rPr>
                  <m:lit/>
                  <m:nor/>
                </m:rPr>
                <w:rPr>
                  <w:rFonts w:ascii="Cambria Math" w:hAnsi="Cambria Math"/>
                </w:rPr>
                <m:t xml:space="preserve">EIRP</m:t>
              </m:r>
            </m:e>
          </m:ba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m:rPr>
                          <m:lit/>
                          <m:nor/>
                        </m:rPr>
                        <w:rPr>
                          <w:rFonts w:ascii="Cambria Math" w:hAnsi="Cambria Math"/>
                        </w:rPr>
                        <m:t xml:space="preserve">EIRPstd</m:t>
                      </m:r>
                    </m:e>
                    <m:sub>
                      <m:r>
                        <w:rPr>
                          <w:rFonts w:ascii="Cambria Math" w:hAnsi="Cambria Math"/>
                        </w:rPr>
                        <m:t xml:space="preserve">i</m:t>
                      </m:r>
                    </m:sub>
                  </m:sSub>
                  <m:r>
                    <w:rPr>
                      <w:rFonts w:ascii="Cambria Math" w:hAnsi="Cambria Math"/>
                    </w:rPr>
                    <m:t xml:space="preserve">−</m:t>
                  </m:r>
                  <m:sSub>
                    <m:e>
                      <m:r>
                        <m:rPr>
                          <m:lit/>
                          <m:nor/>
                        </m:rPr>
                        <w:rPr>
                          <w:rFonts w:ascii="Cambria Math" w:hAnsi="Cambria Math"/>
                        </w:rPr>
                        <m:t xml:space="preserve">EIRPnstd</m:t>
                      </m:r>
                    </m:e>
                    <m:sub>
                      <m:r>
                        <w:rPr>
                          <w:rFonts w:ascii="Cambria Math" w:hAnsi="Cambria Math"/>
                        </w:rPr>
                        <m:t xml:space="preserve">i</m:t>
                      </m:r>
                    </m:sub>
                  </m:sSub>
                </m:e>
              </m:d>
            </m:e>
          </m:nary>
        </m:oMath>
      </m:oMathPara>
    </w:p>
    <w:p>
      <w:pPr>
        <w:pStyle w:val="Normal"/>
        <w:rPr/>
      </w:pPr>
      <w:r>
        <w:rPr/>
        <w:t xml:space="preserve">where </w:t>
      </w:r>
      <w:r>
        <w:rPr/>
      </w:r>
      <m:oMath xmlns:m="http://schemas.openxmlformats.org/officeDocument/2006/math">
        <m:sSub>
          <m:e>
            <m:r>
              <m:rPr>
                <m:lit/>
                <m:nor/>
              </m:rPr>
              <w:rPr>
                <w:rFonts w:ascii="Cambria Math" w:hAnsi="Cambria Math"/>
              </w:rPr>
              <m:t xml:space="preserve">EIRPstd</m:t>
            </m:r>
          </m:e>
          <m:sub>
            <m:r>
              <w:rPr>
                <w:rFonts w:ascii="Cambria Math" w:hAnsi="Cambria Math"/>
              </w:rPr>
              <m:t xml:space="preserve">i</m:t>
            </m:r>
          </m:sub>
        </m:sSub>
      </m:oMath>
      <w:r>
        <w:rPr/>
        <w:t xml:space="preserve"> is power measurement done with standard setting. </w:t>
      </w:r>
      <w:r>
        <w:rPr/>
      </w:r>
      <m:oMath xmlns:m="http://schemas.openxmlformats.org/officeDocument/2006/math">
        <m:sSub>
          <m:e>
            <m:r>
              <m:rPr>
                <m:lit/>
                <m:nor/>
              </m:rPr>
              <w:rPr>
                <w:rFonts w:ascii="Cambria Math" w:hAnsi="Cambria Math"/>
              </w:rPr>
              <m:t xml:space="preserve">EIRPnstd</m:t>
            </m:r>
          </m:e>
          <m:sub>
            <m:r>
              <w:rPr>
                <w:rFonts w:ascii="Cambria Math" w:hAnsi="Cambria Math"/>
              </w:rPr>
              <m:t xml:space="preserve">i</m:t>
            </m:r>
          </m:sub>
        </m:sSub>
      </m:oMath>
      <w:r>
        <w:rPr/>
        <w:t xml:space="preserve"> is power measurement done with non standard modulation. </w:t>
      </w:r>
      <w:r>
        <w:rPr/>
      </w:r>
      <m:oMath xmlns:m="http://schemas.openxmlformats.org/officeDocument/2006/math">
        <m:r>
          <w:rPr>
            <w:rFonts w:ascii="Cambria Math" w:hAnsi="Cambria Math"/>
          </w:rPr>
          <m:t xml:space="preserve">n</m:t>
        </m:r>
      </m:oMath>
      <w:r>
        <w:rPr/>
        <w:t xml:space="preserve"> is amount of reference measurement points.</w:t>
      </w:r>
    </w:p>
    <w:p>
      <w:pPr>
        <w:pStyle w:val="Normal"/>
        <w:rPr/>
      </w:pPr>
      <w:r>
        <w:rPr/>
        <w:t>To ensure accuracy of TRP, the amount of reference points measured should be at least 4. It is recommended to spread the reference measurements equally during the measurement time.</w:t>
      </w:r>
    </w:p>
    <w:p>
      <w:pPr>
        <w:pStyle w:val="Heading4"/>
        <w:ind w:left="1418" w:hanging="1418"/>
        <w:rPr/>
      </w:pPr>
      <w:bookmarkStart w:id="55" w:name="__RefHeading___Toc68600991"/>
      <w:bookmarkEnd w:id="55"/>
      <w:r>
        <w:rPr>
          <w:rFonts w:eastAsia="PMingLiU;新細明體"/>
          <w:lang w:eastAsia="zh-TW"/>
        </w:rPr>
        <w:t>6.1</w:t>
      </w:r>
      <w:r>
        <w:rPr/>
        <w:t>.1.4.3</w:t>
        <w:tab/>
        <w:t>Procedure, reverberation chamber method</w:t>
      </w:r>
    </w:p>
    <w:p>
      <w:pPr>
        <w:pStyle w:val="B1"/>
        <w:rPr/>
      </w:pPr>
      <w:r>
        <w:rPr/>
        <w:t>1)</w:t>
        <w:tab/>
        <w:t>Send continuously Up power control commands to the UE.</w:t>
      </w:r>
    </w:p>
    <w:p>
      <w:pPr>
        <w:pStyle w:val="B1"/>
        <w:rPr/>
      </w:pPr>
      <w:r>
        <w:rPr/>
        <w:t>2)</w:t>
        <w:tab/>
        <w:t>As the UE reaches maximum power, start sending PN15 data pattern.</w:t>
      </w:r>
    </w:p>
    <w:p>
      <w:pPr>
        <w:pStyle w:val="B1"/>
        <w:rPr/>
      </w:pPr>
      <w:r>
        <w:rPr/>
        <w:t>3)</w:t>
        <w:tab/>
        <w:t>Position the UE against the SAM phantom</w:t>
      </w:r>
    </w:p>
    <w:p>
      <w:pPr>
        <w:pStyle w:val="B1"/>
        <w:rPr/>
      </w:pPr>
      <w:r>
        <w:rPr/>
        <w:t>4)</w:t>
        <w:tab/>
        <w:t xml:space="preserve">Measure a sufficient number of independent samples (see </w:t>
      </w:r>
      <w:r>
        <w:rPr>
          <w:lang w:eastAsia="zh-TW"/>
        </w:rPr>
        <w:t>Subclause 4.5</w:t>
      </w:r>
      <w:r>
        <w:rPr/>
        <w:t xml:space="preserve">) of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oMath>
      <w:r>
        <w:rPr/>
        <w:t xml:space="preserve"> using a test system having characteristics as described in Annex A.</w:t>
      </w:r>
    </w:p>
    <w:p>
      <w:pPr>
        <w:pStyle w:val="B1"/>
        <w:rPr/>
      </w:pPr>
      <w:r>
        <w:rPr/>
        <w:t>5)</w:t>
        <w:tab/>
        <w:t xml:space="preserve">Calculate TRP using equations from </w:t>
      </w:r>
      <w:r>
        <w:rPr>
          <w:lang w:eastAsia="zh-TW"/>
        </w:rPr>
        <w:t>Subclause 6.1.1.1</w:t>
      </w:r>
      <w:r>
        <w:rPr/>
        <w:t>.</w:t>
      </w:r>
    </w:p>
    <w:p>
      <w:pPr>
        <w:pStyle w:val="NO"/>
        <w:rPr/>
      </w:pPr>
      <w:r>
        <w:rPr/>
        <w:t>NOTE 1:</w:t>
        <w:tab/>
        <w:t xml:space="preserve">The measurement procedure is based on the measurement of the total power radiated from the UE to a full 3 dimensional isotropic environment with uniform elevation and azimuth field distribution. The power transmitted by the DUT is undergoing Rayleigh fading and is sampled by the fixed measurement antennas. Moreover, it is important that the samples collected are independent, in order to get sufficient accuracy of the estimated TRP value. </w:t>
      </w:r>
    </w:p>
    <w:p>
      <w:pPr>
        <w:pStyle w:val="NO"/>
        <w:rPr/>
      </w:pPr>
      <w:r>
        <w:rPr/>
        <w:t>NOTE 2:</w:t>
        <w:tab/>
        <w:t>The noise floor of the measurement receiver shall not disturb the power measurement.</w:t>
      </w:r>
    </w:p>
    <w:p>
      <w:pPr>
        <w:pStyle w:val="Heading4"/>
        <w:numPr>
          <w:ilvl w:val="2"/>
          <w:numId w:val="5"/>
        </w:numPr>
        <w:tabs>
          <w:tab w:val="clear" w:pos="284"/>
        </w:tabs>
        <w:ind w:left="1418" w:hanging="1418"/>
        <w:rPr/>
      </w:pPr>
      <w:bookmarkStart w:id="56" w:name="__RefHeading___Toc68600992"/>
      <w:bookmarkEnd w:id="56"/>
      <w:r>
        <w:rPr>
          <w:rFonts w:eastAsia="PMingLiU;新細明體"/>
          <w:lang w:eastAsia="zh-TW"/>
        </w:rPr>
        <w:t>6.1.1.5</w:t>
        <w:tab/>
        <w:t>Test requirements</w:t>
      </w:r>
    </w:p>
    <w:p>
      <w:pPr>
        <w:pStyle w:val="Normal"/>
        <w:jc w:val="both"/>
        <w:rPr/>
      </w:pPr>
      <w:r>
        <w:rPr/>
        <w:t xml:space="preserve">The average TRP of low, mid and high channel in beside head position shall be higher than test performance requirements for roaming bands shown in Table </w:t>
      </w:r>
      <w:r>
        <w:rPr>
          <w:lang w:eastAsia="zh-TW"/>
        </w:rPr>
        <w:t>6.1.1.5-1</w:t>
      </w:r>
      <w:r>
        <w:rPr/>
        <w:t>. The averaging shall be done in linear scale for the TRP results of both right and left side of the phantom head.</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num>
                <m:den>
                  <m:r>
                    <w:rPr>
                      <w:rFonts w:ascii="Cambria Math" w:hAnsi="Cambria Math"/>
                    </w:rPr>
                    <m:t xml:space="preserve">6</m:t>
                  </m:r>
                </m:den>
              </m:f>
            </m:e>
          </m:d>
        </m:oMath>
      </m:oMathPara>
    </w:p>
    <w:p>
      <w:pPr>
        <w:pStyle w:val="Normal"/>
        <w:rPr/>
      </w:pPr>
      <w:r>
        <w:rPr/>
        <w:t>In addition the minimum TRP of each measured channel in beside head position shall be higher than minimum performance requirements shown in the columns “Min”.</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min</m:t>
          </m:r>
          <m:d>
            <m:dPr>
              <m:begChr m:val="["/>
              <m:endChr m:val="]"/>
            </m:dPr>
            <m:e>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e>
          </m:d>
        </m:oMath>
      </m:oMathPara>
    </w:p>
    <w:p>
      <w:pPr>
        <w:pStyle w:val="TH"/>
        <w:rPr/>
      </w:pPr>
      <w:r>
        <w:rPr/>
        <w:t xml:space="preserve">Table </w:t>
      </w:r>
      <w:r>
        <w:rPr>
          <w:lang w:eastAsia="zh-TW"/>
        </w:rPr>
        <w:t>6.1</w:t>
      </w:r>
      <w:r>
        <w:rPr/>
        <w:t>.1.</w:t>
      </w:r>
      <w:r>
        <w:rPr>
          <w:lang w:eastAsia="zh-TW"/>
        </w:rPr>
        <w:t>5-1:</w:t>
      </w:r>
      <w:r>
        <w:rPr/>
        <w:t xml:space="preserve"> TRP test requirement for FDD roaming bands in the speech position and the primary mechanical mode</w:t>
      </w:r>
    </w:p>
    <w:tbl>
      <w:tblPr>
        <w:tblW w:w="9606" w:type="dxa"/>
        <w:jc w:val="left"/>
        <w:tblInd w:w="-113" w:type="dxa"/>
        <w:tblLayout w:type="fixed"/>
        <w:tblCellMar>
          <w:top w:w="0" w:type="dxa"/>
          <w:left w:w="108" w:type="dxa"/>
          <w:bottom w:w="0" w:type="dxa"/>
          <w:right w:w="108" w:type="dxa"/>
        </w:tblCellMar>
      </w:tblPr>
      <w:tblGrid>
        <w:gridCol w:w="1101"/>
        <w:gridCol w:w="1134"/>
        <w:gridCol w:w="1134"/>
        <w:gridCol w:w="1134"/>
        <w:gridCol w:w="1134"/>
        <w:gridCol w:w="993"/>
        <w:gridCol w:w="992"/>
        <w:gridCol w:w="992"/>
        <w:gridCol w:w="992"/>
      </w:tblGrid>
      <w:tr>
        <w:trPr/>
        <w:tc>
          <w:tcPr>
            <w:tcW w:w="1101" w:type="dxa"/>
            <w:vMerge w:val="restart"/>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Operating band</w:t>
            </w:r>
          </w:p>
        </w:tc>
        <w:tc>
          <w:tcPr>
            <w:tcW w:w="1134"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Class 1</w:t>
            </w:r>
          </w:p>
        </w:tc>
        <w:tc>
          <w:tcPr>
            <w:tcW w:w="1134" w:type="dxa"/>
            <w:tcBorders>
              <w:top w:val="single" w:sz="4" w:space="0" w:color="000000"/>
              <w:left w:val="single" w:sz="4" w:space="0" w:color="000000"/>
              <w:bottom w:val="single" w:sz="4" w:space="0" w:color="000000"/>
              <w:right w:val="single" w:sz="4" w:space="0" w:color="000000"/>
            </w:tcBorders>
          </w:tcPr>
          <w:p>
            <w:pPr>
              <w:pStyle w:val="Tah1"/>
              <w:rPr/>
            </w:pPr>
            <w:r>
              <w:rPr>
                <w:lang w:val="en-GB"/>
              </w:rPr>
              <w:t>Power Class 2</w:t>
            </w:r>
          </w:p>
        </w:tc>
        <w:tc>
          <w:tcPr>
            <w:tcW w:w="2268" w:type="dxa"/>
            <w:gridSpan w:val="2"/>
            <w:tcBorders>
              <w:top w:val="single" w:sz="4" w:space="0" w:color="000000"/>
              <w:left w:val="single" w:sz="4" w:space="0" w:color="000000"/>
              <w:bottom w:val="single" w:sz="4" w:space="0" w:color="000000"/>
              <w:right w:val="single" w:sz="4" w:space="0" w:color="000000"/>
            </w:tcBorders>
          </w:tcPr>
          <w:p>
            <w:pPr>
              <w:pStyle w:val="Tah1"/>
              <w:rPr/>
            </w:pPr>
            <w:r>
              <w:rPr>
                <w:lang w:val="en-GB"/>
              </w:rPr>
              <w:t>Power Class 3</w:t>
            </w:r>
          </w:p>
        </w:tc>
        <w:tc>
          <w:tcPr>
            <w:tcW w:w="1985"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Class 3bis</w:t>
            </w:r>
          </w:p>
        </w:tc>
        <w:tc>
          <w:tcPr>
            <w:tcW w:w="1984"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Class 4</w:t>
            </w:r>
          </w:p>
        </w:tc>
      </w:tr>
      <w:tr>
        <w:trPr/>
        <w:tc>
          <w:tcPr>
            <w:tcW w:w="1101" w:type="dxa"/>
            <w:vMerge w:val="continue"/>
            <w:tcBorders>
              <w:top w:val="single" w:sz="4" w:space="0" w:color="000000"/>
              <w:left w:val="single" w:sz="4" w:space="0" w:color="000000"/>
              <w:bottom w:val="single" w:sz="4" w:space="0" w:color="000000"/>
              <w:right w:val="single" w:sz="4" w:space="0" w:color="000000"/>
            </w:tcBorders>
          </w:tcPr>
          <w:p>
            <w:pPr>
              <w:pStyle w:val="Fp1"/>
              <w:snapToGrid w:val="false"/>
              <w:rPr>
                <w:rFonts w:ascii="Arial" w:hAnsi="Arial" w:cs="Arial"/>
                <w:b/>
                <w:b/>
                <w:bCs/>
                <w:sz w:val="18"/>
                <w:lang w:val="en-GB"/>
              </w:rPr>
            </w:pPr>
            <w:r>
              <w:rPr>
                <w:rFonts w:cs="Arial" w:ascii="Arial" w:hAnsi="Arial"/>
                <w:b/>
                <w:bCs/>
                <w:sz w:val="18"/>
                <w:lang w:val="en-GB"/>
              </w:rPr>
            </w:r>
          </w:p>
        </w:tc>
        <w:tc>
          <w:tcPr>
            <w:tcW w:w="1134"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(dBm)</w:t>
            </w:r>
          </w:p>
        </w:tc>
        <w:tc>
          <w:tcPr>
            <w:tcW w:w="1134"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(dBm)</w:t>
            </w:r>
          </w:p>
        </w:tc>
        <w:tc>
          <w:tcPr>
            <w:tcW w:w="2268"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(dBm)</w:t>
            </w:r>
          </w:p>
        </w:tc>
        <w:tc>
          <w:tcPr>
            <w:tcW w:w="1985"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(dBm)</w:t>
            </w:r>
          </w:p>
        </w:tc>
        <w:tc>
          <w:tcPr>
            <w:tcW w:w="1984"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(dBm)</w:t>
            </w:r>
          </w:p>
        </w:tc>
      </w:tr>
      <w:tr>
        <w:trPr/>
        <w:tc>
          <w:tcPr>
            <w:tcW w:w="1101" w:type="dxa"/>
            <w:vMerge w:val="continue"/>
            <w:tcBorders>
              <w:top w:val="single" w:sz="4" w:space="0" w:color="000000"/>
              <w:left w:val="single" w:sz="4" w:space="0" w:color="000000"/>
              <w:bottom w:val="single" w:sz="4" w:space="0" w:color="000000"/>
              <w:right w:val="single" w:sz="4" w:space="0" w:color="000000"/>
            </w:tcBorders>
          </w:tcPr>
          <w:p>
            <w:pPr>
              <w:pStyle w:val="Fp1"/>
              <w:snapToGrid w:val="false"/>
              <w:rPr>
                <w:rFonts w:ascii="Arial" w:hAnsi="Arial" w:cs="Arial"/>
                <w:b/>
                <w:b/>
                <w:bCs/>
                <w:sz w:val="18"/>
                <w:lang w:val="en-GB"/>
              </w:rPr>
            </w:pPr>
            <w:r>
              <w:rPr>
                <w:rFonts w:cs="Arial" w:ascii="Arial" w:hAnsi="Arial"/>
                <w:b/>
                <w:bCs/>
                <w:sz w:val="18"/>
                <w:lang w:val="en-GB"/>
              </w:rPr>
            </w:r>
          </w:p>
        </w:tc>
        <w:tc>
          <w:tcPr>
            <w:tcW w:w="1134" w:type="dxa"/>
            <w:tcBorders>
              <w:top w:val="single" w:sz="4" w:space="0" w:color="000000"/>
              <w:left w:val="single" w:sz="4" w:space="0" w:color="000000"/>
              <w:bottom w:val="single" w:sz="4" w:space="0" w:color="000000"/>
              <w:right w:val="single" w:sz="4" w:space="0" w:color="000000"/>
            </w:tcBorders>
          </w:tcPr>
          <w:p>
            <w:pPr>
              <w:pStyle w:val="Tah1"/>
              <w:snapToGrid w:val="false"/>
              <w:rPr>
                <w:rFonts w:ascii="Arial" w:hAnsi="Arial" w:cs="Arial"/>
                <w:b/>
                <w:b/>
                <w:bCs/>
                <w:sz w:val="18"/>
                <w:lang w:val="en-GB"/>
              </w:rPr>
            </w:pPr>
            <w:r>
              <w:rPr>
                <w:rFonts w:cs="Arial"/>
                <w:b/>
                <w:bCs/>
                <w:sz w:val="18"/>
                <w:lang w:val="en-GB"/>
              </w:rPr>
            </w:r>
          </w:p>
        </w:tc>
        <w:tc>
          <w:tcPr>
            <w:tcW w:w="1134" w:type="dxa"/>
            <w:tcBorders>
              <w:top w:val="single" w:sz="4" w:space="0" w:color="000000"/>
              <w:left w:val="single" w:sz="4" w:space="0" w:color="000000"/>
              <w:bottom w:val="single" w:sz="4" w:space="0" w:color="000000"/>
              <w:right w:val="single" w:sz="4" w:space="0" w:color="000000"/>
            </w:tcBorders>
          </w:tcPr>
          <w:p>
            <w:pPr>
              <w:pStyle w:val="Tah1"/>
              <w:snapToGrid w:val="false"/>
              <w:rPr>
                <w:lang w:val="en-GB"/>
              </w:rPr>
            </w:pPr>
            <w:r>
              <w:rPr>
                <w:lang w:val="en-GB"/>
              </w:rPr>
            </w:r>
          </w:p>
        </w:tc>
        <w:tc>
          <w:tcPr>
            <w:tcW w:w="1134"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Average</w:t>
            </w:r>
          </w:p>
        </w:tc>
        <w:tc>
          <w:tcPr>
            <w:tcW w:w="1134"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Min</w:t>
            </w:r>
          </w:p>
        </w:tc>
        <w:tc>
          <w:tcPr>
            <w:tcW w:w="993"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Average</w:t>
            </w:r>
          </w:p>
        </w:tc>
        <w:tc>
          <w:tcPr>
            <w:tcW w:w="992"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Min</w:t>
            </w:r>
          </w:p>
        </w:tc>
        <w:tc>
          <w:tcPr>
            <w:tcW w:w="992"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Average</w:t>
            </w:r>
          </w:p>
        </w:tc>
        <w:tc>
          <w:tcPr>
            <w:tcW w:w="992"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Min</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+14.3</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+12.0</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+14.3</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+12.0</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+12.3</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+14.3</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+12.0</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+14.3</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+12.0</w:t>
            </w:r>
          </w:p>
        </w:tc>
        <w:tc>
          <w:tcPr>
            <w:tcW w:w="992" w:type="dxa"/>
            <w:tcBorders>
              <w:top w:val="single" w:sz="4" w:space="0" w:color="000000"/>
              <w:left w:val="single" w:sz="4" w:space="0" w:color="000000"/>
              <w:bottom w:val="single" w:sz="4" w:space="0" w:color="000000"/>
              <w:right w:val="single" w:sz="4" w:space="0" w:color="000000"/>
            </w:tcBorders>
          </w:tcPr>
          <w:p>
            <w:pPr>
              <w:pStyle w:val="TAC"/>
              <w:rPr>
                <w:sz w:val="20"/>
                <w:lang w:eastAsia="en-US"/>
              </w:rPr>
            </w:pPr>
            <w:r>
              <w:rPr>
                <w:lang w:eastAsia="en-US"/>
              </w:rPr>
              <w:t>+12.3</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+14.3</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+12.0</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+14.3</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+12.0</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+12.3</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IV</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+14.3</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+12.0</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+14.3</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+12.0</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+12.3</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+10.3</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+8.0</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+10.3</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+8.0</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+8.3</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+6</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+10.3</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+8.0</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+10.3</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+8.0</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+8.3</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+6</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+14.3</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+12.0</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+14.3</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+12.0</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+12.3</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+11.3</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+9.0</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+11.3</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+9.0</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+9.3</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+7</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IX</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+14.3</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+12.0</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+14.3</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+12.0</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+12.3</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+10.0</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XIX</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+11.5+TT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+9.0+TT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 xml:space="preserve">+11.5+TT </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 xml:space="preserve">+9.0+TT </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+9.5+TT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+7.5+TT</w:t>
            </w:r>
          </w:p>
        </w:tc>
      </w:tr>
      <w:tr>
        <w:trPr/>
        <w:tc>
          <w:tcPr>
            <w:tcW w:w="9606" w:type="dxa"/>
            <w:gridSpan w:val="9"/>
            <w:tcBorders>
              <w:top w:val="single" w:sz="4" w:space="0" w:color="000000"/>
              <w:left w:val="single" w:sz="4" w:space="0" w:color="000000"/>
              <w:bottom w:val="single" w:sz="4" w:space="0" w:color="000000"/>
              <w:right w:val="single" w:sz="4" w:space="0" w:color="000000"/>
            </w:tcBorders>
          </w:tcPr>
          <w:p>
            <w:pPr>
              <w:pStyle w:val="TAN"/>
              <w:rPr>
                <w:bCs/>
                <w:lang w:eastAsia="en-US"/>
              </w:rPr>
            </w:pPr>
            <w:r>
              <w:rPr>
                <w:lang w:eastAsia="en-US"/>
              </w:rPr>
              <w:t>NOTE:</w:t>
              <w:tab/>
              <w:t>Applicable for dual-mode GSM/UMTS.</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Heading3"/>
        <w:rPr/>
      </w:pPr>
      <w:bookmarkStart w:id="57" w:name="__RefHeading___Toc68600993"/>
      <w:r>
        <w:rPr/>
        <w:t>6.1.2</w:t>
        <w:tab/>
        <w:t>Total Radiated Power (TRP) for UTRA LCR TDD in Speech Mode with beside the Head Phantom</w:t>
      </w:r>
      <w:bookmarkEnd w:id="57"/>
      <w:r>
        <w:rPr/>
        <w:t xml:space="preserve"> </w:t>
      </w:r>
    </w:p>
    <w:p>
      <w:pPr>
        <w:pStyle w:val="EditorsNote"/>
        <w:rPr/>
      </w:pPr>
      <w:r>
        <w:rPr/>
        <w:t>Editor’s note: This test case is incomplete. The following aspects are either missing or not yet determined:</w:t>
      </w:r>
    </w:p>
    <w:p>
      <w:pPr>
        <w:pStyle w:val="EditorsNote"/>
        <w:rPr/>
      </w:pPr>
      <w:r>
        <w:rPr>
          <w:i/>
        </w:rPr>
        <w:t>- The TRP Minimum Performance Requirement for operating bands b, c, d of this test is undefined</w:t>
      </w:r>
    </w:p>
    <w:p>
      <w:pPr>
        <w:pStyle w:val="EditorsNote"/>
        <w:rPr/>
      </w:pPr>
      <w:r>
        <w:rPr>
          <w:i/>
        </w:rPr>
        <w:t>- The Test Requirements and related Test Tolerances applicable for operating bands b, c, d of this test are undefined</w:t>
      </w:r>
    </w:p>
    <w:p>
      <w:pPr>
        <w:pStyle w:val="Heading4"/>
        <w:numPr>
          <w:ilvl w:val="2"/>
          <w:numId w:val="34"/>
        </w:numPr>
        <w:ind w:left="1418" w:hanging="1418"/>
        <w:rPr>
          <w:rFonts w:eastAsia="PMingLiU;新細明體"/>
          <w:lang w:eastAsia="zh-TW"/>
        </w:rPr>
      </w:pPr>
      <w:bookmarkStart w:id="58" w:name="__RefHeading___Toc68600994"/>
      <w:bookmarkEnd w:id="58"/>
      <w:r>
        <w:rPr>
          <w:rFonts w:eastAsia="PMingLiU;新細明體"/>
          <w:lang w:eastAsia="zh-TW"/>
        </w:rPr>
        <w:t>6.1.2.1</w:t>
        <w:tab/>
        <w:t>Definition and applicability</w:t>
      </w:r>
    </w:p>
    <w:p>
      <w:pPr>
        <w:pStyle w:val="Normal"/>
        <w:widowControl w:val="false"/>
        <w:numPr>
          <w:ilvl w:val="0"/>
          <w:numId w:val="5"/>
        </w:numPr>
        <w:suppressAutoHyphens w:val="true"/>
        <w:spacing w:before="0" w:after="0"/>
        <w:rPr/>
      </w:pPr>
      <w:r>
        <w:rPr>
          <w:lang w:eastAsia="zh-CN"/>
        </w:rPr>
        <w:t>The Total Radiated Power (TRP) is a measure of how much power the DUT actually radiates. The TRP is defined as the integral of the power transmitted in different directions over the entire radiation sphere:</w:t>
      </w:r>
    </w:p>
    <w:p>
      <w:pPr>
        <w:pStyle w:val="EQ"/>
        <w:numPr>
          <w:ilvl w:val="0"/>
          <w:numId w:val="5"/>
        </w:numPr>
        <w:suppressAutoHyphens w:val="true"/>
        <w:rPr>
          <w:lang w:val="en-GB" w:eastAsia="zh-CN"/>
        </w:rPr>
      </w:pPr>
      <w:r>
        <w:rPr>
          <w:lang w:val="en-GB" w:eastAsia="en-GB"/>
        </w:rPr>
      </w:r>
      <m:oMathPara xmlns:m="http://schemas.openxmlformats.org/officeDocument/2006/math">
        <m:oMathParaPr>
          <m:jc m:val="left"/>
        </m:oMathParaPr>
        <m:oMath>
          <m:r>
            <m:rPr>
              <m:lit/>
              <m:nor/>
            </m:rPr>
            <w:rPr>
              <w:rFonts w:ascii="Cambria Math" w:hAnsi="Cambria Math"/>
            </w:rPr>
            <m:t xml:space="preserve">TRP</m:t>
          </m:r>
          <m:r>
            <w:rPr>
              <w:rFonts w:ascii="Cambria Math" w:hAnsi="Cambria Math"/>
            </w:rPr>
            <m:t xml:space="preserve">=</m:t>
          </m:r>
          <m:f>
            <m:num>
              <m:r>
                <w:rPr>
                  <w:rFonts w:ascii="Cambria Math" w:hAnsi="Cambria Math"/>
                </w:rPr>
                <m:t xml:space="preserve">1</m:t>
              </m:r>
            </m:num>
            <m:den>
              <m:r>
                <w:rPr>
                  <w:rFonts w:ascii="Cambria Math" w:hAnsi="Cambria Math"/>
                </w:rPr>
                <m:t xml:space="preserve">4</m:t>
              </m:r>
              <m:r>
                <w:rPr>
                  <w:rFonts w:ascii="Cambria Math" w:hAnsi="Cambria Math"/>
                </w:rPr>
                <m:t xml:space="preserve">π</m:t>
              </m:r>
            </m:den>
          </m:f>
          <m:nary>
            <m:naryPr>
              <m:chr m:val="∮"/>
              <m:subHide m:val="1"/>
              <m:supHide m:val="1"/>
            </m:naryPr>
            <m:sub/>
            <m:sup/>
            <m:e>
              <m:d>
                <m:dPr>
                  <m:begChr m:val="("/>
                  <m:endChr m:val=")"/>
                </m:dPr>
                <m:e>
                  <m:sSub>
                    <m:e>
                      <m:r>
                        <m:rPr>
                          <m:lit/>
                          <m:nor/>
                        </m:rPr>
                        <w:rPr>
                          <w:rFonts w:ascii="Cambria Math" w:hAnsi="Cambria Math"/>
                        </w:rPr>
                        <m:t xml:space="preserve">EIRP</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EIRP</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e>
              </m:d>
            </m:e>
          </m:nary>
          <m:r>
            <w:rPr>
              <w:rFonts w:ascii="Cambria Math" w:hAnsi="Cambria Math"/>
            </w:rPr>
            <m:t xml:space="preserve">d</m:t>
          </m:r>
          <m:r>
            <w:rPr>
              <w:rFonts w:ascii="Cambria Math" w:hAnsi="Cambria Math"/>
            </w:rPr>
            <m:t xml:space="preserve">Ω</m:t>
          </m:r>
        </m:oMath>
      </m:oMathPara>
    </w:p>
    <w:p>
      <w:pPr>
        <w:pStyle w:val="Normal"/>
        <w:numPr>
          <w:ilvl w:val="0"/>
          <w:numId w:val="5"/>
        </w:numPr>
        <w:suppressAutoHyphens w:val="true"/>
        <w:rPr/>
      </w:pPr>
      <w:r>
        <w:rPr>
          <w:lang w:eastAsia="zh-CN"/>
        </w:rPr>
        <w:t xml:space="preserve">Where </w:t>
      </w:r>
      <w:r>
        <w:rPr>
          <w:rFonts w:cs="SimSun;宋体" w:ascii="SimSun;宋体" w:hAnsi="SimSun;宋体"/>
          <w:lang w:eastAsia="zh-CN"/>
        </w:rPr>
        <w:t>Ω</w:t>
      </w:r>
      <w:r>
        <w:rPr>
          <w:rFonts w:cs="Symbol" w:ascii="Symbol" w:hAnsi="Symbol"/>
          <w:lang w:eastAsia="zh-CN"/>
        </w:rPr>
        <w:t></w:t>
      </w:r>
      <w:r>
        <w:rPr>
          <w:lang w:eastAsia="zh-CN"/>
        </w:rPr>
        <w:t xml:space="preserve">is the solid angle describing the direction, </w:t>
      </w:r>
      <w:r>
        <w:rPr>
          <w:i/>
          <w:iCs/>
          <w:sz w:val="24"/>
          <w:szCs w:val="24"/>
          <w:lang w:eastAsia="zh-CN"/>
        </w:rPr>
        <w:t xml:space="preserve">f </w:t>
      </w:r>
      <w:r>
        <w:rPr>
          <w:lang w:eastAsia="zh-CN"/>
        </w:rPr>
        <w:t>is frequency.</w:t>
      </w:r>
      <w:r>
        <w:rPr/>
        <w:t xml:space="preserve"> </w:t>
      </w:r>
      <w:r>
        <w:rPr/>
      </w:r>
      <m:oMath xmlns:m="http://schemas.openxmlformats.org/officeDocument/2006/math">
        <m:r>
          <w:rPr>
            <w:rFonts w:ascii="Cambria Math" w:hAnsi="Cambria Math"/>
          </w:rPr>
          <m:t xml:space="preserve">θ</m:t>
        </m:r>
      </m:oMath>
      <w:r>
        <w:rPr>
          <w:lang w:eastAsia="zh-CN"/>
        </w:rPr>
        <w:t>and</w:t>
      </w:r>
      <w:r>
        <w:rPr/>
      </w:r>
      <m:oMath xmlns:m="http://schemas.openxmlformats.org/officeDocument/2006/math">
        <m:r>
          <w:rPr>
            <w:rFonts w:ascii="Cambria Math" w:hAnsi="Cambria Math"/>
          </w:rPr>
          <m:t xml:space="preserve">ϕ</m:t>
        </m:r>
      </m:oMath>
      <w:r>
        <w:rPr>
          <w:rFonts w:cs="Symbol" w:ascii="Symbol" w:hAnsi="Symbol"/>
          <w:sz w:val="21"/>
          <w:szCs w:val="21"/>
          <w:lang w:eastAsia="zh-CN"/>
        </w:rPr>
        <w:t></w:t>
      </w:r>
      <w:r>
        <w:rPr>
          <w:lang w:eastAsia="zh-CN"/>
        </w:rPr>
        <w:t>are the orthogonal polarizations.</w:t>
      </w:r>
    </w:p>
    <w:p>
      <w:pPr>
        <w:pStyle w:val="Normal"/>
        <w:numPr>
          <w:ilvl w:val="0"/>
          <w:numId w:val="5"/>
        </w:numPr>
        <w:suppressAutoHyphens w:val="true"/>
        <w:rPr/>
      </w:pP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θ</m:t>
            </m:r>
          </m:sub>
        </m:sSub>
      </m:oMath>
      <w:r>
        <w:rPr>
          <w:lang w:eastAsia="zh-CN"/>
        </w:rPr>
        <w:t xml:space="preserve">and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ϕ</m:t>
            </m:r>
          </m:sub>
        </m:sSub>
      </m:oMath>
      <w:r>
        <w:rPr>
          <w:lang w:eastAsia="zh-CN"/>
        </w:rPr>
        <w:t>are the actually transmitted power-levels in corresponding polarizations.</w:t>
      </w:r>
    </w:p>
    <w:p>
      <w:pPr>
        <w:pStyle w:val="Normal"/>
        <w:numPr>
          <w:ilvl w:val="0"/>
          <w:numId w:val="5"/>
        </w:numPr>
        <w:suppressAutoHyphens w:val="true"/>
        <w:rPr>
          <w:lang w:eastAsia="zh-CN"/>
        </w:rPr>
      </w:pPr>
      <w:r>
        <w:rPr>
          <w:lang w:eastAsia="zh-CN"/>
        </w:rPr>
        <w:t>Thus,</w:t>
      </w:r>
    </w:p>
    <w:p>
      <w:pPr>
        <w:pStyle w:val="EQ"/>
        <w:numPr>
          <w:ilvl w:val="0"/>
          <w:numId w:val="5"/>
        </w:numPr>
        <w:suppressAutoHyphens w:val="true"/>
        <w:rPr>
          <w:lang w:val="en-GB" w:eastAsia="zh-CN"/>
        </w:rPr>
      </w:pPr>
      <w:r>
        <w:rPr>
          <w:lang w:val="en-GB" w:eastAsia="en-GB"/>
        </w:rPr>
      </w:r>
      <m:oMathPara xmlns:m="http://schemas.openxmlformats.org/officeDocument/2006/math">
        <m:oMathParaPr>
          <m:jc m:val="left"/>
        </m:oMathParaPr>
        <m:oMath>
          <m:r>
            <m:rPr>
              <m:lit/>
              <m:nor/>
            </m:rPr>
            <w:rPr>
              <w:rFonts w:ascii="Cambria Math" w:hAnsi="Cambria Math"/>
            </w:rPr>
            <m:t xml:space="preserve">TRP</m:t>
          </m:r>
          <m:r>
            <w:rPr>
              <w:rFonts w:ascii="Cambria Math" w:hAnsi="Cambria Math"/>
            </w:rPr>
            <m:t xml:space="preserve">≈</m:t>
          </m:r>
          <m:f>
            <m:num>
              <m:r>
                <w:rPr>
                  <w:rFonts w:ascii="Cambria Math" w:hAnsi="Cambria Math"/>
                </w:rPr>
                <m:t xml:space="preserve">π</m:t>
              </m:r>
            </m:num>
            <m:den>
              <m:r>
                <w:rPr>
                  <w:rFonts w:ascii="Cambria Math" w:hAnsi="Cambria Math"/>
                </w:rPr>
                <m:t xml:space="preserve">2</m:t>
              </m:r>
              <m:r>
                <m:rPr>
                  <m:lit/>
                  <m:nor/>
                </m:rPr>
                <w:rPr>
                  <w:rFonts w:ascii="Cambria Math" w:hAnsi="Cambria Math"/>
                </w:rPr>
                <m:t xml:space="preserve">NM</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m:rPr>
                              <m:lit/>
                              <m:nor/>
                            </m:rPr>
                            <w:rPr>
                              <w:rFonts w:ascii="Cambria Math" w:hAnsi="Cambria Math"/>
                            </w:rPr>
                            <m:t xml:space="preserve">EIRP</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EIRP</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numPr>
          <w:ilvl w:val="0"/>
          <w:numId w:val="5"/>
        </w:numPr>
        <w:suppressAutoHyphens w:val="true"/>
        <w:rPr/>
      </w:pPr>
      <w:r>
        <w:rPr>
          <w:lang w:eastAsia="zh-CN"/>
        </w:rPr>
        <w:t xml:space="preserve">In these formulas </w:t>
      </w:r>
      <w:r>
        <w:rPr>
          <w:i/>
          <w:iCs/>
          <w:sz w:val="24"/>
          <w:szCs w:val="24"/>
          <w:lang w:eastAsia="zh-CN"/>
        </w:rPr>
        <w:t xml:space="preserve">N </w:t>
      </w:r>
      <w:r>
        <w:rPr>
          <w:lang w:eastAsia="zh-CN"/>
        </w:rPr>
        <w:t xml:space="preserve">and </w:t>
      </w:r>
      <w:r>
        <w:rPr>
          <w:i/>
          <w:iCs/>
          <w:sz w:val="24"/>
          <w:szCs w:val="24"/>
          <w:lang w:eastAsia="zh-CN"/>
        </w:rPr>
        <w:t xml:space="preserve">M </w:t>
      </w:r>
      <w:r>
        <w:rPr>
          <w:lang w:eastAsia="zh-CN"/>
        </w:rPr>
        <w:t>are the number of sampling intervals for theta and phi.</w:t>
      </w:r>
      <w:r>
        <w:rPr>
          <w:rFonts w:cs="SimSun;宋体" w:ascii="SimSun;宋体" w:hAnsi="SimSun;宋体"/>
          <w:lang w:eastAsia="zh-CN"/>
        </w:rPr>
        <w:t xml:space="preserve">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oMath>
      <w:r>
        <w:rPr>
          <w:lang w:eastAsia="zh-CN"/>
        </w:rPr>
        <w:t>and</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oMath>
      <w:r>
        <w:rPr>
          <w:i/>
          <w:iCs/>
          <w:sz w:val="14"/>
          <w:szCs w:val="14"/>
          <w:lang w:eastAsia="zh-CN"/>
        </w:rPr>
        <w:t xml:space="preserve"> </w:t>
      </w:r>
      <w:r>
        <w:rPr>
          <w:rFonts w:cs="Symbol" w:ascii="Symbol" w:hAnsi="Symbol"/>
          <w:sz w:val="25"/>
          <w:szCs w:val="25"/>
          <w:lang w:eastAsia="zh-CN"/>
        </w:rPr>
        <w:t></w:t>
      </w:r>
      <w:r>
        <w:rPr>
          <w:lang w:eastAsia="zh-CN"/>
        </w:rPr>
        <w:t>are the measurement angles. The sampling intervals are discussed further in Section 4.4.</w:t>
      </w:r>
    </w:p>
    <w:p>
      <w:pPr>
        <w:pStyle w:val="Normal"/>
        <w:numPr>
          <w:ilvl w:val="0"/>
          <w:numId w:val="5"/>
        </w:numPr>
        <w:suppressAutoHyphens w:val="true"/>
        <w:rPr/>
      </w:pPr>
      <w:r>
        <w:rPr/>
        <w:t>The TRP can also be calculated from Rayleigh faded samples of the total power transmitted from the UE/MS. The measurement of transmitter performance in an isotropic Rayleigh fading environment is based on sampling the radiated power of the UE/MS for a discrete number of field combinations in the chamber. The average value of these statistically distributed samples is proportional to the TRP and by calibrating the average power transfer function, an absolute value of the TRP can be obtained. Thus,</w:t>
      </w:r>
    </w:p>
    <w:p>
      <w:pPr>
        <w:pStyle w:val="EQ"/>
        <w:numPr>
          <w:ilvl w:val="0"/>
          <w:numId w:val="5"/>
        </w:numPr>
        <w:suppressAutoHyphens w:val="true"/>
        <w:rPr>
          <w:lang w:val="en-GB" w:eastAsia="en-GB"/>
        </w:rPr>
      </w:pPr>
      <w:r>
        <w:rPr>
          <w:lang w:val="en-GB" w:eastAsia="en-GB"/>
        </w:rPr>
      </w:r>
      <m:oMathPara xmlns:m="http://schemas.openxmlformats.org/officeDocument/2006/math">
        <m:oMathParaPr>
          <m:jc m:val="left"/>
        </m:oMathParaPr>
        <m:oMath>
          <m:r>
            <m:rPr>
              <m:lit/>
              <m:nor/>
            </m:rPr>
            <w:rPr>
              <w:rFonts w:ascii="Cambria Math" w:hAnsi="Cambria Math"/>
            </w:rPr>
            <m:t xml:space="preserve">TRP</m:t>
          </m:r>
          <m:r>
            <w:rPr>
              <w:rFonts w:ascii="Cambria Math" w:hAnsi="Cambria Math"/>
            </w:rPr>
            <m:t xml:space="preserve">≈</m:t>
          </m:r>
          <m:f>
            <m:num>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f>
                        <m:num>
                          <m:sSub>
                            <m:e>
                              <m:r>
                                <w:rPr>
                                  <w:rFonts w:ascii="Cambria Math" w:hAnsi="Cambria Math"/>
                                </w:rPr>
                                <m:t xml:space="preserve">P</m:t>
                              </m:r>
                            </m:e>
                            <m:sub>
                              <m:r>
                                <w:rPr>
                                  <w:rFonts w:ascii="Cambria Math" w:hAnsi="Cambria Math"/>
                                </w:rPr>
                                <m:t xml:space="preserve">n</m:t>
                              </m:r>
                            </m:sub>
                          </m:sSub>
                        </m:num>
                        <m:den>
                          <m:sSub>
                            <m:e>
                              <m:r>
                                <w:rPr>
                                  <w:rFonts w:ascii="Cambria Math" w:hAnsi="Cambria Math"/>
                                </w:rPr>
                                <m:t xml:space="preserve">C</m:t>
                              </m:r>
                            </m:e>
                            <m:sub>
                              <m:r>
                                <w:rPr>
                                  <w:rFonts w:ascii="Cambria Math" w:hAnsi="Cambria Math"/>
                                </w:rPr>
                                <m:t xml:space="preserve">n</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den>
                      </m:f>
                    </m:e>
                  </m:d>
                </m:e>
              </m:nary>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e>
              </m:nary>
            </m:den>
          </m:f>
        </m:oMath>
      </m:oMathPara>
    </w:p>
    <w:p>
      <w:pPr>
        <w:pStyle w:val="Normal"/>
        <w:numPr>
          <w:ilvl w:val="0"/>
          <w:numId w:val="5"/>
        </w:numPr>
        <w:suppressAutoHyphens w:val="true"/>
        <w:rPr/>
      </w:pPr>
      <w:r>
        <w:rPr/>
        <w:t xml:space="preserve">where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oMath>
      <w:r>
        <w:rPr/>
        <w:t xml:space="preserve"> is the reference power transfer function for fixed measurement antenna n, </w:t>
      </w:r>
      <w:r>
        <w:rPr/>
      </w:r>
      <m:oMath xmlns:m="http://schemas.openxmlformats.org/officeDocument/2006/math">
        <m:sSub>
          <m:e>
            <m:r>
              <w:rPr>
                <w:rFonts w:ascii="Cambria Math" w:hAnsi="Cambria Math"/>
              </w:rPr>
              <m:t xml:space="preserve">R</m:t>
            </m:r>
          </m:e>
          <m:sub>
            <m:r>
              <w:rPr>
                <w:rFonts w:ascii="Cambria Math" w:hAnsi="Cambria Math"/>
              </w:rPr>
              <m:t xml:space="preserve">n</m:t>
            </m:r>
          </m:sub>
        </m:sSub>
      </m:oMath>
      <w:r>
        <w:rPr/>
        <w:t xml:space="preserve"> is the reflection coefficient for fixed measurement antenna n and </w:t>
      </w:r>
      <w:r>
        <w:rPr/>
      </w:r>
      <m:oMath xmlns:m="http://schemas.openxmlformats.org/officeDocument/2006/math">
        <m:sSub>
          <m:e>
            <m:r>
              <w:rPr>
                <w:rFonts w:ascii="Cambria Math" w:hAnsi="Cambria Math"/>
              </w:rPr>
              <m:t xml:space="preserve">C</m:t>
            </m:r>
          </m:e>
          <m:sub>
            <m:r>
              <w:rPr>
                <w:rFonts w:ascii="Cambria Math" w:hAnsi="Cambria Math"/>
              </w:rPr>
              <m:t xml:space="preserve">n</m:t>
            </m:r>
          </m:sub>
        </m:sSub>
      </m:oMath>
      <w:r>
        <w:rPr/>
        <w:t xml:space="preserve"> is the path loss in the cables connecting the measurement receiver to fixed measurement antenna n. These parameters are calculated from the calibration measurement and are further discussed in Annex B.2. </w:t>
      </w:r>
      <w:r>
        <w:rPr/>
      </w:r>
      <m:oMath xmlns:m="http://schemas.openxmlformats.org/officeDocument/2006/math">
        <m:sSub>
          <m:e>
            <m:r>
              <w:rPr>
                <w:rFonts w:ascii="Cambria Math" w:hAnsi="Cambria Math"/>
              </w:rPr>
              <m:t xml:space="preserve">P</m:t>
            </m:r>
          </m:e>
          <m:sub>
            <m:r>
              <w:rPr>
                <w:rFonts w:ascii="Cambria Math" w:hAnsi="Cambria Math"/>
              </w:rPr>
              <m:t xml:space="preserve">n</m:t>
            </m:r>
          </m:sub>
        </m:sSub>
      </m:oMath>
      <w:r>
        <w:rPr/>
        <w:t xml:space="preserve"> is the average power measured by fixed measurement antenna n and can be calculated using the following expression:</w:t>
      </w:r>
    </w:p>
    <w:p>
      <w:pPr>
        <w:pStyle w:val="EQ"/>
        <w:numPr>
          <w:ilvl w:val="0"/>
          <w:numId w:val="5"/>
        </w:numPr>
        <w:suppressAutoHyphens w:val="true"/>
        <w:rPr>
          <w:lang w:val="en-GB" w:eastAsia="en-GB"/>
        </w:rPr>
      </w:pPr>
      <w:r>
        <w:rPr>
          <w:lang w:val="en-GB" w:eastAsia="en-GB"/>
        </w:rPr>
      </w:r>
      <m:oMathPara xmlns:m="http://schemas.openxmlformats.org/officeDocument/2006/math">
        <m:oMathParaPr>
          <m:jc m:val="left"/>
        </m:oMathParaPr>
        <m:oMath>
          <m:sSub>
            <m:e>
              <m:r>
                <w:rPr>
                  <w:rFonts w:ascii="Cambria Math" w:hAnsi="Cambria Math"/>
                </w:rPr>
                <m:t xml:space="preserve">P</m:t>
              </m:r>
            </m:e>
            <m:sub>
              <m:r>
                <w:rPr>
                  <w:rFonts w:ascii="Cambria Math" w:hAnsi="Cambria Math"/>
                </w:rPr>
                <m:t xml:space="preserve">n</m:t>
              </m:r>
            </m:sub>
          </m:sSub>
          <m:r>
            <w:rPr>
              <w:rFonts w:ascii="Cambria Math" w:hAnsi="Cambria Math"/>
            </w:rPr>
            <m:t xml:space="preserve">=</m:t>
          </m:r>
          <m:f>
            <m:num>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p>
                    <m:e>
                      <m:d>
                        <m:dPr>
                          <m:begChr m:val="|"/>
                          <m:endChr m:val="|"/>
                        </m:dPr>
                        <m:e>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e>
                      </m:d>
                    </m:e>
                    <m:sup>
                      <m:r>
                        <w:rPr>
                          <w:rFonts w:ascii="Cambria Math" w:hAnsi="Cambria Math"/>
                        </w:rPr>
                        <m:t xml:space="preserve">2</m:t>
                      </m:r>
                    </m:sup>
                  </m:sSup>
                </m:e>
              </m:nary>
            </m:num>
            <m:den>
              <m:r>
                <w:rPr>
                  <w:rFonts w:ascii="Cambria Math" w:hAnsi="Cambria Math"/>
                </w:rPr>
                <m:t xml:space="preserve">M</m:t>
              </m:r>
            </m:den>
          </m:f>
        </m:oMath>
      </m:oMathPara>
    </w:p>
    <w:p>
      <w:pPr>
        <w:pStyle w:val="Normal"/>
        <w:numPr>
          <w:ilvl w:val="0"/>
          <w:numId w:val="5"/>
        </w:numPr>
        <w:suppressAutoHyphens w:val="true"/>
        <w:rPr/>
      </w:pPr>
      <w:r>
        <w:rPr/>
        <w:t xml:space="preserve">where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oMath>
      <w:r>
        <w:rPr/>
        <w:t xml:space="preserve"> is sample number m of the complex transfer function measured with fixed measurement antenna n and </w:t>
      </w:r>
      <w:r>
        <w:rPr/>
      </w:r>
      <m:oMath xmlns:m="http://schemas.openxmlformats.org/officeDocument/2006/math">
        <m:r>
          <w:rPr>
            <w:rFonts w:ascii="Cambria Math" w:hAnsi="Cambria Math"/>
          </w:rPr>
          <m:t xml:space="preserve">M</m:t>
        </m:r>
      </m:oMath>
      <w:r>
        <w:rPr/>
        <w:t xml:space="preserve"> is the total number of samples measured for each fixed measurement antenna.</w:t>
      </w:r>
    </w:p>
    <w:p>
      <w:pPr>
        <w:pStyle w:val="Normal"/>
        <w:numPr>
          <w:ilvl w:val="0"/>
          <w:numId w:val="5"/>
        </w:numPr>
        <w:suppressAutoHyphens w:val="true"/>
        <w:rPr>
          <w:lang w:eastAsia="zh-CN"/>
        </w:rPr>
      </w:pPr>
      <w:r>
        <w:rPr>
          <w:lang w:eastAsia="zh-CN"/>
        </w:rPr>
        <w:t>The requirements and this test apply to all types of UTRA for the TDD UE for Release 8 and later releases.</w:t>
      </w:r>
    </w:p>
    <w:p>
      <w:pPr>
        <w:pStyle w:val="Heading4"/>
        <w:numPr>
          <w:ilvl w:val="2"/>
          <w:numId w:val="5"/>
        </w:numPr>
        <w:ind w:left="1418" w:hanging="1418"/>
        <w:rPr/>
      </w:pPr>
      <w:bookmarkStart w:id="59" w:name="__RefHeading___Toc68600995"/>
      <w:bookmarkEnd w:id="59"/>
      <w:r>
        <w:rPr>
          <w:rFonts w:eastAsia="PMingLiU;新細明體"/>
          <w:lang w:eastAsia="zh-TW"/>
        </w:rPr>
        <w:t>6.1.2.2</w:t>
        <w:tab/>
        <w:t>Minimum Requirements</w:t>
      </w:r>
    </w:p>
    <w:p>
      <w:pPr>
        <w:pStyle w:val="Normal"/>
        <w:numPr>
          <w:ilvl w:val="0"/>
          <w:numId w:val="5"/>
        </w:numPr>
        <w:suppressAutoHyphens w:val="true"/>
        <w:jc w:val="both"/>
        <w:rPr/>
      </w:pPr>
      <w:r>
        <w:rPr/>
        <w:t>The average TRP of low, mid and high channel in beside head position shall be higher than minimum performance requirements for roaming bands shown in Table 6.1.2.2-1. The averaging shall be done in linear scale for the TRP results of both right and left side of the phantom head.</w:t>
      </w:r>
    </w:p>
    <w:p>
      <w:pPr>
        <w:pStyle w:val="EQ"/>
        <w:numPr>
          <w:ilvl w:val="0"/>
          <w:numId w:val="5"/>
        </w:numPr>
        <w:suppressAutoHyphens w:val="true"/>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num>
                <m:den>
                  <m:r>
                    <w:rPr>
                      <w:rFonts w:ascii="Cambria Math" w:hAnsi="Cambria Math"/>
                    </w:rPr>
                    <m:t xml:space="preserve">6</m:t>
                  </m:r>
                </m:den>
              </m:f>
            </m:e>
          </m:d>
        </m:oMath>
      </m:oMathPara>
    </w:p>
    <w:p>
      <w:pPr>
        <w:pStyle w:val="Normal"/>
        <w:numPr>
          <w:ilvl w:val="0"/>
          <w:numId w:val="5"/>
        </w:numPr>
        <w:suppressAutoHyphens w:val="true"/>
        <w:rPr/>
      </w:pPr>
      <w:r>
        <w:rPr/>
        <w:t>In addition the minimum TRP of each measured channel in beside head position shall be higher than minimum performance requirements shown in the columns “Min”.</w:t>
      </w:r>
    </w:p>
    <w:p>
      <w:pPr>
        <w:pStyle w:val="EQ"/>
        <w:jc w:val="center"/>
        <w:rPr>
          <w:lang w:val="en-US" w:eastAsia="en-US"/>
        </w:rPr>
      </w:pPr>
      <w:r>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min</m:t>
          </m:r>
          <m:d>
            <m:dPr>
              <m:begChr m:val="["/>
              <m:endChr m:val="]"/>
            </m:dPr>
            <m:e>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e>
          </m:d>
        </m:oMath>
      </m:oMathPara>
    </w:p>
    <w:p>
      <w:pPr>
        <w:pStyle w:val="TH"/>
        <w:numPr>
          <w:ilvl w:val="0"/>
          <w:numId w:val="5"/>
        </w:numPr>
        <w:suppressAutoHyphens w:val="true"/>
        <w:rPr>
          <w:lang w:eastAsia="zh-CN"/>
        </w:rPr>
      </w:pPr>
      <w:r>
        <w:rPr>
          <w:lang w:eastAsia="zh-CN"/>
        </w:rPr>
        <w:t>Table 6.1.2.2-1: TRP minimum performance requirement for UTRA LCR TDD using Head Phantom</w:t>
      </w:r>
    </w:p>
    <w:tbl>
      <w:tblPr>
        <w:tblW w:w="7668" w:type="dxa"/>
        <w:jc w:val="center"/>
        <w:tblInd w:w="0" w:type="dxa"/>
        <w:tblLayout w:type="fixed"/>
        <w:tblCellMar>
          <w:top w:w="0" w:type="dxa"/>
          <w:left w:w="108" w:type="dxa"/>
          <w:bottom w:w="0" w:type="dxa"/>
          <w:right w:w="108" w:type="dxa"/>
        </w:tblCellMar>
      </w:tblPr>
      <w:tblGrid>
        <w:gridCol w:w="1097"/>
        <w:gridCol w:w="992"/>
        <w:gridCol w:w="567"/>
        <w:gridCol w:w="992"/>
        <w:gridCol w:w="709"/>
        <w:gridCol w:w="992"/>
        <w:gridCol w:w="567"/>
        <w:gridCol w:w="992"/>
        <w:gridCol w:w="760"/>
      </w:tblGrid>
      <w:tr>
        <w:trPr>
          <w:trHeight w:val="277" w:hRule="atLeast"/>
        </w:trPr>
        <w:tc>
          <w:tcPr>
            <w:tcW w:w="1097" w:type="dxa"/>
            <w:vMerge w:val="restart"/>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Operating band </w:t>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1</w:t>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2</w:t>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3</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4</w:t>
            </w:r>
          </w:p>
        </w:tc>
      </w:tr>
      <w:tr>
        <w:trPr>
          <w:trHeight w:val="316" w:hRule="atLeast"/>
        </w:trPr>
        <w:tc>
          <w:tcPr>
            <w:tcW w:w="109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r>
      <w:tr>
        <w:trPr>
          <w:trHeight w:val="244" w:hRule="atLeast"/>
        </w:trPr>
        <w:tc>
          <w:tcPr>
            <w:tcW w:w="109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56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70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56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76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r>
      <w:tr>
        <w:trPr>
          <w:trHeight w:val="215" w:hRule="atLeast"/>
        </w:trPr>
        <w:tc>
          <w:tcPr>
            <w:tcW w:w="109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a</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+15</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+13</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r>
      <w:tr>
        <w:trPr>
          <w:trHeight w:val="215" w:hRule="atLeast"/>
        </w:trPr>
        <w:tc>
          <w:tcPr>
            <w:tcW w:w="109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b</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r>
      <w:tr>
        <w:trPr>
          <w:trHeight w:val="215" w:hRule="atLeast"/>
        </w:trPr>
        <w:tc>
          <w:tcPr>
            <w:tcW w:w="109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c</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r>
      <w:tr>
        <w:trPr>
          <w:trHeight w:val="215" w:hRule="atLeast"/>
        </w:trPr>
        <w:tc>
          <w:tcPr>
            <w:tcW w:w="109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r>
      <w:tr>
        <w:trPr>
          <w:trHeight w:val="215" w:hRule="atLeast"/>
        </w:trPr>
        <w:tc>
          <w:tcPr>
            <w:tcW w:w="109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e</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+15</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+13</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r>
      <w:tr>
        <w:trPr>
          <w:trHeight w:val="215" w:hRule="atLeast"/>
        </w:trPr>
        <w:tc>
          <w:tcPr>
            <w:tcW w:w="109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f</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+15</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+13</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r>
      <w:tr>
        <w:trPr>
          <w:trHeight w:val="215" w:hRule="atLeast"/>
        </w:trPr>
        <w:tc>
          <w:tcPr>
            <w:tcW w:w="7668" w:type="dxa"/>
            <w:gridSpan w:val="9"/>
            <w:tcBorders>
              <w:top w:val="single" w:sz="4" w:space="0" w:color="000000"/>
              <w:left w:val="single" w:sz="4" w:space="0" w:color="000000"/>
              <w:bottom w:val="single" w:sz="4" w:space="0" w:color="000000"/>
              <w:right w:val="single" w:sz="4" w:space="0" w:color="000000"/>
            </w:tcBorders>
            <w:vAlign w:val="center"/>
          </w:tcPr>
          <w:p>
            <w:pPr>
              <w:pStyle w:val="TAN"/>
              <w:rPr>
                <w:lang w:eastAsia="en-US"/>
              </w:rPr>
            </w:pPr>
            <w:r>
              <w:rPr>
                <w:lang w:eastAsia="en-US"/>
              </w:rPr>
              <w:t>Note:</w:t>
              <w:tab/>
              <w:t>Applicable for dual-mode GSM/UTRA LCR TDD.</w:t>
            </w:r>
          </w:p>
        </w:tc>
      </w:tr>
    </w:tbl>
    <w:p>
      <w:pPr>
        <w:pStyle w:val="Normal"/>
        <w:numPr>
          <w:ilvl w:val="0"/>
          <w:numId w:val="5"/>
        </w:numPr>
        <w:suppressAutoHyphens w:val="true"/>
        <w:rPr>
          <w:lang w:eastAsia="zh-CN"/>
        </w:rPr>
      </w:pPr>
      <w:r>
        <w:rPr>
          <w:lang w:eastAsia="zh-CN"/>
        </w:rPr>
      </w:r>
    </w:p>
    <w:p>
      <w:pPr>
        <w:pStyle w:val="Normal"/>
        <w:numPr>
          <w:ilvl w:val="0"/>
          <w:numId w:val="5"/>
        </w:numPr>
        <w:suppressAutoHyphens w:val="true"/>
        <w:rPr/>
      </w:pPr>
      <w:r>
        <w:rPr/>
        <w:t>The normative reference for this clause is TS37.144 section 6.1.1.3.</w:t>
      </w:r>
    </w:p>
    <w:p>
      <w:pPr>
        <w:pStyle w:val="Heading4"/>
        <w:numPr>
          <w:ilvl w:val="2"/>
          <w:numId w:val="5"/>
        </w:numPr>
        <w:ind w:left="1418" w:hanging="1418"/>
        <w:rPr/>
      </w:pPr>
      <w:bookmarkStart w:id="60" w:name="__RefHeading___Toc68600996"/>
      <w:bookmarkEnd w:id="60"/>
      <w:r>
        <w:rPr>
          <w:rFonts w:eastAsia="PMingLiU;新細明體"/>
          <w:lang w:eastAsia="zh-TW"/>
        </w:rPr>
        <w:t>6.1.2.3</w:t>
        <w:tab/>
        <w:t>Test purpose</w:t>
      </w:r>
    </w:p>
    <w:p>
      <w:pPr>
        <w:pStyle w:val="Normal"/>
        <w:numPr>
          <w:ilvl w:val="0"/>
          <w:numId w:val="5"/>
        </w:numPr>
        <w:suppressAutoHyphens w:val="true"/>
        <w:rPr/>
      </w:pPr>
      <w:r>
        <w:rPr>
          <w:lang w:eastAsia="zh-CN"/>
        </w:rPr>
        <w:t xml:space="preserve">The purpose of this test is to verify that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lang w:eastAsia="zh-CN"/>
        </w:rPr>
        <w:t xml:space="preserve">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lang w:eastAsia="zh-CN"/>
        </w:rPr>
        <w:t xml:space="preserve">of the UE are not below specified values. A lower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i/>
          <w:iCs/>
          <w:sz w:val="14"/>
          <w:szCs w:val="14"/>
          <w:lang w:eastAsia="zh-CN"/>
        </w:rPr>
        <w:t xml:space="preserve"> </w:t>
      </w:r>
      <w:r>
        <w:rPr>
          <w:lang w:eastAsia="zh-CN"/>
        </w:rPr>
        <w:t xml:space="preserve">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sz w:val="14"/>
          <w:szCs w:val="14"/>
          <w:lang w:eastAsia="zh-CN"/>
        </w:rPr>
        <w:t xml:space="preserve"> </w:t>
      </w:r>
      <w:r>
        <w:rPr>
          <w:lang w:eastAsia="zh-CN"/>
        </w:rPr>
        <w:t>decrease the coverage area.</w:t>
      </w:r>
    </w:p>
    <w:p>
      <w:pPr>
        <w:pStyle w:val="Heading4"/>
        <w:numPr>
          <w:ilvl w:val="2"/>
          <w:numId w:val="5"/>
        </w:numPr>
        <w:ind w:left="1418" w:hanging="1418"/>
        <w:rPr/>
      </w:pPr>
      <w:bookmarkStart w:id="61" w:name="__RefHeading___Toc68600997"/>
      <w:bookmarkEnd w:id="61"/>
      <w:r>
        <w:rPr>
          <w:rFonts w:eastAsia="PMingLiU;新細明體"/>
          <w:lang w:eastAsia="zh-TW"/>
        </w:rPr>
        <w:t>6.1.2.4</w:t>
        <w:tab/>
        <w:t>Method of test</w:t>
      </w:r>
    </w:p>
    <w:p>
      <w:pPr>
        <w:pStyle w:val="Heading4"/>
        <w:numPr>
          <w:ilvl w:val="3"/>
          <w:numId w:val="5"/>
        </w:numPr>
        <w:suppressAutoHyphens w:val="true"/>
        <w:ind w:left="1418" w:hanging="1418"/>
        <w:rPr/>
      </w:pPr>
      <w:bookmarkStart w:id="62" w:name="__RefHeading___Toc68600998"/>
      <w:bookmarkEnd w:id="62"/>
      <w:r>
        <w:rPr>
          <w:rFonts w:eastAsia="PMingLiU;新細明體"/>
          <w:lang w:eastAsia="zh-TW"/>
        </w:rPr>
        <w:t>6.1</w:t>
      </w:r>
      <w:r>
        <w:rPr/>
        <w:t>.2.4.1</w:t>
        <w:tab/>
        <w:t>Initial conditions</w:t>
      </w:r>
    </w:p>
    <w:p>
      <w:pPr>
        <w:pStyle w:val="Normal"/>
        <w:rPr/>
      </w:pPr>
      <w:r>
        <w:rPr/>
        <w:t xml:space="preserve"> </w:t>
      </w:r>
      <w:r>
        <w:rPr>
          <w:lang w:eastAsia="zh-CN"/>
        </w:rPr>
        <w:t xml:space="preserve">The output power is a measure of the maximum power the UE can transmit in a bandwidth of at least </w:t>
      </w:r>
      <w:r>
        <w:rPr/>
        <w:t xml:space="preserve">(1+ </w:t>
      </w:r>
      <w:r>
        <w:rPr>
          <w:rFonts w:cs="Symbol" w:ascii="Symbol" w:hAnsi="Symbol"/>
        </w:rPr>
        <w:t></w:t>
      </w:r>
      <w:r>
        <w:rPr/>
        <w:t xml:space="preserve"> </w:t>
      </w:r>
      <w:r>
        <w:rPr>
          <w:lang w:eastAsia="zh-CN"/>
        </w:rPr>
        <w:t>times the chip rate of the radio access mode, for more information see 3GPP TS 34.122 chapter 5.2. The period of measurement shall be at least one timeslot. Also, care should be taken that the noise floor of the measurement receiver is not disturbing the power measurement. Normally, the receiving device should be set accordingly so that the receiving signal will be at least 30dB higher than the system noise floor.</w:t>
      </w:r>
    </w:p>
    <w:p>
      <w:pPr>
        <w:pStyle w:val="Normal"/>
        <w:rPr/>
      </w:pPr>
      <w:r>
        <w:rPr>
          <w:lang w:eastAsia="zh-CN"/>
        </w:rPr>
        <w:t>Test environment: normal; see 3GPP TS34.122-1 [8] clause G.2.1.</w:t>
      </w:r>
    </w:p>
    <w:p>
      <w:pPr>
        <w:pStyle w:val="Normal"/>
        <w:rPr/>
      </w:pPr>
      <w:r>
        <w:rPr>
          <w:lang w:eastAsia="zh-CN"/>
        </w:rPr>
        <w:t>Frequencies to be tested: low range, mid range, high range; see Table 5.2-2.</w:t>
      </w:r>
    </w:p>
    <w:p>
      <w:pPr>
        <w:pStyle w:val="B1"/>
        <w:rPr>
          <w:lang w:eastAsia="zh-CN"/>
        </w:rPr>
      </w:pPr>
      <w:r>
        <w:rPr>
          <w:lang w:eastAsia="zh-CN"/>
        </w:rPr>
        <w:t>1)</w:t>
        <w:tab/>
        <w:t>Set the SS downlink physical channels parameters. Set the DPCH power such that there will not be transmission gaps due to too low signal strength throughout the measurement.</w:t>
      </w:r>
    </w:p>
    <w:p>
      <w:pPr>
        <w:pStyle w:val="B1"/>
        <w:rPr>
          <w:lang w:eastAsia="zh-CN"/>
        </w:rPr>
      </w:pPr>
      <w:r>
        <w:rPr>
          <w:lang w:eastAsia="zh-CN"/>
        </w:rPr>
        <w:t>2)</w:t>
        <w:tab/>
        <w:t>Power on the UE.</w:t>
      </w:r>
    </w:p>
    <w:p>
      <w:pPr>
        <w:pStyle w:val="B1"/>
        <w:rPr/>
      </w:pPr>
      <w:r>
        <w:rPr>
          <w:lang w:eastAsia="zh-CN"/>
        </w:rPr>
        <w:t>3)</w:t>
        <w:tab/>
        <w:t>A call is set up according to the Generic call setup procedure. The power control algorithm shall be set to Power Control Algorithm 2.</w:t>
      </w:r>
    </w:p>
    <w:p>
      <w:pPr>
        <w:pStyle w:val="B1"/>
        <w:rPr>
          <w:lang w:eastAsia="zh-CN"/>
        </w:rPr>
      </w:pPr>
      <w:r>
        <w:rPr>
          <w:lang w:eastAsia="zh-CN"/>
        </w:rPr>
        <w:t>4)</w:t>
        <w:tab/>
        <w:t>Enter the UE into loopback test mode and start the loopback test.</w:t>
      </w:r>
    </w:p>
    <w:p>
      <w:pPr>
        <w:pStyle w:val="B1"/>
        <w:rPr/>
      </w:pPr>
      <w:r>
        <w:rPr>
          <w:lang w:eastAsia="zh-CN"/>
        </w:rPr>
        <w:t>5)</w:t>
        <w:tab/>
        <w:t xml:space="preserve">The measurement receiver shall be set to: zero span, video trigger and RMS detector. The RBW shall be at least </w:t>
      </w:r>
      <w:r>
        <w:rPr/>
        <w:t xml:space="preserve">(1+ </w:t>
      </w:r>
      <w:r>
        <w:rPr>
          <w:rFonts w:cs="Symbol" w:ascii="Symbol" w:hAnsi="Symbol"/>
        </w:rPr>
        <w:t></w:t>
      </w:r>
      <w:r>
        <w:rPr/>
        <w:t xml:space="preserve"> times the chip rate of the radio access mode</w:t>
      </w:r>
      <w:r>
        <w:rPr>
          <w:lang w:eastAsia="zh-CN"/>
        </w:rPr>
        <w:t xml:space="preserve"> and the VBW at least 3 times bigger than the RBW. For 1.28Mcps T</w:t>
      </w:r>
      <w:r>
        <w:rPr/>
        <w:t>DD UE</w:t>
      </w:r>
      <w:r>
        <w:rPr>
          <w:lang w:eastAsia="zh-CN"/>
        </w:rPr>
        <w:t xml:space="preserve">, the RBW shall be set to 3MHz, and VBW shall be set to 10MHz. </w:t>
      </w:r>
    </w:p>
    <w:p>
      <w:pPr>
        <w:pStyle w:val="Normal"/>
        <w:rPr/>
      </w:pPr>
      <w:r>
        <w:rPr>
          <w:lang w:eastAsia="zh-CN"/>
        </w:rPr>
        <w:t xml:space="preserve">See TS 34.108 [4] and TS 34.109 [5] for details regarding generic call setup procedure and loopback test. </w:t>
      </w:r>
    </w:p>
    <w:p>
      <w:pPr>
        <w:pStyle w:val="Heading4"/>
        <w:numPr>
          <w:ilvl w:val="3"/>
          <w:numId w:val="5"/>
        </w:numPr>
        <w:suppressAutoHyphens w:val="true"/>
        <w:ind w:left="1418" w:hanging="1418"/>
        <w:rPr/>
      </w:pPr>
      <w:bookmarkStart w:id="63" w:name="__RefHeading___Toc68600999"/>
      <w:bookmarkEnd w:id="63"/>
      <w:r>
        <w:rPr>
          <w:rFonts w:eastAsia="PMingLiU;新細明體"/>
          <w:lang w:eastAsia="zh-TW"/>
        </w:rPr>
        <w:t>6.1</w:t>
      </w:r>
      <w:r>
        <w:rPr/>
        <w:t>.2.4.2</w:t>
        <w:tab/>
        <w:t>Procedure</w:t>
      </w:r>
    </w:p>
    <w:p>
      <w:pPr>
        <w:pStyle w:val="B1"/>
        <w:numPr>
          <w:ilvl w:val="0"/>
          <w:numId w:val="5"/>
        </w:numPr>
        <w:suppressAutoHyphens w:val="true"/>
        <w:rPr>
          <w:lang w:eastAsia="zh-CN"/>
        </w:rPr>
      </w:pPr>
      <w:r>
        <w:rPr>
          <w:lang w:eastAsia="zh-CN"/>
        </w:rPr>
        <w:t>1)</w:t>
        <w:tab/>
        <w:t>Send continuously Up power control commands to the UE.</w:t>
      </w:r>
    </w:p>
    <w:p>
      <w:pPr>
        <w:pStyle w:val="B1"/>
        <w:numPr>
          <w:ilvl w:val="0"/>
          <w:numId w:val="5"/>
        </w:numPr>
        <w:suppressAutoHyphens w:val="true"/>
        <w:rPr>
          <w:lang w:eastAsia="zh-CN"/>
        </w:rPr>
      </w:pPr>
      <w:r>
        <w:rPr>
          <w:lang w:eastAsia="zh-CN"/>
        </w:rPr>
        <w:t>2)</w:t>
        <w:tab/>
        <w:t>As the UE reaches maximum power, start sending PN15 data pattern.</w:t>
      </w:r>
    </w:p>
    <w:p>
      <w:pPr>
        <w:pStyle w:val="B1"/>
        <w:numPr>
          <w:ilvl w:val="0"/>
          <w:numId w:val="5"/>
        </w:numPr>
        <w:suppressAutoHyphens w:val="true"/>
        <w:rPr>
          <w:lang w:eastAsia="zh-CN"/>
        </w:rPr>
      </w:pPr>
      <w:r>
        <w:rPr>
          <w:lang w:eastAsia="zh-CN"/>
        </w:rPr>
        <w:t>3)</w:t>
        <w:tab/>
        <w:t>Position the UE against the SAM phantom.</w:t>
      </w:r>
    </w:p>
    <w:p>
      <w:pPr>
        <w:pStyle w:val="B1"/>
        <w:numPr>
          <w:ilvl w:val="0"/>
          <w:numId w:val="5"/>
        </w:numPr>
        <w:suppressAutoHyphens w:val="true"/>
        <w:rPr/>
      </w:pPr>
      <w:r>
        <w:rPr>
          <w:lang w:eastAsia="zh-CN"/>
        </w:rPr>
        <w:t>4)</w:t>
        <w:tab/>
        <w:t xml:space="preserve">Measure the </w:t>
      </w:r>
      <w:r>
        <w:rPr>
          <w:i/>
          <w:iCs/>
          <w:sz w:val="24"/>
          <w:szCs w:val="24"/>
          <w:lang w:eastAsia="zh-CN"/>
        </w:rPr>
        <w:t>EIRP</w:t>
      </w:r>
      <w:r>
        <w:rPr>
          <w:rFonts w:cs="SimSun;宋体" w:ascii="SimSun;宋体" w:hAnsi="SimSun;宋体"/>
          <w:i/>
          <w:iCs/>
          <w:sz w:val="24"/>
          <w:szCs w:val="24"/>
          <w:vertAlign w:val="subscript"/>
          <w:lang w:eastAsia="zh-CN"/>
        </w:rPr>
        <w:t>θ</w:t>
      </w:r>
      <w:r>
        <w:rPr>
          <w:rFonts w:cs="Symbol" w:ascii="Symbol" w:hAnsi="Symbol"/>
          <w:sz w:val="15"/>
          <w:szCs w:val="15"/>
          <w:lang w:eastAsia="zh-CN"/>
        </w:rPr>
        <w:t></w:t>
      </w:r>
      <w:r>
        <w:rPr>
          <w:lang w:eastAsia="zh-CN"/>
        </w:rPr>
        <w:t xml:space="preserve">and </w:t>
      </w:r>
      <w:r>
        <w:rPr>
          <w:i/>
          <w:iCs/>
          <w:sz w:val="24"/>
          <w:szCs w:val="24"/>
          <w:lang w:eastAsia="zh-CN"/>
        </w:rPr>
        <w:t>EIRP</w:t>
      </w:r>
      <w:r>
        <w:rPr>
          <w:rFonts w:cs="SimSun;宋体" w:ascii="SimSun;宋体" w:hAnsi="SimSun;宋体"/>
          <w:i/>
          <w:iCs/>
          <w:sz w:val="24"/>
          <w:szCs w:val="24"/>
          <w:vertAlign w:val="subscript"/>
          <w:lang w:eastAsia="zh-CN"/>
        </w:rPr>
        <w:t>φ</w:t>
      </w:r>
      <w:r>
        <w:rPr>
          <w:lang w:eastAsia="zh-CN"/>
        </w:rPr>
        <w:t>with a sample step of 15° in theta (</w:t>
      </w:r>
      <w:r>
        <w:rPr>
          <w:rFonts w:cs="Symbol" w:ascii="SimSun;宋体" w:hAnsi="SimSun;宋体"/>
          <w:lang w:eastAsia="zh-CN"/>
        </w:rPr>
        <w:t>θ</w:t>
      </w:r>
      <w:r>
        <w:rPr>
          <w:lang w:eastAsia="zh-CN"/>
        </w:rPr>
        <w:t>) and phi (</w:t>
      </w:r>
      <w:r>
        <w:rPr>
          <w:rFonts w:cs="Symbol" w:ascii="SimSun;宋体" w:hAnsi="SimSun;宋体"/>
          <w:lang w:eastAsia="zh-CN"/>
        </w:rPr>
        <w:t>φ</w:t>
      </w:r>
      <w:r>
        <w:rPr>
          <w:lang w:eastAsia="zh-CN"/>
        </w:rPr>
        <w:t>) directions using a test system having characteristics as described in Annex A.</w:t>
      </w:r>
    </w:p>
    <w:p>
      <w:pPr>
        <w:pStyle w:val="B1"/>
        <w:numPr>
          <w:ilvl w:val="0"/>
          <w:numId w:val="5"/>
        </w:numPr>
        <w:suppressAutoHyphens w:val="true"/>
        <w:rPr>
          <w:lang w:eastAsia="zh-CN"/>
        </w:rPr>
      </w:pPr>
      <w:r>
        <w:rPr>
          <w:lang w:eastAsia="zh-CN"/>
        </w:rPr>
        <w:t>5)</w:t>
        <w:tab/>
        <w:t>Calculate TRP using equations from chapter 6.1.2.1.</w:t>
      </w:r>
    </w:p>
    <w:p>
      <w:pPr>
        <w:pStyle w:val="NO"/>
        <w:numPr>
          <w:ilvl w:val="0"/>
          <w:numId w:val="5"/>
        </w:numPr>
        <w:tabs>
          <w:tab w:val="clear" w:pos="284"/>
          <w:tab w:val="left" w:pos="1080" w:leader="none"/>
        </w:tabs>
        <w:suppressAutoHyphens w:val="true"/>
        <w:ind w:left="1080" w:hanging="1080"/>
        <w:rPr/>
      </w:pPr>
      <w:r>
        <w:rPr>
          <w:lang w:eastAsia="zh-CN"/>
        </w:rPr>
        <w:t>NOTE 1:</w:t>
        <w:tab/>
        <w:t xml:space="preserve"> The measurement procedure is based on the measurement of the spherical radiation pattern of the DUT. The power radiated by the DUT is sampled in far field in a group of points located on a spherical surface enclosing the DUT. The EIRP samples are taken using a constant sample step of 15° both in theta (</w:t>
      </w:r>
      <w:r>
        <w:rPr>
          <w:rFonts w:cs="Symbol" w:ascii="SimSun;宋体" w:hAnsi="SimSun;宋体"/>
          <w:lang w:eastAsia="zh-CN"/>
        </w:rPr>
        <w:t>θ</w:t>
      </w:r>
      <w:r>
        <w:rPr>
          <w:lang w:eastAsia="zh-CN"/>
        </w:rPr>
        <w:t>) and phi (</w:t>
      </w:r>
      <w:r>
        <w:rPr>
          <w:rFonts w:cs="Symbol" w:ascii="SimSun;宋体" w:hAnsi="SimSun;宋体"/>
          <w:lang w:eastAsia="zh-CN"/>
        </w:rPr>
        <w:t>φ</w:t>
      </w:r>
      <w:r>
        <w:rPr>
          <w:lang w:eastAsia="zh-CN"/>
        </w:rPr>
        <w:t xml:space="preserve">) directions. In some cases a different sampling grid may be used to speed up the measurements (See Section 4.4). All the EIRP samples are taken with two orthogonal polarizations, </w:t>
      </w:r>
      <w:r>
        <w:rPr>
          <w:rFonts w:cs="Symbol" w:ascii="SimSun;宋体" w:hAnsi="SimSun;宋体"/>
          <w:lang w:eastAsia="zh-CN"/>
        </w:rPr>
        <w:t>θ</w:t>
      </w:r>
      <w:r>
        <w:rPr>
          <w:lang w:eastAsia="zh-CN"/>
        </w:rPr>
        <w:t xml:space="preserve">- and </w:t>
      </w:r>
      <w:r>
        <w:rPr>
          <w:rFonts w:cs="Symbol" w:ascii="SimSun;宋体" w:hAnsi="SimSun;宋体"/>
          <w:lang w:eastAsia="zh-CN"/>
        </w:rPr>
        <w:t>φ</w:t>
      </w:r>
      <w:r>
        <w:rPr>
          <w:rFonts w:cs="Symbol" w:ascii="Symbol" w:hAnsi="Symbol"/>
          <w:sz w:val="21"/>
          <w:szCs w:val="21"/>
          <w:lang w:eastAsia="zh-CN"/>
        </w:rPr>
        <w:t></w:t>
      </w:r>
      <w:r>
        <w:rPr>
          <w:lang w:eastAsia="zh-CN"/>
        </w:rPr>
        <w:t>- polarizations.</w:t>
      </w:r>
    </w:p>
    <w:p>
      <w:pPr>
        <w:pStyle w:val="NO"/>
        <w:numPr>
          <w:ilvl w:val="0"/>
          <w:numId w:val="5"/>
        </w:numPr>
        <w:tabs>
          <w:tab w:val="clear" w:pos="284"/>
          <w:tab w:val="left" w:pos="1080" w:leader="none"/>
        </w:tabs>
        <w:suppressAutoHyphens w:val="true"/>
        <w:ind w:left="1080" w:hanging="1080"/>
        <w:rPr/>
      </w:pPr>
      <w:r>
        <w:rPr>
          <w:lang w:eastAsia="zh-CN"/>
        </w:rPr>
        <w:t>NOTE 2:</w:t>
        <w:tab/>
        <w:t>The noise floor of the measurement receiver shall not disturb the power measurement.</w:t>
      </w:r>
    </w:p>
    <w:p>
      <w:pPr>
        <w:pStyle w:val="NO"/>
        <w:numPr>
          <w:ilvl w:val="0"/>
          <w:numId w:val="5"/>
        </w:numPr>
        <w:tabs>
          <w:tab w:val="clear" w:pos="284"/>
          <w:tab w:val="left" w:pos="1080" w:leader="none"/>
        </w:tabs>
        <w:suppressAutoHyphens w:val="true"/>
        <w:ind w:left="1170" w:hanging="1170"/>
        <w:rPr>
          <w:lang w:eastAsia="zh-CN"/>
        </w:rPr>
      </w:pPr>
      <w:r>
        <w:rPr>
          <w:lang w:eastAsia="zh-CN"/>
        </w:rPr>
        <w:t>NOTE 3:</w:t>
        <w:tab/>
        <w:t>Non Standard settings: To speed up sensitivity measurements, power measurements may be done with non standard modulation. However to obtain TRP result the measured EIRP figures shall be normalized by</w:t>
      </w:r>
    </w:p>
    <w:p>
      <w:pPr>
        <w:pStyle w:val="EQ"/>
        <w:numPr>
          <w:ilvl w:val="0"/>
          <w:numId w:val="5"/>
        </w:numPr>
        <w:suppressAutoHyphens w:val="true"/>
        <w:rPr>
          <w:lang w:val="en-GB" w:eastAsia="zh-CN"/>
        </w:rPr>
      </w:pPr>
      <w:r>
        <w:rPr>
          <w:lang w:val="en-GB" w:eastAsia="en-GB"/>
        </w:rPr>
      </w:r>
      <m:oMathPara xmlns:m="http://schemas.openxmlformats.org/officeDocument/2006/math">
        <m:oMathParaPr>
          <m:jc m:val="left"/>
        </m:oMathParaPr>
        <m:oMath>
          <m:r>
            <w:rPr>
              <w:rFonts w:ascii="Cambria Math" w:hAnsi="Cambria Math"/>
            </w:rPr>
            <m:t xml:space="preserve">Δ</m:t>
          </m:r>
          <m:bar>
            <m:barPr>
              <m:pos m:val="top"/>
            </m:barPr>
            <m:e>
              <m:r>
                <m:rPr>
                  <m:lit/>
                  <m:nor/>
                </m:rPr>
                <w:rPr>
                  <w:rFonts w:ascii="Cambria Math" w:hAnsi="Cambria Math"/>
                </w:rPr>
                <m:t xml:space="preserve">EIRP</m:t>
              </m:r>
            </m:e>
          </m:ba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m:rPr>
                          <m:lit/>
                          <m:nor/>
                        </m:rPr>
                        <w:rPr>
                          <w:rFonts w:ascii="Cambria Math" w:hAnsi="Cambria Math"/>
                        </w:rPr>
                        <m:t xml:space="preserve">EIRPstd</m:t>
                      </m:r>
                    </m:e>
                    <m:sub>
                      <m:r>
                        <w:rPr>
                          <w:rFonts w:ascii="Cambria Math" w:hAnsi="Cambria Math"/>
                        </w:rPr>
                        <m:t xml:space="preserve">i</m:t>
                      </m:r>
                    </m:sub>
                  </m:sSub>
                  <m:r>
                    <w:rPr>
                      <w:rFonts w:ascii="Cambria Math" w:hAnsi="Cambria Math"/>
                    </w:rPr>
                    <m:t xml:space="preserve">−</m:t>
                  </m:r>
                  <m:sSub>
                    <m:e>
                      <m:r>
                        <m:rPr>
                          <m:lit/>
                          <m:nor/>
                        </m:rPr>
                        <w:rPr>
                          <w:rFonts w:ascii="Cambria Math" w:hAnsi="Cambria Math"/>
                        </w:rPr>
                        <m:t xml:space="preserve">EIRPnstd</m:t>
                      </m:r>
                    </m:e>
                    <m:sub>
                      <m:r>
                        <w:rPr>
                          <w:rFonts w:ascii="Cambria Math" w:hAnsi="Cambria Math"/>
                        </w:rPr>
                        <m:t xml:space="preserve">i</m:t>
                      </m:r>
                    </m:sub>
                  </m:sSub>
                </m:e>
              </m:d>
            </m:e>
          </m:nary>
        </m:oMath>
      </m:oMathPara>
    </w:p>
    <w:p>
      <w:pPr>
        <w:pStyle w:val="Normal"/>
        <w:numPr>
          <w:ilvl w:val="0"/>
          <w:numId w:val="5"/>
        </w:numPr>
        <w:tabs>
          <w:tab w:val="clear" w:pos="284"/>
          <w:tab w:val="left" w:pos="0" w:leader="none"/>
        </w:tabs>
        <w:suppressAutoHyphens w:val="true"/>
        <w:ind w:left="0" w:hanging="0"/>
        <w:rPr/>
      </w:pPr>
      <w:r>
        <w:rPr>
          <w:lang w:eastAsia="zh-CN"/>
        </w:rPr>
        <w:t xml:space="preserve">where </w:t>
      </w:r>
      <w:r>
        <w:rPr>
          <w:i/>
          <w:iCs/>
          <w:sz w:val="14"/>
          <w:szCs w:val="14"/>
          <w:lang w:eastAsia="zh-CN"/>
        </w:rPr>
        <w:t xml:space="preserve">i </w:t>
      </w:r>
      <w:r>
        <w:rPr>
          <w:i/>
          <w:iCs/>
          <w:sz w:val="24"/>
          <w:szCs w:val="24"/>
          <w:lang w:eastAsia="zh-CN"/>
        </w:rPr>
        <w:t>EIRPstd</w:t>
      </w:r>
      <w:r>
        <w:rPr>
          <w:i/>
          <w:iCs/>
          <w:sz w:val="14"/>
          <w:szCs w:val="14"/>
          <w:lang w:eastAsia="zh-CN"/>
        </w:rPr>
        <w:t xml:space="preserve"> i</w:t>
      </w:r>
      <w:r>
        <w:rPr>
          <w:i/>
          <w:iCs/>
          <w:sz w:val="24"/>
          <w:szCs w:val="24"/>
          <w:lang w:eastAsia="zh-CN"/>
        </w:rPr>
        <w:t xml:space="preserve"> </w:t>
      </w:r>
      <w:r>
        <w:rPr>
          <w:lang w:eastAsia="zh-CN"/>
        </w:rPr>
        <w:t xml:space="preserve">is power measurement done with standard setting. </w:t>
      </w:r>
      <w:r>
        <w:rPr>
          <w:i/>
          <w:iCs/>
          <w:sz w:val="24"/>
          <w:szCs w:val="24"/>
          <w:lang w:eastAsia="zh-CN"/>
        </w:rPr>
        <w:t>EIRPnstd</w:t>
      </w:r>
      <w:r>
        <w:rPr>
          <w:i/>
          <w:iCs/>
          <w:sz w:val="14"/>
          <w:szCs w:val="14"/>
          <w:lang w:eastAsia="zh-CN"/>
        </w:rPr>
        <w:t xml:space="preserve"> i </w:t>
      </w:r>
      <w:r>
        <w:rPr>
          <w:lang w:eastAsia="zh-CN"/>
        </w:rPr>
        <w:t xml:space="preserve">is power measurement done with non standard modulation. </w:t>
      </w:r>
      <w:r>
        <w:rPr>
          <w:i/>
          <w:iCs/>
          <w:sz w:val="24"/>
          <w:szCs w:val="24"/>
          <w:lang w:eastAsia="zh-CN"/>
        </w:rPr>
        <w:t xml:space="preserve">n </w:t>
      </w:r>
      <w:r>
        <w:rPr>
          <w:lang w:eastAsia="zh-CN"/>
        </w:rPr>
        <w:t>is amount of reference measurement points.</w:t>
      </w:r>
    </w:p>
    <w:p>
      <w:pPr>
        <w:pStyle w:val="Normal"/>
        <w:numPr>
          <w:ilvl w:val="0"/>
          <w:numId w:val="5"/>
        </w:numPr>
        <w:tabs>
          <w:tab w:val="clear" w:pos="284"/>
          <w:tab w:val="left" w:pos="0" w:leader="none"/>
        </w:tabs>
        <w:suppressAutoHyphens w:val="true"/>
        <w:ind w:left="0" w:hanging="0"/>
        <w:rPr/>
      </w:pPr>
      <w:r>
        <w:rPr>
          <w:lang w:eastAsia="zh-CN"/>
        </w:rPr>
        <w:t>To ensure accuracy of TRP, the amount of reference points measured should be at least 4. It is recommended to spread the reference measurements equally during the measurement time.</w:t>
      </w:r>
    </w:p>
    <w:p>
      <w:pPr>
        <w:pStyle w:val="Heading4"/>
        <w:numPr>
          <w:ilvl w:val="3"/>
          <w:numId w:val="5"/>
        </w:numPr>
        <w:suppressAutoHyphens w:val="true"/>
        <w:ind w:left="1418" w:hanging="1418"/>
        <w:rPr/>
      </w:pPr>
      <w:bookmarkStart w:id="64" w:name="__RefHeading___Toc68601000"/>
      <w:bookmarkEnd w:id="64"/>
      <w:r>
        <w:rPr>
          <w:rFonts w:eastAsia="PMingLiU;新細明體"/>
          <w:lang w:eastAsia="zh-TW"/>
        </w:rPr>
        <w:t>6.1</w:t>
      </w:r>
      <w:r>
        <w:rPr/>
        <w:t>.2.4.3</w:t>
        <w:tab/>
        <w:t>Procedure, reverberation chamber method</w:t>
      </w:r>
    </w:p>
    <w:p>
      <w:pPr>
        <w:pStyle w:val="B1"/>
        <w:numPr>
          <w:ilvl w:val="0"/>
          <w:numId w:val="5"/>
        </w:numPr>
        <w:suppressAutoHyphens w:val="true"/>
        <w:rPr>
          <w:lang w:eastAsia="zh-CN"/>
        </w:rPr>
      </w:pPr>
      <w:r>
        <w:rPr>
          <w:lang w:eastAsia="zh-CN"/>
        </w:rPr>
        <w:t>1)</w:t>
        <w:tab/>
        <w:t>Send continuously Up power control commands to the UE.</w:t>
      </w:r>
    </w:p>
    <w:p>
      <w:pPr>
        <w:pStyle w:val="B1"/>
        <w:numPr>
          <w:ilvl w:val="0"/>
          <w:numId w:val="5"/>
        </w:numPr>
        <w:suppressAutoHyphens w:val="true"/>
        <w:rPr/>
      </w:pPr>
      <w:r>
        <w:rPr>
          <w:lang w:eastAsia="zh-CN"/>
        </w:rPr>
        <w:t>2)</w:t>
        <w:tab/>
        <w:t>As the UE reaches maximum power, start sending PN15 data pattern.</w:t>
      </w:r>
    </w:p>
    <w:p>
      <w:pPr>
        <w:pStyle w:val="B1"/>
        <w:numPr>
          <w:ilvl w:val="0"/>
          <w:numId w:val="5"/>
        </w:numPr>
        <w:suppressAutoHyphens w:val="true"/>
        <w:rPr/>
      </w:pPr>
      <w:r>
        <w:rPr/>
        <w:t>3)</w:t>
        <w:tab/>
        <w:t>Position the UE against the SAM phantom</w:t>
      </w:r>
    </w:p>
    <w:p>
      <w:pPr>
        <w:pStyle w:val="B1"/>
        <w:numPr>
          <w:ilvl w:val="0"/>
          <w:numId w:val="5"/>
        </w:numPr>
        <w:suppressAutoHyphens w:val="true"/>
        <w:rPr/>
      </w:pPr>
      <w:r>
        <w:rPr/>
        <w:t>4)</w:t>
        <w:tab/>
        <w:t xml:space="preserve">Measure a sufficient number of independent samples (see section 4.5) of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oMath>
      <w:r>
        <w:rPr/>
        <w:t xml:space="preserve"> using a test system having the characteristics described in Annex A.</w:t>
      </w:r>
    </w:p>
    <w:p>
      <w:pPr>
        <w:pStyle w:val="B1"/>
        <w:numPr>
          <w:ilvl w:val="0"/>
          <w:numId w:val="5"/>
        </w:numPr>
        <w:suppressAutoHyphens w:val="true"/>
        <w:rPr/>
      </w:pPr>
      <w:r>
        <w:rPr/>
        <w:t>5)</w:t>
        <w:tab/>
        <w:t>Calculate TRP using equations from section 6.1.2.1.</w:t>
      </w:r>
    </w:p>
    <w:p>
      <w:pPr>
        <w:pStyle w:val="NO"/>
        <w:numPr>
          <w:ilvl w:val="0"/>
          <w:numId w:val="5"/>
        </w:numPr>
        <w:tabs>
          <w:tab w:val="clear" w:pos="284"/>
          <w:tab w:val="left" w:pos="1080" w:leader="none"/>
        </w:tabs>
        <w:suppressAutoHyphens w:val="true"/>
        <w:ind w:left="1080" w:hanging="1080"/>
        <w:rPr/>
      </w:pPr>
      <w:r>
        <w:rPr/>
        <w:t>NOTE 1:</w:t>
        <w:tab/>
        <w:t>The measurement procedure is based on the measurement of the total power radiated from the UE/MS to a full 3 dimensional isotropic environment with uniform elevation and azimuth field distribution. The power transmitted by the DUT is undergoing Rayleigh fading and is sampled by the fixed measurement antennas. Moreover, it is important that the samples collected are independent, in order to get sufficient accuracy of the estimated TRP value.</w:t>
      </w:r>
    </w:p>
    <w:p>
      <w:pPr>
        <w:pStyle w:val="NO"/>
        <w:numPr>
          <w:ilvl w:val="0"/>
          <w:numId w:val="5"/>
        </w:numPr>
        <w:tabs>
          <w:tab w:val="clear" w:pos="284"/>
          <w:tab w:val="left" w:pos="1080" w:leader="none"/>
        </w:tabs>
        <w:suppressAutoHyphens w:val="true"/>
        <w:ind w:left="1080" w:hanging="1080"/>
        <w:rPr/>
      </w:pPr>
      <w:r>
        <w:rPr/>
        <w:t>NOTE 2:</w:t>
        <w:tab/>
        <w:t>The noise floor of the measurement receiver shall not disturb the power measurement.</w:t>
      </w:r>
    </w:p>
    <w:p>
      <w:pPr>
        <w:pStyle w:val="Heading4"/>
        <w:numPr>
          <w:ilvl w:val="2"/>
          <w:numId w:val="5"/>
        </w:numPr>
        <w:ind w:left="1418" w:hanging="1418"/>
        <w:rPr>
          <w:rFonts w:eastAsia="PMingLiU;新細明體"/>
          <w:lang w:eastAsia="zh-TW"/>
        </w:rPr>
      </w:pPr>
      <w:bookmarkStart w:id="65" w:name="__RefHeading___Toc68601001"/>
      <w:bookmarkEnd w:id="65"/>
      <w:r>
        <w:rPr>
          <w:rFonts w:eastAsia="PMingLiU;新細明體"/>
          <w:lang w:eastAsia="zh-TW"/>
        </w:rPr>
        <w:t>6.1.2.5</w:t>
        <w:tab/>
        <w:t>Test requirements</w:t>
      </w:r>
    </w:p>
    <w:p>
      <w:pPr>
        <w:pStyle w:val="Normal"/>
        <w:numPr>
          <w:ilvl w:val="0"/>
          <w:numId w:val="5"/>
        </w:numPr>
        <w:suppressAutoHyphens w:val="true"/>
        <w:jc w:val="both"/>
        <w:rPr/>
      </w:pPr>
      <w:r>
        <w:rPr/>
        <w:t>The average TRP of low, mid and high channel in beside head position shall be higher than test performance requirements for roaming bands shown in Table 6.1.2.5-1. The averaging shall be done in linear scale for the TRP results of both right and left side of the phantom head.</w:t>
      </w:r>
    </w:p>
    <w:p>
      <w:pPr>
        <w:pStyle w:val="EQ"/>
        <w:numPr>
          <w:ilvl w:val="0"/>
          <w:numId w:val="5"/>
        </w:numPr>
        <w:suppressAutoHyphens w:val="true"/>
        <w:rPr>
          <w:lang w:val="en-GB" w:eastAsia="en-GB"/>
        </w:rPr>
      </w:pPr>
      <w:r>
        <w:rPr>
          <w:lang w:val="en-GB" w:eastAsia="en-GB"/>
        </w:rPr>
      </w:r>
      <m:oMathPara xmlns:m="http://schemas.openxmlformats.org/officeDocument/2006/math">
        <m:oMathParaPr>
          <m:jc m:val="left"/>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num>
                <m:den>
                  <m:r>
                    <w:rPr>
                      <w:rFonts w:ascii="Cambria Math" w:hAnsi="Cambria Math"/>
                    </w:rPr>
                    <m:t xml:space="preserve">6</m:t>
                  </m:r>
                </m:den>
              </m:f>
            </m:e>
          </m:d>
        </m:oMath>
      </m:oMathPara>
    </w:p>
    <w:p>
      <w:pPr>
        <w:pStyle w:val="Normal"/>
        <w:numPr>
          <w:ilvl w:val="0"/>
          <w:numId w:val="5"/>
        </w:numPr>
        <w:suppressAutoHyphens w:val="true"/>
        <w:rPr/>
      </w:pPr>
      <w:r>
        <w:rPr/>
        <w:t>In addition the minimum TRP of each measured channel in beside head position shall be higher than minimum performance requirements shown in the columns “Min”.</w:t>
      </w:r>
    </w:p>
    <w:p>
      <w:pPr>
        <w:pStyle w:val="NO"/>
        <w:numPr>
          <w:ilvl w:val="0"/>
          <w:numId w:val="5"/>
        </w:numPr>
        <w:suppressAutoHyphens w:val="true"/>
        <w:rPr>
          <w:lang w:eastAsia="zh-CN"/>
        </w:rPr>
      </w:pPr>
      <w:r>
        <w:rPr/>
      </w:r>
      <m:oMathPara xmlns:m="http://schemas.openxmlformats.org/officeDocument/2006/math">
        <m:oMathParaPr>
          <m:jc m:val="left"/>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min</m:t>
          </m:r>
          <m:d>
            <m:dPr>
              <m:begChr m:val="["/>
              <m:endChr m:val="]"/>
            </m:dPr>
            <m:e>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e>
          </m:d>
        </m:oMath>
      </m:oMathPara>
    </w:p>
    <w:p>
      <w:pPr>
        <w:pStyle w:val="TH"/>
        <w:numPr>
          <w:ilvl w:val="0"/>
          <w:numId w:val="5"/>
        </w:numPr>
        <w:suppressAutoHyphens w:val="true"/>
        <w:rPr>
          <w:lang w:eastAsia="zh-CN"/>
        </w:rPr>
      </w:pPr>
      <w:r>
        <w:rPr>
          <w:lang w:eastAsia="zh-CN"/>
        </w:rPr>
        <w:t>Table 6.1.2.5-1: TRP test performance requirement for UTRA LCR TDD using Head Phantom</w:t>
      </w:r>
    </w:p>
    <w:tbl>
      <w:tblPr>
        <w:tblW w:w="7704" w:type="dxa"/>
        <w:jc w:val="center"/>
        <w:tblInd w:w="0" w:type="dxa"/>
        <w:tblLayout w:type="fixed"/>
        <w:tblCellMar>
          <w:top w:w="0" w:type="dxa"/>
          <w:left w:w="108" w:type="dxa"/>
          <w:bottom w:w="0" w:type="dxa"/>
          <w:right w:w="108" w:type="dxa"/>
        </w:tblCellMar>
      </w:tblPr>
      <w:tblGrid>
        <w:gridCol w:w="1133"/>
        <w:gridCol w:w="992"/>
        <w:gridCol w:w="567"/>
        <w:gridCol w:w="992"/>
        <w:gridCol w:w="709"/>
        <w:gridCol w:w="992"/>
        <w:gridCol w:w="567"/>
        <w:gridCol w:w="992"/>
        <w:gridCol w:w="760"/>
      </w:tblGrid>
      <w:tr>
        <w:trPr>
          <w:trHeight w:val="277" w:hRule="atLeast"/>
        </w:trPr>
        <w:tc>
          <w:tcPr>
            <w:tcW w:w="1133" w:type="dxa"/>
            <w:vMerge w:val="restart"/>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Operating band </w:t>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1</w:t>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2</w:t>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3</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4</w:t>
            </w:r>
          </w:p>
        </w:tc>
      </w:tr>
      <w:tr>
        <w:trPr>
          <w:trHeight w:val="316" w:hRule="atLeast"/>
        </w:trPr>
        <w:tc>
          <w:tcPr>
            <w:tcW w:w="113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H"/>
              <w:rPr/>
            </w:pPr>
            <w:r>
              <w:rPr>
                <w:lang w:eastAsia="en-US"/>
              </w:rPr>
              <w:t>Power (dBm)</w:t>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r>
      <w:tr>
        <w:trPr>
          <w:trHeight w:val="244" w:hRule="atLeast"/>
        </w:trPr>
        <w:tc>
          <w:tcPr>
            <w:tcW w:w="113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56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70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56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76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r>
      <w:tr>
        <w:trPr>
          <w:trHeight w:val="215" w:hRule="atLeast"/>
        </w:trPr>
        <w:tc>
          <w:tcPr>
            <w:tcW w:w="1133"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a</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+1</w:t>
            </w:r>
            <w:r>
              <w:rPr>
                <w:lang w:eastAsia="zh-CN"/>
              </w:rPr>
              <w:t>4.3</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+1</w:t>
            </w:r>
            <w:r>
              <w:rPr>
                <w:lang w:eastAsia="zh-CN"/>
              </w:rPr>
              <w:t>2</w:t>
            </w:r>
            <w:r>
              <w:rPr>
                <w:lang w:eastAsia="en-US"/>
              </w:rPr>
              <w:t xml:space="preserve"> </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r>
      <w:tr>
        <w:trPr>
          <w:trHeight w:val="215" w:hRule="atLeast"/>
        </w:trPr>
        <w:tc>
          <w:tcPr>
            <w:tcW w:w="1133"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b</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TBD+TT</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r>
      <w:tr>
        <w:trPr>
          <w:trHeight w:val="215" w:hRule="atLeast"/>
        </w:trPr>
        <w:tc>
          <w:tcPr>
            <w:tcW w:w="1133"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c</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TBD+TT</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r>
      <w:tr>
        <w:trPr>
          <w:trHeight w:val="215" w:hRule="atLeast"/>
        </w:trPr>
        <w:tc>
          <w:tcPr>
            <w:tcW w:w="1133"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TBD+TT</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r>
      <w:tr>
        <w:trPr>
          <w:trHeight w:val="215" w:hRule="atLeast"/>
        </w:trPr>
        <w:tc>
          <w:tcPr>
            <w:tcW w:w="1133"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e</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+1</w:t>
            </w:r>
            <w:r>
              <w:rPr>
                <w:lang w:eastAsia="zh-CN"/>
              </w:rPr>
              <w:t>4.3</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r>
              <w:rPr>
                <w:lang w:eastAsia="zh-CN"/>
              </w:rPr>
              <w:t>2</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r>
      <w:tr>
        <w:trPr>
          <w:trHeight w:val="215" w:hRule="atLeast"/>
        </w:trPr>
        <w:tc>
          <w:tcPr>
            <w:tcW w:w="1133"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f</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+1</w:t>
            </w:r>
            <w:r>
              <w:rPr>
                <w:lang w:eastAsia="zh-CN"/>
              </w:rPr>
              <w:t>4.3</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r>
              <w:rPr>
                <w:lang w:eastAsia="zh-CN"/>
              </w:rPr>
              <w:t>2</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r>
      <w:tr>
        <w:trPr>
          <w:trHeight w:val="215" w:hRule="atLeast"/>
        </w:trPr>
        <w:tc>
          <w:tcPr>
            <w:tcW w:w="7704" w:type="dxa"/>
            <w:gridSpan w:val="9"/>
            <w:tcBorders>
              <w:top w:val="single" w:sz="4" w:space="0" w:color="000000"/>
              <w:left w:val="single" w:sz="4" w:space="0" w:color="000000"/>
              <w:bottom w:val="single" w:sz="4" w:space="0" w:color="000000"/>
              <w:right w:val="single" w:sz="4" w:space="0" w:color="000000"/>
            </w:tcBorders>
            <w:vAlign w:val="center"/>
          </w:tcPr>
          <w:p>
            <w:pPr>
              <w:pStyle w:val="TAN"/>
              <w:rPr>
                <w:lang w:eastAsia="en-US"/>
              </w:rPr>
            </w:pPr>
            <w:r>
              <w:rPr>
                <w:lang w:eastAsia="en-US"/>
              </w:rPr>
              <w:t>Note:</w:t>
              <w:tab/>
              <w:t>Applicable for dual-mode GSM/UTRA LCR TDD.</w:t>
            </w:r>
          </w:p>
        </w:tc>
      </w:tr>
    </w:tbl>
    <w:p>
      <w:pPr>
        <w:pStyle w:val="Normal"/>
        <w:numPr>
          <w:ilvl w:val="0"/>
          <w:numId w:val="5"/>
        </w:numPr>
        <w:suppressAutoHyphens w:val="true"/>
        <w:rPr/>
      </w:pPr>
      <w:r>
        <w:rPr/>
      </w:r>
    </w:p>
    <w:p>
      <w:pPr>
        <w:pStyle w:val="NO"/>
        <w:numPr>
          <w:ilvl w:val="0"/>
          <w:numId w:val="5"/>
        </w:numPr>
        <w:suppressAutoHyphens w:val="true"/>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Heading3"/>
        <w:rPr/>
      </w:pPr>
      <w:bookmarkStart w:id="66" w:name="__RefHeading___Toc68601002"/>
      <w:r>
        <w:rPr/>
        <w:t>6.1.3</w:t>
        <w:tab/>
        <w:t>Total Radiated Power (TRP) for UTRA FDD in Speech Mode with beside the Head and Hand Phantom</w:t>
      </w:r>
      <w:bookmarkEnd w:id="66"/>
      <w:r>
        <w:rPr/>
        <w:t xml:space="preserve"> </w:t>
      </w:r>
    </w:p>
    <w:p>
      <w:pPr>
        <w:pStyle w:val="EditorsNote"/>
        <w:rPr/>
      </w:pPr>
      <w:r>
        <w:rPr/>
        <w:t>Editor’s notes: This Subclause is incomplete. The following items are missing or incomplete:</w:t>
      </w:r>
    </w:p>
    <w:p>
      <w:pPr>
        <w:pStyle w:val="EditorsNote"/>
        <w:numPr>
          <w:ilvl w:val="0"/>
          <w:numId w:val="15"/>
        </w:numPr>
        <w:rPr>
          <w:lang w:eastAsia="en-US"/>
        </w:rPr>
      </w:pPr>
      <w:r>
        <w:rPr/>
        <w:t>TBDs in Table 6.1.3.2-1 and 6.1.3.5-1 as they are not specified in TS 37.144 yet</w:t>
      </w:r>
    </w:p>
    <w:p>
      <w:pPr>
        <w:pStyle w:val="Heading4"/>
        <w:ind w:left="1418" w:hanging="1418"/>
        <w:rPr/>
      </w:pPr>
      <w:bookmarkStart w:id="67" w:name="__RefHeading___Toc68601003"/>
      <w:bookmarkEnd w:id="67"/>
      <w:r>
        <w:rPr/>
        <w:t>6.1.3.1</w:t>
      </w:r>
      <w:r>
        <w:rPr>
          <w:rFonts w:cs="Calibri" w:ascii="Calibri" w:hAnsi="Calibri"/>
          <w:sz w:val="22"/>
          <w:szCs w:val="22"/>
        </w:rPr>
        <w:tab/>
      </w:r>
      <w:r>
        <w:rPr/>
        <w:t>Definition and applicability</w:t>
      </w:r>
    </w:p>
    <w:p>
      <w:pPr>
        <w:pStyle w:val="Normal"/>
        <w:rPr/>
      </w:pPr>
      <w:r>
        <w:rPr/>
        <w:t>The Total Radiated Power (TRP) is a measure of how much power the DUT actually radiates. The TRP is defined as the integral of the power transmitted in different directions over the entire radiation sphere:</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TRP</m:t>
          </m:r>
          <m:r>
            <w:rPr>
              <w:rFonts w:ascii="Cambria Math" w:hAnsi="Cambria Math"/>
            </w:rPr>
            <m:t xml:space="preserve">=</m:t>
          </m:r>
          <m:f>
            <m:num>
              <m:r>
                <w:rPr>
                  <w:rFonts w:ascii="Cambria Math" w:hAnsi="Cambria Math"/>
                </w:rPr>
                <m:t xml:space="preserve">1</m:t>
              </m:r>
            </m:num>
            <m:den>
              <m:r>
                <w:rPr>
                  <w:rFonts w:ascii="Cambria Math" w:hAnsi="Cambria Math"/>
                </w:rPr>
                <m:t xml:space="preserve">4</m:t>
              </m:r>
              <m:r>
                <w:rPr>
                  <w:rFonts w:ascii="Cambria Math" w:hAnsi="Cambria Math"/>
                </w:rPr>
                <m:t xml:space="preserve">π</m:t>
              </m:r>
            </m:den>
          </m:f>
          <m:nary>
            <m:naryPr>
              <m:chr m:val="∮"/>
              <m:subHide m:val="1"/>
              <m:supHide m:val="1"/>
            </m:naryPr>
            <m:sub/>
            <m:sup/>
            <m:e>
              <m:d>
                <m:dPr>
                  <m:begChr m:val="("/>
                  <m:endChr m:val=")"/>
                </m:dPr>
                <m:e>
                  <m:sSub>
                    <m:e>
                      <m:r>
                        <m:rPr>
                          <m:lit/>
                          <m:nor/>
                        </m:rPr>
                        <w:rPr>
                          <w:rFonts w:ascii="Cambria Math" w:hAnsi="Cambria Math"/>
                        </w:rPr>
                        <m:t xml:space="preserve">EIRP</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EIRP</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e>
              </m:d>
            </m:e>
          </m:nary>
          <m:r>
            <w:rPr>
              <w:rFonts w:ascii="Cambria Math" w:hAnsi="Cambria Math"/>
            </w:rPr>
            <m:t xml:space="preserve">d</m:t>
          </m:r>
          <m:r>
            <w:rPr>
              <w:rFonts w:ascii="Cambria Math" w:hAnsi="Cambria Math"/>
            </w:rPr>
            <m:t xml:space="preserve">Ω</m:t>
          </m:r>
        </m:oMath>
      </m:oMathPara>
    </w:p>
    <w:p>
      <w:pPr>
        <w:pStyle w:val="Normal"/>
        <w:rPr/>
      </w:pPr>
      <w:r>
        <w:rPr/>
        <w:t xml:space="preserve">Where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r>
          <w:rPr>
            <w:rFonts w:ascii="Cambria Math" w:hAnsi="Cambria Math"/>
          </w:rPr>
          <m:t xml:space="preserve">f</m:t>
        </m:r>
      </m:oMath>
      <w:r>
        <w:rPr/>
        <w:t xml:space="preserve"> is frequency.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 are the orthogonal polarizations.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θ</m:t>
            </m:r>
          </m:sub>
        </m:sSub>
      </m:oMath>
      <w:r>
        <w:rPr/>
        <w:t xml:space="preserve"> and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ϕ</m:t>
            </m:r>
          </m:sub>
        </m:sSub>
      </m:oMath>
      <w:r>
        <w:rPr/>
        <w:t xml:space="preserve"> are the actually transmitted power-levels in corresponding polarizations.</w:t>
      </w:r>
    </w:p>
    <w:p>
      <w:pPr>
        <w:pStyle w:val="Normal"/>
        <w:rPr/>
      </w:pPr>
      <w:r>
        <w:rPr/>
        <w:t>Thus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TRP</m:t>
          </m:r>
          <m:r>
            <w:rPr>
              <w:rFonts w:ascii="Cambria Math" w:hAnsi="Cambria Math"/>
            </w:rPr>
            <m:t xml:space="preserve">≈</m:t>
          </m:r>
          <m:f>
            <m:num>
              <m:r>
                <w:rPr>
                  <w:rFonts w:ascii="Cambria Math" w:hAnsi="Cambria Math"/>
                </w:rPr>
                <m:t xml:space="preserve">π</m:t>
              </m:r>
            </m:num>
            <m:den>
              <m:r>
                <w:rPr>
                  <w:rFonts w:ascii="Cambria Math" w:hAnsi="Cambria Math"/>
                </w:rPr>
                <m:t xml:space="preserve">2</m:t>
              </m:r>
              <m:r>
                <m:rPr>
                  <m:lit/>
                  <m:nor/>
                </m:rPr>
                <w:rPr>
                  <w:rFonts w:ascii="Cambria Math" w:hAnsi="Cambria Math"/>
                </w:rPr>
                <m:t xml:space="preserve">NM</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m:rPr>
                              <m:lit/>
                              <m:nor/>
                            </m:rPr>
                            <w:rPr>
                              <w:rFonts w:ascii="Cambria Math" w:hAnsi="Cambria Math"/>
                            </w:rPr>
                            <m:t xml:space="preserve">EIRP</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EIRP</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rPr/>
      </w:pPr>
      <w:r>
        <w:rPr/>
        <w:t xml:space="preserve">In these formulas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are the number of sampling intervals for theta and phi.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oMath>
      <w:r>
        <w:rPr/>
        <w:t xml:space="preserve"> are the measurement angles. The sampling intervals are discussed further in Subclause 4.4.</w:t>
      </w:r>
    </w:p>
    <w:p>
      <w:pPr>
        <w:pStyle w:val="Normal"/>
        <w:rPr/>
      </w:pPr>
      <w:r>
        <w:rPr/>
        <w:t>The TRP can also be calculated from Rayleigh faded samples of the total power transmitted from the UE. The measurement of transmitter performance in an isotropic Rayleigh fading environment is based on sampling the radiated power of the UE for a discrete number of field combinations in the chamber. The average value of these statistically distributed samples is proportional to the TRP and by calibrating the average power transfer function, an absolute value of the TRP can be obtained. Thus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TRP</m:t>
          </m:r>
          <m:r>
            <w:rPr>
              <w:rFonts w:ascii="Cambria Math" w:hAnsi="Cambria Math"/>
            </w:rPr>
            <m:t xml:space="preserve">≈</m:t>
          </m:r>
          <m:f>
            <m:num>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f>
                        <m:num>
                          <m:sSub>
                            <m:e>
                              <m:r>
                                <w:rPr>
                                  <w:rFonts w:ascii="Cambria Math" w:hAnsi="Cambria Math"/>
                                </w:rPr>
                                <m:t xml:space="preserve">P</m:t>
                              </m:r>
                            </m:e>
                            <m:sub>
                              <m:r>
                                <w:rPr>
                                  <w:rFonts w:ascii="Cambria Math" w:hAnsi="Cambria Math"/>
                                </w:rPr>
                                <m:t xml:space="preserve">n</m:t>
                              </m:r>
                            </m:sub>
                          </m:sSub>
                        </m:num>
                        <m:den>
                          <m:sSub>
                            <m:e>
                              <m:r>
                                <w:rPr>
                                  <w:rFonts w:ascii="Cambria Math" w:hAnsi="Cambria Math"/>
                                </w:rPr>
                                <m:t xml:space="preserve">C</m:t>
                              </m:r>
                            </m:e>
                            <m:sub>
                              <m:r>
                                <w:rPr>
                                  <w:rFonts w:ascii="Cambria Math" w:hAnsi="Cambria Math"/>
                                </w:rPr>
                                <m:t xml:space="preserve">n</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den>
                      </m:f>
                    </m:e>
                  </m:d>
                </m:e>
              </m:nary>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e>
              </m:nary>
            </m:den>
          </m:f>
        </m:oMath>
      </m:oMathPara>
    </w:p>
    <w:p>
      <w:pPr>
        <w:pStyle w:val="Normal"/>
        <w:rPr/>
      </w:pPr>
      <w:r>
        <w:rPr/>
        <w:t xml:space="preserve">where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oMath>
      <w:r>
        <w:rPr/>
        <w:t xml:space="preserve"> is the reference power transfer function for fixed measurement antenna n, </w:t>
      </w:r>
      <w:r>
        <w:rPr/>
      </w:r>
      <m:oMath xmlns:m="http://schemas.openxmlformats.org/officeDocument/2006/math">
        <m:sSub>
          <m:e>
            <m:r>
              <w:rPr>
                <w:rFonts w:ascii="Cambria Math" w:hAnsi="Cambria Math"/>
              </w:rPr>
              <m:t xml:space="preserve">R</m:t>
            </m:r>
          </m:e>
          <m:sub>
            <m:r>
              <w:rPr>
                <w:rFonts w:ascii="Cambria Math" w:hAnsi="Cambria Math"/>
              </w:rPr>
              <m:t xml:space="preserve">n</m:t>
            </m:r>
          </m:sub>
        </m:sSub>
      </m:oMath>
      <w:r>
        <w:rPr/>
        <w:t xml:space="preserve"> is the reflection coefficient for fixed measurement antenna n and </w:t>
      </w:r>
      <w:r>
        <w:rPr/>
      </w:r>
      <m:oMath xmlns:m="http://schemas.openxmlformats.org/officeDocument/2006/math">
        <m:sSub>
          <m:e>
            <m:r>
              <w:rPr>
                <w:rFonts w:ascii="Cambria Math" w:hAnsi="Cambria Math"/>
              </w:rPr>
              <m:t xml:space="preserve">C</m:t>
            </m:r>
          </m:e>
          <m:sub>
            <m:r>
              <w:rPr>
                <w:rFonts w:ascii="Cambria Math" w:hAnsi="Cambria Math"/>
              </w:rPr>
              <m:t xml:space="preserve">n</m:t>
            </m:r>
          </m:sub>
        </m:sSub>
      </m:oMath>
      <w:r>
        <w:rPr/>
        <w:t xml:space="preserve"> is the path loss in the cables connecting the measurement receiver to fixed measurement antenna n. These parameters are calculated from the calibration measurement and are further discussed in Annex B.2. </w:t>
      </w:r>
      <w:r>
        <w:rPr/>
      </w:r>
      <m:oMath xmlns:m="http://schemas.openxmlformats.org/officeDocument/2006/math">
        <m:sSub>
          <m:e>
            <m:r>
              <w:rPr>
                <w:rFonts w:ascii="Cambria Math" w:hAnsi="Cambria Math"/>
              </w:rPr>
              <m:t xml:space="preserve">P</m:t>
            </m:r>
          </m:e>
          <m:sub>
            <m:r>
              <w:rPr>
                <w:rFonts w:ascii="Cambria Math" w:hAnsi="Cambria Math"/>
              </w:rPr>
              <m:t xml:space="preserve">n</m:t>
            </m:r>
          </m:sub>
        </m:sSub>
      </m:oMath>
      <w:r>
        <w:rPr/>
        <w:t xml:space="preserve"> is the average power measured by fixed measurement antenna n and can be calculated using the following expression:</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w:rPr>
                  <w:rFonts w:ascii="Cambria Math" w:hAnsi="Cambria Math"/>
                </w:rPr>
                <m:t xml:space="preserve">n</m:t>
              </m:r>
            </m:sub>
          </m:sSub>
          <m:r>
            <w:rPr>
              <w:rFonts w:ascii="Cambria Math" w:hAnsi="Cambria Math"/>
            </w:rPr>
            <m:t xml:space="preserve">=</m:t>
          </m:r>
          <m:f>
            <m:num>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p>
                    <m:e>
                      <m:d>
                        <m:dPr>
                          <m:begChr m:val="|"/>
                          <m:endChr m:val="|"/>
                        </m:dPr>
                        <m:e>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e>
                      </m:d>
                    </m:e>
                    <m:sup>
                      <m:r>
                        <w:rPr>
                          <w:rFonts w:ascii="Cambria Math" w:hAnsi="Cambria Math"/>
                        </w:rPr>
                        <m:t xml:space="preserve">2</m:t>
                      </m:r>
                    </m:sup>
                  </m:sSup>
                </m:e>
              </m:nary>
            </m:num>
            <m:den>
              <m:r>
                <w:rPr>
                  <w:rFonts w:ascii="Cambria Math" w:hAnsi="Cambria Math"/>
                </w:rPr>
                <m:t xml:space="preserve">M</m:t>
              </m:r>
            </m:den>
          </m:f>
        </m:oMath>
      </m:oMathPara>
    </w:p>
    <w:p>
      <w:pPr>
        <w:pStyle w:val="Normal"/>
        <w:rPr/>
      </w:pPr>
      <w:r>
        <w:rPr/>
        <w:t xml:space="preserve">where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oMath>
      <w:r>
        <w:rPr/>
        <w:t xml:space="preserve"> is sample number m of the complex transfer function measured with fixed measurement antenna n and </w:t>
      </w:r>
      <w:r>
        <w:rPr/>
      </w:r>
      <m:oMath xmlns:m="http://schemas.openxmlformats.org/officeDocument/2006/math">
        <m:r>
          <w:rPr>
            <w:rFonts w:ascii="Cambria Math" w:hAnsi="Cambria Math"/>
          </w:rPr>
          <m:t xml:space="preserve">M</m:t>
        </m:r>
      </m:oMath>
      <w:r>
        <w:rPr/>
        <w:t xml:space="preserve"> is the total number of samples measured for each fixed measurement antenna.</w:t>
      </w:r>
    </w:p>
    <w:p>
      <w:pPr>
        <w:pStyle w:val="Normal"/>
        <w:rPr/>
      </w:pPr>
      <w:r>
        <w:rPr/>
        <w:t>Note that all averaging must be performed using linear power values (e.g. measurements in Watts).</w:t>
      </w:r>
    </w:p>
    <w:p>
      <w:pPr>
        <w:pStyle w:val="Normal"/>
        <w:rPr/>
      </w:pPr>
      <w:r>
        <w:rPr/>
        <w:t>The requirements and this test apply to all types of UTRA for the FDD UE for Release 7 and later releases.</w:t>
      </w:r>
    </w:p>
    <w:p>
      <w:pPr>
        <w:pStyle w:val="Heading4"/>
        <w:ind w:left="1418" w:hanging="1418"/>
        <w:rPr/>
      </w:pPr>
      <w:bookmarkStart w:id="68" w:name="__RefHeading___Toc68601004"/>
      <w:bookmarkEnd w:id="68"/>
      <w:r>
        <w:rPr/>
        <w:t>6.1.3.2</w:t>
      </w:r>
      <w:r>
        <w:rPr>
          <w:rFonts w:cs="Calibri" w:ascii="Calibri" w:hAnsi="Calibri"/>
          <w:sz w:val="22"/>
          <w:szCs w:val="22"/>
        </w:rPr>
        <w:tab/>
      </w:r>
      <w:r>
        <w:rPr/>
        <w:t>Minimum Requirements</w:t>
      </w:r>
    </w:p>
    <w:p>
      <w:pPr>
        <w:pStyle w:val="Normal"/>
        <w:jc w:val="both"/>
        <w:rPr/>
      </w:pPr>
      <w:r>
        <w:rPr/>
        <w:t>The average TRP of low, mid and high channel in beside head position shall be higher than minimum performance requirements for roaming bands shown in Table 6.1.3.2-1. The averaging shall be done in linear scale for the TRP results of both right and left side of the phantom head.</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num>
                <m:den>
                  <m:r>
                    <w:rPr>
                      <w:rFonts w:ascii="Cambria Math" w:hAnsi="Cambria Math"/>
                    </w:rPr>
                    <m:t xml:space="preserve">6</m:t>
                  </m:r>
                </m:den>
              </m:f>
            </m:e>
          </m:d>
        </m:oMath>
      </m:oMathPara>
    </w:p>
    <w:p>
      <w:pPr>
        <w:pStyle w:val="Normal"/>
        <w:rPr/>
      </w:pPr>
      <w:r>
        <w:rPr/>
        <w:t>In addition the minimum TRP of each measured channel in beside head position shall be higher than minimum performance requirements shown in the columns “Min”.</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min</m:t>
          </m:r>
          <m:d>
            <m:dPr>
              <m:begChr m:val="["/>
              <m:endChr m:val="]"/>
            </m:dPr>
            <m:e>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e>
          </m:d>
        </m:oMath>
      </m:oMathPara>
    </w:p>
    <w:p>
      <w:pPr>
        <w:pStyle w:val="TH"/>
        <w:rPr/>
      </w:pPr>
      <w:r>
        <w:rPr/>
        <w:t>Table 6.1.3.2-1: TRP minimum performance requirement for UTRA FDD roaming bands in the speech mode and the primary mechanical mode</w:t>
      </w:r>
    </w:p>
    <w:tbl>
      <w:tblPr>
        <w:tblW w:w="9360" w:type="dxa"/>
        <w:jc w:val="left"/>
        <w:tblInd w:w="-113" w:type="dxa"/>
        <w:tblLayout w:type="fixed"/>
        <w:tblCellMar>
          <w:top w:w="0" w:type="dxa"/>
          <w:left w:w="108" w:type="dxa"/>
          <w:bottom w:w="0" w:type="dxa"/>
          <w:right w:w="108" w:type="dxa"/>
        </w:tblCellMar>
      </w:tblPr>
      <w:tblGrid>
        <w:gridCol w:w="1101"/>
        <w:gridCol w:w="1134"/>
        <w:gridCol w:w="1134"/>
        <w:gridCol w:w="1030"/>
        <w:gridCol w:w="992"/>
        <w:gridCol w:w="993"/>
        <w:gridCol w:w="992"/>
        <w:gridCol w:w="992"/>
        <w:gridCol w:w="992"/>
      </w:tblGrid>
      <w:tr>
        <w:trPr/>
        <w:tc>
          <w:tcPr>
            <w:tcW w:w="1101" w:type="dxa"/>
            <w:vMerge w:val="restart"/>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Operating band</w:t>
            </w:r>
          </w:p>
        </w:tc>
        <w:tc>
          <w:tcPr>
            <w:tcW w:w="1134"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Class 1</w:t>
            </w:r>
          </w:p>
        </w:tc>
        <w:tc>
          <w:tcPr>
            <w:tcW w:w="1134"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Class 2</w:t>
            </w:r>
          </w:p>
        </w:tc>
        <w:tc>
          <w:tcPr>
            <w:tcW w:w="2022"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Class 3</w:t>
            </w:r>
          </w:p>
        </w:tc>
        <w:tc>
          <w:tcPr>
            <w:tcW w:w="1985"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Class 3bis</w:t>
            </w:r>
          </w:p>
        </w:tc>
        <w:tc>
          <w:tcPr>
            <w:tcW w:w="1984"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Class 4</w:t>
            </w:r>
          </w:p>
        </w:tc>
      </w:tr>
      <w:tr>
        <w:trPr/>
        <w:tc>
          <w:tcPr>
            <w:tcW w:w="1101" w:type="dxa"/>
            <w:vMerge w:val="continue"/>
            <w:tcBorders>
              <w:top w:val="single" w:sz="4" w:space="0" w:color="000000"/>
              <w:left w:val="single" w:sz="4" w:space="0" w:color="000000"/>
              <w:bottom w:val="single" w:sz="4" w:space="0" w:color="000000"/>
              <w:right w:val="single" w:sz="4" w:space="0" w:color="000000"/>
            </w:tcBorders>
          </w:tcPr>
          <w:p>
            <w:pPr>
              <w:pStyle w:val="Fp1"/>
              <w:snapToGrid w:val="false"/>
              <w:rPr>
                <w:rFonts w:ascii="Arial" w:hAnsi="Arial" w:cs="Arial"/>
                <w:b/>
                <w:b/>
                <w:bCs/>
                <w:sz w:val="18"/>
                <w:lang w:val="en-GB"/>
              </w:rPr>
            </w:pPr>
            <w:r>
              <w:rPr>
                <w:rFonts w:cs="Arial" w:ascii="Arial" w:hAnsi="Arial"/>
                <w:b/>
                <w:bCs/>
                <w:sz w:val="18"/>
                <w:lang w:val="en-GB"/>
              </w:rPr>
            </w:r>
          </w:p>
        </w:tc>
        <w:tc>
          <w:tcPr>
            <w:tcW w:w="1134"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(dBm)</w:t>
            </w:r>
          </w:p>
        </w:tc>
        <w:tc>
          <w:tcPr>
            <w:tcW w:w="1134"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(dBm)</w:t>
            </w:r>
          </w:p>
        </w:tc>
        <w:tc>
          <w:tcPr>
            <w:tcW w:w="2022"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(dBm)</w:t>
            </w:r>
          </w:p>
        </w:tc>
        <w:tc>
          <w:tcPr>
            <w:tcW w:w="1985"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(dBm)</w:t>
            </w:r>
          </w:p>
        </w:tc>
        <w:tc>
          <w:tcPr>
            <w:tcW w:w="1984"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(dBm)</w:t>
            </w:r>
          </w:p>
        </w:tc>
      </w:tr>
      <w:tr>
        <w:trPr/>
        <w:tc>
          <w:tcPr>
            <w:tcW w:w="1101" w:type="dxa"/>
            <w:vMerge w:val="continue"/>
            <w:tcBorders>
              <w:top w:val="single" w:sz="4" w:space="0" w:color="000000"/>
              <w:left w:val="single" w:sz="4" w:space="0" w:color="000000"/>
              <w:bottom w:val="single" w:sz="4" w:space="0" w:color="000000"/>
              <w:right w:val="single" w:sz="4" w:space="0" w:color="000000"/>
            </w:tcBorders>
          </w:tcPr>
          <w:p>
            <w:pPr>
              <w:pStyle w:val="Fp1"/>
              <w:snapToGrid w:val="false"/>
              <w:rPr>
                <w:rFonts w:ascii="Arial" w:hAnsi="Arial" w:cs="Arial"/>
                <w:b/>
                <w:b/>
                <w:bCs/>
                <w:sz w:val="18"/>
                <w:lang w:val="en-GB"/>
              </w:rPr>
            </w:pPr>
            <w:r>
              <w:rPr>
                <w:rFonts w:cs="Arial" w:ascii="Arial" w:hAnsi="Arial"/>
                <w:b/>
                <w:bCs/>
                <w:sz w:val="18"/>
                <w:lang w:val="en-GB"/>
              </w:rPr>
            </w:r>
          </w:p>
        </w:tc>
        <w:tc>
          <w:tcPr>
            <w:tcW w:w="1134" w:type="dxa"/>
            <w:tcBorders>
              <w:top w:val="single" w:sz="4" w:space="0" w:color="000000"/>
              <w:left w:val="single" w:sz="4" w:space="0" w:color="000000"/>
              <w:bottom w:val="single" w:sz="4" w:space="0" w:color="000000"/>
              <w:right w:val="single" w:sz="4" w:space="0" w:color="000000"/>
            </w:tcBorders>
          </w:tcPr>
          <w:p>
            <w:pPr>
              <w:pStyle w:val="Tah1"/>
              <w:snapToGrid w:val="false"/>
              <w:rPr>
                <w:rFonts w:ascii="Arial" w:hAnsi="Arial" w:cs="Arial"/>
                <w:b/>
                <w:b/>
                <w:bCs/>
                <w:sz w:val="18"/>
                <w:lang w:val="en-GB"/>
              </w:rPr>
            </w:pPr>
            <w:r>
              <w:rPr>
                <w:rFonts w:cs="Arial"/>
                <w:b/>
                <w:bCs/>
                <w:sz w:val="18"/>
                <w:lang w:val="en-GB"/>
              </w:rPr>
            </w:r>
          </w:p>
        </w:tc>
        <w:tc>
          <w:tcPr>
            <w:tcW w:w="1134" w:type="dxa"/>
            <w:tcBorders>
              <w:top w:val="single" w:sz="4" w:space="0" w:color="000000"/>
              <w:left w:val="single" w:sz="4" w:space="0" w:color="000000"/>
              <w:bottom w:val="single" w:sz="4" w:space="0" w:color="000000"/>
              <w:right w:val="single" w:sz="4" w:space="0" w:color="000000"/>
            </w:tcBorders>
          </w:tcPr>
          <w:p>
            <w:pPr>
              <w:pStyle w:val="Tah1"/>
              <w:snapToGrid w:val="false"/>
              <w:rPr>
                <w:lang w:val="en-GB"/>
              </w:rPr>
            </w:pPr>
            <w:r>
              <w:rPr>
                <w:lang w:val="en-GB"/>
              </w:rPr>
            </w:r>
          </w:p>
        </w:tc>
        <w:tc>
          <w:tcPr>
            <w:tcW w:w="1030"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Average</w:t>
            </w:r>
          </w:p>
        </w:tc>
        <w:tc>
          <w:tcPr>
            <w:tcW w:w="992"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Min</w:t>
            </w:r>
          </w:p>
        </w:tc>
        <w:tc>
          <w:tcPr>
            <w:tcW w:w="993"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Average</w:t>
            </w:r>
          </w:p>
        </w:tc>
        <w:tc>
          <w:tcPr>
            <w:tcW w:w="992"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Min</w:t>
            </w:r>
          </w:p>
        </w:tc>
        <w:tc>
          <w:tcPr>
            <w:tcW w:w="992"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Average</w:t>
            </w:r>
          </w:p>
        </w:tc>
        <w:tc>
          <w:tcPr>
            <w:tcW w:w="992"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Min</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3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13.25</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3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13.25</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sz w:val="20"/>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3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IV</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3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3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9.40</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3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9.4</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3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3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9.40</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IX</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3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XIX</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3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9.4</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c>
          <w:tcPr>
            <w:tcW w:w="9360" w:type="dxa"/>
            <w:gridSpan w:val="9"/>
            <w:tcBorders>
              <w:top w:val="single" w:sz="4" w:space="0" w:color="000000"/>
              <w:left w:val="single" w:sz="4" w:space="0" w:color="000000"/>
              <w:bottom w:val="single" w:sz="4" w:space="0" w:color="000000"/>
              <w:right w:val="single" w:sz="4" w:space="0" w:color="000000"/>
            </w:tcBorders>
          </w:tcPr>
          <w:p>
            <w:pPr>
              <w:pStyle w:val="TAN"/>
              <w:rPr/>
            </w:pPr>
            <w:r>
              <w:rPr>
                <w:lang w:eastAsia="en-US"/>
              </w:rPr>
              <w:t>NOTE 1:</w:t>
              <w:tab/>
              <w:t>Applicable for dual-mode GSM/UMTS.</w:t>
            </w:r>
          </w:p>
          <w:p>
            <w:pPr>
              <w:pStyle w:val="TAN"/>
              <w:rPr/>
            </w:pPr>
            <w:r>
              <w:rPr>
                <w:rFonts w:cs="Arial"/>
                <w:lang w:eastAsia="en-US"/>
              </w:rPr>
              <w:t>NOTE 2:</w:t>
              <w:tab/>
              <w:t>Applicable for devices narrower than 72mm as defined in TR 25.914.</w:t>
            </w:r>
          </w:p>
          <w:p>
            <w:pPr>
              <w:pStyle w:val="TAN"/>
              <w:rPr>
                <w:bCs/>
                <w:lang w:eastAsia="en-US"/>
              </w:rPr>
            </w:pPr>
            <w:r>
              <w:rPr>
                <w:rFonts w:cs="Arial"/>
                <w:lang w:eastAsia="en-US"/>
              </w:rPr>
              <w:t>NOTE 3:</w:t>
              <w:tab/>
              <w:t>Not applicable for devices supporting CDMA or carrier aggregation.</w:t>
            </w:r>
          </w:p>
        </w:tc>
      </w:tr>
    </w:tbl>
    <w:p>
      <w:pPr>
        <w:pStyle w:val="Normal"/>
        <w:rPr/>
      </w:pPr>
      <w:r>
        <w:rPr/>
      </w:r>
    </w:p>
    <w:p>
      <w:pPr>
        <w:pStyle w:val="Normal"/>
        <w:rPr/>
      </w:pPr>
      <w:r>
        <w:rPr/>
        <w:t>The normative reference for this clause is TS37.144 [12] Subclause 6.1.2.1.</w:t>
      </w:r>
    </w:p>
    <w:p>
      <w:pPr>
        <w:pStyle w:val="Heading4"/>
        <w:ind w:left="1418" w:hanging="1418"/>
        <w:rPr/>
      </w:pPr>
      <w:bookmarkStart w:id="69" w:name="__RefHeading___Toc68601005"/>
      <w:bookmarkEnd w:id="69"/>
      <w:r>
        <w:rPr/>
        <w:t>6.1.3.3</w:t>
      </w:r>
      <w:r>
        <w:rPr>
          <w:rFonts w:cs="Calibri" w:ascii="Calibri" w:hAnsi="Calibri"/>
          <w:sz w:val="22"/>
          <w:szCs w:val="22"/>
        </w:rPr>
        <w:tab/>
      </w:r>
      <w:r>
        <w:rPr/>
        <w:t>Test purpose</w:t>
      </w:r>
    </w:p>
    <w:p>
      <w:pPr>
        <w:pStyle w:val="Normal"/>
        <w:rPr/>
      </w:pPr>
      <w:r>
        <w:rPr/>
        <w:t xml:space="preserve">The purpose of this test is to verify that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 xml:space="preserve">of the UE is not below specified values. A lower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decrease the coverage area.</w:t>
      </w:r>
    </w:p>
    <w:p>
      <w:pPr>
        <w:pStyle w:val="Heading4"/>
        <w:ind w:left="1418" w:hanging="1418"/>
        <w:rPr/>
      </w:pPr>
      <w:bookmarkStart w:id="70" w:name="__RefHeading___Toc68601006"/>
      <w:bookmarkEnd w:id="70"/>
      <w:r>
        <w:rPr/>
        <w:t>6.1.3.4</w:t>
      </w:r>
      <w:r>
        <w:rPr>
          <w:rFonts w:cs="Calibri" w:ascii="Calibri" w:hAnsi="Calibri"/>
          <w:sz w:val="22"/>
          <w:szCs w:val="22"/>
        </w:rPr>
        <w:tab/>
      </w:r>
      <w:r>
        <w:rPr/>
        <w:t>Method of test</w:t>
      </w:r>
    </w:p>
    <w:p>
      <w:pPr>
        <w:pStyle w:val="Heading4"/>
        <w:ind w:left="1418" w:hanging="1418"/>
        <w:rPr/>
      </w:pPr>
      <w:bookmarkStart w:id="71" w:name="__RefHeading___Toc68601007"/>
      <w:bookmarkEnd w:id="71"/>
      <w:r>
        <w:rPr/>
        <w:t>6.1.3.4.1</w:t>
      </w:r>
      <w:r>
        <w:rPr>
          <w:rFonts w:cs="Calibri" w:ascii="Calibri" w:hAnsi="Calibri"/>
          <w:sz w:val="22"/>
          <w:szCs w:val="22"/>
        </w:rPr>
        <w:tab/>
      </w:r>
      <w:r>
        <w:rPr/>
        <w:t>Initial conditions</w:t>
      </w:r>
    </w:p>
    <w:p>
      <w:pPr>
        <w:pStyle w:val="Normal"/>
        <w:rPr/>
      </w:pPr>
      <w:r>
        <w:rPr/>
        <w:t xml:space="preserve">The output power is a measure of the maximum power the UE can transmit in a bandwidth of at least (1+ </w:t>
      </w:r>
      <w:r>
        <w:rPr>
          <w:rFonts w:cs="Symbol" w:ascii="Symbol" w:hAnsi="Symbol"/>
        </w:rPr>
        <w:t></w:t>
      </w:r>
      <w:r>
        <w:rPr/>
        <w:t xml:space="preserve"> times the chip rate of the radio access mode, for more information see 3GPP TS 34.121-1 [7] Subclause 5.2. The period of measurement shall be at least one timeslot. Also care should be taken that the noise floor of the measurement receiver is not disturbing the power measurement.</w:t>
      </w:r>
    </w:p>
    <w:p>
      <w:pPr>
        <w:pStyle w:val="Normal"/>
        <w:rPr/>
      </w:pPr>
      <w:r>
        <w:rPr/>
        <w:t>Test environment: normal; see TS 34.121-1 [7] Subclause G.2.1.</w:t>
      </w:r>
    </w:p>
    <w:p>
      <w:pPr>
        <w:pStyle w:val="Normal"/>
        <w:rPr/>
      </w:pPr>
      <w:r>
        <w:rPr/>
        <w:t>Frequencies to be tested: low range, mid range, high range; see Table 5.1-2.</w:t>
      </w:r>
    </w:p>
    <w:p>
      <w:pPr>
        <w:pStyle w:val="B1"/>
        <w:rPr/>
      </w:pPr>
      <w:r>
        <w:rPr/>
        <w:t>1)</w:t>
        <w:tab/>
        <w:t>Set the SS downlink physical channels according to settings in Table 6.1.3.4.1-1. Set the DPCH power such that there will not be transmission gaps due to too low signal strength throughout the measurement.</w:t>
      </w:r>
    </w:p>
    <w:p>
      <w:pPr>
        <w:pStyle w:val="B1"/>
        <w:rPr/>
      </w:pPr>
      <w:r>
        <w:rPr/>
        <w:t>2)</w:t>
        <w:tab/>
        <w:t>Power on the UE.</w:t>
      </w:r>
    </w:p>
    <w:p>
      <w:pPr>
        <w:pStyle w:val="B1"/>
        <w:rPr/>
      </w:pPr>
      <w:r>
        <w:rPr/>
        <w:t>3)</w:t>
        <w:tab/>
        <w:t>A call is set up according to the Generic call setup procedure. The power control algorithm shall be set to Power Control Algorithm 2. Compressed mode shall be set to OFF.</w:t>
      </w:r>
    </w:p>
    <w:p>
      <w:pPr>
        <w:pStyle w:val="B1"/>
        <w:rPr/>
      </w:pPr>
      <w:r>
        <w:rPr/>
        <w:t>4)</w:t>
        <w:tab/>
        <w:t>Enter the UE into loopback test mode 2 and start the loopback test.</w:t>
      </w:r>
    </w:p>
    <w:p>
      <w:pPr>
        <w:pStyle w:val="Normal"/>
        <w:rPr/>
      </w:pPr>
      <w:r>
        <w:rPr/>
        <w:t>See TS 34.108 [4] and TS 34.109 [5] for details regarding generic call setup procedure and loopback test.</w:t>
      </w:r>
    </w:p>
    <w:p>
      <w:pPr>
        <w:pStyle w:val="TH"/>
        <w:rPr/>
      </w:pPr>
      <w:r>
        <w:rPr/>
        <w:t>Table 6.1.3.4.1-1: Downlink Physical Channels transmitted during a connection</w:t>
      </w:r>
    </w:p>
    <w:tbl>
      <w:tblPr>
        <w:tblW w:w="6612" w:type="dxa"/>
        <w:jc w:val="left"/>
        <w:tblInd w:w="1553" w:type="dxa"/>
        <w:tblLayout w:type="fixed"/>
        <w:tblCellMar>
          <w:top w:w="0" w:type="dxa"/>
          <w:left w:w="108" w:type="dxa"/>
          <w:bottom w:w="0" w:type="dxa"/>
          <w:right w:w="108" w:type="dxa"/>
        </w:tblCellMar>
      </w:tblPr>
      <w:tblGrid>
        <w:gridCol w:w="2301"/>
        <w:gridCol w:w="4311"/>
      </w:tblGrid>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Physical Channel</w:t>
            </w:r>
          </w:p>
        </w:tc>
        <w:tc>
          <w:tcPr>
            <w:tcW w:w="431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Power</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pPr>
            <w:r>
              <w:rPr>
                <w:lang w:eastAsia="en-US"/>
              </w:rPr>
              <w:t>CPICH</w:t>
            </w:r>
          </w:p>
        </w:tc>
        <w:tc>
          <w:tcPr>
            <w:tcW w:w="431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CPICH_Ec / DPCH_Ec</w:t>
              <w:tab/>
              <w:tab/>
              <w:t>= 7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P-CCPCH</w:t>
            </w:r>
          </w:p>
        </w:tc>
        <w:tc>
          <w:tcPr>
            <w:tcW w:w="431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P-CCPCH_Ec / DPCH_Ec</w:t>
              <w:tab/>
              <w:t>= 5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SCH</w:t>
            </w:r>
          </w:p>
        </w:tc>
        <w:tc>
          <w:tcPr>
            <w:tcW w:w="431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SCH_Ec / DPCH_Ec</w:t>
              <w:tab/>
              <w:tab/>
              <w:tab/>
              <w:t>= 5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PICH</w:t>
            </w:r>
          </w:p>
        </w:tc>
        <w:tc>
          <w:tcPr>
            <w:tcW w:w="431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PICH_Ec / DPCH_Ec</w:t>
              <w:tab/>
              <w:tab/>
              <w:t>= 2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DPCH</w:t>
            </w:r>
          </w:p>
        </w:tc>
        <w:tc>
          <w:tcPr>
            <w:tcW w:w="431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Test dependent power</w:t>
            </w:r>
          </w:p>
        </w:tc>
      </w:tr>
    </w:tbl>
    <w:p>
      <w:pPr>
        <w:pStyle w:val="Normal"/>
        <w:rPr/>
      </w:pPr>
      <w:r>
        <w:rPr/>
      </w:r>
    </w:p>
    <w:p>
      <w:pPr>
        <w:pStyle w:val="Heading4"/>
        <w:ind w:left="1418" w:hanging="1418"/>
        <w:rPr/>
      </w:pPr>
      <w:bookmarkStart w:id="72" w:name="__RefHeading___Toc68601008"/>
      <w:bookmarkEnd w:id="72"/>
      <w:r>
        <w:rPr/>
        <w:t>6.1.3.4.2</w:t>
      </w:r>
      <w:r>
        <w:rPr>
          <w:rFonts w:cs="Calibri" w:ascii="Calibri" w:hAnsi="Calibri"/>
          <w:sz w:val="22"/>
          <w:szCs w:val="22"/>
        </w:rPr>
        <w:tab/>
      </w:r>
      <w:r>
        <w:rPr/>
        <w:t>Procedure</w:t>
      </w:r>
    </w:p>
    <w:p>
      <w:pPr>
        <w:pStyle w:val="B1"/>
        <w:rPr/>
      </w:pPr>
      <w:r>
        <w:rPr/>
        <w:t>1)</w:t>
        <w:tab/>
        <w:t>Send continuously Up power control commands to the UE.</w:t>
      </w:r>
    </w:p>
    <w:p>
      <w:pPr>
        <w:pStyle w:val="B1"/>
        <w:rPr/>
      </w:pPr>
      <w:r>
        <w:rPr/>
        <w:t>2)</w:t>
        <w:tab/>
        <w:t>As the UE reaches maximum power, start sending PN15 data pattern.</w:t>
      </w:r>
    </w:p>
    <w:p>
      <w:pPr>
        <w:pStyle w:val="B1"/>
        <w:rPr/>
      </w:pPr>
      <w:r>
        <w:rPr/>
        <w:t>3)</w:t>
        <w:tab/>
        <w:t>Position the UE according to the DUT positioning for speech mode specified in Subclause 4.3.3.</w:t>
      </w:r>
    </w:p>
    <w:p>
      <w:pPr>
        <w:pStyle w:val="B1"/>
        <w:rPr/>
      </w:pPr>
      <w:r>
        <w:rPr/>
        <w:t>4)</w:t>
        <w:tab/>
        <w:t xml:space="preserve">Measure the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θ</m:t>
            </m:r>
          </m:sub>
        </m:sSub>
      </m:oMath>
      <w:r>
        <w:rPr/>
        <w:t xml:space="preserve"> and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ϕ</m:t>
            </m:r>
          </m:sub>
        </m:sSub>
      </m:oMath>
      <w:r>
        <w:rPr/>
        <w:t xml:space="preserve"> with a sample step of 15° in theta (</w:t>
      </w:r>
      <w:r>
        <w:rPr>
          <w:rFonts w:eastAsia="Symbol" w:cs="Symbol" w:ascii="Symbol" w:hAnsi="Symbol"/>
        </w:rPr>
        <w:t></w:t>
      </w:r>
      <w:r>
        <w:rPr/>
        <w:t>) and phi (</w:t>
      </w:r>
      <w:r>
        <w:rPr>
          <w:rFonts w:eastAsia="Symbol" w:cs="Symbol" w:ascii="Symbol" w:hAnsi="Symbol"/>
        </w:rPr>
        <w:t></w:t>
      </w:r>
      <w:r>
        <w:rPr/>
        <w:t>) directions using a test system having characteristics as described in Annex A.</w:t>
      </w:r>
    </w:p>
    <w:p>
      <w:pPr>
        <w:pStyle w:val="B1"/>
        <w:rPr/>
      </w:pPr>
      <w:r>
        <w:rPr/>
        <w:t>5)</w:t>
        <w:tab/>
        <w:t>Calculate TRP using equations from Subclause 6.1.3.1.</w:t>
      </w:r>
    </w:p>
    <w:p>
      <w:pPr>
        <w:pStyle w:val="NO"/>
        <w:rPr/>
      </w:pPr>
      <w:r>
        <w:rPr/>
        <w:t>NOTE 1:</w:t>
        <w:tab/>
        <w:t>The measurement procedure is based on the measurement of the spherical radiation pattern of the DUT. The power radiated by the DUT is sampled in far field in a group of points located on a spherical surface enclosing the DUT. The EIRP samples are taken using a constant sample step of 15° both in theta (</w:t>
      </w:r>
      <w:r>
        <w:rPr>
          <w:rFonts w:eastAsia="Symbol" w:cs="Symbol" w:ascii="Symbol" w:hAnsi="Symbol"/>
        </w:rPr>
        <w:t></w:t>
      </w:r>
      <w:r>
        <w:rPr/>
        <w:t>) and phi (</w:t>
      </w:r>
      <w:r>
        <w:rPr>
          <w:rFonts w:eastAsia="Symbol" w:cs="Symbol" w:ascii="Symbol" w:hAnsi="Symbol"/>
        </w:rPr>
        <w:t></w:t>
      </w:r>
      <w:r>
        <w:rPr/>
        <w:t xml:space="preserve">) directions. In some cases a different sampling grid may be used to speed up the measurements (See Subclause 4.4). All the EIRP samples are taken with two orthogonal polarizations,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-polarisations.</w:t>
      </w:r>
    </w:p>
    <w:p>
      <w:pPr>
        <w:pStyle w:val="NO"/>
        <w:rPr/>
      </w:pPr>
      <w:r>
        <w:rPr/>
        <w:t>NOTE 2:</w:t>
        <w:tab/>
        <w:t>The noise floor of the measurement receiver shall not disturb the power measurement.</w:t>
      </w:r>
    </w:p>
    <w:p>
      <w:pPr>
        <w:pStyle w:val="NO"/>
        <w:rPr/>
      </w:pPr>
      <w:r>
        <w:rPr/>
        <w:t>NOTE 3:</w:t>
        <w:tab/>
        <w:t>Non Standard settings: To speed up sensitivity measurements, power measurements may be done with non standard modulation. However to obtain TRP result the measured EIRP figures shall be normalized by</w:t>
      </w:r>
    </w:p>
    <w:p>
      <w:pPr>
        <w:pStyle w:val="EQ"/>
        <w:jc w:val="center"/>
        <w:rPr>
          <w:lang w:val="en-GB" w:eastAsia="en-GB"/>
        </w:rPr>
      </w:pPr>
      <w:r>
        <w:rPr>
          <w:lang w:val="en-GB" w:eastAsia="en-GB"/>
        </w:rPr>
      </w:r>
      <m:oMathPara xmlns:m="http://schemas.openxmlformats.org/officeDocument/2006/math">
        <m:oMathParaPr>
          <m:jc m:val="center"/>
        </m:oMathParaPr>
        <m:oMath>
          <m:r>
            <w:rPr>
              <w:rFonts w:ascii="Cambria Math" w:hAnsi="Cambria Math"/>
            </w:rPr>
            <m:t xml:space="preserve">Δ</m:t>
          </m:r>
          <m:bar>
            <m:barPr>
              <m:pos m:val="top"/>
            </m:barPr>
            <m:e>
              <m:r>
                <m:rPr>
                  <m:lit/>
                  <m:nor/>
                </m:rPr>
                <w:rPr>
                  <w:rFonts w:ascii="Cambria Math" w:hAnsi="Cambria Math"/>
                </w:rPr>
                <m:t xml:space="preserve">EIRP</m:t>
              </m:r>
            </m:e>
          </m:ba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m:rPr>
                          <m:lit/>
                          <m:nor/>
                        </m:rPr>
                        <w:rPr>
                          <w:rFonts w:ascii="Cambria Math" w:hAnsi="Cambria Math"/>
                        </w:rPr>
                        <m:t xml:space="preserve">EIRPstd</m:t>
                      </m:r>
                    </m:e>
                    <m:sub>
                      <m:r>
                        <w:rPr>
                          <w:rFonts w:ascii="Cambria Math" w:hAnsi="Cambria Math"/>
                        </w:rPr>
                        <m:t xml:space="preserve">i</m:t>
                      </m:r>
                    </m:sub>
                  </m:sSub>
                  <m:r>
                    <w:rPr>
                      <w:rFonts w:ascii="Cambria Math" w:hAnsi="Cambria Math"/>
                    </w:rPr>
                    <m:t xml:space="preserve">−</m:t>
                  </m:r>
                  <m:sSub>
                    <m:e>
                      <m:r>
                        <m:rPr>
                          <m:lit/>
                          <m:nor/>
                        </m:rPr>
                        <w:rPr>
                          <w:rFonts w:ascii="Cambria Math" w:hAnsi="Cambria Math"/>
                        </w:rPr>
                        <m:t xml:space="preserve">EIRPnstd</m:t>
                      </m:r>
                    </m:e>
                    <m:sub>
                      <m:r>
                        <w:rPr>
                          <w:rFonts w:ascii="Cambria Math" w:hAnsi="Cambria Math"/>
                        </w:rPr>
                        <m:t xml:space="preserve">i</m:t>
                      </m:r>
                    </m:sub>
                  </m:sSub>
                </m:e>
              </m:d>
            </m:e>
          </m:nary>
        </m:oMath>
      </m:oMathPara>
    </w:p>
    <w:p>
      <w:pPr>
        <w:pStyle w:val="Normal"/>
        <w:rPr/>
      </w:pPr>
      <w:r>
        <w:rPr/>
        <w:t xml:space="preserve">where </w:t>
      </w:r>
      <w:r>
        <w:rPr/>
      </w:r>
      <m:oMath xmlns:m="http://schemas.openxmlformats.org/officeDocument/2006/math">
        <m:sSub>
          <m:e>
            <m:r>
              <m:rPr>
                <m:lit/>
                <m:nor/>
              </m:rPr>
              <w:rPr>
                <w:rFonts w:ascii="Cambria Math" w:hAnsi="Cambria Math"/>
              </w:rPr>
              <m:t xml:space="preserve">EIRPstd</m:t>
            </m:r>
          </m:e>
          <m:sub>
            <m:r>
              <w:rPr>
                <w:rFonts w:ascii="Cambria Math" w:hAnsi="Cambria Math"/>
              </w:rPr>
              <m:t xml:space="preserve">i</m:t>
            </m:r>
          </m:sub>
        </m:sSub>
      </m:oMath>
      <w:r>
        <w:rPr/>
        <w:t xml:space="preserve"> is power measurement done with standard setting. </w:t>
      </w:r>
      <w:r>
        <w:rPr/>
      </w:r>
      <m:oMath xmlns:m="http://schemas.openxmlformats.org/officeDocument/2006/math">
        <m:sSub>
          <m:e>
            <m:r>
              <m:rPr>
                <m:lit/>
                <m:nor/>
              </m:rPr>
              <w:rPr>
                <w:rFonts w:ascii="Cambria Math" w:hAnsi="Cambria Math"/>
              </w:rPr>
              <m:t xml:space="preserve">EIRPnstd</m:t>
            </m:r>
          </m:e>
          <m:sub>
            <m:r>
              <w:rPr>
                <w:rFonts w:ascii="Cambria Math" w:hAnsi="Cambria Math"/>
              </w:rPr>
              <m:t xml:space="preserve">i</m:t>
            </m:r>
          </m:sub>
        </m:sSub>
      </m:oMath>
      <w:r>
        <w:rPr/>
        <w:t xml:space="preserve"> is power measurement done with non standard modulation. </w:t>
      </w:r>
      <w:r>
        <w:rPr/>
      </w:r>
      <m:oMath xmlns:m="http://schemas.openxmlformats.org/officeDocument/2006/math">
        <m:r>
          <w:rPr>
            <w:rFonts w:ascii="Cambria Math" w:hAnsi="Cambria Math"/>
          </w:rPr>
          <m:t xml:space="preserve">n</m:t>
        </m:r>
      </m:oMath>
      <w:r>
        <w:rPr/>
        <w:t xml:space="preserve"> is amount of reference measurement points.</w:t>
      </w:r>
    </w:p>
    <w:p>
      <w:pPr>
        <w:pStyle w:val="Normal"/>
        <w:rPr/>
      </w:pPr>
      <w:r>
        <w:rPr/>
        <w:t>To ensure accuracy of TRP, the amount of reference points measured should be at least 4. It is recommended to spread the reference measurements equally during the measurement time.</w:t>
      </w:r>
    </w:p>
    <w:p>
      <w:pPr>
        <w:pStyle w:val="Heading4"/>
        <w:ind w:left="1418" w:hanging="1418"/>
        <w:rPr/>
      </w:pPr>
      <w:bookmarkStart w:id="73" w:name="__RefHeading___Toc68601009"/>
      <w:bookmarkEnd w:id="73"/>
      <w:r>
        <w:rPr/>
        <w:t>6.1.3.4.3</w:t>
      </w:r>
      <w:r>
        <w:rPr>
          <w:rFonts w:cs="Calibri" w:ascii="Calibri" w:hAnsi="Calibri"/>
          <w:sz w:val="22"/>
          <w:szCs w:val="22"/>
        </w:rPr>
        <w:tab/>
      </w:r>
      <w:r>
        <w:rPr/>
        <w:t>Procedure, reverberation chamber method</w:t>
      </w:r>
    </w:p>
    <w:p>
      <w:pPr>
        <w:pStyle w:val="B1"/>
        <w:rPr/>
      </w:pPr>
      <w:r>
        <w:rPr/>
        <w:t>1)</w:t>
        <w:tab/>
        <w:t>Send continuously Up power control commands to the UE.</w:t>
      </w:r>
    </w:p>
    <w:p>
      <w:pPr>
        <w:pStyle w:val="B1"/>
        <w:rPr/>
      </w:pPr>
      <w:r>
        <w:rPr/>
        <w:t>2)</w:t>
        <w:tab/>
        <w:t>As the UE reaches maximum power, start sending PN15 data pattern.</w:t>
      </w:r>
    </w:p>
    <w:p>
      <w:pPr>
        <w:pStyle w:val="B1"/>
        <w:rPr/>
      </w:pPr>
      <w:r>
        <w:rPr/>
        <w:t>3)</w:t>
        <w:tab/>
        <w:t>Position the UE according to the DUT positioning for speech mode specified in Subclause 4.3.3.</w:t>
      </w:r>
    </w:p>
    <w:p>
      <w:pPr>
        <w:pStyle w:val="B1"/>
        <w:rPr/>
      </w:pPr>
      <w:r>
        <w:rPr/>
        <w:t>4)</w:t>
        <w:tab/>
        <w:t xml:space="preserve">Measure a sufficient number of independent samples (see </w:t>
      </w:r>
      <w:r>
        <w:rPr>
          <w:lang w:eastAsia="zh-TW"/>
        </w:rPr>
        <w:t>Subclause 4.5</w:t>
      </w:r>
      <w:r>
        <w:rPr/>
        <w:t xml:space="preserve">) of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oMath>
      <w:r>
        <w:rPr/>
        <w:t xml:space="preserve"> using a test system having characteristics as described in Annex A.</w:t>
      </w:r>
    </w:p>
    <w:p>
      <w:pPr>
        <w:pStyle w:val="B1"/>
        <w:rPr/>
      </w:pPr>
      <w:r>
        <w:rPr/>
        <w:t>5)</w:t>
        <w:tab/>
        <w:t xml:space="preserve">Calculate TRP using equations from </w:t>
      </w:r>
      <w:r>
        <w:rPr>
          <w:lang w:eastAsia="zh-TW"/>
        </w:rPr>
        <w:t>Subclause 6.1.3.1</w:t>
      </w:r>
      <w:r>
        <w:rPr/>
        <w:t>.</w:t>
      </w:r>
    </w:p>
    <w:p>
      <w:pPr>
        <w:pStyle w:val="NO"/>
        <w:rPr/>
      </w:pPr>
      <w:r>
        <w:rPr/>
        <w:t>NOTE 1:</w:t>
        <w:tab/>
        <w:t xml:space="preserve">The measurement procedure is based on the measurement of the total power radiated from the UE to a full 3 dimensional isotropic environment with uniform elevation and azimuth field distribution. The power transmitted by the DUT is undergoing Rayleigh fading and is sampled by the fixed measurement antennas. Moreover, it is important that the samples collected are independent, in order to get sufficient accuracy of the estimated TRP value. </w:t>
      </w:r>
    </w:p>
    <w:p>
      <w:pPr>
        <w:pStyle w:val="NO"/>
        <w:rPr/>
      </w:pPr>
      <w:r>
        <w:rPr/>
        <w:t>NOTE 2:</w:t>
        <w:tab/>
        <w:t>The noise floor of the measurement receiver shall not disturb the power measurement.</w:t>
      </w:r>
    </w:p>
    <w:p>
      <w:pPr>
        <w:pStyle w:val="Heading4"/>
        <w:ind w:left="1418" w:hanging="1418"/>
        <w:rPr/>
      </w:pPr>
      <w:bookmarkStart w:id="74" w:name="__RefHeading___Toc68601010"/>
      <w:bookmarkEnd w:id="74"/>
      <w:r>
        <w:rPr/>
        <w:t>6.1.3.5</w:t>
      </w:r>
      <w:r>
        <w:rPr>
          <w:rFonts w:cs="Calibri" w:ascii="Calibri" w:hAnsi="Calibri"/>
          <w:sz w:val="22"/>
          <w:szCs w:val="22"/>
        </w:rPr>
        <w:tab/>
      </w:r>
      <w:r>
        <w:rPr/>
        <w:t>Test requirements</w:t>
      </w:r>
    </w:p>
    <w:p>
      <w:pPr>
        <w:pStyle w:val="Normal"/>
        <w:jc w:val="both"/>
        <w:rPr/>
      </w:pPr>
      <w:r>
        <w:rPr/>
        <w:t>The average TRP of low, mid and high channel in beside head position shall be higher than test performance requirements for roaming bands shown in Table 6.1.3.5-1. The averaging shall be done in linear scale for the TRP results of both right and left side of the phantom head.</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num>
                <m:den>
                  <m:r>
                    <w:rPr>
                      <w:rFonts w:ascii="Cambria Math" w:hAnsi="Cambria Math"/>
                    </w:rPr>
                    <m:t xml:space="preserve">6</m:t>
                  </m:r>
                </m:den>
              </m:f>
            </m:e>
          </m:d>
        </m:oMath>
      </m:oMathPara>
    </w:p>
    <w:p>
      <w:pPr>
        <w:pStyle w:val="Normal"/>
        <w:rPr/>
      </w:pPr>
      <w:r>
        <w:rPr/>
        <w:t>In addition the minimum TRP of each measured channel in beside head position shall be higher than minimum performance requirements shown in the columns “Min”.</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min</m:t>
          </m:r>
          <m:d>
            <m:dPr>
              <m:begChr m:val="["/>
              <m:endChr m:val="]"/>
            </m:dPr>
            <m:e>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e>
          </m:d>
        </m:oMath>
      </m:oMathPara>
    </w:p>
    <w:p>
      <w:pPr>
        <w:pStyle w:val="TH"/>
        <w:rPr/>
      </w:pPr>
      <w:r>
        <w:rPr/>
        <w:t>Table 6.1.3.5-1: TRP test requirement for UTRA FDD roaming bands in the speech position and the primary mechanical mode</w:t>
      </w:r>
    </w:p>
    <w:tbl>
      <w:tblPr>
        <w:tblW w:w="9606" w:type="dxa"/>
        <w:jc w:val="left"/>
        <w:tblInd w:w="-113" w:type="dxa"/>
        <w:tblLayout w:type="fixed"/>
        <w:tblCellMar>
          <w:top w:w="0" w:type="dxa"/>
          <w:left w:w="108" w:type="dxa"/>
          <w:bottom w:w="0" w:type="dxa"/>
          <w:right w:w="108" w:type="dxa"/>
        </w:tblCellMar>
      </w:tblPr>
      <w:tblGrid>
        <w:gridCol w:w="1101"/>
        <w:gridCol w:w="1134"/>
        <w:gridCol w:w="1134"/>
        <w:gridCol w:w="1134"/>
        <w:gridCol w:w="1134"/>
        <w:gridCol w:w="993"/>
        <w:gridCol w:w="992"/>
        <w:gridCol w:w="992"/>
        <w:gridCol w:w="992"/>
      </w:tblGrid>
      <w:tr>
        <w:trPr/>
        <w:tc>
          <w:tcPr>
            <w:tcW w:w="1101" w:type="dxa"/>
            <w:vMerge w:val="restart"/>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Operating band</w:t>
            </w:r>
          </w:p>
        </w:tc>
        <w:tc>
          <w:tcPr>
            <w:tcW w:w="1134"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Class 1</w:t>
            </w:r>
          </w:p>
        </w:tc>
        <w:tc>
          <w:tcPr>
            <w:tcW w:w="1134"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Class 2</w:t>
            </w:r>
          </w:p>
        </w:tc>
        <w:tc>
          <w:tcPr>
            <w:tcW w:w="2268"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Class 3</w:t>
            </w:r>
          </w:p>
        </w:tc>
        <w:tc>
          <w:tcPr>
            <w:tcW w:w="1985"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Class 3bis</w:t>
            </w:r>
          </w:p>
        </w:tc>
        <w:tc>
          <w:tcPr>
            <w:tcW w:w="1984"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Class 4</w:t>
            </w:r>
          </w:p>
        </w:tc>
      </w:tr>
      <w:tr>
        <w:trPr/>
        <w:tc>
          <w:tcPr>
            <w:tcW w:w="1101" w:type="dxa"/>
            <w:vMerge w:val="continue"/>
            <w:tcBorders>
              <w:top w:val="single" w:sz="4" w:space="0" w:color="000000"/>
              <w:left w:val="single" w:sz="4" w:space="0" w:color="000000"/>
              <w:bottom w:val="single" w:sz="4" w:space="0" w:color="000000"/>
              <w:right w:val="single" w:sz="4" w:space="0" w:color="000000"/>
            </w:tcBorders>
          </w:tcPr>
          <w:p>
            <w:pPr>
              <w:pStyle w:val="Fp1"/>
              <w:snapToGrid w:val="false"/>
              <w:rPr>
                <w:rFonts w:ascii="Arial" w:hAnsi="Arial" w:cs="Arial"/>
                <w:b/>
                <w:b/>
                <w:bCs/>
                <w:sz w:val="18"/>
                <w:lang w:val="en-GB"/>
              </w:rPr>
            </w:pPr>
            <w:r>
              <w:rPr>
                <w:rFonts w:cs="Arial" w:ascii="Arial" w:hAnsi="Arial"/>
                <w:b/>
                <w:bCs/>
                <w:sz w:val="18"/>
                <w:lang w:val="en-GB"/>
              </w:rPr>
            </w:r>
          </w:p>
        </w:tc>
        <w:tc>
          <w:tcPr>
            <w:tcW w:w="1134"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(dBm)</w:t>
            </w:r>
          </w:p>
        </w:tc>
        <w:tc>
          <w:tcPr>
            <w:tcW w:w="1134"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(dBm)</w:t>
            </w:r>
          </w:p>
        </w:tc>
        <w:tc>
          <w:tcPr>
            <w:tcW w:w="2268"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(dBm)</w:t>
            </w:r>
          </w:p>
        </w:tc>
        <w:tc>
          <w:tcPr>
            <w:tcW w:w="1985"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(dBm)</w:t>
            </w:r>
          </w:p>
        </w:tc>
        <w:tc>
          <w:tcPr>
            <w:tcW w:w="1984"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(dBm)</w:t>
            </w:r>
          </w:p>
        </w:tc>
      </w:tr>
      <w:tr>
        <w:trPr/>
        <w:tc>
          <w:tcPr>
            <w:tcW w:w="1101" w:type="dxa"/>
            <w:vMerge w:val="continue"/>
            <w:tcBorders>
              <w:top w:val="single" w:sz="4" w:space="0" w:color="000000"/>
              <w:left w:val="single" w:sz="4" w:space="0" w:color="000000"/>
              <w:bottom w:val="single" w:sz="4" w:space="0" w:color="000000"/>
              <w:right w:val="single" w:sz="4" w:space="0" w:color="000000"/>
            </w:tcBorders>
          </w:tcPr>
          <w:p>
            <w:pPr>
              <w:pStyle w:val="Fp1"/>
              <w:snapToGrid w:val="false"/>
              <w:rPr>
                <w:rFonts w:ascii="Arial" w:hAnsi="Arial" w:cs="Arial"/>
                <w:b/>
                <w:b/>
                <w:bCs/>
                <w:sz w:val="18"/>
                <w:lang w:val="en-GB"/>
              </w:rPr>
            </w:pPr>
            <w:r>
              <w:rPr>
                <w:rFonts w:cs="Arial" w:ascii="Arial" w:hAnsi="Arial"/>
                <w:b/>
                <w:bCs/>
                <w:sz w:val="18"/>
                <w:lang w:val="en-GB"/>
              </w:rPr>
            </w:r>
          </w:p>
        </w:tc>
        <w:tc>
          <w:tcPr>
            <w:tcW w:w="1134" w:type="dxa"/>
            <w:tcBorders>
              <w:top w:val="single" w:sz="4" w:space="0" w:color="000000"/>
              <w:left w:val="single" w:sz="4" w:space="0" w:color="000000"/>
              <w:bottom w:val="single" w:sz="4" w:space="0" w:color="000000"/>
              <w:right w:val="single" w:sz="4" w:space="0" w:color="000000"/>
            </w:tcBorders>
          </w:tcPr>
          <w:p>
            <w:pPr>
              <w:pStyle w:val="Tah1"/>
              <w:snapToGrid w:val="false"/>
              <w:rPr>
                <w:rFonts w:ascii="Arial" w:hAnsi="Arial" w:cs="Arial"/>
                <w:b/>
                <w:b/>
                <w:bCs/>
                <w:sz w:val="18"/>
                <w:lang w:val="en-GB"/>
              </w:rPr>
            </w:pPr>
            <w:r>
              <w:rPr>
                <w:rFonts w:cs="Arial"/>
                <w:b/>
                <w:bCs/>
                <w:sz w:val="18"/>
                <w:lang w:val="en-GB"/>
              </w:rPr>
            </w:r>
          </w:p>
        </w:tc>
        <w:tc>
          <w:tcPr>
            <w:tcW w:w="1134" w:type="dxa"/>
            <w:tcBorders>
              <w:top w:val="single" w:sz="4" w:space="0" w:color="000000"/>
              <w:left w:val="single" w:sz="4" w:space="0" w:color="000000"/>
              <w:bottom w:val="single" w:sz="4" w:space="0" w:color="000000"/>
              <w:right w:val="single" w:sz="4" w:space="0" w:color="000000"/>
            </w:tcBorders>
          </w:tcPr>
          <w:p>
            <w:pPr>
              <w:pStyle w:val="Tah1"/>
              <w:snapToGrid w:val="false"/>
              <w:rPr>
                <w:lang w:val="en-GB"/>
              </w:rPr>
            </w:pPr>
            <w:r>
              <w:rPr>
                <w:lang w:val="en-GB"/>
              </w:rPr>
            </w:r>
          </w:p>
        </w:tc>
        <w:tc>
          <w:tcPr>
            <w:tcW w:w="1134"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Average</w:t>
            </w:r>
          </w:p>
        </w:tc>
        <w:tc>
          <w:tcPr>
            <w:tcW w:w="1134"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Min</w:t>
            </w:r>
          </w:p>
        </w:tc>
        <w:tc>
          <w:tcPr>
            <w:tcW w:w="993"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Average</w:t>
            </w:r>
          </w:p>
        </w:tc>
        <w:tc>
          <w:tcPr>
            <w:tcW w:w="992"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Min</w:t>
            </w:r>
          </w:p>
        </w:tc>
        <w:tc>
          <w:tcPr>
            <w:tcW w:w="992"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Average</w:t>
            </w:r>
          </w:p>
        </w:tc>
        <w:tc>
          <w:tcPr>
            <w:tcW w:w="992"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Min</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12.55</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12.55</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sz w:val="20"/>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IV</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8.70</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8.70</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8.70</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IX</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XIX</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8.70</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9606" w:type="dxa"/>
            <w:gridSpan w:val="9"/>
            <w:tcBorders>
              <w:top w:val="single" w:sz="4" w:space="0" w:color="000000"/>
              <w:left w:val="single" w:sz="4" w:space="0" w:color="000000"/>
              <w:bottom w:val="single" w:sz="4" w:space="0" w:color="000000"/>
              <w:right w:val="single" w:sz="4" w:space="0" w:color="000000"/>
            </w:tcBorders>
          </w:tcPr>
          <w:p>
            <w:pPr>
              <w:pStyle w:val="TAN"/>
              <w:rPr/>
            </w:pPr>
            <w:r>
              <w:rPr>
                <w:lang w:eastAsia="en-US"/>
              </w:rPr>
              <w:t>NOTE 1:</w:t>
              <w:tab/>
              <w:t>Applicable for dual-mode GSM/UMTS.</w:t>
            </w:r>
          </w:p>
          <w:p>
            <w:pPr>
              <w:pStyle w:val="TAN"/>
              <w:rPr/>
            </w:pPr>
            <w:r>
              <w:rPr>
                <w:rFonts w:cs="Arial"/>
                <w:lang w:eastAsia="en-US"/>
              </w:rPr>
              <w:t>NOTE 2:</w:t>
              <w:tab/>
              <w:t>Applicable for devices narrower than 72mm as defined in TR 25.914.</w:t>
            </w:r>
          </w:p>
          <w:p>
            <w:pPr>
              <w:pStyle w:val="TAN"/>
              <w:rPr>
                <w:bCs/>
                <w:lang w:eastAsia="en-US"/>
              </w:rPr>
            </w:pPr>
            <w:r>
              <w:rPr>
                <w:rFonts w:cs="Arial"/>
                <w:lang w:eastAsia="en-US"/>
              </w:rPr>
              <w:t>NOTE 3:</w:t>
              <w:tab/>
              <w:t>Not applicable for devices supporting CDMA or carrier aggregation.</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Heading3"/>
        <w:rPr/>
      </w:pPr>
      <w:bookmarkStart w:id="75" w:name="__RefHeading___Toc68601011"/>
      <w:r>
        <w:rPr/>
        <w:t>6.1.4</w:t>
        <w:tab/>
        <w:t>Total Radiated Power (TRP) for UTRA LCR TDD in Speech Mode with beside the Head and Hand Phantom</w:t>
      </w:r>
      <w:bookmarkEnd w:id="75"/>
      <w:r>
        <w:rPr/>
        <w:t xml:space="preserve"> </w:t>
      </w:r>
    </w:p>
    <w:p>
      <w:pPr>
        <w:pStyle w:val="EditorsNote"/>
        <w:rPr/>
      </w:pPr>
      <w:r>
        <w:rPr/>
        <w:t>Editor’s notes: This Subclause is incomplete. The following items are missing or incomplete:</w:t>
      </w:r>
    </w:p>
    <w:p>
      <w:pPr>
        <w:pStyle w:val="EditorsNote"/>
        <w:numPr>
          <w:ilvl w:val="0"/>
          <w:numId w:val="15"/>
        </w:numPr>
        <w:rPr/>
      </w:pPr>
      <w:r>
        <w:rPr/>
        <w:t>TBDs in Tables 6.1.4.2-1and 6.1.4.5-2 as they are not specified in TS 37.144 yet</w:t>
      </w:r>
    </w:p>
    <w:p>
      <w:pPr>
        <w:pStyle w:val="Heading4"/>
        <w:ind w:left="1418" w:hanging="1418"/>
        <w:rPr/>
      </w:pPr>
      <w:bookmarkStart w:id="76" w:name="__RefHeading___Toc68601012"/>
      <w:bookmarkEnd w:id="76"/>
      <w:r>
        <w:rPr/>
        <w:t>6.1.4.1</w:t>
      </w:r>
      <w:r>
        <w:rPr>
          <w:rFonts w:cs="Calibri" w:ascii="Calibri" w:hAnsi="Calibri"/>
          <w:sz w:val="22"/>
          <w:szCs w:val="22"/>
        </w:rPr>
        <w:tab/>
      </w:r>
      <w:r>
        <w:rPr/>
        <w:t>Definition and applicability</w:t>
      </w:r>
    </w:p>
    <w:p>
      <w:pPr>
        <w:pStyle w:val="Normal"/>
        <w:rPr/>
      </w:pPr>
      <w:r>
        <w:rPr/>
        <w:t>The Total Radiated Power (TRP) is a measure of how much power the DUT actually radiates. The TRP is defined as the integral of the power transmitted in different directions over the entire radiation sphere:</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TRP</m:t>
          </m:r>
          <m:r>
            <w:rPr>
              <w:rFonts w:ascii="Cambria Math" w:hAnsi="Cambria Math"/>
            </w:rPr>
            <m:t xml:space="preserve">=</m:t>
          </m:r>
          <m:f>
            <m:num>
              <m:r>
                <w:rPr>
                  <w:rFonts w:ascii="Cambria Math" w:hAnsi="Cambria Math"/>
                </w:rPr>
                <m:t xml:space="preserve">1</m:t>
              </m:r>
            </m:num>
            <m:den>
              <m:r>
                <w:rPr>
                  <w:rFonts w:ascii="Cambria Math" w:hAnsi="Cambria Math"/>
                </w:rPr>
                <m:t xml:space="preserve">4</m:t>
              </m:r>
              <m:r>
                <w:rPr>
                  <w:rFonts w:ascii="Cambria Math" w:hAnsi="Cambria Math"/>
                </w:rPr>
                <m:t xml:space="preserve">π</m:t>
              </m:r>
            </m:den>
          </m:f>
          <m:nary>
            <m:naryPr>
              <m:chr m:val="∮"/>
              <m:subHide m:val="1"/>
              <m:supHide m:val="1"/>
            </m:naryPr>
            <m:sub/>
            <m:sup/>
            <m:e>
              <m:d>
                <m:dPr>
                  <m:begChr m:val="("/>
                  <m:endChr m:val=")"/>
                </m:dPr>
                <m:e>
                  <m:sSub>
                    <m:e>
                      <m:r>
                        <m:rPr>
                          <m:lit/>
                          <m:nor/>
                        </m:rPr>
                        <w:rPr>
                          <w:rFonts w:ascii="Cambria Math" w:hAnsi="Cambria Math"/>
                        </w:rPr>
                        <m:t xml:space="preserve">EIRP</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EIRP</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e>
              </m:d>
            </m:e>
          </m:nary>
          <m:r>
            <w:rPr>
              <w:rFonts w:ascii="Cambria Math" w:hAnsi="Cambria Math"/>
            </w:rPr>
            <m:t xml:space="preserve">d</m:t>
          </m:r>
          <m:r>
            <w:rPr>
              <w:rFonts w:ascii="Cambria Math" w:hAnsi="Cambria Math"/>
            </w:rPr>
            <m:t xml:space="preserve">Ω</m:t>
          </m:r>
        </m:oMath>
      </m:oMathPara>
    </w:p>
    <w:p>
      <w:pPr>
        <w:pStyle w:val="Normal"/>
        <w:rPr/>
      </w:pPr>
      <w:r>
        <w:rPr/>
        <w:t xml:space="preserve">Where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r>
          <w:rPr>
            <w:rFonts w:ascii="Cambria Math" w:hAnsi="Cambria Math"/>
          </w:rPr>
          <m:t xml:space="preserve">f</m:t>
        </m:r>
      </m:oMath>
      <w:r>
        <w:rPr/>
        <w:t xml:space="preserve"> is frequency.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 are the orthogonal polarizations.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θ</m:t>
            </m:r>
          </m:sub>
        </m:sSub>
      </m:oMath>
      <w:r>
        <w:rPr/>
        <w:t xml:space="preserve"> and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ϕ</m:t>
            </m:r>
          </m:sub>
        </m:sSub>
      </m:oMath>
      <w:r>
        <w:rPr/>
        <w:t xml:space="preserve"> are the actually transmitted power-levels in corresponding polarizations.</w:t>
      </w:r>
    </w:p>
    <w:p>
      <w:pPr>
        <w:pStyle w:val="Normal"/>
        <w:rPr/>
      </w:pPr>
      <w:r>
        <w:rPr/>
        <w:t>Thus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TRP</m:t>
          </m:r>
          <m:r>
            <w:rPr>
              <w:rFonts w:ascii="Cambria Math" w:hAnsi="Cambria Math"/>
            </w:rPr>
            <m:t xml:space="preserve">≈</m:t>
          </m:r>
          <m:f>
            <m:num>
              <m:r>
                <w:rPr>
                  <w:rFonts w:ascii="Cambria Math" w:hAnsi="Cambria Math"/>
                </w:rPr>
                <m:t xml:space="preserve">π</m:t>
              </m:r>
            </m:num>
            <m:den>
              <m:r>
                <w:rPr>
                  <w:rFonts w:ascii="Cambria Math" w:hAnsi="Cambria Math"/>
                </w:rPr>
                <m:t xml:space="preserve">2</m:t>
              </m:r>
              <m:r>
                <m:rPr>
                  <m:lit/>
                  <m:nor/>
                </m:rPr>
                <w:rPr>
                  <w:rFonts w:ascii="Cambria Math" w:hAnsi="Cambria Math"/>
                </w:rPr>
                <m:t xml:space="preserve">NM</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m:rPr>
                              <m:lit/>
                              <m:nor/>
                            </m:rPr>
                            <w:rPr>
                              <w:rFonts w:ascii="Cambria Math" w:hAnsi="Cambria Math"/>
                            </w:rPr>
                            <m:t xml:space="preserve">EIRP</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EIRP</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rPr/>
      </w:pPr>
      <w:r>
        <w:rPr/>
        <w:t xml:space="preserve">In these formulas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are the number of sampling intervals for theta and phi.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oMath>
      <w:r>
        <w:rPr/>
        <w:t xml:space="preserve"> are the measurement angles. The sampling intervals are discussed further in Subclause 4.4.</w:t>
      </w:r>
    </w:p>
    <w:p>
      <w:pPr>
        <w:pStyle w:val="Normal"/>
        <w:rPr/>
      </w:pPr>
      <w:r>
        <w:rPr/>
        <w:t>The TRP can also be calculated from Rayleigh faded samples of the total power transmitted from the UE. The measurement of transmitter performance in an isotropic Rayleigh fading environment is based on sampling the radiated power of the UE for a discrete number of field combinations in the chamber. The average value of these statistically distributed samples is proportional to the TRP and by calibrating the average power transfer function, an absolute value of the TRP can be obtained. Thus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TRP</m:t>
          </m:r>
          <m:r>
            <w:rPr>
              <w:rFonts w:ascii="Cambria Math" w:hAnsi="Cambria Math"/>
            </w:rPr>
            <m:t xml:space="preserve">≈</m:t>
          </m:r>
          <m:f>
            <m:num>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f>
                        <m:num>
                          <m:sSub>
                            <m:e>
                              <m:r>
                                <w:rPr>
                                  <w:rFonts w:ascii="Cambria Math" w:hAnsi="Cambria Math"/>
                                </w:rPr>
                                <m:t xml:space="preserve">P</m:t>
                              </m:r>
                            </m:e>
                            <m:sub>
                              <m:r>
                                <w:rPr>
                                  <w:rFonts w:ascii="Cambria Math" w:hAnsi="Cambria Math"/>
                                </w:rPr>
                                <m:t xml:space="preserve">n</m:t>
                              </m:r>
                            </m:sub>
                          </m:sSub>
                        </m:num>
                        <m:den>
                          <m:sSub>
                            <m:e>
                              <m:r>
                                <w:rPr>
                                  <w:rFonts w:ascii="Cambria Math" w:hAnsi="Cambria Math"/>
                                </w:rPr>
                                <m:t xml:space="preserve">C</m:t>
                              </m:r>
                            </m:e>
                            <m:sub>
                              <m:r>
                                <w:rPr>
                                  <w:rFonts w:ascii="Cambria Math" w:hAnsi="Cambria Math"/>
                                </w:rPr>
                                <m:t xml:space="preserve">n</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den>
                      </m:f>
                    </m:e>
                  </m:d>
                </m:e>
              </m:nary>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e>
              </m:nary>
            </m:den>
          </m:f>
        </m:oMath>
      </m:oMathPara>
    </w:p>
    <w:p>
      <w:pPr>
        <w:pStyle w:val="Normal"/>
        <w:rPr/>
      </w:pPr>
      <w:r>
        <w:rPr/>
        <w:t xml:space="preserve">where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oMath>
      <w:r>
        <w:rPr/>
        <w:t xml:space="preserve"> is the reference power transfer function for fixed measurement antenna n, </w:t>
      </w:r>
      <w:r>
        <w:rPr/>
      </w:r>
      <m:oMath xmlns:m="http://schemas.openxmlformats.org/officeDocument/2006/math">
        <m:sSub>
          <m:e>
            <m:r>
              <w:rPr>
                <w:rFonts w:ascii="Cambria Math" w:hAnsi="Cambria Math"/>
              </w:rPr>
              <m:t xml:space="preserve">R</m:t>
            </m:r>
          </m:e>
          <m:sub>
            <m:r>
              <w:rPr>
                <w:rFonts w:ascii="Cambria Math" w:hAnsi="Cambria Math"/>
              </w:rPr>
              <m:t xml:space="preserve">n</m:t>
            </m:r>
          </m:sub>
        </m:sSub>
      </m:oMath>
      <w:r>
        <w:rPr/>
        <w:t xml:space="preserve"> is the reflection coefficient for fixed measurement antenna n and </w:t>
      </w:r>
      <w:r>
        <w:rPr/>
      </w:r>
      <m:oMath xmlns:m="http://schemas.openxmlformats.org/officeDocument/2006/math">
        <m:sSub>
          <m:e>
            <m:r>
              <w:rPr>
                <w:rFonts w:ascii="Cambria Math" w:hAnsi="Cambria Math"/>
              </w:rPr>
              <m:t xml:space="preserve">C</m:t>
            </m:r>
          </m:e>
          <m:sub>
            <m:r>
              <w:rPr>
                <w:rFonts w:ascii="Cambria Math" w:hAnsi="Cambria Math"/>
              </w:rPr>
              <m:t xml:space="preserve">n</m:t>
            </m:r>
          </m:sub>
        </m:sSub>
      </m:oMath>
      <w:r>
        <w:rPr/>
        <w:t xml:space="preserve"> is the path loss in the cables connecting the measurement receiver to fixed measurement antenna n. These parameters are calculated from the calibration measurement and are further discussed in Annex B.2. </w:t>
      </w:r>
      <w:r>
        <w:rPr/>
      </w:r>
      <m:oMath xmlns:m="http://schemas.openxmlformats.org/officeDocument/2006/math">
        <m:sSub>
          <m:e>
            <m:r>
              <w:rPr>
                <w:rFonts w:ascii="Cambria Math" w:hAnsi="Cambria Math"/>
              </w:rPr>
              <m:t xml:space="preserve">P</m:t>
            </m:r>
          </m:e>
          <m:sub>
            <m:r>
              <w:rPr>
                <w:rFonts w:ascii="Cambria Math" w:hAnsi="Cambria Math"/>
              </w:rPr>
              <m:t xml:space="preserve">n</m:t>
            </m:r>
          </m:sub>
        </m:sSub>
      </m:oMath>
      <w:r>
        <w:rPr/>
        <w:t xml:space="preserve"> is the average power measured by fixed measurement antenna n and can be calculated using the following expression:</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w:rPr>
                  <w:rFonts w:ascii="Cambria Math" w:hAnsi="Cambria Math"/>
                </w:rPr>
                <m:t xml:space="preserve">n</m:t>
              </m:r>
            </m:sub>
          </m:sSub>
          <m:r>
            <w:rPr>
              <w:rFonts w:ascii="Cambria Math" w:hAnsi="Cambria Math"/>
            </w:rPr>
            <m:t xml:space="preserve">=</m:t>
          </m:r>
          <m:f>
            <m:num>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p>
                    <m:e>
                      <m:d>
                        <m:dPr>
                          <m:begChr m:val="|"/>
                          <m:endChr m:val="|"/>
                        </m:dPr>
                        <m:e>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e>
                      </m:d>
                    </m:e>
                    <m:sup>
                      <m:r>
                        <w:rPr>
                          <w:rFonts w:ascii="Cambria Math" w:hAnsi="Cambria Math"/>
                        </w:rPr>
                        <m:t xml:space="preserve">2</m:t>
                      </m:r>
                    </m:sup>
                  </m:sSup>
                </m:e>
              </m:nary>
            </m:num>
            <m:den>
              <m:r>
                <w:rPr>
                  <w:rFonts w:ascii="Cambria Math" w:hAnsi="Cambria Math"/>
                </w:rPr>
                <m:t xml:space="preserve">M</m:t>
              </m:r>
            </m:den>
          </m:f>
        </m:oMath>
      </m:oMathPara>
    </w:p>
    <w:p>
      <w:pPr>
        <w:pStyle w:val="Normal"/>
        <w:rPr/>
      </w:pPr>
      <w:r>
        <w:rPr/>
        <w:t xml:space="preserve">where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oMath>
      <w:r>
        <w:rPr/>
        <w:t xml:space="preserve"> is sample number m of the complex transfer function measured with fixed measurement antenna n and </w:t>
      </w:r>
      <w:r>
        <w:rPr/>
      </w:r>
      <m:oMath xmlns:m="http://schemas.openxmlformats.org/officeDocument/2006/math">
        <m:r>
          <w:rPr>
            <w:rFonts w:ascii="Cambria Math" w:hAnsi="Cambria Math"/>
          </w:rPr>
          <m:t xml:space="preserve">M</m:t>
        </m:r>
      </m:oMath>
      <w:r>
        <w:rPr/>
        <w:t xml:space="preserve"> is the total number of samples measured for each fixed measurement antenna.</w:t>
      </w:r>
    </w:p>
    <w:p>
      <w:pPr>
        <w:pStyle w:val="Normal"/>
        <w:rPr/>
      </w:pPr>
      <w:r>
        <w:rPr/>
        <w:t>Note that all averaging must be performed using linear power values (e.g. measurements in Watts).</w:t>
      </w:r>
    </w:p>
    <w:p>
      <w:pPr>
        <w:pStyle w:val="Normal"/>
        <w:rPr/>
      </w:pPr>
      <w:r>
        <w:rPr/>
        <w:t>The requirements and this test apply to all types of UTRA for the TDD UE for Release 8 and later releases.</w:t>
      </w:r>
    </w:p>
    <w:p>
      <w:pPr>
        <w:pStyle w:val="Heading4"/>
        <w:ind w:left="1418" w:hanging="1418"/>
        <w:rPr/>
      </w:pPr>
      <w:bookmarkStart w:id="77" w:name="__RefHeading___Toc68601013"/>
      <w:bookmarkEnd w:id="77"/>
      <w:r>
        <w:rPr/>
        <w:t>6.1.4.2</w:t>
      </w:r>
      <w:r>
        <w:rPr>
          <w:rFonts w:cs="Calibri" w:ascii="Calibri" w:hAnsi="Calibri"/>
          <w:sz w:val="22"/>
          <w:szCs w:val="22"/>
        </w:rPr>
        <w:tab/>
      </w:r>
      <w:r>
        <w:rPr/>
        <w:t>Minimum Requirements</w:t>
      </w:r>
    </w:p>
    <w:p>
      <w:pPr>
        <w:pStyle w:val="Normal"/>
        <w:jc w:val="both"/>
        <w:rPr/>
      </w:pPr>
      <w:r>
        <w:rPr/>
        <w:t>The average TRP of low, mid and high channel in beside head position shall be higher than minimum performance requirements for roaming bands shown in Table 6.1.4.2-1. The averaging shall be done in linear scale for the TRP results of both right and left side of the phantom head.</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num>
                <m:den>
                  <m:r>
                    <w:rPr>
                      <w:rFonts w:ascii="Cambria Math" w:hAnsi="Cambria Math"/>
                    </w:rPr>
                    <m:t xml:space="preserve">6</m:t>
                  </m:r>
                </m:den>
              </m:f>
            </m:e>
          </m:d>
        </m:oMath>
      </m:oMathPara>
    </w:p>
    <w:p>
      <w:pPr>
        <w:pStyle w:val="Normal"/>
        <w:rPr/>
      </w:pPr>
      <w:r>
        <w:rPr/>
        <w:t>In addition the minimum TRP of each measured channel in beside head position shall be higher than minimum performance requirements shown in the columns “Min”.</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min</m:t>
          </m:r>
          <m:d>
            <m:dPr>
              <m:begChr m:val="["/>
              <m:endChr m:val="]"/>
            </m:dPr>
            <m:e>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e>
          </m:d>
        </m:oMath>
      </m:oMathPara>
    </w:p>
    <w:p>
      <w:pPr>
        <w:pStyle w:val="TH"/>
        <w:rPr/>
      </w:pPr>
      <w:r>
        <w:rPr/>
        <w:t>Table 6.1.4.2-1: TRP minimum performance requirement for UTRA LCR TDD roaming bands in the speech mode and the primary mechanical mode</w:t>
      </w:r>
    </w:p>
    <w:tbl>
      <w:tblPr>
        <w:tblW w:w="7530" w:type="dxa"/>
        <w:jc w:val="center"/>
        <w:tblInd w:w="0" w:type="dxa"/>
        <w:tblLayout w:type="fixed"/>
        <w:tblCellMar>
          <w:top w:w="0" w:type="dxa"/>
          <w:left w:w="108" w:type="dxa"/>
          <w:bottom w:w="0" w:type="dxa"/>
          <w:right w:w="108" w:type="dxa"/>
        </w:tblCellMar>
      </w:tblPr>
      <w:tblGrid>
        <w:gridCol w:w="1016"/>
        <w:gridCol w:w="935"/>
        <w:gridCol w:w="567"/>
        <w:gridCol w:w="992"/>
        <w:gridCol w:w="709"/>
        <w:gridCol w:w="992"/>
        <w:gridCol w:w="567"/>
        <w:gridCol w:w="992"/>
        <w:gridCol w:w="760"/>
      </w:tblGrid>
      <w:tr>
        <w:trPr>
          <w:trHeight w:val="277" w:hRule="atLeast"/>
        </w:trPr>
        <w:tc>
          <w:tcPr>
            <w:tcW w:w="1016" w:type="dxa"/>
            <w:vMerge w:val="restart"/>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Operating band </w:t>
            </w:r>
          </w:p>
        </w:tc>
        <w:tc>
          <w:tcPr>
            <w:tcW w:w="150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Power Class 1 </w:t>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Power Class 2 </w:t>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Power Class 3 </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Power Class 4 </w:t>
            </w:r>
          </w:p>
        </w:tc>
      </w:tr>
      <w:tr>
        <w:trPr>
          <w:trHeight w:val="316" w:hRule="atLeast"/>
        </w:trPr>
        <w:tc>
          <w:tcPr>
            <w:tcW w:w="101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50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Power (dBm) </w:t>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Power (dBm) </w:t>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Power (dBm) </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Power (dBm) </w:t>
            </w:r>
          </w:p>
        </w:tc>
      </w:tr>
      <w:tr>
        <w:trPr>
          <w:trHeight w:val="244" w:hRule="atLeast"/>
        </w:trPr>
        <w:tc>
          <w:tcPr>
            <w:tcW w:w="101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93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Average </w:t>
            </w:r>
          </w:p>
        </w:tc>
        <w:tc>
          <w:tcPr>
            <w:tcW w:w="56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Average </w:t>
            </w:r>
          </w:p>
        </w:tc>
        <w:tc>
          <w:tcPr>
            <w:tcW w:w="70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Average </w:t>
            </w:r>
          </w:p>
        </w:tc>
        <w:tc>
          <w:tcPr>
            <w:tcW w:w="56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rFonts w:eastAsia="Arial"/>
                <w:lang w:eastAsia="en-US"/>
              </w:rPr>
              <w:t xml:space="preserve"> </w:t>
            </w:r>
            <w:r>
              <w:rPr>
                <w:lang w:eastAsia="en-US"/>
              </w:rPr>
              <w:t xml:space="preserve">Average </w:t>
            </w:r>
          </w:p>
        </w:tc>
        <w:tc>
          <w:tcPr>
            <w:tcW w:w="76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Min </w:t>
            </w:r>
          </w:p>
        </w:tc>
      </w:tr>
      <w:tr>
        <w:trPr>
          <w:trHeight w:val="215" w:hRule="atLeast"/>
        </w:trPr>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a</w:t>
            </w:r>
          </w:p>
        </w:tc>
        <w:tc>
          <w:tcPr>
            <w:tcW w:w="93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w:lang w:eastAsia="en-US"/>
              </w:rPr>
              <w:t xml:space="preserve"> </w:t>
            </w: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r>
      <w:tr>
        <w:trPr>
          <w:trHeight w:val="215" w:hRule="atLeast"/>
        </w:trPr>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b</w:t>
            </w:r>
          </w:p>
        </w:tc>
        <w:tc>
          <w:tcPr>
            <w:tcW w:w="93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w:lang w:eastAsia="en-US"/>
              </w:rPr>
              <w:t xml:space="preserve"> </w:t>
            </w: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r>
      <w:tr>
        <w:trPr>
          <w:trHeight w:val="215" w:hRule="atLeast"/>
        </w:trPr>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c</w:t>
            </w:r>
          </w:p>
        </w:tc>
        <w:tc>
          <w:tcPr>
            <w:tcW w:w="93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w:lang w:eastAsia="en-US"/>
              </w:rPr>
              <w:t xml:space="preserve"> </w:t>
            </w: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r>
      <w:tr>
        <w:trPr>
          <w:trHeight w:val="215" w:hRule="atLeast"/>
        </w:trPr>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w:t>
            </w:r>
          </w:p>
        </w:tc>
        <w:tc>
          <w:tcPr>
            <w:tcW w:w="93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w:lang w:eastAsia="en-US"/>
              </w:rPr>
              <w:t xml:space="preserve"> </w:t>
            </w: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r>
      <w:tr>
        <w:trPr>
          <w:trHeight w:val="215" w:hRule="atLeast"/>
        </w:trPr>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e</w:t>
            </w:r>
          </w:p>
        </w:tc>
        <w:tc>
          <w:tcPr>
            <w:tcW w:w="93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w:lang w:eastAsia="en-US"/>
              </w:rPr>
              <w:t xml:space="preserve"> </w:t>
            </w: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ascii="Arial Unicode MS" w:hAnsi="Arial Unicode MS" w:cs="Arial Unicode M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r>
      <w:tr>
        <w:trPr>
          <w:trHeight w:val="215" w:hRule="atLeast"/>
        </w:trPr>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f</w:t>
            </w:r>
          </w:p>
        </w:tc>
        <w:tc>
          <w:tcPr>
            <w:tcW w:w="93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w:lang w:eastAsia="en-US"/>
              </w:rPr>
              <w:t xml:space="preserve"> </w:t>
            </w: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ascii="Arial Unicode MS" w:hAnsi="Arial Unicode MS" w:cs="Arial Unicode M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r>
      <w:tr>
        <w:trPr>
          <w:trHeight w:val="215" w:hRule="atLeast"/>
        </w:trPr>
        <w:tc>
          <w:tcPr>
            <w:tcW w:w="7530" w:type="dxa"/>
            <w:gridSpan w:val="9"/>
            <w:tcBorders>
              <w:top w:val="single" w:sz="4" w:space="0" w:color="000000"/>
              <w:left w:val="single" w:sz="4" w:space="0" w:color="000000"/>
              <w:bottom w:val="single" w:sz="4" w:space="0" w:color="000000"/>
              <w:right w:val="single" w:sz="4" w:space="0" w:color="000000"/>
            </w:tcBorders>
            <w:vAlign w:val="center"/>
          </w:tcPr>
          <w:p>
            <w:pPr>
              <w:pStyle w:val="TAN"/>
              <w:rPr>
                <w:lang w:eastAsia="en-US"/>
              </w:rPr>
            </w:pPr>
            <w:r>
              <w:rPr>
                <w:lang w:eastAsia="en-US"/>
              </w:rPr>
              <w:t>Note:</w:t>
              <w:tab/>
              <w:t>Applicable for dual-mode GSM/UTRA LCR TDD.</w:t>
            </w:r>
          </w:p>
        </w:tc>
      </w:tr>
    </w:tbl>
    <w:p>
      <w:pPr>
        <w:pStyle w:val="Normal"/>
        <w:rPr/>
      </w:pPr>
      <w:r>
        <w:rPr/>
      </w:r>
    </w:p>
    <w:p>
      <w:pPr>
        <w:pStyle w:val="Normal"/>
        <w:rPr/>
      </w:pPr>
      <w:r>
        <w:rPr/>
        <w:t>The normative reference for this clause is TS37.144 [12] Subclause 6.1.2.2.</w:t>
      </w:r>
    </w:p>
    <w:p>
      <w:pPr>
        <w:pStyle w:val="Heading4"/>
        <w:ind w:left="1418" w:hanging="1418"/>
        <w:rPr/>
      </w:pPr>
      <w:bookmarkStart w:id="78" w:name="__RefHeading___Toc68601014"/>
      <w:bookmarkEnd w:id="78"/>
      <w:r>
        <w:rPr/>
        <w:t>6.1.4.3</w:t>
      </w:r>
      <w:r>
        <w:rPr>
          <w:rFonts w:cs="Calibri" w:ascii="Calibri" w:hAnsi="Calibri"/>
          <w:sz w:val="22"/>
          <w:szCs w:val="22"/>
        </w:rPr>
        <w:tab/>
      </w:r>
      <w:r>
        <w:rPr/>
        <w:t>Test purpose</w:t>
      </w:r>
    </w:p>
    <w:p>
      <w:pPr>
        <w:pStyle w:val="Normal"/>
        <w:rPr/>
      </w:pPr>
      <w:r>
        <w:rPr/>
        <w:t xml:space="preserve">The purpose of this test is to verify that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 xml:space="preserve">of the UE is not below specified values. A lower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decrease the coverage area.</w:t>
      </w:r>
    </w:p>
    <w:p>
      <w:pPr>
        <w:pStyle w:val="Heading4"/>
        <w:ind w:left="1418" w:hanging="1418"/>
        <w:rPr/>
      </w:pPr>
      <w:bookmarkStart w:id="79" w:name="__RefHeading___Toc68601015"/>
      <w:bookmarkEnd w:id="79"/>
      <w:r>
        <w:rPr/>
        <w:t>6.1.4.4</w:t>
      </w:r>
      <w:r>
        <w:rPr>
          <w:rFonts w:cs="Calibri" w:ascii="Calibri" w:hAnsi="Calibri"/>
          <w:sz w:val="22"/>
          <w:szCs w:val="22"/>
        </w:rPr>
        <w:tab/>
      </w:r>
      <w:r>
        <w:rPr/>
        <w:t>Method of test</w:t>
      </w:r>
    </w:p>
    <w:p>
      <w:pPr>
        <w:pStyle w:val="Heading4"/>
        <w:ind w:left="1418" w:hanging="1418"/>
        <w:rPr/>
      </w:pPr>
      <w:bookmarkStart w:id="80" w:name="__RefHeading___Toc68601016"/>
      <w:bookmarkEnd w:id="80"/>
      <w:r>
        <w:rPr/>
        <w:t>6.1.4.4.1</w:t>
      </w:r>
      <w:r>
        <w:rPr>
          <w:rFonts w:cs="Calibri" w:ascii="Calibri" w:hAnsi="Calibri"/>
          <w:sz w:val="22"/>
          <w:szCs w:val="22"/>
        </w:rPr>
        <w:tab/>
      </w:r>
      <w:r>
        <w:rPr/>
        <w:t>Initial conditions</w:t>
      </w:r>
    </w:p>
    <w:p>
      <w:pPr>
        <w:pStyle w:val="Normal"/>
        <w:rPr/>
      </w:pPr>
      <w:r>
        <w:rPr>
          <w:lang w:eastAsia="zh-CN"/>
        </w:rPr>
        <w:t xml:space="preserve">The output power is a measure of the maximum power the UE can transmit in a bandwidth of at least </w:t>
      </w:r>
      <w:r>
        <w:rPr/>
        <w:t xml:space="preserve">(1+ </w:t>
      </w:r>
      <w:r>
        <w:rPr>
          <w:rFonts w:cs="Symbol" w:ascii="Symbol" w:hAnsi="Symbol"/>
        </w:rPr>
        <w:t></w:t>
      </w:r>
      <w:r>
        <w:rPr/>
        <w:t xml:space="preserve"> </w:t>
      </w:r>
      <w:r>
        <w:rPr>
          <w:lang w:eastAsia="zh-CN"/>
        </w:rPr>
        <w:t>times the chip rate of the radio access mode, for more information see 3GPP TS 34.122 [8] Subclause 5.2. The period of measurement shall be at least one timeslot. Also care should be taken that the noise floor of the measurement receiver is not disturbing the power measurement. Normally, the receiving device should be set accordingly so that the receiving signal will be at least 30dB higher than the system noise floor.</w:t>
      </w:r>
    </w:p>
    <w:p>
      <w:pPr>
        <w:pStyle w:val="Normal"/>
        <w:rPr/>
      </w:pPr>
      <w:r>
        <w:rPr>
          <w:lang w:eastAsia="zh-CN"/>
        </w:rPr>
        <w:t>Test environment: normal; see 3GPP TS34.122-1 [8] Subclause G.2.1.</w:t>
      </w:r>
    </w:p>
    <w:p>
      <w:pPr>
        <w:pStyle w:val="Normal"/>
        <w:rPr/>
      </w:pPr>
      <w:r>
        <w:rPr>
          <w:lang w:eastAsia="zh-CN"/>
        </w:rPr>
        <w:t>Frequencies to be tested: low range, mid range, high range; see Table 5.2-2.</w:t>
      </w:r>
    </w:p>
    <w:p>
      <w:pPr>
        <w:pStyle w:val="B1"/>
        <w:rPr>
          <w:lang w:eastAsia="zh-CN"/>
        </w:rPr>
      </w:pPr>
      <w:r>
        <w:rPr>
          <w:lang w:eastAsia="zh-CN"/>
        </w:rPr>
        <w:t>1)</w:t>
        <w:tab/>
        <w:t>Set the SS downlink physical channels parameters. Set the DPCH power such that there will not be transmission gaps due to too low signal strength throughout the measurement.</w:t>
      </w:r>
    </w:p>
    <w:p>
      <w:pPr>
        <w:pStyle w:val="B1"/>
        <w:rPr>
          <w:lang w:eastAsia="zh-CN"/>
        </w:rPr>
      </w:pPr>
      <w:r>
        <w:rPr>
          <w:lang w:eastAsia="zh-CN"/>
        </w:rPr>
        <w:t>2)</w:t>
        <w:tab/>
        <w:t>Power on the UE.</w:t>
      </w:r>
    </w:p>
    <w:p>
      <w:pPr>
        <w:pStyle w:val="B1"/>
        <w:rPr/>
      </w:pPr>
      <w:r>
        <w:rPr>
          <w:lang w:eastAsia="zh-CN"/>
        </w:rPr>
        <w:t>3)</w:t>
        <w:tab/>
        <w:t>A call is set up according to the Generic call setup procedure. The power control algorithm shall be set to Power Control Algorithm 2.</w:t>
      </w:r>
    </w:p>
    <w:p>
      <w:pPr>
        <w:pStyle w:val="B1"/>
        <w:rPr>
          <w:lang w:eastAsia="zh-CN"/>
        </w:rPr>
      </w:pPr>
      <w:r>
        <w:rPr>
          <w:lang w:eastAsia="zh-CN"/>
        </w:rPr>
        <w:t>4)</w:t>
        <w:tab/>
        <w:t>Enter the UE into loopback test mode and start the loopback test.</w:t>
      </w:r>
    </w:p>
    <w:p>
      <w:pPr>
        <w:pStyle w:val="B1"/>
        <w:rPr/>
      </w:pPr>
      <w:r>
        <w:rPr>
          <w:lang w:eastAsia="zh-CN"/>
        </w:rPr>
        <w:t>5)</w:t>
        <w:tab/>
        <w:t xml:space="preserve">The measurement receiver shall be set to: zero span, video trigger and RMS detector. The RBW shall be at least </w:t>
      </w:r>
      <w:r>
        <w:rPr/>
        <w:t xml:space="preserve">(1+ </w:t>
      </w:r>
      <w:r>
        <w:rPr>
          <w:rFonts w:cs="Symbol" w:ascii="Symbol" w:hAnsi="Symbol"/>
        </w:rPr>
        <w:t></w:t>
      </w:r>
      <w:r>
        <w:rPr/>
        <w:t xml:space="preserve"> times the chip rate of the radio access mode</w:t>
      </w:r>
      <w:r>
        <w:rPr>
          <w:lang w:eastAsia="zh-CN"/>
        </w:rPr>
        <w:t xml:space="preserve"> and the VBW at least 3 times bigger than the RBW. For 1.28Mcps T</w:t>
      </w:r>
      <w:r>
        <w:rPr/>
        <w:t>DD UE</w:t>
      </w:r>
      <w:r>
        <w:rPr>
          <w:lang w:eastAsia="zh-CN"/>
        </w:rPr>
        <w:t>, the RBW shall be set to 3MHz, and VBW shall be set to 10MHz.</w:t>
      </w:r>
    </w:p>
    <w:p>
      <w:pPr>
        <w:pStyle w:val="Normal"/>
        <w:rPr/>
      </w:pPr>
      <w:r>
        <w:rPr/>
        <w:t>See TS 34.108 [4] and TS 34.109 [5] for details regarding generic call setup procedure and loopback test.</w:t>
      </w:r>
    </w:p>
    <w:p>
      <w:pPr>
        <w:pStyle w:val="Heading4"/>
        <w:ind w:left="1418" w:hanging="1418"/>
        <w:rPr/>
      </w:pPr>
      <w:bookmarkStart w:id="81" w:name="__RefHeading___Toc68601017"/>
      <w:bookmarkEnd w:id="81"/>
      <w:r>
        <w:rPr/>
        <w:t>6.1.4.4.2</w:t>
      </w:r>
      <w:r>
        <w:rPr>
          <w:rFonts w:cs="Calibri" w:ascii="Calibri" w:hAnsi="Calibri"/>
          <w:sz w:val="22"/>
          <w:szCs w:val="22"/>
        </w:rPr>
        <w:tab/>
      </w:r>
      <w:r>
        <w:rPr/>
        <w:t>Procedure</w:t>
      </w:r>
    </w:p>
    <w:p>
      <w:pPr>
        <w:pStyle w:val="B1"/>
        <w:rPr>
          <w:lang w:eastAsia="zh-CN"/>
        </w:rPr>
      </w:pPr>
      <w:r>
        <w:rPr>
          <w:lang w:eastAsia="zh-CN"/>
        </w:rPr>
        <w:t>1)</w:t>
        <w:tab/>
        <w:t>Send continuously Up power control commands to the UE.</w:t>
      </w:r>
    </w:p>
    <w:p>
      <w:pPr>
        <w:pStyle w:val="B1"/>
        <w:rPr>
          <w:lang w:eastAsia="zh-CN"/>
        </w:rPr>
      </w:pPr>
      <w:r>
        <w:rPr>
          <w:lang w:eastAsia="zh-CN"/>
        </w:rPr>
        <w:t>2)</w:t>
        <w:tab/>
        <w:t>As the UE reaches maximum power, start sending PN15 data pattern.</w:t>
      </w:r>
    </w:p>
    <w:p>
      <w:pPr>
        <w:pStyle w:val="B1"/>
        <w:rPr/>
      </w:pPr>
      <w:r>
        <w:rPr>
          <w:lang w:eastAsia="zh-CN"/>
        </w:rPr>
        <w:t>3)</w:t>
        <w:tab/>
        <w:t xml:space="preserve">Position the UE </w:t>
      </w:r>
      <w:r>
        <w:rPr/>
        <w:t>according to the DUT positioning for speech mode specified in Subclause 4.3.3.</w:t>
      </w:r>
    </w:p>
    <w:p>
      <w:pPr>
        <w:pStyle w:val="B1"/>
        <w:rPr/>
      </w:pPr>
      <w:r>
        <w:rPr>
          <w:lang w:eastAsia="zh-CN"/>
        </w:rPr>
        <w:t>4)</w:t>
        <w:tab/>
        <w:t xml:space="preserve">Measure the </w:t>
      </w:r>
      <w:r>
        <w:rPr>
          <w:i/>
          <w:iCs/>
          <w:sz w:val="24"/>
          <w:szCs w:val="24"/>
          <w:lang w:eastAsia="zh-CN"/>
        </w:rPr>
        <w:t>EIRP</w:t>
      </w:r>
      <w:r>
        <w:rPr>
          <w:rFonts w:cs="SimSun;宋体" w:ascii="SimSun;宋体" w:hAnsi="SimSun;宋体"/>
          <w:i/>
          <w:iCs/>
          <w:sz w:val="24"/>
          <w:szCs w:val="24"/>
          <w:vertAlign w:val="subscript"/>
          <w:lang w:eastAsia="zh-CN"/>
        </w:rPr>
        <w:t>θ</w:t>
      </w:r>
      <w:r>
        <w:rPr>
          <w:rFonts w:cs="Symbol" w:ascii="Symbol" w:hAnsi="Symbol"/>
          <w:sz w:val="15"/>
          <w:szCs w:val="15"/>
          <w:lang w:eastAsia="zh-CN"/>
        </w:rPr>
        <w:t></w:t>
      </w:r>
      <w:r>
        <w:rPr>
          <w:lang w:eastAsia="zh-CN"/>
        </w:rPr>
        <w:t xml:space="preserve">and </w:t>
      </w:r>
      <w:r>
        <w:rPr>
          <w:i/>
          <w:iCs/>
          <w:sz w:val="24"/>
          <w:szCs w:val="24"/>
          <w:lang w:eastAsia="zh-CN"/>
        </w:rPr>
        <w:t>EIRP</w:t>
      </w:r>
      <w:r>
        <w:rPr>
          <w:rFonts w:cs="SimSun;宋体" w:ascii="SimSun;宋体" w:hAnsi="SimSun;宋体"/>
          <w:i/>
          <w:iCs/>
          <w:sz w:val="24"/>
          <w:szCs w:val="24"/>
          <w:vertAlign w:val="subscript"/>
          <w:lang w:eastAsia="zh-CN"/>
        </w:rPr>
        <w:t>φ</w:t>
      </w:r>
      <w:r>
        <w:rPr>
          <w:lang w:eastAsia="zh-CN"/>
        </w:rPr>
        <w:t>with a sample step of 15° in theta (</w:t>
      </w:r>
      <w:r>
        <w:rPr>
          <w:rFonts w:cs="Symbol" w:ascii="SimSun;宋体" w:hAnsi="SimSun;宋体"/>
          <w:lang w:eastAsia="zh-CN"/>
        </w:rPr>
        <w:t>θ</w:t>
      </w:r>
      <w:r>
        <w:rPr>
          <w:lang w:eastAsia="zh-CN"/>
        </w:rPr>
        <w:t>) and phi (</w:t>
      </w:r>
      <w:r>
        <w:rPr>
          <w:rFonts w:cs="Symbol" w:ascii="SimSun;宋体" w:hAnsi="SimSun;宋体"/>
          <w:lang w:eastAsia="zh-CN"/>
        </w:rPr>
        <w:t>φ</w:t>
      </w:r>
      <w:r>
        <w:rPr>
          <w:lang w:eastAsia="zh-CN"/>
        </w:rPr>
        <w:t>) directions using a test system having characteristics as described in Annex A.</w:t>
      </w:r>
    </w:p>
    <w:p>
      <w:pPr>
        <w:pStyle w:val="B1"/>
        <w:rPr/>
      </w:pPr>
      <w:r>
        <w:rPr>
          <w:lang w:eastAsia="zh-CN"/>
        </w:rPr>
        <w:t>5)</w:t>
        <w:tab/>
        <w:t>Calculate TRP using equations from Subclause 6.1.4.1.</w:t>
      </w:r>
    </w:p>
    <w:p>
      <w:pPr>
        <w:pStyle w:val="NO"/>
        <w:rPr/>
      </w:pPr>
      <w:r>
        <w:rPr>
          <w:lang w:eastAsia="zh-CN"/>
        </w:rPr>
        <w:t>NOTE 1:</w:t>
        <w:tab/>
        <w:t>The measurement procedure is based on the measurement of the spherical radiation pattern of the DUT. The power radiated by the DUT is sampled in far field in a group of points located on a spherical surface enclosing the DUT. The EIRP samples are taken using a constant sample step of 15° both in theta (</w:t>
      </w:r>
      <w:r>
        <w:rPr>
          <w:rFonts w:cs="Symbol" w:ascii="SimSun;宋体" w:hAnsi="SimSun;宋体"/>
          <w:lang w:eastAsia="zh-CN"/>
        </w:rPr>
        <w:t>θ</w:t>
      </w:r>
      <w:r>
        <w:rPr>
          <w:lang w:eastAsia="zh-CN"/>
        </w:rPr>
        <w:t>) and phi (</w:t>
      </w:r>
      <w:r>
        <w:rPr>
          <w:rFonts w:cs="Symbol" w:ascii="SimSun;宋体" w:hAnsi="SimSun;宋体"/>
          <w:lang w:eastAsia="zh-CN"/>
        </w:rPr>
        <w:t>φ</w:t>
      </w:r>
      <w:r>
        <w:rPr>
          <w:lang w:eastAsia="zh-CN"/>
        </w:rPr>
        <w:t xml:space="preserve">) directions. In some cases a different sampling grid may be used to speed up the measurements (See </w:t>
      </w:r>
      <w:r>
        <w:rPr/>
        <w:t>Subclause 4.4</w:t>
      </w:r>
      <w:r>
        <w:rPr>
          <w:lang w:eastAsia="zh-CN"/>
        </w:rPr>
        <w:t xml:space="preserve">). All the EIRP samples are taken with two orthogonal polarizations, </w:t>
      </w:r>
      <w:r>
        <w:rPr>
          <w:rFonts w:cs="Symbol" w:ascii="SimSun;宋体" w:hAnsi="SimSun;宋体"/>
          <w:lang w:eastAsia="zh-CN"/>
        </w:rPr>
        <w:t>θ</w:t>
      </w:r>
      <w:r>
        <w:rPr>
          <w:lang w:eastAsia="zh-CN"/>
        </w:rPr>
        <w:t xml:space="preserve">- and </w:t>
      </w:r>
      <w:r>
        <w:rPr>
          <w:rFonts w:cs="Symbol" w:ascii="SimSun;宋体" w:hAnsi="SimSun;宋体"/>
          <w:lang w:eastAsia="zh-CN"/>
        </w:rPr>
        <w:t>φ</w:t>
      </w:r>
      <w:r>
        <w:rPr>
          <w:rFonts w:cs="Symbol" w:ascii="Symbol" w:hAnsi="Symbol"/>
          <w:sz w:val="21"/>
          <w:szCs w:val="21"/>
          <w:lang w:eastAsia="zh-CN"/>
        </w:rPr>
        <w:t></w:t>
      </w:r>
      <w:r>
        <w:rPr>
          <w:lang w:eastAsia="zh-CN"/>
        </w:rPr>
        <w:t>- polarizations.</w:t>
      </w:r>
    </w:p>
    <w:p>
      <w:pPr>
        <w:pStyle w:val="NO"/>
        <w:rPr/>
      </w:pPr>
      <w:r>
        <w:rPr>
          <w:lang w:eastAsia="zh-CN"/>
        </w:rPr>
        <w:t>NOTE 2:</w:t>
        <w:tab/>
        <w:t>The noise floor of the measurement receiver shall not disturb the power measurement.</w:t>
      </w:r>
    </w:p>
    <w:p>
      <w:pPr>
        <w:pStyle w:val="NO"/>
        <w:rPr/>
      </w:pPr>
      <w:r>
        <w:rPr>
          <w:lang w:eastAsia="zh-CN"/>
        </w:rPr>
        <w:t>NOTE 3:</w:t>
        <w:tab/>
        <w:t>Non Standard settings: To speed up sensitivity measurements, power measurements may be done with non standard modulation. However to obtain TRP result the measured EIRP figures shall be normalized by</w:t>
      </w:r>
    </w:p>
    <w:p>
      <w:pPr>
        <w:pStyle w:val="EQ"/>
        <w:jc w:val="center"/>
        <w:rPr>
          <w:lang w:val="en-GB" w:eastAsia="zh-CN"/>
        </w:rPr>
      </w:pPr>
      <w:r>
        <w:rPr>
          <w:lang w:val="en-GB" w:eastAsia="en-GB"/>
        </w:rPr>
      </w:r>
      <m:oMathPara xmlns:m="http://schemas.openxmlformats.org/officeDocument/2006/math">
        <m:oMathParaPr>
          <m:jc m:val="center"/>
        </m:oMathParaPr>
        <m:oMath>
          <m:r>
            <w:rPr>
              <w:rFonts w:ascii="Cambria Math" w:hAnsi="Cambria Math"/>
            </w:rPr>
            <m:t xml:space="preserve">Δ</m:t>
          </m:r>
          <m:bar>
            <m:barPr>
              <m:pos m:val="top"/>
            </m:barPr>
            <m:e>
              <m:r>
                <m:rPr>
                  <m:lit/>
                  <m:nor/>
                </m:rPr>
                <w:rPr>
                  <w:rFonts w:ascii="Cambria Math" w:hAnsi="Cambria Math"/>
                </w:rPr>
                <m:t xml:space="preserve">EIRP</m:t>
              </m:r>
            </m:e>
          </m:ba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m:rPr>
                          <m:lit/>
                          <m:nor/>
                        </m:rPr>
                        <w:rPr>
                          <w:rFonts w:ascii="Cambria Math" w:hAnsi="Cambria Math"/>
                        </w:rPr>
                        <m:t xml:space="preserve">EIRPstd</m:t>
                      </m:r>
                    </m:e>
                    <m:sub>
                      <m:r>
                        <w:rPr>
                          <w:rFonts w:ascii="Cambria Math" w:hAnsi="Cambria Math"/>
                        </w:rPr>
                        <m:t xml:space="preserve">i</m:t>
                      </m:r>
                    </m:sub>
                  </m:sSub>
                  <m:r>
                    <w:rPr>
                      <w:rFonts w:ascii="Cambria Math" w:hAnsi="Cambria Math"/>
                    </w:rPr>
                    <m:t xml:space="preserve">−</m:t>
                  </m:r>
                  <m:sSub>
                    <m:e>
                      <m:r>
                        <m:rPr>
                          <m:lit/>
                          <m:nor/>
                        </m:rPr>
                        <w:rPr>
                          <w:rFonts w:ascii="Cambria Math" w:hAnsi="Cambria Math"/>
                        </w:rPr>
                        <m:t xml:space="preserve">EIRPnstd</m:t>
                      </m:r>
                    </m:e>
                    <m:sub>
                      <m:r>
                        <w:rPr>
                          <w:rFonts w:ascii="Cambria Math" w:hAnsi="Cambria Math"/>
                        </w:rPr>
                        <m:t xml:space="preserve">i</m:t>
                      </m:r>
                    </m:sub>
                  </m:sSub>
                </m:e>
              </m:d>
            </m:e>
          </m:nary>
        </m:oMath>
      </m:oMathPara>
    </w:p>
    <w:p>
      <w:pPr>
        <w:pStyle w:val="Normal"/>
        <w:rPr/>
      </w:pPr>
      <w:r>
        <w:rPr>
          <w:lang w:eastAsia="zh-CN"/>
        </w:rPr>
        <w:t xml:space="preserve">where </w:t>
      </w:r>
      <w:r>
        <w:rPr>
          <w:i/>
          <w:iCs/>
          <w:sz w:val="14"/>
          <w:szCs w:val="14"/>
          <w:lang w:eastAsia="zh-CN"/>
        </w:rPr>
        <w:t xml:space="preserve">i </w:t>
      </w:r>
      <w:r>
        <w:rPr>
          <w:i/>
          <w:iCs/>
          <w:sz w:val="24"/>
          <w:szCs w:val="24"/>
          <w:lang w:eastAsia="zh-CN"/>
        </w:rPr>
        <w:t>EIRPstd</w:t>
      </w:r>
      <w:r>
        <w:rPr>
          <w:i/>
          <w:iCs/>
          <w:sz w:val="14"/>
          <w:szCs w:val="14"/>
          <w:lang w:eastAsia="zh-CN"/>
        </w:rPr>
        <w:t xml:space="preserve"> i</w:t>
      </w:r>
      <w:r>
        <w:rPr>
          <w:i/>
          <w:iCs/>
          <w:sz w:val="24"/>
          <w:szCs w:val="24"/>
          <w:lang w:eastAsia="zh-CN"/>
        </w:rPr>
        <w:t xml:space="preserve"> </w:t>
      </w:r>
      <w:r>
        <w:rPr>
          <w:lang w:eastAsia="zh-CN"/>
        </w:rPr>
        <w:t xml:space="preserve">is power measurement done with standard setting. </w:t>
      </w:r>
      <w:r>
        <w:rPr>
          <w:i/>
          <w:iCs/>
          <w:sz w:val="24"/>
          <w:szCs w:val="24"/>
          <w:lang w:eastAsia="zh-CN"/>
        </w:rPr>
        <w:t>EIRPnstd</w:t>
      </w:r>
      <w:r>
        <w:rPr>
          <w:i/>
          <w:iCs/>
          <w:sz w:val="14"/>
          <w:szCs w:val="14"/>
          <w:lang w:eastAsia="zh-CN"/>
        </w:rPr>
        <w:t xml:space="preserve"> i</w:t>
      </w:r>
      <w:r>
        <w:rPr>
          <w:i/>
          <w:iCs/>
          <w:sz w:val="24"/>
          <w:szCs w:val="24"/>
          <w:lang w:eastAsia="zh-CN"/>
        </w:rPr>
        <w:t xml:space="preserve"> </w:t>
      </w:r>
      <w:r>
        <w:rPr>
          <w:lang w:eastAsia="zh-CN"/>
        </w:rPr>
        <w:t xml:space="preserve">is power measurement done with non standard modulation. </w:t>
      </w:r>
      <w:r>
        <w:rPr>
          <w:i/>
          <w:iCs/>
          <w:sz w:val="24"/>
          <w:szCs w:val="24"/>
          <w:lang w:eastAsia="zh-CN"/>
        </w:rPr>
        <w:t xml:space="preserve">n </w:t>
      </w:r>
      <w:r>
        <w:rPr>
          <w:lang w:eastAsia="zh-CN"/>
        </w:rPr>
        <w:t>is amount of reference measurement points.</w:t>
      </w:r>
    </w:p>
    <w:p>
      <w:pPr>
        <w:pStyle w:val="Normal"/>
        <w:rPr/>
      </w:pPr>
      <w:r>
        <w:rPr>
          <w:lang w:eastAsia="zh-CN"/>
        </w:rPr>
        <w:t>To ensure accuracy of TRP, the amount of reference points measured should be at least 4. It is recommended to spread the reference measurements equally during the measurement time.</w:t>
      </w:r>
    </w:p>
    <w:p>
      <w:pPr>
        <w:pStyle w:val="Heading4"/>
        <w:ind w:left="1418" w:hanging="1418"/>
        <w:rPr/>
      </w:pPr>
      <w:bookmarkStart w:id="82" w:name="__RefHeading___Toc68601018"/>
      <w:bookmarkEnd w:id="82"/>
      <w:r>
        <w:rPr/>
        <w:t>6.1.4.4.3</w:t>
      </w:r>
      <w:r>
        <w:rPr>
          <w:rFonts w:cs="Calibri" w:ascii="Calibri" w:hAnsi="Calibri"/>
          <w:sz w:val="22"/>
          <w:szCs w:val="22"/>
        </w:rPr>
        <w:tab/>
      </w:r>
      <w:r>
        <w:rPr/>
        <w:t>Procedure, reverberation chamber method</w:t>
      </w:r>
    </w:p>
    <w:p>
      <w:pPr>
        <w:pStyle w:val="B1"/>
        <w:rPr/>
      </w:pPr>
      <w:r>
        <w:rPr/>
        <w:t>1)</w:t>
        <w:tab/>
        <w:t>Send continuously Up power control commands to the UE.</w:t>
      </w:r>
    </w:p>
    <w:p>
      <w:pPr>
        <w:pStyle w:val="B1"/>
        <w:rPr/>
      </w:pPr>
      <w:r>
        <w:rPr/>
        <w:t>2)</w:t>
        <w:tab/>
        <w:t>As the UE reaches maximum power, start sending PN15 data pattern.</w:t>
      </w:r>
    </w:p>
    <w:p>
      <w:pPr>
        <w:pStyle w:val="B1"/>
        <w:rPr/>
      </w:pPr>
      <w:r>
        <w:rPr/>
        <w:t>3)</w:t>
        <w:tab/>
        <w:t>Position the UE according to the DUT positioning for speech mode specified in Subclause 4.3.3.</w:t>
      </w:r>
    </w:p>
    <w:p>
      <w:pPr>
        <w:pStyle w:val="B1"/>
        <w:rPr/>
      </w:pPr>
      <w:r>
        <w:rPr/>
        <w:t>4)</w:t>
        <w:tab/>
        <w:t xml:space="preserve">Measure a sufficient number of independent samples (see </w:t>
      </w:r>
      <w:r>
        <w:rPr>
          <w:lang w:eastAsia="zh-TW"/>
        </w:rPr>
        <w:t>Subclause 4.5</w:t>
      </w:r>
      <w:r>
        <w:rPr/>
        <w:t xml:space="preserve">) of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oMath>
      <w:r>
        <w:rPr/>
        <w:t xml:space="preserve"> using a test system having characteristics as described in Annex A.</w:t>
      </w:r>
    </w:p>
    <w:p>
      <w:pPr>
        <w:pStyle w:val="B1"/>
        <w:rPr/>
      </w:pPr>
      <w:r>
        <w:rPr/>
        <w:t>5)</w:t>
        <w:tab/>
        <w:t xml:space="preserve">Calculate TRP using equations from </w:t>
      </w:r>
      <w:r>
        <w:rPr>
          <w:lang w:eastAsia="zh-TW"/>
        </w:rPr>
        <w:t>Subclause 6.1.4.1</w:t>
      </w:r>
      <w:r>
        <w:rPr/>
        <w:t>.</w:t>
      </w:r>
    </w:p>
    <w:p>
      <w:pPr>
        <w:pStyle w:val="NO"/>
        <w:rPr/>
      </w:pPr>
      <w:r>
        <w:rPr/>
        <w:t>NOTE 1:</w:t>
        <w:tab/>
        <w:t xml:space="preserve">The measurement procedure is based on the measurement of the total power radiated from the UE to a full 3 dimensional isotropic environment with uniform elevation and azimuth field distribution. The power transmitted by the DUT is undergoing Rayleigh fading and is sampled by the fixed measurement antennas. Moreover, it is important that the samples collected are independent, in order to get sufficient accuracy of the estimated TRP value. </w:t>
      </w:r>
    </w:p>
    <w:p>
      <w:pPr>
        <w:pStyle w:val="NO"/>
        <w:rPr/>
      </w:pPr>
      <w:r>
        <w:rPr/>
        <w:t>NOTE 2:</w:t>
        <w:tab/>
        <w:t>The noise floor of the measurement receiver shall not disturb the power measurement.</w:t>
      </w:r>
    </w:p>
    <w:p>
      <w:pPr>
        <w:pStyle w:val="Heading4"/>
        <w:ind w:left="1418" w:hanging="1418"/>
        <w:rPr/>
      </w:pPr>
      <w:bookmarkStart w:id="83" w:name="__RefHeading___Toc68601019"/>
      <w:bookmarkEnd w:id="83"/>
      <w:r>
        <w:rPr/>
        <w:t>6.1.4.5</w:t>
      </w:r>
      <w:r>
        <w:rPr>
          <w:rFonts w:cs="Calibri" w:ascii="Calibri" w:hAnsi="Calibri"/>
          <w:sz w:val="22"/>
          <w:szCs w:val="22"/>
        </w:rPr>
        <w:tab/>
      </w:r>
      <w:r>
        <w:rPr/>
        <w:t>Test requirements</w:t>
      </w:r>
    </w:p>
    <w:p>
      <w:pPr>
        <w:pStyle w:val="Normal"/>
        <w:jc w:val="both"/>
        <w:rPr/>
      </w:pPr>
      <w:r>
        <w:rPr/>
        <w:t>The average TRP of low, mid and high channel in beside head position shall be higher than test performance requirements for roaming bands shown in Table 6.1.4.5-1. The averaging shall be done in linear scale for the TRP results of both right and left side of the phantom head.</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num>
                <m:den>
                  <m:r>
                    <w:rPr>
                      <w:rFonts w:ascii="Cambria Math" w:hAnsi="Cambria Math"/>
                    </w:rPr>
                    <m:t xml:space="preserve">6</m:t>
                  </m:r>
                </m:den>
              </m:f>
            </m:e>
          </m:d>
        </m:oMath>
      </m:oMathPara>
    </w:p>
    <w:p>
      <w:pPr>
        <w:pStyle w:val="Normal"/>
        <w:rPr/>
      </w:pPr>
      <w:r>
        <w:rPr/>
        <w:t>In addition the minimum TRP of each measured channel in beside head position shall be higher than minimum performance requirements shown in the columns “Min”.</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min</m:t>
          </m:r>
          <m:d>
            <m:dPr>
              <m:begChr m:val="["/>
              <m:endChr m:val="]"/>
            </m:dPr>
            <m:e>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e>
          </m:d>
        </m:oMath>
      </m:oMathPara>
    </w:p>
    <w:p>
      <w:pPr>
        <w:pStyle w:val="TH"/>
        <w:rPr/>
      </w:pPr>
      <w:r>
        <w:rPr/>
        <w:t>Table 6.1.4.5-1: TRP test requirement for UTRA LCR TDD roaming bands in the speech position and the primary mechanical mode</w:t>
      </w:r>
    </w:p>
    <w:tbl>
      <w:tblPr>
        <w:tblW w:w="7530" w:type="dxa"/>
        <w:jc w:val="center"/>
        <w:tblInd w:w="0" w:type="dxa"/>
        <w:tblLayout w:type="fixed"/>
        <w:tblCellMar>
          <w:top w:w="0" w:type="dxa"/>
          <w:left w:w="108" w:type="dxa"/>
          <w:bottom w:w="0" w:type="dxa"/>
          <w:right w:w="108" w:type="dxa"/>
        </w:tblCellMar>
      </w:tblPr>
      <w:tblGrid>
        <w:gridCol w:w="1016"/>
        <w:gridCol w:w="935"/>
        <w:gridCol w:w="567"/>
        <w:gridCol w:w="992"/>
        <w:gridCol w:w="709"/>
        <w:gridCol w:w="992"/>
        <w:gridCol w:w="567"/>
        <w:gridCol w:w="992"/>
        <w:gridCol w:w="760"/>
      </w:tblGrid>
      <w:tr>
        <w:trPr>
          <w:trHeight w:val="277" w:hRule="atLeast"/>
        </w:trPr>
        <w:tc>
          <w:tcPr>
            <w:tcW w:w="1016" w:type="dxa"/>
            <w:vMerge w:val="restart"/>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Operating band</w:t>
            </w:r>
          </w:p>
        </w:tc>
        <w:tc>
          <w:tcPr>
            <w:tcW w:w="150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1</w:t>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2</w:t>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3</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4</w:t>
            </w:r>
          </w:p>
        </w:tc>
      </w:tr>
      <w:tr>
        <w:trPr>
          <w:trHeight w:val="316" w:hRule="atLeast"/>
        </w:trPr>
        <w:tc>
          <w:tcPr>
            <w:tcW w:w="101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50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r>
      <w:tr>
        <w:trPr>
          <w:trHeight w:val="244" w:hRule="atLeast"/>
        </w:trPr>
        <w:tc>
          <w:tcPr>
            <w:tcW w:w="101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93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56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70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56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76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r>
      <w:tr>
        <w:trPr>
          <w:trHeight w:val="215" w:hRule="atLeast"/>
        </w:trPr>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a</w:t>
            </w:r>
          </w:p>
        </w:tc>
        <w:tc>
          <w:tcPr>
            <w:tcW w:w="93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r>
      <w:tr>
        <w:trPr>
          <w:trHeight w:val="215" w:hRule="atLeast"/>
        </w:trPr>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b</w:t>
            </w:r>
          </w:p>
        </w:tc>
        <w:tc>
          <w:tcPr>
            <w:tcW w:w="93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r>
      <w:tr>
        <w:trPr>
          <w:trHeight w:val="215" w:hRule="atLeast"/>
        </w:trPr>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c</w:t>
            </w:r>
          </w:p>
        </w:tc>
        <w:tc>
          <w:tcPr>
            <w:tcW w:w="93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r>
      <w:tr>
        <w:trPr>
          <w:trHeight w:val="215" w:hRule="atLeast"/>
        </w:trPr>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w:t>
            </w:r>
          </w:p>
        </w:tc>
        <w:tc>
          <w:tcPr>
            <w:tcW w:w="93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r>
      <w:tr>
        <w:trPr>
          <w:trHeight w:val="215" w:hRule="atLeast"/>
        </w:trPr>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e</w:t>
            </w:r>
          </w:p>
        </w:tc>
        <w:tc>
          <w:tcPr>
            <w:tcW w:w="93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r>
      <w:tr>
        <w:trPr>
          <w:trHeight w:val="215" w:hRule="atLeast"/>
        </w:trPr>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f</w:t>
            </w:r>
          </w:p>
        </w:tc>
        <w:tc>
          <w:tcPr>
            <w:tcW w:w="93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r>
      <w:tr>
        <w:trPr>
          <w:trHeight w:val="215" w:hRule="atLeast"/>
        </w:trPr>
        <w:tc>
          <w:tcPr>
            <w:tcW w:w="7530" w:type="dxa"/>
            <w:gridSpan w:val="9"/>
            <w:tcBorders>
              <w:top w:val="single" w:sz="4" w:space="0" w:color="000000"/>
              <w:left w:val="single" w:sz="4" w:space="0" w:color="000000"/>
              <w:bottom w:val="single" w:sz="4" w:space="0" w:color="000000"/>
              <w:right w:val="single" w:sz="4" w:space="0" w:color="000000"/>
            </w:tcBorders>
            <w:vAlign w:val="center"/>
          </w:tcPr>
          <w:p>
            <w:pPr>
              <w:pStyle w:val="TAN"/>
              <w:rPr>
                <w:lang w:eastAsia="en-US"/>
              </w:rPr>
            </w:pPr>
            <w:r>
              <w:rPr>
                <w:lang w:eastAsia="en-US"/>
              </w:rPr>
              <w:t>Note:</w:t>
              <w:tab/>
              <w:t>Applicable for dual-mode GSM/UTRA LCR TDD.</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Heading3"/>
        <w:rPr/>
      </w:pPr>
      <w:bookmarkStart w:id="84" w:name="__RefHeading___Toc68601020"/>
      <w:r>
        <w:rPr/>
        <w:t>6.1.5</w:t>
        <w:tab/>
        <w:t>Total Radiated Power (TRP) for E-UTRA FDD in Speech Mode with beside the Head and Hand Phantom</w:t>
      </w:r>
      <w:bookmarkEnd w:id="84"/>
      <w:r>
        <w:rPr/>
        <w:t xml:space="preserve"> </w:t>
      </w:r>
    </w:p>
    <w:p>
      <w:pPr>
        <w:pStyle w:val="EditorsNote"/>
        <w:rPr/>
      </w:pPr>
      <w:r>
        <w:rPr/>
        <w:t>Editor’s notes: This subclause is incomplete. The following items are missing or incomplete:</w:t>
      </w:r>
    </w:p>
    <w:p>
      <w:pPr>
        <w:pStyle w:val="EditorsNote"/>
        <w:rPr/>
      </w:pPr>
      <w:r>
        <w:rPr/>
        <w:t>- Table 6.1.5.2-1 and 6.1.5.5-1 as they are not specified in TS 37.144 yet</w:t>
      </w:r>
    </w:p>
    <w:p>
      <w:pPr>
        <w:pStyle w:val="Heading4"/>
        <w:ind w:left="1418" w:hanging="1418"/>
        <w:rPr/>
      </w:pPr>
      <w:bookmarkStart w:id="85" w:name="__RefHeading___Toc68601021"/>
      <w:bookmarkEnd w:id="85"/>
      <w:r>
        <w:rPr/>
        <w:t>6.1.5.1</w:t>
      </w:r>
      <w:r>
        <w:rPr>
          <w:rFonts w:cs="Calibri" w:ascii="Calibri" w:hAnsi="Calibri"/>
          <w:sz w:val="22"/>
          <w:szCs w:val="22"/>
        </w:rPr>
        <w:tab/>
      </w:r>
      <w:r>
        <w:rPr/>
        <w:t>Definition and applicability</w:t>
      </w:r>
    </w:p>
    <w:p>
      <w:pPr>
        <w:pStyle w:val="Normal"/>
        <w:rPr/>
      </w:pPr>
      <w:r>
        <w:rPr/>
        <w:t>The Total Radiated Power (TRP) is a measure of how much power the antenna actually radiates, when non-idealities such as mismatch and losses in the antenna are taken into account. The TRP is defined as the integral of the power transmitted in different directions over the entire radiation sphere:</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m:rPr>
                  <m:lit/>
                  <m:nor/>
                </m:rPr>
                <w:rPr>
                  <w:rFonts w:ascii="Cambria Math" w:hAnsi="Cambria Math"/>
                </w:rPr>
                <m:t xml:space="preserve">TRP</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4</m:t>
              </m:r>
              <m:r>
                <w:rPr>
                  <w:rFonts w:ascii="Cambria Math" w:hAnsi="Cambria Math"/>
                </w:rPr>
                <m:t xml:space="preserve">π</m:t>
              </m:r>
            </m:den>
          </m:f>
          <m:nary>
            <m:naryPr>
              <m:chr m:val="∮"/>
              <m:subHide m:val="1"/>
              <m:supHide m:val="1"/>
            </m:naryPr>
            <m:sub/>
            <m:sup/>
            <m:e>
              <m:d>
                <m:dPr>
                  <m:begChr m:val="("/>
                  <m:endChr m:val=")"/>
                </m:dPr>
                <m:e>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e>
              </m:d>
            </m:e>
          </m:nary>
          <m:r>
            <w:rPr>
              <w:rFonts w:ascii="Cambria Math" w:hAnsi="Cambria Math"/>
            </w:rPr>
            <m:t xml:space="preserve">d</m:t>
          </m:r>
          <m:r>
            <w:rPr>
              <w:rFonts w:ascii="Cambria Math" w:hAnsi="Cambria Math"/>
            </w:rPr>
            <m:t xml:space="preserve">Ω</m:t>
          </m:r>
        </m:oMath>
      </m:oMathPara>
    </w:p>
    <w:p>
      <w:pPr>
        <w:pStyle w:val="Normal"/>
        <w:rPr/>
      </w:pPr>
      <w:r>
        <w:rPr/>
        <w:t xml:space="preserve">Using </w:t>
      </w:r>
      <w:r>
        <w:rPr/>
      </w:r>
      <m:oMath xmlns:m="http://schemas.openxmlformats.org/officeDocument/2006/math">
        <m:r>
          <w:rPr>
            <w:rFonts w:ascii="Cambria Math" w:hAnsi="Cambria Math"/>
          </w:rPr>
          <m:t xml:space="preserve">ψ</m:t>
        </m:r>
      </m:oMath>
      <w:r>
        <w:rPr/>
        <w:t xml:space="preserve"> to denote either </w:t>
      </w:r>
      <w:r>
        <w:rPr/>
      </w:r>
      <m:oMath xmlns:m="http://schemas.openxmlformats.org/officeDocument/2006/math">
        <m:r>
          <w:rPr>
            <w:rFonts w:ascii="Cambria Math" w:hAnsi="Cambria Math"/>
          </w:rPr>
          <m:t xml:space="preserve">θ</m:t>
        </m:r>
      </m:oMath>
      <w:r>
        <w:rPr/>
        <w:t xml:space="preserve"> or </w:t>
      </w:r>
      <w:r>
        <w:rPr/>
      </w:r>
      <m:oMath xmlns:m="http://schemas.openxmlformats.org/officeDocument/2006/math">
        <m:r>
          <w:rPr>
            <w:rFonts w:ascii="Cambria Math" w:hAnsi="Cambria Math"/>
          </w:rPr>
          <m:t xml:space="preserve">ϕ</m:t>
        </m:r>
      </m:oMath>
      <w:r>
        <w:rPr/>
        <w:t xml:space="preserve">, </w:t>
      </w:r>
      <w:r>
        <w:rPr/>
      </w:r>
      <m:oMath xmlns:m="http://schemas.openxmlformats.org/officeDocument/2006/math">
        <m:sSub>
          <m:e>
            <m:r>
              <w:rPr>
                <w:rFonts w:ascii="Cambria Math" w:hAnsi="Cambria Math"/>
              </w:rPr>
              <m:t xml:space="preserve">G</m:t>
            </m:r>
          </m:e>
          <m:sub>
            <m:r>
              <w:rPr>
                <w:rFonts w:ascii="Cambria Math" w:hAnsi="Cambria Math"/>
              </w:rPr>
              <m:t xml:space="preserve">ψ</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oMath>
      <w:r>
        <w:rPr/>
        <w:t xml:space="preserve">is the </w:t>
      </w:r>
      <w:r>
        <w:rPr/>
      </w:r>
      <m:oMath xmlns:m="http://schemas.openxmlformats.org/officeDocument/2006/math">
        <m:r>
          <w:rPr>
            <w:rFonts w:ascii="Cambria Math" w:hAnsi="Cambria Math"/>
          </w:rPr>
          <m:t xml:space="preserve">ψ</m:t>
        </m:r>
      </m:oMath>
      <w:r>
        <w:rPr/>
        <w:t xml:space="preserve">-polarization component of the gain pattern for the handset antenna measured at the frequency </w:t>
      </w:r>
      <w:r>
        <w:rPr/>
      </w:r>
      <m:oMath xmlns:m="http://schemas.openxmlformats.org/officeDocument/2006/math">
        <m:r>
          <w:rPr>
            <w:rFonts w:ascii="Cambria Math" w:hAnsi="Cambria Math"/>
          </w:rPr>
          <m:t xml:space="preserve">f</m:t>
        </m:r>
      </m:oMath>
      <w:r>
        <w:rPr/>
        <w:t xml:space="preserve">, where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oMath>
      <w:r>
        <w:rPr/>
        <w:t xml:space="preserve">is the transmit power level of the handset so that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ψ</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oMath>
      <w:r>
        <w:rPr/>
        <w:t xml:space="preserve">is the actually transmitted power-level, also known as EIRP, in the </w:t>
      </w:r>
      <w:r>
        <w:rPr/>
      </w:r>
      <m:oMath xmlns:m="http://schemas.openxmlformats.org/officeDocument/2006/math">
        <m:r>
          <w:rPr>
            <w:rFonts w:ascii="Cambria Math" w:hAnsi="Cambria Math"/>
          </w:rPr>
          <m:t xml:space="preserve">ψ</m:t>
        </m:r>
      </m:oMath>
      <w:r>
        <w:rPr/>
        <w:t xml:space="preserve">-polarization and in the direction </w:t>
      </w:r>
      <w:r>
        <w:rPr/>
      </w:r>
      <m:oMath xmlns:m="http://schemas.openxmlformats.org/officeDocument/2006/math">
        <m:r>
          <w:rPr>
            <w:rFonts w:ascii="Cambria Math" w:hAnsi="Cambria Math"/>
          </w:rPr>
          <m:t xml:space="preserve">Ω</m:t>
        </m:r>
      </m:oMath>
      <w:r>
        <w:rPr/>
        <w:t xml:space="preserve"> for frequency </w:t>
      </w:r>
      <w:r>
        <w:rPr/>
      </w:r>
      <m:oMath xmlns:m="http://schemas.openxmlformats.org/officeDocument/2006/math">
        <m:r>
          <w:rPr>
            <w:rFonts w:ascii="Cambria Math" w:hAnsi="Cambria Math"/>
          </w:rPr>
          <m:t xml:space="preserve">f</m:t>
        </m:r>
      </m:oMath>
      <w:r>
        <w:rPr/>
        <w:t>.</w:t>
      </w:r>
    </w:p>
    <w:p>
      <w:pPr>
        <w:pStyle w:val="Normal"/>
        <w:rPr/>
      </w:pPr>
      <w:r>
        <w:rPr/>
        <w:t>The above equation may be written in "gain" form, that is, the TRP given by P</w:t>
      </w:r>
      <w:r>
        <w:rPr>
          <w:vertAlign w:val="subscript"/>
        </w:rPr>
        <w:t>TRP</w:t>
      </w:r>
      <w:r>
        <w:rPr/>
        <w:t xml:space="preserve"> is normalized to the transmitted power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oMath>
      <w:r>
        <w:rPr/>
        <w:t>. This is the total radiation efficiency, which can also be denoted as Total Radiated Power Gain, TRPG,</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Γ</m:t>
              </m:r>
            </m:e>
            <m:sub>
              <m:r>
                <m:rPr>
                  <m:lit/>
                  <m:nor/>
                </m:rPr>
                <w:rPr>
                  <w:rFonts w:ascii="Cambria Math" w:hAnsi="Cambria Math"/>
                </w:rPr>
                <m:t xml:space="preserve">TRP</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4</m:t>
              </m:r>
              <m:r>
                <w:rPr>
                  <w:rFonts w:ascii="Cambria Math" w:hAnsi="Cambria Math"/>
                </w:rPr>
                <m:t xml:space="preserve">π</m:t>
              </m:r>
            </m:den>
          </m:f>
          <m:nary>
            <m:naryPr>
              <m:chr m:val="∮"/>
              <m:subHide m:val="1"/>
              <m:supHide m:val="1"/>
            </m:naryPr>
            <m:sub/>
            <m:sup/>
            <m:e>
              <m:d>
                <m:dPr>
                  <m:begChr m:val="("/>
                  <m:endChr m:val=")"/>
                </m:dPr>
                <m:e>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e>
              </m:d>
            </m:e>
          </m:nary>
          <m:r>
            <w:rPr>
              <w:rFonts w:ascii="Cambria Math" w:hAnsi="Cambria Math"/>
            </w:rPr>
            <m:t xml:space="preserve">d</m:t>
          </m:r>
          <m:r>
            <w:rPr>
              <w:rFonts w:ascii="Cambria Math" w:hAnsi="Cambria Math"/>
            </w:rPr>
            <m:t xml:space="preserve">Ω</m:t>
          </m:r>
        </m:oMath>
      </m:oMathPara>
    </w:p>
    <w:p>
      <w:pPr>
        <w:pStyle w:val="Normal"/>
        <w:rPr/>
      </w:pPr>
      <w:r>
        <w:rPr/>
        <w:t xml:space="preserve">In practice discrete samples of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ψ</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oMath>
      <w:r>
        <w:rPr/>
        <w:t xml:space="preserve"> are measured and used to approximate the integral so that the TRP is computed as</w:t>
      </w:r>
    </w:p>
    <w:p>
      <w:pPr>
        <w:pStyle w:val="EQ"/>
        <w:tabs>
          <w:tab w:val="clear" w:pos="9072"/>
          <w:tab w:val="center" w:pos="4536" w:leader="none"/>
          <w:tab w:val="right" w:pos="7938" w:leader="none"/>
        </w:tabs>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m:rPr>
                  <m:lit/>
                  <m:nor/>
                </m:rPr>
                <w:rPr>
                  <w:rFonts w:ascii="Cambria Math" w:hAnsi="Cambria Math"/>
                </w:rPr>
                <m:t xml:space="preserve">TRP</m:t>
              </m:r>
            </m:sub>
          </m:sSub>
          <m:r>
            <w:rPr>
              <w:rFonts w:ascii="Cambria Math" w:hAnsi="Cambria Math"/>
            </w:rPr>
            <m:t xml:space="preserve">≈</m:t>
          </m:r>
          <m:f>
            <m:num>
              <m:sSub>
                <m:e>
                  <m:r>
                    <w:rPr>
                      <w:rFonts w:ascii="Cambria Math" w:hAnsi="Cambria Math"/>
                    </w:rPr>
                    <m:t xml:space="preserve">Δ</m:t>
                  </m:r>
                </m:e>
                <m:sub>
                  <m:r>
                    <w:rPr>
                      <w:rFonts w:ascii="Cambria Math" w:hAnsi="Cambria Math"/>
                    </w:rPr>
                    <m:t xml:space="preserve">θ</m:t>
                  </m:r>
                </m:sub>
              </m:sSub>
              <m:sSub>
                <m:e>
                  <m:r>
                    <w:rPr>
                      <w:rFonts w:ascii="Cambria Math" w:hAnsi="Cambria Math"/>
                    </w:rPr>
                    <m:t xml:space="preserve">Δ</m:t>
                  </m:r>
                </m:e>
                <m:sub>
                  <m:r>
                    <w:rPr>
                      <w:rFonts w:ascii="Cambria Math" w:hAnsi="Cambria Math"/>
                    </w:rPr>
                    <m:t xml:space="preserve">ϕ</m:t>
                  </m:r>
                </m:sub>
              </m:sSub>
            </m:num>
            <m:den>
              <m:r>
                <w:rPr>
                  <w:rFonts w:ascii="Cambria Math" w:hAnsi="Cambria Math"/>
                </w:rPr>
                <m:t xml:space="preserve">4</m:t>
              </m:r>
              <m:r>
                <w:rPr>
                  <w:rFonts w:ascii="Cambria Math" w:hAnsi="Cambria Math"/>
                </w:rPr>
                <m:t xml:space="preserve">π</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rPr/>
      </w:pPr>
      <w:r>
        <w:rPr/>
        <w:t xml:space="preserve">Or, by using the relation </w:t>
      </w:r>
      <w:r>
        <w:rPr/>
      </w:r>
      <m:oMath xmlns:m="http://schemas.openxmlformats.org/officeDocument/2006/math">
        <m:r>
          <m:rPr>
            <m:lit/>
            <m:nor/>
          </m:rPr>
          <w:rPr>
            <w:rFonts w:ascii="Cambria Math" w:hAnsi="Cambria Math"/>
          </w:rPr>
          <m:t xml:space="preserve">EIRP</m:t>
        </m:r>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tx</m:t>
            </m:r>
          </m:sub>
        </m:sSub>
        <m:r>
          <w:rPr>
            <w:rFonts w:ascii="Cambria Math" w:hAnsi="Cambria Math"/>
          </w:rPr>
          <m:t xml:space="preserve">G</m:t>
        </m:r>
      </m:oMath>
      <w:r>
        <w:rPr/>
        <w:t>:</w:t>
      </w:r>
    </w:p>
    <w:p>
      <w:pPr>
        <w:pStyle w:val="EQ"/>
        <w:tabs>
          <w:tab w:val="clear" w:pos="9072"/>
          <w:tab w:val="center" w:pos="4536" w:leader="none"/>
          <w:tab w:val="right" w:pos="7938" w:leader="none"/>
        </w:tabs>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m:rPr>
                  <m:lit/>
                  <m:nor/>
                </m:rPr>
                <w:rPr>
                  <w:rFonts w:ascii="Cambria Math" w:hAnsi="Cambria Math"/>
                </w:rPr>
                <m:t xml:space="preserve">TRP</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f>
            <m:num>
              <m:sSub>
                <m:e>
                  <m:r>
                    <w:rPr>
                      <w:rFonts w:ascii="Cambria Math" w:hAnsi="Cambria Math"/>
                    </w:rPr>
                    <m:t xml:space="preserve">Δ</m:t>
                  </m:r>
                </m:e>
                <m:sub>
                  <m:r>
                    <w:rPr>
                      <w:rFonts w:ascii="Cambria Math" w:hAnsi="Cambria Math"/>
                    </w:rPr>
                    <m:t xml:space="preserve">θ</m:t>
                  </m:r>
                </m:sub>
              </m:sSub>
              <m:sSub>
                <m:e>
                  <m:r>
                    <w:rPr>
                      <w:rFonts w:ascii="Cambria Math" w:hAnsi="Cambria Math"/>
                    </w:rPr>
                    <m:t xml:space="preserve">Δ</m:t>
                  </m:r>
                </m:e>
                <m:sub>
                  <m:r>
                    <w:rPr>
                      <w:rFonts w:ascii="Cambria Math" w:hAnsi="Cambria Math"/>
                    </w:rPr>
                    <m:t xml:space="preserve">ϕ</m:t>
                  </m:r>
                </m:sub>
              </m:sSub>
            </m:num>
            <m:den>
              <m:r>
                <w:rPr>
                  <w:rFonts w:ascii="Cambria Math" w:hAnsi="Cambria Math"/>
                </w:rPr>
                <m:t xml:space="preserve">4</m:t>
              </m:r>
              <m:r>
                <w:rPr>
                  <w:rFonts w:ascii="Cambria Math" w:hAnsi="Cambria Math"/>
                </w:rPr>
                <m:t xml:space="preserve">π</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m:rPr>
                              <m:lit/>
                              <m:nor/>
                            </m:rPr>
                            <w:rPr>
                              <w:rFonts w:ascii="Cambria Math" w:hAnsi="Cambria Math"/>
                            </w:rPr>
                            <m:t xml:space="preserve">EIRP</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EIRP</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rPr/>
      </w:pPr>
      <w:r>
        <w:rPr/>
        <w:t>In gain form the TRP can be expressed as:</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Γ</m:t>
              </m:r>
            </m:e>
            <m:sub>
              <m:r>
                <m:rPr>
                  <m:lit/>
                  <m:nor/>
                </m:rPr>
                <w:rPr>
                  <w:rFonts w:ascii="Cambria Math" w:hAnsi="Cambria Math"/>
                </w:rPr>
                <m:t xml:space="preserve">TRP</m:t>
              </m:r>
            </m:sub>
          </m:sSub>
          <m:r>
            <w:rPr>
              <w:rFonts w:ascii="Cambria Math" w:hAnsi="Cambria Math"/>
            </w:rPr>
            <m:t xml:space="preserve">≈</m:t>
          </m:r>
          <m:f>
            <m:num>
              <m:sSub>
                <m:e>
                  <m:r>
                    <w:rPr>
                      <w:rFonts w:ascii="Cambria Math" w:hAnsi="Cambria Math"/>
                    </w:rPr>
                    <m:t xml:space="preserve">Δ</m:t>
                  </m:r>
                </m:e>
                <m:sub>
                  <m:r>
                    <w:rPr>
                      <w:rFonts w:ascii="Cambria Math" w:hAnsi="Cambria Math"/>
                    </w:rPr>
                    <m:t xml:space="preserve">θ</m:t>
                  </m:r>
                </m:sub>
              </m:sSub>
              <m:sSub>
                <m:e>
                  <m:r>
                    <w:rPr>
                      <w:rFonts w:ascii="Cambria Math" w:hAnsi="Cambria Math"/>
                    </w:rPr>
                    <m:t xml:space="preserve">Δ</m:t>
                  </m:r>
                </m:e>
                <m:sub>
                  <m:r>
                    <w:rPr>
                      <w:rFonts w:ascii="Cambria Math" w:hAnsi="Cambria Math"/>
                    </w:rPr>
                    <m:t xml:space="preserve">ϕ</m:t>
                  </m:r>
                </m:sub>
              </m:sSub>
            </m:num>
            <m:den>
              <m:r>
                <w:rPr>
                  <w:rFonts w:ascii="Cambria Math" w:hAnsi="Cambria Math"/>
                </w:rPr>
                <m:t xml:space="preserve">4</m:t>
              </m:r>
              <m:r>
                <w:rPr>
                  <w:rFonts w:ascii="Cambria Math" w:hAnsi="Cambria Math"/>
                </w:rPr>
                <m:t xml:space="preserve">π</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rPr/>
      </w:pPr>
      <w:r>
        <w:rPr/>
        <w:t xml:space="preserve">In these formulas </w:t>
      </w:r>
      <w:r>
        <w:rPr/>
      </w:r>
      <m:oMath xmlns:m="http://schemas.openxmlformats.org/officeDocument/2006/math">
        <m:sSub>
          <m:e>
            <m:r>
              <w:rPr>
                <w:rFonts w:ascii="Cambria Math" w:hAnsi="Cambria Math"/>
              </w:rPr>
              <m:t xml:space="preserve">Δ</m:t>
            </m:r>
          </m:e>
          <m:sub>
            <m:r>
              <w:rPr>
                <w:rFonts w:ascii="Cambria Math" w:hAnsi="Cambria Math"/>
              </w:rPr>
              <m:t xml:space="preserve">θ</m:t>
            </m:r>
          </m:sub>
        </m:sSub>
        <m:r>
          <w:rPr>
            <w:rFonts w:ascii="Cambria Math" w:hAnsi="Cambria Math"/>
          </w:rPr>
          <m:t xml:space="preserve">=</m:t>
        </m:r>
        <m:f>
          <m:fPr>
            <m:type m:val="lin"/>
          </m:fPr>
          <m:num>
            <m:r>
              <w:rPr>
                <w:rFonts w:ascii="Cambria Math" w:hAnsi="Cambria Math"/>
              </w:rPr>
              <m:t xml:space="preserve">π</m:t>
            </m:r>
          </m:num>
          <m:den>
            <m:r>
              <w:rPr>
                <w:rFonts w:ascii="Cambria Math" w:hAnsi="Cambria Math"/>
              </w:rPr>
              <m:t xml:space="preserve">(</m:t>
            </m:r>
          </m:den>
        </m:f>
        <m:r>
          <w:rPr>
            <w:rFonts w:ascii="Cambria Math" w:hAnsi="Cambria Math"/>
          </w:rPr>
          <m:t xml:space="preserve">N</m:t>
        </m:r>
        <m:r>
          <w:rPr>
            <w:rFonts w:ascii="Cambria Math" w:hAnsi="Cambria Math"/>
          </w:rPr>
          <m:t xml:space="preserve">)</m:t>
        </m:r>
      </m:oMath>
      <w:r>
        <w:rPr/>
        <w:t xml:space="preserve"> and </w:t>
      </w:r>
      <w:r>
        <w:rPr/>
      </w:r>
      <m:oMath xmlns:m="http://schemas.openxmlformats.org/officeDocument/2006/math">
        <m:sSub>
          <m:e>
            <m:r>
              <w:rPr>
                <w:rFonts w:ascii="Cambria Math" w:hAnsi="Cambria Math"/>
              </w:rPr>
              <m:t xml:space="preserve">Δ</m:t>
            </m:r>
          </m:e>
          <m:sub>
            <m:r>
              <w:rPr>
                <w:rFonts w:ascii="Cambria Math" w:hAnsi="Cambria Math"/>
              </w:rPr>
              <m:t xml:space="preserve">ϕ</m:t>
            </m:r>
          </m:sub>
        </m:sSub>
        <m:r>
          <w:rPr>
            <w:rFonts w:ascii="Cambria Math" w:hAnsi="Cambria Math"/>
          </w:rPr>
          <m:t xml:space="preserve">=</m:t>
        </m:r>
        <m:r>
          <w:rPr>
            <w:rFonts w:ascii="Cambria Math" w:hAnsi="Cambria Math"/>
          </w:rPr>
          <m:t xml:space="preserve">2</m:t>
        </m:r>
        <m:f>
          <m:fPr>
            <m:type m:val="lin"/>
          </m:fPr>
          <m:num>
            <m:r>
              <w:rPr>
                <w:rFonts w:ascii="Cambria Math" w:hAnsi="Cambria Math"/>
              </w:rPr>
              <m:t xml:space="preserve">π</m:t>
            </m:r>
          </m:num>
          <m:den>
            <m:r>
              <w:rPr>
                <w:rFonts w:ascii="Cambria Math" w:hAnsi="Cambria Math"/>
              </w:rPr>
              <m:t xml:space="preserve">M</m:t>
            </m:r>
          </m:den>
        </m:f>
      </m:oMath>
      <w:r>
        <w:rPr/>
        <w:t xml:space="preserve"> are the sampling intervals for the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-angles, respectively, and the number of samples in the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-angles are given by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respectively. The sampling points of the sphere are given by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nΔ</m:t>
            </m:r>
          </m:e>
          <m:sub>
            <m:r>
              <w:rPr>
                <w:rFonts w:ascii="Cambria Math" w:hAnsi="Cambria Math"/>
              </w:rPr>
              <m:t xml:space="preserve">θ</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sSub>
          <m:e>
            <m:r>
              <w:rPr>
                <w:rFonts w:ascii="Cambria Math" w:hAnsi="Cambria Math"/>
              </w:rPr>
              <m:t xml:space="preserve">mΔ</m:t>
            </m:r>
          </m:e>
          <m:sub>
            <m:r>
              <w:rPr>
                <w:rFonts w:ascii="Cambria Math" w:hAnsi="Cambria Math"/>
              </w:rPr>
              <m:t xml:space="preserve">ϕ</m:t>
            </m:r>
          </m:sub>
        </m:sSub>
      </m:oMath>
      <w:r>
        <w:rPr/>
        <w:t xml:space="preserve">. The sampling intervals are discussed further in Section 4.4. </w:t>
      </w:r>
    </w:p>
    <w:p>
      <w:pPr>
        <w:pStyle w:val="Normal"/>
        <w:rPr/>
      </w:pPr>
      <w:r>
        <w:rPr/>
        <w:t>When measuring power radiated by active devices, expressing the data in terms of EIRP is more appropriate. The upper form of the TRP formulas (which includes EIRP terms) will be used in the data processing.</w:t>
      </w:r>
    </w:p>
    <w:p>
      <w:pPr>
        <w:pStyle w:val="Normal"/>
        <w:rPr/>
      </w:pPr>
      <w:r>
        <w:rPr/>
        <w:t>The TRP can also be calculated from Rayleigh faded samples of the total power transmitted from the UE. The measurement of transmitter performance in an isotropic Rayleigh fading environment is based on sampling the radiated power of the UE for a discrete number of field combinations in the chamber. The average value of these statistically distributed samples is proportional to the TRP and by calibrating the average power transfer function, an absolute value of the TRP can be obtained. Thus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TRP</m:t>
          </m:r>
          <m:r>
            <w:rPr>
              <w:rFonts w:ascii="Cambria Math" w:hAnsi="Cambria Math"/>
            </w:rPr>
            <m:t xml:space="preserve">≈</m:t>
          </m:r>
          <m:f>
            <m:num>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f>
                        <m:num>
                          <m:sSub>
                            <m:e>
                              <m:r>
                                <w:rPr>
                                  <w:rFonts w:ascii="Cambria Math" w:hAnsi="Cambria Math"/>
                                </w:rPr>
                                <m:t xml:space="preserve">P</m:t>
                              </m:r>
                            </m:e>
                            <m:sub>
                              <m:r>
                                <w:rPr>
                                  <w:rFonts w:ascii="Cambria Math" w:hAnsi="Cambria Math"/>
                                </w:rPr>
                                <m:t xml:space="preserve">n</m:t>
                              </m:r>
                            </m:sub>
                          </m:sSub>
                        </m:num>
                        <m:den>
                          <m:sSub>
                            <m:e>
                              <m:r>
                                <w:rPr>
                                  <w:rFonts w:ascii="Cambria Math" w:hAnsi="Cambria Math"/>
                                </w:rPr>
                                <m:t xml:space="preserve">C</m:t>
                              </m:r>
                            </m:e>
                            <m:sub>
                              <m:r>
                                <w:rPr>
                                  <w:rFonts w:ascii="Cambria Math" w:hAnsi="Cambria Math"/>
                                </w:rPr>
                                <m:t xml:space="preserve">n</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den>
                      </m:f>
                    </m:e>
                  </m:d>
                </m:e>
              </m:nary>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e>
              </m:nary>
            </m:den>
          </m:f>
        </m:oMath>
      </m:oMathPara>
    </w:p>
    <w:p>
      <w:pPr>
        <w:pStyle w:val="Normal"/>
        <w:rPr/>
      </w:pPr>
      <w:r>
        <w:rPr/>
        <w:t xml:space="preserve">where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oMath>
      <w:r>
        <w:rPr/>
        <w:t xml:space="preserve"> is the reference power transfer function for fixed measurement antenna n, </w:t>
      </w:r>
      <w:r>
        <w:rPr/>
      </w:r>
      <m:oMath xmlns:m="http://schemas.openxmlformats.org/officeDocument/2006/math">
        <m:sSub>
          <m:e>
            <m:r>
              <w:rPr>
                <w:rFonts w:ascii="Cambria Math" w:hAnsi="Cambria Math"/>
              </w:rPr>
              <m:t xml:space="preserve">R</m:t>
            </m:r>
          </m:e>
          <m:sub>
            <m:r>
              <w:rPr>
                <w:rFonts w:ascii="Cambria Math" w:hAnsi="Cambria Math"/>
              </w:rPr>
              <m:t xml:space="preserve">n</m:t>
            </m:r>
          </m:sub>
        </m:sSub>
      </m:oMath>
      <w:r>
        <w:rPr/>
        <w:t xml:space="preserve"> is the reflection coefficient for fixed measurement antenna n and </w:t>
      </w:r>
      <w:r>
        <w:rPr/>
      </w:r>
      <m:oMath xmlns:m="http://schemas.openxmlformats.org/officeDocument/2006/math">
        <m:sSub>
          <m:e>
            <m:r>
              <w:rPr>
                <w:rFonts w:ascii="Cambria Math" w:hAnsi="Cambria Math"/>
              </w:rPr>
              <m:t xml:space="preserve">C</m:t>
            </m:r>
          </m:e>
          <m:sub>
            <m:r>
              <w:rPr>
                <w:rFonts w:ascii="Cambria Math" w:hAnsi="Cambria Math"/>
              </w:rPr>
              <m:t xml:space="preserve">n</m:t>
            </m:r>
          </m:sub>
        </m:sSub>
      </m:oMath>
      <w:r>
        <w:rPr/>
        <w:t xml:space="preserve"> is the path loss in the cables connecting the measurement receiver to fixed measurement antenna n. These parameters are calculated from the calibration measurement and are further discussed in Annex B.2. </w:t>
      </w:r>
      <w:r>
        <w:rPr/>
      </w:r>
      <m:oMath xmlns:m="http://schemas.openxmlformats.org/officeDocument/2006/math">
        <m:sSub>
          <m:e>
            <m:r>
              <w:rPr>
                <w:rFonts w:ascii="Cambria Math" w:hAnsi="Cambria Math"/>
              </w:rPr>
              <m:t xml:space="preserve">P</m:t>
            </m:r>
          </m:e>
          <m:sub>
            <m:r>
              <w:rPr>
                <w:rFonts w:ascii="Cambria Math" w:hAnsi="Cambria Math"/>
              </w:rPr>
              <m:t xml:space="preserve">n</m:t>
            </m:r>
          </m:sub>
        </m:sSub>
      </m:oMath>
      <w:r>
        <w:rPr/>
        <w:t xml:space="preserve"> is the average power measured by fixed measurement antenna n and can be calculated using the following expression:</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w:rPr>
                  <w:rFonts w:ascii="Cambria Math" w:hAnsi="Cambria Math"/>
                </w:rPr>
                <m:t xml:space="preserve">n</m:t>
              </m:r>
            </m:sub>
          </m:sSub>
          <m:r>
            <w:rPr>
              <w:rFonts w:ascii="Cambria Math" w:hAnsi="Cambria Math"/>
            </w:rPr>
            <m:t xml:space="preserve">=</m:t>
          </m:r>
          <m:f>
            <m:num>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p>
                    <m:e>
                      <m:d>
                        <m:dPr>
                          <m:begChr m:val="|"/>
                          <m:endChr m:val="|"/>
                        </m:dPr>
                        <m:e>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e>
                      </m:d>
                    </m:e>
                    <m:sup>
                      <m:r>
                        <w:rPr>
                          <w:rFonts w:ascii="Cambria Math" w:hAnsi="Cambria Math"/>
                        </w:rPr>
                        <m:t xml:space="preserve">2</m:t>
                      </m:r>
                    </m:sup>
                  </m:sSup>
                </m:e>
              </m:nary>
            </m:num>
            <m:den>
              <m:r>
                <w:rPr>
                  <w:rFonts w:ascii="Cambria Math" w:hAnsi="Cambria Math"/>
                </w:rPr>
                <m:t xml:space="preserve">M</m:t>
              </m:r>
            </m:den>
          </m:f>
        </m:oMath>
      </m:oMathPara>
    </w:p>
    <w:p>
      <w:pPr>
        <w:pStyle w:val="Normal"/>
        <w:rPr/>
      </w:pPr>
      <w:r>
        <w:rPr/>
        <w:t xml:space="preserve">where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oMath>
      <w:r>
        <w:rPr/>
        <w:t xml:space="preserve"> is sample number m of the complex transfer function measured with fixed measurement antenna n and </w:t>
      </w:r>
      <w:r>
        <w:rPr/>
      </w:r>
      <m:oMath xmlns:m="http://schemas.openxmlformats.org/officeDocument/2006/math">
        <m:r>
          <w:rPr>
            <w:rFonts w:ascii="Cambria Math" w:hAnsi="Cambria Math"/>
          </w:rPr>
          <m:t xml:space="preserve">M</m:t>
        </m:r>
      </m:oMath>
      <w:r>
        <w:rPr/>
        <w:t xml:space="preserve"> is the total number of samples measured for each fixed measurement antenna.</w:t>
      </w:r>
    </w:p>
    <w:p>
      <w:pPr>
        <w:pStyle w:val="Normal"/>
        <w:rPr/>
      </w:pPr>
      <w:r>
        <w:rPr/>
        <w:t>Note that all averaging must be performed using linear power values (e.g. measurements in Watts).</w:t>
      </w:r>
    </w:p>
    <w:p>
      <w:pPr>
        <w:pStyle w:val="Normal"/>
        <w:rPr/>
      </w:pPr>
      <w:r>
        <w:rPr/>
        <w:t>The requirements and this test apply to all types of LTE UEs independent of release.</w:t>
      </w:r>
    </w:p>
    <w:p>
      <w:pPr>
        <w:pStyle w:val="Heading4"/>
        <w:ind w:left="1418" w:hanging="1418"/>
        <w:rPr/>
      </w:pPr>
      <w:bookmarkStart w:id="86" w:name="__RefHeading___Toc68601022"/>
      <w:bookmarkEnd w:id="86"/>
      <w:r>
        <w:rPr/>
        <w:t>6.1.5.2</w:t>
      </w:r>
      <w:r>
        <w:rPr>
          <w:rFonts w:cs="Calibri" w:ascii="Calibri" w:hAnsi="Calibri"/>
          <w:sz w:val="22"/>
          <w:szCs w:val="22"/>
        </w:rPr>
        <w:tab/>
      </w:r>
      <w:r>
        <w:rPr/>
        <w:t>Minimum Requirements</w:t>
      </w:r>
    </w:p>
    <w:p>
      <w:pPr>
        <w:pStyle w:val="Normal"/>
        <w:jc w:val="both"/>
        <w:rPr/>
      </w:pPr>
      <w:r>
        <w:rPr/>
        <w:t>The average TRP of low, mid and high channel in beside head position shall be higher than minimum performance requirements for roaming bands shown in Table 6.1.5.2-1. The averaging shall be done in linear scale for the TRP results of both right and left side of the phantom head.</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num>
                <m:den>
                  <m:r>
                    <w:rPr>
                      <w:rFonts w:ascii="Cambria Math" w:hAnsi="Cambria Math"/>
                    </w:rPr>
                    <m:t xml:space="preserve">6</m:t>
                  </m:r>
                </m:den>
              </m:f>
            </m:e>
          </m:d>
        </m:oMath>
      </m:oMathPara>
    </w:p>
    <w:p>
      <w:pPr>
        <w:pStyle w:val="Normal"/>
        <w:rPr/>
      </w:pPr>
      <w:r>
        <w:rPr/>
        <w:t>In addition the minimum TRP of each measured channel in beside head position shall be higher than minimum performance requirements shown in the columns “Min”.</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min</m:t>
          </m:r>
          <m:d>
            <m:dPr>
              <m:begChr m:val="["/>
              <m:endChr m:val="]"/>
            </m:dPr>
            <m:e>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e>
          </m:d>
        </m:oMath>
      </m:oMathPara>
    </w:p>
    <w:p>
      <w:pPr>
        <w:pStyle w:val="TH"/>
        <w:rPr/>
      </w:pPr>
      <w:r>
        <w:rPr/>
        <w:t>Table 6.1.5.2-1: TRP minimum performance requirement for E-UTRA FDD roaming mode in beside the head and hand phantom position and the primary mechanical mode</w:t>
      </w:r>
    </w:p>
    <w:p>
      <w:pPr>
        <w:pStyle w:val="Normal"/>
        <w:rPr>
          <w:b/>
          <w:b/>
        </w:rPr>
      </w:pPr>
      <w:r>
        <w:rPr/>
        <w:t>TBD</w:t>
      </w:r>
    </w:p>
    <w:p>
      <w:pPr>
        <w:pStyle w:val="Normal"/>
        <w:rPr>
          <w:b/>
          <w:b/>
        </w:rPr>
      </w:pPr>
      <w:r>
        <w:rPr>
          <w:b/>
        </w:rPr>
      </w:r>
    </w:p>
    <w:p>
      <w:pPr>
        <w:pStyle w:val="Normal"/>
        <w:rPr/>
      </w:pPr>
      <w:r>
        <w:rPr/>
        <w:t>The normative reference for this clause is TS37.144 [12] Subclause 6.1.2.3.</w:t>
      </w:r>
    </w:p>
    <w:p>
      <w:pPr>
        <w:pStyle w:val="Heading4"/>
        <w:ind w:left="1418" w:hanging="1418"/>
        <w:rPr/>
      </w:pPr>
      <w:bookmarkStart w:id="87" w:name="__RefHeading___Toc68601023"/>
      <w:bookmarkEnd w:id="87"/>
      <w:r>
        <w:rPr/>
        <w:t>6.1.5.3</w:t>
      </w:r>
      <w:r>
        <w:rPr>
          <w:rFonts w:cs="Calibri" w:ascii="Calibri" w:hAnsi="Calibri"/>
          <w:sz w:val="22"/>
          <w:szCs w:val="22"/>
        </w:rPr>
        <w:tab/>
      </w:r>
      <w:r>
        <w:rPr/>
        <w:t>Test purpose</w:t>
      </w:r>
    </w:p>
    <w:p>
      <w:pPr>
        <w:pStyle w:val="Normal"/>
        <w:rPr/>
      </w:pPr>
      <w:r>
        <w:rPr/>
        <w:t xml:space="preserve">The purpose of this test is to verify that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 xml:space="preserve">of the UE is not below specified values. A lower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decrease the coverage area.</w:t>
      </w:r>
    </w:p>
    <w:p>
      <w:pPr>
        <w:pStyle w:val="Heading4"/>
        <w:ind w:left="1418" w:hanging="1418"/>
        <w:rPr/>
      </w:pPr>
      <w:bookmarkStart w:id="88" w:name="__RefHeading___Toc68601024"/>
      <w:bookmarkEnd w:id="88"/>
      <w:r>
        <w:rPr/>
        <w:t>6.1.5.4</w:t>
      </w:r>
      <w:r>
        <w:rPr>
          <w:rFonts w:cs="Calibri" w:ascii="Calibri" w:hAnsi="Calibri"/>
          <w:sz w:val="22"/>
          <w:szCs w:val="22"/>
        </w:rPr>
        <w:tab/>
      </w:r>
      <w:r>
        <w:rPr/>
        <w:t>Method of test</w:t>
      </w:r>
    </w:p>
    <w:p>
      <w:pPr>
        <w:pStyle w:val="Heading4"/>
        <w:ind w:left="1418" w:hanging="1418"/>
        <w:rPr/>
      </w:pPr>
      <w:bookmarkStart w:id="89" w:name="__RefHeading___Toc68601025"/>
      <w:bookmarkEnd w:id="89"/>
      <w:r>
        <w:rPr/>
        <w:t>6.1.5.4.1</w:t>
      </w:r>
      <w:r>
        <w:rPr>
          <w:rFonts w:cs="Calibri" w:ascii="Calibri" w:hAnsi="Calibri"/>
          <w:sz w:val="22"/>
          <w:szCs w:val="22"/>
        </w:rPr>
        <w:tab/>
      </w:r>
      <w:r>
        <w:rPr/>
        <w:t>Initial conditions</w:t>
      </w:r>
    </w:p>
    <w:p>
      <w:pPr>
        <w:pStyle w:val="Normal"/>
        <w:rPr/>
      </w:pPr>
      <w:r>
        <w:rPr/>
        <w:t xml:space="preserve">A radio communications tester or a corresponding device is used as a NB simulator to setup calls to the DUT. The NB/BS simulator may also measure the radiated power samples. Alternatively, a measurement receiver or spectrum analyzer may be used for that purpose. </w:t>
      </w:r>
    </w:p>
    <w:p>
      <w:pPr>
        <w:pStyle w:val="Normal"/>
        <w:rPr/>
      </w:pPr>
      <w:r>
        <w:rPr/>
        <w:t>The maximum output power for different UE power classes are defined in 3GPP TS 36.521-1 [11] Subclause 6.2.2 for any transmission bandwidth within the channel bandwidth. Also care should be taken that the noise floor of the measurement receiver is not disturbing the power measurement.</w:t>
      </w:r>
    </w:p>
    <w:p>
      <w:pPr>
        <w:pStyle w:val="Normal"/>
        <w:rPr/>
      </w:pPr>
      <w:r>
        <w:rPr/>
        <w:t>Chamber environment constraints and coordinate system shall be the same as described in Subclause A.3.</w:t>
      </w:r>
    </w:p>
    <w:p>
      <w:pPr>
        <w:pStyle w:val="Normal"/>
        <w:rPr>
          <w:lang w:eastAsia="zh-CN"/>
        </w:rPr>
      </w:pPr>
      <w:r>
        <w:rPr/>
        <w:t>Phantom Specifications shall be the same as described in Subclause A.2.1 and A.2.2.</w:t>
      </w:r>
    </w:p>
    <w:p>
      <w:pPr>
        <w:pStyle w:val="Normal"/>
        <w:rPr/>
      </w:pPr>
      <w:r>
        <w:rPr/>
        <w:t>Test environment: normal; see TS36.508 [10] Subclause 4.1.1.</w:t>
      </w:r>
    </w:p>
    <w:p>
      <w:pPr>
        <w:pStyle w:val="Normal"/>
        <w:rPr/>
      </w:pPr>
      <w:r>
        <w:rPr/>
        <w:t xml:space="preserve">Frequencies to be tested: low range, mid range, high range; see Table 5.3-1. </w:t>
      </w:r>
    </w:p>
    <w:p>
      <w:pPr>
        <w:pStyle w:val="Normal"/>
        <w:rPr/>
      </w:pPr>
      <w:r>
        <w:rPr/>
        <w:t>Positioning Requirements shall be the same as described in Subclause 4.3.</w:t>
      </w:r>
    </w:p>
    <w:p>
      <w:pPr>
        <w:pStyle w:val="Normal"/>
        <w:ind w:left="568" w:hanging="284"/>
        <w:rPr/>
      </w:pPr>
      <w:r>
        <w:rPr/>
        <w:t>1)</w:t>
        <w:tab/>
        <w:t xml:space="preserve">Position the UE according to the DUT positioning for speech mode specified in Subclause 4.3.3. </w:t>
      </w:r>
    </w:p>
    <w:p>
      <w:pPr>
        <w:pStyle w:val="Normal"/>
        <w:ind w:left="568" w:hanging="284"/>
        <w:rPr/>
      </w:pPr>
      <w:r>
        <w:rPr/>
        <w:t>2)</w:t>
        <w:tab/>
        <w:t>Power on the UE.</w:t>
      </w:r>
    </w:p>
    <w:p>
      <w:pPr>
        <w:pStyle w:val="Normal"/>
        <w:ind w:left="568" w:hanging="284"/>
        <w:rPr/>
      </w:pPr>
      <w:r>
        <w:rPr/>
        <w:t>3)</w:t>
        <w:tab/>
        <w:t>Set the initial conditions as per Subclause 6.2.2 of 3GPP TS 36.521-1 [11], with the following exception: set the carrier frequency, channel bandwidth, RB length and RB location as per Table 5.3-1 for FDD mode.</w:t>
      </w:r>
    </w:p>
    <w:p>
      <w:pPr>
        <w:pStyle w:val="Heading4"/>
        <w:ind w:left="1418" w:hanging="1418"/>
        <w:rPr/>
      </w:pPr>
      <w:bookmarkStart w:id="90" w:name="__RefHeading___Toc68601026"/>
      <w:bookmarkEnd w:id="90"/>
      <w:r>
        <w:rPr/>
        <w:t>6.1.5.4.2</w:t>
      </w:r>
      <w:r>
        <w:rPr>
          <w:rFonts w:cs="Calibri" w:ascii="Calibri" w:hAnsi="Calibri"/>
          <w:sz w:val="22"/>
          <w:szCs w:val="22"/>
        </w:rPr>
        <w:tab/>
      </w:r>
      <w:r>
        <w:rPr/>
        <w:t>Procedure</w:t>
      </w:r>
    </w:p>
    <w:p>
      <w:pPr>
        <w:pStyle w:val="Normal"/>
        <w:ind w:left="568" w:hanging="284"/>
        <w:rPr/>
      </w:pPr>
      <w:r>
        <w:rPr/>
        <w:t>1)</w:t>
        <w:tab/>
        <w:t>Follow Steps 1 and 2 in section 6.2.2.4.2 of 3GPP TS 36.521-1 [11] and ensure that the DUT transmits with its maximum power.</w:t>
      </w:r>
    </w:p>
    <w:p>
      <w:pPr>
        <w:pStyle w:val="Normal"/>
        <w:ind w:left="568" w:hanging="284"/>
        <w:rPr/>
      </w:pPr>
      <w:r>
        <w:rPr/>
        <w:t>2)</w:t>
        <w:tab/>
        <w:t>For the anechoic chamber based methodologies, measure the spherical effective isotropic radiated power (EIRP) pattern following the sampling grid specified in Subclause 4.4. Calculate the TRP using the EIRP pattern data as per Subclause 6.1.5.1.</w:t>
      </w:r>
    </w:p>
    <w:p>
      <w:pPr>
        <w:pStyle w:val="Normal"/>
        <w:ind w:left="568" w:hanging="284"/>
        <w:rPr/>
      </w:pPr>
      <w:r>
        <w:rPr/>
        <w:t>3)</w:t>
        <w:tab/>
        <w:t>Repeat the measurement of the DUT on the left and right ears of the head phantom using the left and right hand phantom for low, mid and high channels.</w:t>
      </w:r>
    </w:p>
    <w:p>
      <w:pPr>
        <w:pStyle w:val="Normal"/>
        <w:ind w:left="568" w:hanging="284"/>
        <w:rPr/>
      </w:pPr>
      <w:r>
        <w:rPr/>
        <w:t>4)</w:t>
        <w:tab/>
        <w:t>Calculate the average and minimum TRP as per Subclause 6.1.5.2.</w:t>
      </w:r>
    </w:p>
    <w:p>
      <w:pPr>
        <w:pStyle w:val="Heading4"/>
        <w:ind w:left="1418" w:hanging="1418"/>
        <w:rPr/>
      </w:pPr>
      <w:bookmarkStart w:id="91" w:name="__RefHeading___Toc68601027"/>
      <w:bookmarkEnd w:id="91"/>
      <w:r>
        <w:rPr/>
        <w:t>6.1.5.4.3</w:t>
      </w:r>
      <w:r>
        <w:rPr>
          <w:rFonts w:cs="Calibri" w:ascii="Calibri" w:hAnsi="Calibri"/>
          <w:sz w:val="22"/>
          <w:szCs w:val="22"/>
        </w:rPr>
        <w:tab/>
      </w:r>
      <w:r>
        <w:rPr/>
        <w:t>Procedure, reverberation chamber method</w:t>
      </w:r>
    </w:p>
    <w:p>
      <w:pPr>
        <w:pStyle w:val="Normal"/>
        <w:ind w:left="568" w:hanging="284"/>
        <w:rPr/>
      </w:pPr>
      <w:r>
        <w:rPr/>
        <w:t>1)</w:t>
        <w:tab/>
        <w:t>Follow Steps 1 and 2 in section 6.2.2.4.2 of 3GPP TS 36.521-1 [11] and ensure that the DUT transmits with its maximum power.</w:t>
      </w:r>
    </w:p>
    <w:p>
      <w:pPr>
        <w:pStyle w:val="B1"/>
        <w:rPr/>
      </w:pPr>
      <w:r>
        <w:rPr/>
        <w:t>2)</w:t>
        <w:tab/>
        <w:t xml:space="preserve">Measure a sufficient number of independent samples (see </w:t>
      </w:r>
      <w:r>
        <w:rPr>
          <w:lang w:eastAsia="zh-TW"/>
        </w:rPr>
        <w:t>Subclause 4.5</w:t>
      </w:r>
      <w:r>
        <w:rPr/>
        <w:t xml:space="preserve">) of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oMath>
      <w:r>
        <w:rPr/>
        <w:t xml:space="preserve"> using a test system having characteristics as described in Annex A. Calculate TRP using equations from </w:t>
      </w:r>
      <w:r>
        <w:rPr>
          <w:lang w:eastAsia="zh-TW"/>
        </w:rPr>
        <w:t>Subclause 6.1.5.1</w:t>
      </w:r>
      <w:r>
        <w:rPr/>
        <w:t>.</w:t>
      </w:r>
    </w:p>
    <w:p>
      <w:pPr>
        <w:pStyle w:val="Normal"/>
        <w:ind w:left="568" w:hanging="284"/>
        <w:rPr/>
      </w:pPr>
      <w:r>
        <w:rPr/>
        <w:t>3)</w:t>
        <w:tab/>
        <w:t>Repeat the measurement of the DUT on the left and right ears of the head phantom using the left and right hand phantom for low, mid and high channels.</w:t>
      </w:r>
    </w:p>
    <w:p>
      <w:pPr>
        <w:pStyle w:val="Normal"/>
        <w:ind w:left="568" w:hanging="284"/>
        <w:rPr/>
      </w:pPr>
      <w:r>
        <w:rPr/>
        <w:t>4)</w:t>
        <w:tab/>
        <w:t>Calculate the average and minimum TRP as per Subclause 6.1.5.2.</w:t>
      </w:r>
    </w:p>
    <w:p>
      <w:pPr>
        <w:pStyle w:val="Heading4"/>
        <w:ind w:left="1418" w:hanging="1418"/>
        <w:rPr/>
      </w:pPr>
      <w:bookmarkStart w:id="92" w:name="__RefHeading___Toc68601028"/>
      <w:bookmarkEnd w:id="92"/>
      <w:r>
        <w:rPr/>
        <w:t>6.1.5.5</w:t>
      </w:r>
      <w:r>
        <w:rPr>
          <w:rFonts w:cs="Calibri" w:ascii="Calibri" w:hAnsi="Calibri"/>
          <w:sz w:val="22"/>
          <w:szCs w:val="22"/>
        </w:rPr>
        <w:tab/>
      </w:r>
      <w:r>
        <w:rPr/>
        <w:t>Test requirements</w:t>
      </w:r>
    </w:p>
    <w:p>
      <w:pPr>
        <w:pStyle w:val="Normal"/>
        <w:jc w:val="both"/>
        <w:rPr/>
      </w:pPr>
      <w:r>
        <w:rPr/>
        <w:t>The average TRP of low, mid and high channel in beside head position shall be higher than test performance requirements for roaming bands shown in Table 6.1.5.5-1. The averaging shall be done in linear scale for the TRP results of both right and left side of the phantom head.</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num>
                <m:den>
                  <m:r>
                    <w:rPr>
                      <w:rFonts w:ascii="Cambria Math" w:hAnsi="Cambria Math"/>
                    </w:rPr>
                    <m:t xml:space="preserve">6</m:t>
                  </m:r>
                </m:den>
              </m:f>
            </m:e>
          </m:d>
        </m:oMath>
      </m:oMathPara>
    </w:p>
    <w:p>
      <w:pPr>
        <w:pStyle w:val="Normal"/>
        <w:rPr/>
      </w:pPr>
      <w:r>
        <w:rPr/>
        <w:t>In addition the minimum TRP of each measured channel in beside head position shall be higher than minimum performance requirements shown in the columns “Min”.</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min</m:t>
          </m:r>
          <m:d>
            <m:dPr>
              <m:begChr m:val="["/>
              <m:endChr m:val="]"/>
            </m:dPr>
            <m:e>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e>
          </m:d>
        </m:oMath>
      </m:oMathPara>
    </w:p>
    <w:p>
      <w:pPr>
        <w:pStyle w:val="Normal"/>
        <w:keepNext w:val="true"/>
        <w:keepLines/>
        <w:spacing w:before="60" w:after="180"/>
        <w:jc w:val="center"/>
        <w:rPr/>
      </w:pPr>
      <w:r>
        <w:rPr>
          <w:rFonts w:cs="Arial" w:ascii="Arial" w:hAnsi="Arial"/>
          <w:b/>
        </w:rPr>
        <w:t>Table 6.1.5.5-1: TRP test requirement for E-UTRA FDD roaming bands in the speech position and the primary mechanical mode</w:t>
      </w:r>
    </w:p>
    <w:p>
      <w:pPr>
        <w:pStyle w:val="Normal"/>
        <w:rPr>
          <w:b/>
          <w:b/>
        </w:rPr>
      </w:pPr>
      <w:r>
        <w:rPr/>
        <w:t>TBD</w:t>
      </w:r>
    </w:p>
    <w:p>
      <w:pPr>
        <w:pStyle w:val="Normal"/>
        <w:keepLines/>
        <w:ind w:left="1135" w:hanging="851"/>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Heading3"/>
        <w:rPr/>
      </w:pPr>
      <w:bookmarkStart w:id="93" w:name="__RefHeading___Toc68601029"/>
      <w:r>
        <w:rPr/>
        <w:t>6.1.6</w:t>
        <w:tab/>
        <w:t>Total Radiated Power (TRP) for E-UTRA TDD in Speech Mode with beside the Head and Hand Phantom</w:t>
      </w:r>
      <w:bookmarkEnd w:id="93"/>
      <w:r>
        <w:rPr/>
        <w:t xml:space="preserve"> </w:t>
      </w:r>
    </w:p>
    <w:p>
      <w:pPr>
        <w:pStyle w:val="EditorsNote"/>
        <w:rPr/>
      </w:pPr>
      <w:r>
        <w:rPr/>
        <w:t>Editor’s notes: This subclause is incomplete. The following items are missing or incomplete:</w:t>
      </w:r>
    </w:p>
    <w:p>
      <w:pPr>
        <w:pStyle w:val="EditorsNote"/>
        <w:rPr/>
      </w:pPr>
      <w:r>
        <w:rPr/>
        <w:t>- Table 6.1.6.2-1 and 6.1.6.5-1 as they are not specified in TS 37.144 yet</w:t>
      </w:r>
    </w:p>
    <w:p>
      <w:pPr>
        <w:pStyle w:val="Heading4"/>
        <w:ind w:left="1418" w:hanging="1418"/>
        <w:rPr/>
      </w:pPr>
      <w:bookmarkStart w:id="94" w:name="__RefHeading___Toc68601030"/>
      <w:bookmarkEnd w:id="94"/>
      <w:r>
        <w:rPr/>
        <w:t>6.1.6.1</w:t>
      </w:r>
      <w:r>
        <w:rPr>
          <w:rFonts w:cs="Calibri" w:ascii="Calibri" w:hAnsi="Calibri"/>
          <w:sz w:val="22"/>
          <w:szCs w:val="22"/>
        </w:rPr>
        <w:tab/>
      </w:r>
      <w:r>
        <w:rPr/>
        <w:t>Definition and applicability</w:t>
      </w:r>
    </w:p>
    <w:p>
      <w:pPr>
        <w:pStyle w:val="Normal"/>
        <w:rPr/>
      </w:pPr>
      <w:r>
        <w:rPr/>
        <w:t>The Total Radiated Power (TRP) is a measure of how much power the antenna actually radiates, when non-idealities such as mismatch and losses in the antenna are taken into account. The TRP is defined as the integral of the power transmitted in different directions over the entire radiation sphere:</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m:rPr>
                  <m:lit/>
                  <m:nor/>
                </m:rPr>
                <w:rPr>
                  <w:rFonts w:ascii="Cambria Math" w:hAnsi="Cambria Math"/>
                </w:rPr>
                <m:t xml:space="preserve">TRP</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4</m:t>
              </m:r>
              <m:r>
                <w:rPr>
                  <w:rFonts w:ascii="Cambria Math" w:hAnsi="Cambria Math"/>
                </w:rPr>
                <m:t xml:space="preserve">π</m:t>
              </m:r>
            </m:den>
          </m:f>
          <m:nary>
            <m:naryPr>
              <m:chr m:val="∮"/>
              <m:subHide m:val="1"/>
              <m:supHide m:val="1"/>
            </m:naryPr>
            <m:sub/>
            <m:sup/>
            <m:e>
              <m:d>
                <m:dPr>
                  <m:begChr m:val="("/>
                  <m:endChr m:val=")"/>
                </m:dPr>
                <m:e>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e>
              </m:d>
            </m:e>
          </m:nary>
          <m:r>
            <w:rPr>
              <w:rFonts w:ascii="Cambria Math" w:hAnsi="Cambria Math"/>
            </w:rPr>
            <m:t xml:space="preserve">d</m:t>
          </m:r>
          <m:r>
            <w:rPr>
              <w:rFonts w:ascii="Cambria Math" w:hAnsi="Cambria Math"/>
            </w:rPr>
            <m:t xml:space="preserve">Ω</m:t>
          </m:r>
        </m:oMath>
      </m:oMathPara>
    </w:p>
    <w:p>
      <w:pPr>
        <w:pStyle w:val="Normal"/>
        <w:rPr/>
      </w:pPr>
      <w:r>
        <w:rPr/>
        <w:t xml:space="preserve">Using </w:t>
      </w:r>
      <w:r>
        <w:rPr/>
      </w:r>
      <m:oMath xmlns:m="http://schemas.openxmlformats.org/officeDocument/2006/math">
        <m:r>
          <w:rPr>
            <w:rFonts w:ascii="Cambria Math" w:hAnsi="Cambria Math"/>
          </w:rPr>
          <m:t xml:space="preserve">ψ</m:t>
        </m:r>
      </m:oMath>
      <w:r>
        <w:rPr/>
        <w:t xml:space="preserve"> to denote either </w:t>
      </w:r>
      <w:r>
        <w:rPr/>
      </w:r>
      <m:oMath xmlns:m="http://schemas.openxmlformats.org/officeDocument/2006/math">
        <m:r>
          <w:rPr>
            <w:rFonts w:ascii="Cambria Math" w:hAnsi="Cambria Math"/>
          </w:rPr>
          <m:t xml:space="preserve">θ</m:t>
        </m:r>
      </m:oMath>
      <w:r>
        <w:rPr/>
        <w:t xml:space="preserve"> or </w:t>
      </w:r>
      <w:r>
        <w:rPr/>
      </w:r>
      <m:oMath xmlns:m="http://schemas.openxmlformats.org/officeDocument/2006/math">
        <m:r>
          <w:rPr>
            <w:rFonts w:ascii="Cambria Math" w:hAnsi="Cambria Math"/>
          </w:rPr>
          <m:t xml:space="preserve">ϕ</m:t>
        </m:r>
      </m:oMath>
      <w:r>
        <w:rPr/>
        <w:t xml:space="preserve">, </w:t>
      </w:r>
      <w:r>
        <w:rPr/>
      </w:r>
      <m:oMath xmlns:m="http://schemas.openxmlformats.org/officeDocument/2006/math">
        <m:sSub>
          <m:e>
            <m:r>
              <w:rPr>
                <w:rFonts w:ascii="Cambria Math" w:hAnsi="Cambria Math"/>
              </w:rPr>
              <m:t xml:space="preserve">G</m:t>
            </m:r>
          </m:e>
          <m:sub>
            <m:r>
              <w:rPr>
                <w:rFonts w:ascii="Cambria Math" w:hAnsi="Cambria Math"/>
              </w:rPr>
              <m:t xml:space="preserve">ψ</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oMath>
      <w:r>
        <w:rPr/>
        <w:t xml:space="preserve">is the </w:t>
      </w:r>
      <w:r>
        <w:rPr/>
      </w:r>
      <m:oMath xmlns:m="http://schemas.openxmlformats.org/officeDocument/2006/math">
        <m:r>
          <w:rPr>
            <w:rFonts w:ascii="Cambria Math" w:hAnsi="Cambria Math"/>
          </w:rPr>
          <m:t xml:space="preserve">ψ</m:t>
        </m:r>
      </m:oMath>
      <w:r>
        <w:rPr/>
        <w:t xml:space="preserve">-polarization component of the gain pattern for the handset antenna measured at the frequency </w:t>
      </w:r>
      <w:r>
        <w:rPr/>
      </w:r>
      <m:oMath xmlns:m="http://schemas.openxmlformats.org/officeDocument/2006/math">
        <m:r>
          <w:rPr>
            <w:rFonts w:ascii="Cambria Math" w:hAnsi="Cambria Math"/>
          </w:rPr>
          <m:t xml:space="preserve">f</m:t>
        </m:r>
      </m:oMath>
      <w:r>
        <w:rPr/>
        <w:t xml:space="preserve">, where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oMath>
      <w:r>
        <w:rPr/>
        <w:t xml:space="preserve">is the transmit power level of the handset so that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ψ</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oMath>
      <w:r>
        <w:rPr/>
        <w:t xml:space="preserve">is the actually transmitted power-level, also known as EIRP, in the </w:t>
      </w:r>
      <w:r>
        <w:rPr/>
      </w:r>
      <m:oMath xmlns:m="http://schemas.openxmlformats.org/officeDocument/2006/math">
        <m:r>
          <w:rPr>
            <w:rFonts w:ascii="Cambria Math" w:hAnsi="Cambria Math"/>
          </w:rPr>
          <m:t xml:space="preserve">ψ</m:t>
        </m:r>
      </m:oMath>
      <w:r>
        <w:rPr/>
        <w:t xml:space="preserve">-polarization and in the direction </w:t>
      </w:r>
      <w:r>
        <w:rPr/>
      </w:r>
      <m:oMath xmlns:m="http://schemas.openxmlformats.org/officeDocument/2006/math">
        <m:r>
          <w:rPr>
            <w:rFonts w:ascii="Cambria Math" w:hAnsi="Cambria Math"/>
          </w:rPr>
          <m:t xml:space="preserve">Ω</m:t>
        </m:r>
      </m:oMath>
      <w:r>
        <w:rPr/>
        <w:t xml:space="preserve"> for frequency </w:t>
      </w:r>
      <w:r>
        <w:rPr/>
      </w:r>
      <m:oMath xmlns:m="http://schemas.openxmlformats.org/officeDocument/2006/math">
        <m:r>
          <w:rPr>
            <w:rFonts w:ascii="Cambria Math" w:hAnsi="Cambria Math"/>
          </w:rPr>
          <m:t xml:space="preserve">f</m:t>
        </m:r>
      </m:oMath>
      <w:r>
        <w:rPr/>
        <w:t>.</w:t>
      </w:r>
    </w:p>
    <w:p>
      <w:pPr>
        <w:pStyle w:val="Normal"/>
        <w:rPr/>
      </w:pPr>
      <w:r>
        <w:rPr/>
        <w:t>The above equation may be written in "gain" form, that is, the TRP given by P</w:t>
      </w:r>
      <w:r>
        <w:rPr>
          <w:vertAlign w:val="subscript"/>
        </w:rPr>
        <w:t>TRP</w:t>
      </w:r>
      <w:r>
        <w:rPr/>
        <w:t xml:space="preserve"> is normalized to the transmitted power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oMath>
      <w:r>
        <w:rPr/>
        <w:t>. This is the total radiation efficiency, which can also be denoted as Total Radiated Power Gain, TRPG,</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Γ</m:t>
              </m:r>
            </m:e>
            <m:sub>
              <m:r>
                <m:rPr>
                  <m:lit/>
                  <m:nor/>
                </m:rPr>
                <w:rPr>
                  <w:rFonts w:ascii="Cambria Math" w:hAnsi="Cambria Math"/>
                </w:rPr>
                <m:t xml:space="preserve">TRP</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4</m:t>
              </m:r>
              <m:r>
                <w:rPr>
                  <w:rFonts w:ascii="Cambria Math" w:hAnsi="Cambria Math"/>
                </w:rPr>
                <m:t xml:space="preserve">π</m:t>
              </m:r>
            </m:den>
          </m:f>
          <m:nary>
            <m:naryPr>
              <m:chr m:val="∮"/>
              <m:subHide m:val="1"/>
              <m:supHide m:val="1"/>
            </m:naryPr>
            <m:sub/>
            <m:sup/>
            <m:e>
              <m:d>
                <m:dPr>
                  <m:begChr m:val="("/>
                  <m:endChr m:val=")"/>
                </m:dPr>
                <m:e>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e>
              </m:d>
            </m:e>
          </m:nary>
          <m:r>
            <w:rPr>
              <w:rFonts w:ascii="Cambria Math" w:hAnsi="Cambria Math"/>
            </w:rPr>
            <m:t xml:space="preserve">d</m:t>
          </m:r>
          <m:r>
            <w:rPr>
              <w:rFonts w:ascii="Cambria Math" w:hAnsi="Cambria Math"/>
            </w:rPr>
            <m:t xml:space="preserve">Ω</m:t>
          </m:r>
        </m:oMath>
      </m:oMathPara>
    </w:p>
    <w:p>
      <w:pPr>
        <w:pStyle w:val="Normal"/>
        <w:rPr/>
      </w:pPr>
      <w:r>
        <w:rPr/>
        <w:t xml:space="preserve">In practice discrete samples of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ψ</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oMath>
      <w:r>
        <w:rPr/>
        <w:t xml:space="preserve"> are measured and used to approximate the integral so that the TRP is computed as</w:t>
      </w:r>
    </w:p>
    <w:p>
      <w:pPr>
        <w:pStyle w:val="EQ"/>
        <w:tabs>
          <w:tab w:val="clear" w:pos="9072"/>
          <w:tab w:val="center" w:pos="4536" w:leader="none"/>
          <w:tab w:val="right" w:pos="7938" w:leader="none"/>
        </w:tabs>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m:rPr>
                  <m:lit/>
                  <m:nor/>
                </m:rPr>
                <w:rPr>
                  <w:rFonts w:ascii="Cambria Math" w:hAnsi="Cambria Math"/>
                </w:rPr>
                <m:t xml:space="preserve">TRP</m:t>
              </m:r>
            </m:sub>
          </m:sSub>
          <m:r>
            <w:rPr>
              <w:rFonts w:ascii="Cambria Math" w:hAnsi="Cambria Math"/>
            </w:rPr>
            <m:t xml:space="preserve">≈</m:t>
          </m:r>
          <m:f>
            <m:num>
              <m:sSub>
                <m:e>
                  <m:r>
                    <w:rPr>
                      <w:rFonts w:ascii="Cambria Math" w:hAnsi="Cambria Math"/>
                    </w:rPr>
                    <m:t xml:space="preserve">Δ</m:t>
                  </m:r>
                </m:e>
                <m:sub>
                  <m:r>
                    <w:rPr>
                      <w:rFonts w:ascii="Cambria Math" w:hAnsi="Cambria Math"/>
                    </w:rPr>
                    <m:t xml:space="preserve">θ</m:t>
                  </m:r>
                </m:sub>
              </m:sSub>
              <m:sSub>
                <m:e>
                  <m:r>
                    <w:rPr>
                      <w:rFonts w:ascii="Cambria Math" w:hAnsi="Cambria Math"/>
                    </w:rPr>
                    <m:t xml:space="preserve">Δ</m:t>
                  </m:r>
                </m:e>
                <m:sub>
                  <m:r>
                    <w:rPr>
                      <w:rFonts w:ascii="Cambria Math" w:hAnsi="Cambria Math"/>
                    </w:rPr>
                    <m:t xml:space="preserve">ϕ</m:t>
                  </m:r>
                </m:sub>
              </m:sSub>
            </m:num>
            <m:den>
              <m:r>
                <w:rPr>
                  <w:rFonts w:ascii="Cambria Math" w:hAnsi="Cambria Math"/>
                </w:rPr>
                <m:t xml:space="preserve">4</m:t>
              </m:r>
              <m:r>
                <w:rPr>
                  <w:rFonts w:ascii="Cambria Math" w:hAnsi="Cambria Math"/>
                </w:rPr>
                <m:t xml:space="preserve">π</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rPr/>
      </w:pPr>
      <w:r>
        <w:rPr/>
        <w:t xml:space="preserve">Or, by using the relation </w:t>
      </w:r>
      <w:r>
        <w:rPr/>
      </w:r>
      <m:oMath xmlns:m="http://schemas.openxmlformats.org/officeDocument/2006/math">
        <m:r>
          <m:rPr>
            <m:lit/>
            <m:nor/>
          </m:rPr>
          <w:rPr>
            <w:rFonts w:ascii="Cambria Math" w:hAnsi="Cambria Math"/>
          </w:rPr>
          <m:t xml:space="preserve">EIRP</m:t>
        </m:r>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tx</m:t>
            </m:r>
          </m:sub>
        </m:sSub>
        <m:r>
          <w:rPr>
            <w:rFonts w:ascii="Cambria Math" w:hAnsi="Cambria Math"/>
          </w:rPr>
          <m:t xml:space="preserve">G</m:t>
        </m:r>
      </m:oMath>
      <w:r>
        <w:rPr/>
        <w:t>:</w:t>
      </w:r>
    </w:p>
    <w:p>
      <w:pPr>
        <w:pStyle w:val="EQ"/>
        <w:tabs>
          <w:tab w:val="clear" w:pos="9072"/>
          <w:tab w:val="center" w:pos="4536" w:leader="none"/>
          <w:tab w:val="right" w:pos="7938" w:leader="none"/>
        </w:tabs>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m:rPr>
                  <m:lit/>
                  <m:nor/>
                </m:rPr>
                <w:rPr>
                  <w:rFonts w:ascii="Cambria Math" w:hAnsi="Cambria Math"/>
                </w:rPr>
                <m:t xml:space="preserve">TRP</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f>
            <m:num>
              <m:sSub>
                <m:e>
                  <m:r>
                    <w:rPr>
                      <w:rFonts w:ascii="Cambria Math" w:hAnsi="Cambria Math"/>
                    </w:rPr>
                    <m:t xml:space="preserve">Δ</m:t>
                  </m:r>
                </m:e>
                <m:sub>
                  <m:r>
                    <w:rPr>
                      <w:rFonts w:ascii="Cambria Math" w:hAnsi="Cambria Math"/>
                    </w:rPr>
                    <m:t xml:space="preserve">θ</m:t>
                  </m:r>
                </m:sub>
              </m:sSub>
              <m:sSub>
                <m:e>
                  <m:r>
                    <w:rPr>
                      <w:rFonts w:ascii="Cambria Math" w:hAnsi="Cambria Math"/>
                    </w:rPr>
                    <m:t xml:space="preserve">Δ</m:t>
                  </m:r>
                </m:e>
                <m:sub>
                  <m:r>
                    <w:rPr>
                      <w:rFonts w:ascii="Cambria Math" w:hAnsi="Cambria Math"/>
                    </w:rPr>
                    <m:t xml:space="preserve">ϕ</m:t>
                  </m:r>
                </m:sub>
              </m:sSub>
            </m:num>
            <m:den>
              <m:r>
                <w:rPr>
                  <w:rFonts w:ascii="Cambria Math" w:hAnsi="Cambria Math"/>
                </w:rPr>
                <m:t xml:space="preserve">4</m:t>
              </m:r>
              <m:r>
                <w:rPr>
                  <w:rFonts w:ascii="Cambria Math" w:hAnsi="Cambria Math"/>
                </w:rPr>
                <m:t xml:space="preserve">π</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m:rPr>
                              <m:lit/>
                              <m:nor/>
                            </m:rPr>
                            <w:rPr>
                              <w:rFonts w:ascii="Cambria Math" w:hAnsi="Cambria Math"/>
                            </w:rPr>
                            <m:t xml:space="preserve">EIRP</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EIRP</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rPr/>
      </w:pPr>
      <w:r>
        <w:rPr/>
        <w:t>In gain form the TRP can be expressed as:</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Γ</m:t>
              </m:r>
            </m:e>
            <m:sub>
              <m:r>
                <m:rPr>
                  <m:lit/>
                  <m:nor/>
                </m:rPr>
                <w:rPr>
                  <w:rFonts w:ascii="Cambria Math" w:hAnsi="Cambria Math"/>
                </w:rPr>
                <m:t xml:space="preserve">TRP</m:t>
              </m:r>
            </m:sub>
          </m:sSub>
          <m:r>
            <w:rPr>
              <w:rFonts w:ascii="Cambria Math" w:hAnsi="Cambria Math"/>
            </w:rPr>
            <m:t xml:space="preserve">≈</m:t>
          </m:r>
          <m:f>
            <m:num>
              <m:sSub>
                <m:e>
                  <m:r>
                    <w:rPr>
                      <w:rFonts w:ascii="Cambria Math" w:hAnsi="Cambria Math"/>
                    </w:rPr>
                    <m:t xml:space="preserve">Δ</m:t>
                  </m:r>
                </m:e>
                <m:sub>
                  <m:r>
                    <w:rPr>
                      <w:rFonts w:ascii="Cambria Math" w:hAnsi="Cambria Math"/>
                    </w:rPr>
                    <m:t xml:space="preserve">θ</m:t>
                  </m:r>
                </m:sub>
              </m:sSub>
              <m:sSub>
                <m:e>
                  <m:r>
                    <w:rPr>
                      <w:rFonts w:ascii="Cambria Math" w:hAnsi="Cambria Math"/>
                    </w:rPr>
                    <m:t xml:space="preserve">Δ</m:t>
                  </m:r>
                </m:e>
                <m:sub>
                  <m:r>
                    <w:rPr>
                      <w:rFonts w:ascii="Cambria Math" w:hAnsi="Cambria Math"/>
                    </w:rPr>
                    <m:t xml:space="preserve">ϕ</m:t>
                  </m:r>
                </m:sub>
              </m:sSub>
            </m:num>
            <m:den>
              <m:r>
                <w:rPr>
                  <w:rFonts w:ascii="Cambria Math" w:hAnsi="Cambria Math"/>
                </w:rPr>
                <m:t xml:space="preserve">4</m:t>
              </m:r>
              <m:r>
                <w:rPr>
                  <w:rFonts w:ascii="Cambria Math" w:hAnsi="Cambria Math"/>
                </w:rPr>
                <m:t xml:space="preserve">π</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rPr/>
      </w:pPr>
      <w:r>
        <w:rPr/>
        <w:t xml:space="preserve">In these formulas </w:t>
      </w:r>
      <w:r>
        <w:rPr/>
      </w:r>
      <m:oMath xmlns:m="http://schemas.openxmlformats.org/officeDocument/2006/math">
        <m:sSub>
          <m:e>
            <m:r>
              <w:rPr>
                <w:rFonts w:ascii="Cambria Math" w:hAnsi="Cambria Math"/>
              </w:rPr>
              <m:t xml:space="preserve">Δ</m:t>
            </m:r>
          </m:e>
          <m:sub>
            <m:r>
              <w:rPr>
                <w:rFonts w:ascii="Cambria Math" w:hAnsi="Cambria Math"/>
              </w:rPr>
              <m:t xml:space="preserve">θ</m:t>
            </m:r>
          </m:sub>
        </m:sSub>
        <m:r>
          <w:rPr>
            <w:rFonts w:ascii="Cambria Math" w:hAnsi="Cambria Math"/>
          </w:rPr>
          <m:t xml:space="preserve">=</m:t>
        </m:r>
        <m:f>
          <m:fPr>
            <m:type m:val="lin"/>
          </m:fPr>
          <m:num>
            <m:r>
              <w:rPr>
                <w:rFonts w:ascii="Cambria Math" w:hAnsi="Cambria Math"/>
              </w:rPr>
              <m:t xml:space="preserve">π</m:t>
            </m:r>
          </m:num>
          <m:den>
            <m:r>
              <w:rPr>
                <w:rFonts w:ascii="Cambria Math" w:hAnsi="Cambria Math"/>
              </w:rPr>
              <m:t xml:space="preserve">(</m:t>
            </m:r>
          </m:den>
        </m:f>
        <m:r>
          <w:rPr>
            <w:rFonts w:ascii="Cambria Math" w:hAnsi="Cambria Math"/>
          </w:rPr>
          <m:t xml:space="preserve">N</m:t>
        </m:r>
        <m:r>
          <w:rPr>
            <w:rFonts w:ascii="Cambria Math" w:hAnsi="Cambria Math"/>
          </w:rPr>
          <m:t xml:space="preserve">)</m:t>
        </m:r>
      </m:oMath>
      <w:r>
        <w:rPr/>
        <w:t xml:space="preserve"> and </w:t>
      </w:r>
      <w:r>
        <w:rPr/>
      </w:r>
      <m:oMath xmlns:m="http://schemas.openxmlformats.org/officeDocument/2006/math">
        <m:sSub>
          <m:e>
            <m:r>
              <w:rPr>
                <w:rFonts w:ascii="Cambria Math" w:hAnsi="Cambria Math"/>
              </w:rPr>
              <m:t xml:space="preserve">Δ</m:t>
            </m:r>
          </m:e>
          <m:sub>
            <m:r>
              <w:rPr>
                <w:rFonts w:ascii="Cambria Math" w:hAnsi="Cambria Math"/>
              </w:rPr>
              <m:t xml:space="preserve">ϕ</m:t>
            </m:r>
          </m:sub>
        </m:sSub>
        <m:r>
          <w:rPr>
            <w:rFonts w:ascii="Cambria Math" w:hAnsi="Cambria Math"/>
          </w:rPr>
          <m:t xml:space="preserve">=</m:t>
        </m:r>
        <m:r>
          <w:rPr>
            <w:rFonts w:ascii="Cambria Math" w:hAnsi="Cambria Math"/>
          </w:rPr>
          <m:t xml:space="preserve">2</m:t>
        </m:r>
        <m:f>
          <m:fPr>
            <m:type m:val="lin"/>
          </m:fPr>
          <m:num>
            <m:r>
              <w:rPr>
                <w:rFonts w:ascii="Cambria Math" w:hAnsi="Cambria Math"/>
              </w:rPr>
              <m:t xml:space="preserve">π</m:t>
            </m:r>
          </m:num>
          <m:den>
            <m:r>
              <w:rPr>
                <w:rFonts w:ascii="Cambria Math" w:hAnsi="Cambria Math"/>
              </w:rPr>
              <m:t xml:space="preserve">M</m:t>
            </m:r>
          </m:den>
        </m:f>
      </m:oMath>
      <w:r>
        <w:rPr/>
        <w:t xml:space="preserve"> are the sampling intervals for the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-angles, respectively, and the number of samples in the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-angles are given by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respectively. The sampling points of the sphere are given by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nΔ</m:t>
            </m:r>
          </m:e>
          <m:sub>
            <m:r>
              <w:rPr>
                <w:rFonts w:ascii="Cambria Math" w:hAnsi="Cambria Math"/>
              </w:rPr>
              <m:t xml:space="preserve">θ</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sSub>
          <m:e>
            <m:r>
              <w:rPr>
                <w:rFonts w:ascii="Cambria Math" w:hAnsi="Cambria Math"/>
              </w:rPr>
              <m:t xml:space="preserve">mΔ</m:t>
            </m:r>
          </m:e>
          <m:sub>
            <m:r>
              <w:rPr>
                <w:rFonts w:ascii="Cambria Math" w:hAnsi="Cambria Math"/>
              </w:rPr>
              <m:t xml:space="preserve">ϕ</m:t>
            </m:r>
          </m:sub>
        </m:sSub>
      </m:oMath>
      <w:r>
        <w:rPr/>
        <w:t xml:space="preserve">. The sampling intervals are discussed further in Section 4.4. </w:t>
      </w:r>
    </w:p>
    <w:p>
      <w:pPr>
        <w:pStyle w:val="Normal"/>
        <w:rPr/>
      </w:pPr>
      <w:r>
        <w:rPr/>
        <w:t>When measuring power radiated by active devices, expressing the data in terms of EIRP is more appropriate. The upper form of the TRP formulas (which includes EIRP terms) will be used in the data processing.</w:t>
      </w:r>
    </w:p>
    <w:p>
      <w:pPr>
        <w:pStyle w:val="Normal"/>
        <w:rPr/>
      </w:pPr>
      <w:r>
        <w:rPr/>
        <w:t>The TRP can also be calculated from Rayleigh faded samples of the total power transmitted from the UE. The measurement of transmitter performance in an isotropic Rayleigh fading environment is based on sampling the radiated power of the UE for a discrete number of field combinations in the chamber. The average value of these statistically distributed samples is proportional to the TRP and by calibrating the average power transfer function, an absolute value of the TRP can be obtained. Thus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TRP</m:t>
          </m:r>
          <m:r>
            <w:rPr>
              <w:rFonts w:ascii="Cambria Math" w:hAnsi="Cambria Math"/>
            </w:rPr>
            <m:t xml:space="preserve">≈</m:t>
          </m:r>
          <m:f>
            <m:num>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f>
                        <m:num>
                          <m:sSub>
                            <m:e>
                              <m:r>
                                <w:rPr>
                                  <w:rFonts w:ascii="Cambria Math" w:hAnsi="Cambria Math"/>
                                </w:rPr>
                                <m:t xml:space="preserve">P</m:t>
                              </m:r>
                            </m:e>
                            <m:sub>
                              <m:r>
                                <w:rPr>
                                  <w:rFonts w:ascii="Cambria Math" w:hAnsi="Cambria Math"/>
                                </w:rPr>
                                <m:t xml:space="preserve">n</m:t>
                              </m:r>
                            </m:sub>
                          </m:sSub>
                        </m:num>
                        <m:den>
                          <m:sSub>
                            <m:e>
                              <m:r>
                                <w:rPr>
                                  <w:rFonts w:ascii="Cambria Math" w:hAnsi="Cambria Math"/>
                                </w:rPr>
                                <m:t xml:space="preserve">C</m:t>
                              </m:r>
                            </m:e>
                            <m:sub>
                              <m:r>
                                <w:rPr>
                                  <w:rFonts w:ascii="Cambria Math" w:hAnsi="Cambria Math"/>
                                </w:rPr>
                                <m:t xml:space="preserve">n</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den>
                      </m:f>
                    </m:e>
                  </m:d>
                </m:e>
              </m:nary>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e>
              </m:nary>
            </m:den>
          </m:f>
        </m:oMath>
      </m:oMathPara>
    </w:p>
    <w:p>
      <w:pPr>
        <w:pStyle w:val="Normal"/>
        <w:rPr/>
      </w:pPr>
      <w:r>
        <w:rPr/>
        <w:t xml:space="preserve">where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oMath>
      <w:r>
        <w:rPr/>
        <w:t xml:space="preserve"> is the reference power transfer function for fixed measurement antenna n, </w:t>
      </w:r>
      <w:r>
        <w:rPr/>
      </w:r>
      <m:oMath xmlns:m="http://schemas.openxmlformats.org/officeDocument/2006/math">
        <m:sSub>
          <m:e>
            <m:r>
              <w:rPr>
                <w:rFonts w:ascii="Cambria Math" w:hAnsi="Cambria Math"/>
              </w:rPr>
              <m:t xml:space="preserve">R</m:t>
            </m:r>
          </m:e>
          <m:sub>
            <m:r>
              <w:rPr>
                <w:rFonts w:ascii="Cambria Math" w:hAnsi="Cambria Math"/>
              </w:rPr>
              <m:t xml:space="preserve">n</m:t>
            </m:r>
          </m:sub>
        </m:sSub>
      </m:oMath>
      <w:r>
        <w:rPr/>
        <w:t xml:space="preserve"> is the reflection coefficient for fixed measurement antenna n and </w:t>
      </w:r>
      <w:r>
        <w:rPr/>
      </w:r>
      <m:oMath xmlns:m="http://schemas.openxmlformats.org/officeDocument/2006/math">
        <m:sSub>
          <m:e>
            <m:r>
              <w:rPr>
                <w:rFonts w:ascii="Cambria Math" w:hAnsi="Cambria Math"/>
              </w:rPr>
              <m:t xml:space="preserve">C</m:t>
            </m:r>
          </m:e>
          <m:sub>
            <m:r>
              <w:rPr>
                <w:rFonts w:ascii="Cambria Math" w:hAnsi="Cambria Math"/>
              </w:rPr>
              <m:t xml:space="preserve">n</m:t>
            </m:r>
          </m:sub>
        </m:sSub>
      </m:oMath>
      <w:r>
        <w:rPr/>
        <w:t xml:space="preserve"> is the path loss in the cables connecting the measurement receiver to fixed measurement antenna n. These parameters are calculated from the calibration measurement and are further discussed in Annex B.2. </w:t>
      </w:r>
      <w:r>
        <w:rPr/>
      </w:r>
      <m:oMath xmlns:m="http://schemas.openxmlformats.org/officeDocument/2006/math">
        <m:sSub>
          <m:e>
            <m:r>
              <w:rPr>
                <w:rFonts w:ascii="Cambria Math" w:hAnsi="Cambria Math"/>
              </w:rPr>
              <m:t xml:space="preserve">P</m:t>
            </m:r>
          </m:e>
          <m:sub>
            <m:r>
              <w:rPr>
                <w:rFonts w:ascii="Cambria Math" w:hAnsi="Cambria Math"/>
              </w:rPr>
              <m:t xml:space="preserve">n</m:t>
            </m:r>
          </m:sub>
        </m:sSub>
      </m:oMath>
      <w:r>
        <w:rPr/>
        <w:t xml:space="preserve"> is the average power measured by fixed measurement antenna n and can be calculated using the following expression:</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w:rPr>
                  <w:rFonts w:ascii="Cambria Math" w:hAnsi="Cambria Math"/>
                </w:rPr>
                <m:t xml:space="preserve">n</m:t>
              </m:r>
            </m:sub>
          </m:sSub>
          <m:r>
            <w:rPr>
              <w:rFonts w:ascii="Cambria Math" w:hAnsi="Cambria Math"/>
            </w:rPr>
            <m:t xml:space="preserve">=</m:t>
          </m:r>
          <m:f>
            <m:num>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p>
                    <m:e>
                      <m:d>
                        <m:dPr>
                          <m:begChr m:val="|"/>
                          <m:endChr m:val="|"/>
                        </m:dPr>
                        <m:e>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e>
                      </m:d>
                    </m:e>
                    <m:sup>
                      <m:r>
                        <w:rPr>
                          <w:rFonts w:ascii="Cambria Math" w:hAnsi="Cambria Math"/>
                        </w:rPr>
                        <m:t xml:space="preserve">2</m:t>
                      </m:r>
                    </m:sup>
                  </m:sSup>
                </m:e>
              </m:nary>
            </m:num>
            <m:den>
              <m:r>
                <w:rPr>
                  <w:rFonts w:ascii="Cambria Math" w:hAnsi="Cambria Math"/>
                </w:rPr>
                <m:t xml:space="preserve">M</m:t>
              </m:r>
            </m:den>
          </m:f>
        </m:oMath>
      </m:oMathPara>
    </w:p>
    <w:p>
      <w:pPr>
        <w:pStyle w:val="Normal"/>
        <w:rPr/>
      </w:pPr>
      <w:r>
        <w:rPr/>
        <w:t xml:space="preserve">where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oMath>
      <w:r>
        <w:rPr/>
        <w:t xml:space="preserve"> is sample number m of the complex transfer function measured with fixed measurement antenna n and </w:t>
      </w:r>
      <w:r>
        <w:rPr/>
      </w:r>
      <m:oMath xmlns:m="http://schemas.openxmlformats.org/officeDocument/2006/math">
        <m:r>
          <w:rPr>
            <w:rFonts w:ascii="Cambria Math" w:hAnsi="Cambria Math"/>
          </w:rPr>
          <m:t xml:space="preserve">M</m:t>
        </m:r>
      </m:oMath>
      <w:r>
        <w:rPr/>
        <w:t xml:space="preserve"> is the total number of samples measured for each fixed measurement antenna.</w:t>
      </w:r>
    </w:p>
    <w:p>
      <w:pPr>
        <w:pStyle w:val="Normal"/>
        <w:rPr/>
      </w:pPr>
      <w:r>
        <w:rPr/>
        <w:t>Note that all averaging must be performed using linear power values (e.g. measurements in Watts).</w:t>
      </w:r>
    </w:p>
    <w:p>
      <w:pPr>
        <w:pStyle w:val="Normal"/>
        <w:rPr/>
      </w:pPr>
      <w:r>
        <w:rPr/>
        <w:t>The requirements and this test apply to all types of LTE UEs independent of release.</w:t>
      </w:r>
    </w:p>
    <w:p>
      <w:pPr>
        <w:pStyle w:val="Heading4"/>
        <w:ind w:left="1418" w:hanging="1418"/>
        <w:rPr/>
      </w:pPr>
      <w:bookmarkStart w:id="95" w:name="__RefHeading___Toc68601031"/>
      <w:bookmarkEnd w:id="95"/>
      <w:r>
        <w:rPr/>
        <w:t>6.1.6.2</w:t>
        <w:tab/>
        <w:t>Minimum Requirements</w:t>
      </w:r>
    </w:p>
    <w:p>
      <w:pPr>
        <w:pStyle w:val="Normal"/>
        <w:jc w:val="both"/>
        <w:rPr/>
      </w:pPr>
      <w:r>
        <w:rPr/>
        <w:t>The average TRP of low, mid and high channel in beside head position shall be higher than minimum performance requirements for roaming bands shown in Table 6.1.6.2-1. The averaging shall be done in linear scale for the TRP results of both right and left side of the phantom head.</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num>
                <m:den>
                  <m:r>
                    <w:rPr>
                      <w:rFonts w:ascii="Cambria Math" w:hAnsi="Cambria Math"/>
                    </w:rPr>
                    <m:t xml:space="preserve">6</m:t>
                  </m:r>
                </m:den>
              </m:f>
            </m:e>
          </m:d>
        </m:oMath>
      </m:oMathPara>
    </w:p>
    <w:p>
      <w:pPr>
        <w:pStyle w:val="Normal"/>
        <w:rPr/>
      </w:pPr>
      <w:r>
        <w:rPr/>
        <w:t>In addition the minimum TRP of each measured channel in beside head position shall be higher than minimum performance requirements shown in the columns “Min”.</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min</m:t>
          </m:r>
          <m:d>
            <m:dPr>
              <m:begChr m:val="["/>
              <m:endChr m:val="]"/>
            </m:dPr>
            <m:e>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e>
          </m:d>
        </m:oMath>
      </m:oMathPara>
    </w:p>
    <w:p>
      <w:pPr>
        <w:pStyle w:val="TH"/>
        <w:rPr/>
      </w:pPr>
      <w:r>
        <w:rPr/>
        <w:t>Table 6.1.6.2-1: TRP minimum performance requirement for E-UTRA TDD roaming mode in beside the head and hand phantom position and the primary mechanical mode</w:t>
      </w:r>
    </w:p>
    <w:p>
      <w:pPr>
        <w:pStyle w:val="Normal"/>
        <w:rPr>
          <w:b/>
          <w:b/>
        </w:rPr>
      </w:pPr>
      <w:r>
        <w:rPr/>
        <w:t>TBD</w:t>
      </w:r>
    </w:p>
    <w:p>
      <w:pPr>
        <w:pStyle w:val="Normal"/>
        <w:rPr>
          <w:b/>
          <w:b/>
        </w:rPr>
      </w:pPr>
      <w:r>
        <w:rPr>
          <w:b/>
        </w:rPr>
      </w:r>
    </w:p>
    <w:p>
      <w:pPr>
        <w:pStyle w:val="Normal"/>
        <w:rPr/>
      </w:pPr>
      <w:r>
        <w:rPr/>
        <w:t>The normative reference for this clause is TS37.144 [12] Subclause 6.1.2.4.</w:t>
      </w:r>
    </w:p>
    <w:p>
      <w:pPr>
        <w:pStyle w:val="Heading4"/>
        <w:ind w:left="1418" w:hanging="1418"/>
        <w:rPr/>
      </w:pPr>
      <w:bookmarkStart w:id="96" w:name="__RefHeading___Toc68601032"/>
      <w:bookmarkEnd w:id="96"/>
      <w:r>
        <w:rPr/>
        <w:t>6.1.6.3</w:t>
        <w:tab/>
        <w:t>Test purpose</w:t>
      </w:r>
    </w:p>
    <w:p>
      <w:pPr>
        <w:pStyle w:val="Normal"/>
        <w:rPr/>
      </w:pPr>
      <w:r>
        <w:rPr/>
        <w:t xml:space="preserve">The purpose of this test is to verify that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 xml:space="preserve">of the UE is not below specified values. A lower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decrease the coverage area.</w:t>
      </w:r>
    </w:p>
    <w:p>
      <w:pPr>
        <w:pStyle w:val="Heading4"/>
        <w:ind w:left="1418" w:hanging="1418"/>
        <w:rPr/>
      </w:pPr>
      <w:bookmarkStart w:id="97" w:name="__RefHeading___Toc68601033"/>
      <w:bookmarkEnd w:id="97"/>
      <w:r>
        <w:rPr/>
        <w:t>6.1.6.4</w:t>
        <w:tab/>
        <w:t>Method of test</w:t>
      </w:r>
    </w:p>
    <w:p>
      <w:pPr>
        <w:pStyle w:val="Heading4"/>
        <w:ind w:left="1418" w:hanging="1418"/>
        <w:rPr/>
      </w:pPr>
      <w:bookmarkStart w:id="98" w:name="__RefHeading___Toc68601034"/>
      <w:bookmarkEnd w:id="98"/>
      <w:r>
        <w:rPr/>
        <w:t>6.1.6.4.1</w:t>
        <w:tab/>
        <w:t>Initial conditions</w:t>
      </w:r>
    </w:p>
    <w:p>
      <w:pPr>
        <w:pStyle w:val="Normal"/>
        <w:rPr/>
      </w:pPr>
      <w:r>
        <w:rPr/>
        <w:t xml:space="preserve">A radio communications tester or a corresponding device is used as a NB simulator to setup calls to the DUT. The NB/BS simulator may also measure the radiated power samples. Alternatively, a measurement receiver or spectrum analyzer may be used for that purpose. </w:t>
      </w:r>
    </w:p>
    <w:p>
      <w:pPr>
        <w:pStyle w:val="Normal"/>
        <w:rPr/>
      </w:pPr>
      <w:r>
        <w:rPr/>
        <w:t>The maximum output power for different UE power classes are defined in 3GPP TS 36.521-1 [11] Subclause 6.2.2 for any transmission bandwidth within the channel bandwidth. Also care should be taken that the noise floor of the measurement receiver is not disturbing the power measurement.</w:t>
      </w:r>
    </w:p>
    <w:p>
      <w:pPr>
        <w:pStyle w:val="Normal"/>
        <w:rPr/>
      </w:pPr>
      <w:r>
        <w:rPr/>
        <w:t>Chamber environment constraints and coordinate system shall be the same as described in Subclause A.3.</w:t>
      </w:r>
    </w:p>
    <w:p>
      <w:pPr>
        <w:pStyle w:val="Normal"/>
        <w:rPr>
          <w:lang w:eastAsia="zh-CN"/>
        </w:rPr>
      </w:pPr>
      <w:r>
        <w:rPr/>
        <w:t>Phantom Specifications shall be the same as described in Subclause A.2.1 and A.2.2.</w:t>
      </w:r>
    </w:p>
    <w:p>
      <w:pPr>
        <w:pStyle w:val="Normal"/>
        <w:rPr/>
      </w:pPr>
      <w:r>
        <w:rPr/>
        <w:t>Test environment: normal; see TS36.508 [10] Subclause 4.1.1.</w:t>
      </w:r>
    </w:p>
    <w:p>
      <w:pPr>
        <w:pStyle w:val="Normal"/>
        <w:rPr/>
      </w:pPr>
      <w:r>
        <w:rPr/>
        <w:t xml:space="preserve">Frequencies to be tested: low range, mid range, high range; see Table 5.4-2. </w:t>
      </w:r>
    </w:p>
    <w:p>
      <w:pPr>
        <w:pStyle w:val="Normal"/>
        <w:rPr/>
      </w:pPr>
      <w:r>
        <w:rPr/>
        <w:t>Positioning Requirements shall be the same as described in Subclause 4.3.</w:t>
      </w:r>
    </w:p>
    <w:p>
      <w:pPr>
        <w:pStyle w:val="B1"/>
        <w:rPr/>
      </w:pPr>
      <w:r>
        <w:rPr/>
        <w:t>1)</w:t>
        <w:tab/>
        <w:t xml:space="preserve">Position the UE according to the DUT positioning for speech mode specified in Subclause 4.3.3. </w:t>
      </w:r>
    </w:p>
    <w:p>
      <w:pPr>
        <w:pStyle w:val="B1"/>
        <w:rPr/>
      </w:pPr>
      <w:r>
        <w:rPr/>
        <w:t>2)</w:t>
        <w:tab/>
        <w:t>Power on the UE.</w:t>
      </w:r>
    </w:p>
    <w:p>
      <w:pPr>
        <w:pStyle w:val="B1"/>
        <w:rPr/>
      </w:pPr>
      <w:r>
        <w:rPr/>
        <w:t>3)</w:t>
        <w:tab/>
        <w:t>Set the initial conditions as per Subclause 6.2.2 of 3GPP TS 36.521-1 [11], with the following exception: set the carrier frequency, channel bandwidth, RB length and RB location as per Table 5.4-1 for TDD mode.</w:t>
      </w:r>
    </w:p>
    <w:p>
      <w:pPr>
        <w:pStyle w:val="Heading4"/>
        <w:ind w:left="1418" w:hanging="1418"/>
        <w:rPr/>
      </w:pPr>
      <w:bookmarkStart w:id="99" w:name="__RefHeading___Toc68601035"/>
      <w:bookmarkEnd w:id="99"/>
      <w:r>
        <w:rPr/>
        <w:t>6.1.6.4.2</w:t>
        <w:tab/>
        <w:t>Procedure</w:t>
      </w:r>
    </w:p>
    <w:p>
      <w:pPr>
        <w:pStyle w:val="B1"/>
        <w:rPr/>
      </w:pPr>
      <w:r>
        <w:rPr/>
        <w:t>1)</w:t>
        <w:tab/>
        <w:t>Follow Steps 1 and 2 in section 6.2.2.4.2 of 3GPP TS 36.521-1 [11] and ensure that the DUT transmits with its maximum power.</w:t>
      </w:r>
    </w:p>
    <w:p>
      <w:pPr>
        <w:pStyle w:val="B1"/>
        <w:rPr/>
      </w:pPr>
      <w:r>
        <w:rPr/>
        <w:t>2)</w:t>
        <w:tab/>
        <w:t>For the anechoic chamber based methodologies, measure the spherical effective isotropic radiated power (EIRP) pattern following the sampling grid specified in Subclause 4.4. Slots with transient periods are not under test. The uplink downlink configuration and the special subframe configuration in TDD is set as per Table 8.2.2-1 of 3GPP TS 36.521-1 [11]. Calculate the TRP using the EIRP pattern data as per Subclause 6.1.6.1.</w:t>
      </w:r>
    </w:p>
    <w:p>
      <w:pPr>
        <w:pStyle w:val="B1"/>
        <w:rPr/>
      </w:pPr>
      <w:r>
        <w:rPr/>
        <w:t>3)</w:t>
        <w:tab/>
        <w:t>Repeat the measurement of the DUT on the left and right ears of the head phantom using the left and right hand phantom for low, mid and high channels.</w:t>
      </w:r>
    </w:p>
    <w:p>
      <w:pPr>
        <w:pStyle w:val="B1"/>
        <w:rPr/>
      </w:pPr>
      <w:r>
        <w:rPr/>
        <w:t>4)</w:t>
        <w:tab/>
        <w:t>Calculate the average and minimum TRP as per Subclause 6.1.6.2.</w:t>
      </w:r>
    </w:p>
    <w:p>
      <w:pPr>
        <w:pStyle w:val="Heading4"/>
        <w:ind w:left="1418" w:hanging="1418"/>
        <w:rPr/>
      </w:pPr>
      <w:bookmarkStart w:id="100" w:name="__RefHeading___Toc68601036"/>
      <w:bookmarkEnd w:id="100"/>
      <w:r>
        <w:rPr/>
        <w:t>6.1.6.4.3</w:t>
        <w:tab/>
        <w:t>Procedure, reverberation chamber method</w:t>
      </w:r>
    </w:p>
    <w:p>
      <w:pPr>
        <w:pStyle w:val="Normal"/>
        <w:ind w:left="568" w:hanging="284"/>
        <w:rPr/>
      </w:pPr>
      <w:r>
        <w:rPr/>
        <w:t>1)</w:t>
        <w:tab/>
        <w:t>Follow Steps 1 and 2 in section 6.2.2.4.2 of 3GPP TS 36.521-1 [11] and ensure that the DUT transmits with its maximum power.</w:t>
      </w:r>
    </w:p>
    <w:p>
      <w:pPr>
        <w:pStyle w:val="B1"/>
        <w:rPr/>
      </w:pPr>
      <w:r>
        <w:rPr/>
        <w:t>2)</w:t>
        <w:tab/>
        <w:t xml:space="preserve">Measure a sufficient number of independent samples (see </w:t>
      </w:r>
      <w:r>
        <w:rPr>
          <w:lang w:eastAsia="zh-TW"/>
        </w:rPr>
        <w:t>Subclause 4.5</w:t>
      </w:r>
      <w:r>
        <w:rPr/>
        <w:t xml:space="preserve">) of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oMath>
      <w:r>
        <w:rPr/>
        <w:t xml:space="preserve"> using a test system having characteristics as described in Annex A. Calculate TRP using equations from </w:t>
      </w:r>
      <w:r>
        <w:rPr>
          <w:lang w:eastAsia="zh-TW"/>
        </w:rPr>
        <w:t>Subclause 6.1.6.1</w:t>
      </w:r>
      <w:r>
        <w:rPr/>
        <w:t>.</w:t>
      </w:r>
    </w:p>
    <w:p>
      <w:pPr>
        <w:pStyle w:val="Normal"/>
        <w:ind w:left="568" w:hanging="284"/>
        <w:rPr/>
      </w:pPr>
      <w:r>
        <w:rPr/>
        <w:t>3)</w:t>
        <w:tab/>
        <w:t>Repeat the measurement of the DUT on the left and right ears of the head phantom using the left and right hand phantom for low, mid and high channels.</w:t>
      </w:r>
    </w:p>
    <w:p>
      <w:pPr>
        <w:pStyle w:val="B1"/>
        <w:rPr/>
      </w:pPr>
      <w:r>
        <w:rPr/>
        <w:t>4)</w:t>
        <w:tab/>
        <w:t>Calculate the average and minimum TRP as per Subclause 6.1.6.2.</w:t>
      </w:r>
    </w:p>
    <w:p>
      <w:pPr>
        <w:pStyle w:val="Normal"/>
        <w:rPr/>
      </w:pPr>
      <w:r>
        <w:rPr/>
      </w:r>
    </w:p>
    <w:p>
      <w:pPr>
        <w:pStyle w:val="Heading4"/>
        <w:ind w:left="1418" w:hanging="1418"/>
        <w:rPr/>
      </w:pPr>
      <w:bookmarkStart w:id="101" w:name="__RefHeading___Toc68601037"/>
      <w:bookmarkEnd w:id="101"/>
      <w:r>
        <w:rPr/>
        <w:t>6.1.6.5</w:t>
        <w:tab/>
        <w:t>Test requirements</w:t>
      </w:r>
    </w:p>
    <w:p>
      <w:pPr>
        <w:pStyle w:val="Normal"/>
        <w:jc w:val="both"/>
        <w:rPr/>
      </w:pPr>
      <w:r>
        <w:rPr/>
        <w:t>The average TRP of low, mid and high channel in beside head position shall be higher than test performance requirements for roaming bands shown in Table 6.1.6.5-1. The averaging shall be done in linear scale for the TRP results of both right and left side of the phantom head.</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num>
                <m:den>
                  <m:r>
                    <w:rPr>
                      <w:rFonts w:ascii="Cambria Math" w:hAnsi="Cambria Math"/>
                    </w:rPr>
                    <m:t xml:space="preserve">6</m:t>
                  </m:r>
                </m:den>
              </m:f>
            </m:e>
          </m:d>
        </m:oMath>
      </m:oMathPara>
    </w:p>
    <w:p>
      <w:pPr>
        <w:pStyle w:val="Normal"/>
        <w:rPr/>
      </w:pPr>
      <w:r>
        <w:rPr/>
        <w:t>In addition the minimum TRP of each measured channel in beside head position shall be higher than minimum performance requirements shown in the columns “Min”.</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min</m:t>
          </m:r>
          <m:d>
            <m:dPr>
              <m:begChr m:val="["/>
              <m:endChr m:val="]"/>
            </m:dPr>
            <m:e>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e>
          </m:d>
        </m:oMath>
      </m:oMathPara>
    </w:p>
    <w:p>
      <w:pPr>
        <w:pStyle w:val="Normal"/>
        <w:keepNext w:val="true"/>
        <w:keepLines/>
        <w:spacing w:before="60" w:after="180"/>
        <w:jc w:val="center"/>
        <w:rPr/>
      </w:pPr>
      <w:r>
        <w:rPr>
          <w:rFonts w:cs="Arial" w:ascii="Arial" w:hAnsi="Arial"/>
          <w:b/>
        </w:rPr>
        <w:t>Table 6.1.6.5-1: TRP test requirement for E-UTRA TDD roaming bands in the speech position and the primary mechanical mode</w:t>
      </w:r>
    </w:p>
    <w:p>
      <w:pPr>
        <w:pStyle w:val="Normal"/>
        <w:rPr>
          <w:b/>
          <w:b/>
        </w:rPr>
      </w:pPr>
      <w:r>
        <w:rPr/>
        <w:t>TBD</w:t>
      </w:r>
    </w:p>
    <w:p>
      <w:pPr>
        <w:pStyle w:val="Normal"/>
        <w:keepLines/>
        <w:ind w:left="1135" w:hanging="851"/>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Heading3"/>
        <w:rPr/>
      </w:pPr>
      <w:bookmarkStart w:id="102" w:name="__RefHeading___Toc68601038"/>
      <w:bookmarkEnd w:id="102"/>
      <w:r>
        <w:rPr/>
        <w:t>6.1.7</w:t>
        <w:tab/>
        <w:t>Total Radiated Power (TRP) for UTRA FDD in Browsing Mode with Hand Phantom</w:t>
      </w:r>
    </w:p>
    <w:p>
      <w:pPr>
        <w:pStyle w:val="EditorsNote"/>
        <w:rPr/>
      </w:pPr>
      <w:r>
        <w:rPr/>
        <w:t>Editor’s notes: This subclause is incomplete. The following items are missing or incomplete:</w:t>
      </w:r>
    </w:p>
    <w:p>
      <w:pPr>
        <w:pStyle w:val="EditorsNote"/>
        <w:rPr/>
      </w:pPr>
      <w:r>
        <w:rPr/>
        <w:t>- Minimum requirements are not specified in TS 37.144 yet</w:t>
      </w:r>
    </w:p>
    <w:p>
      <w:pPr>
        <w:pStyle w:val="EditorsNote"/>
        <w:rPr/>
      </w:pPr>
      <w:r>
        <w:rPr/>
        <w:t>- Text for Procedure, reverberation chamber method</w:t>
      </w:r>
    </w:p>
    <w:p>
      <w:pPr>
        <w:pStyle w:val="Heading4"/>
        <w:ind w:left="1418" w:hanging="1418"/>
        <w:rPr/>
      </w:pPr>
      <w:bookmarkStart w:id="103" w:name="__RefHeading___Toc68601039"/>
      <w:bookmarkEnd w:id="103"/>
      <w:r>
        <w:rPr/>
        <w:t>6.1.7.1</w:t>
        <w:tab/>
        <w:t>Definition and applicability</w:t>
      </w:r>
    </w:p>
    <w:p>
      <w:pPr>
        <w:pStyle w:val="Normal"/>
        <w:rPr/>
      </w:pPr>
      <w:r>
        <w:rPr/>
        <w:t>The Total Radiated Power (TRP) is a measure of how much power the DUT actually radiates. The TRP is defined as the integral of the power transmitted in different directions over the entire radiation sphere:</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TRP</m:t>
          </m:r>
          <m:r>
            <w:rPr>
              <w:rFonts w:ascii="Cambria Math" w:hAnsi="Cambria Math"/>
            </w:rPr>
            <m:t xml:space="preserve">=</m:t>
          </m:r>
          <m:f>
            <m:num>
              <m:r>
                <w:rPr>
                  <w:rFonts w:ascii="Cambria Math" w:hAnsi="Cambria Math"/>
                </w:rPr>
                <m:t xml:space="preserve">1</m:t>
              </m:r>
            </m:num>
            <m:den>
              <m:r>
                <w:rPr>
                  <w:rFonts w:ascii="Cambria Math" w:hAnsi="Cambria Math"/>
                </w:rPr>
                <m:t xml:space="preserve">4</m:t>
              </m:r>
              <m:r>
                <w:rPr>
                  <w:rFonts w:ascii="Cambria Math" w:hAnsi="Cambria Math"/>
                </w:rPr>
                <m:t xml:space="preserve">π</m:t>
              </m:r>
            </m:den>
          </m:f>
          <m:nary>
            <m:naryPr>
              <m:chr m:val="∮"/>
              <m:subHide m:val="1"/>
              <m:supHide m:val="1"/>
            </m:naryPr>
            <m:sub/>
            <m:sup/>
            <m:e>
              <m:d>
                <m:dPr>
                  <m:begChr m:val="("/>
                  <m:endChr m:val=")"/>
                </m:dPr>
                <m:e>
                  <m:sSub>
                    <m:e>
                      <m:r>
                        <m:rPr>
                          <m:lit/>
                          <m:nor/>
                        </m:rPr>
                        <w:rPr>
                          <w:rFonts w:ascii="Cambria Math" w:hAnsi="Cambria Math"/>
                        </w:rPr>
                        <m:t xml:space="preserve">EIRP</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EIRP</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e>
              </m:d>
            </m:e>
          </m:nary>
          <m:r>
            <w:rPr>
              <w:rFonts w:ascii="Cambria Math" w:hAnsi="Cambria Math"/>
            </w:rPr>
            <m:t xml:space="preserve">d</m:t>
          </m:r>
          <m:r>
            <w:rPr>
              <w:rFonts w:ascii="Cambria Math" w:hAnsi="Cambria Math"/>
            </w:rPr>
            <m:t xml:space="preserve">Ω</m:t>
          </m:r>
        </m:oMath>
      </m:oMathPara>
    </w:p>
    <w:p>
      <w:pPr>
        <w:pStyle w:val="Normal"/>
        <w:rPr/>
      </w:pPr>
      <w:r>
        <w:rPr/>
        <w:t xml:space="preserve">Where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r>
          <w:rPr>
            <w:rFonts w:ascii="Cambria Math" w:hAnsi="Cambria Math"/>
          </w:rPr>
          <m:t xml:space="preserve">f</m:t>
        </m:r>
      </m:oMath>
      <w:r>
        <w:rPr/>
        <w:t xml:space="preserve"> is frequency.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 are the orthogonal polarizations.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θ</m:t>
            </m:r>
          </m:sub>
        </m:sSub>
      </m:oMath>
      <w:r>
        <w:rPr/>
        <w:t xml:space="preserve"> and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ϕ</m:t>
            </m:r>
          </m:sub>
        </m:sSub>
      </m:oMath>
      <w:r>
        <w:rPr/>
        <w:t xml:space="preserve"> are the actually transmitted power-levels in corresponding polarizations.</w:t>
      </w:r>
    </w:p>
    <w:p>
      <w:pPr>
        <w:pStyle w:val="Normal"/>
        <w:rPr/>
      </w:pPr>
      <w:r>
        <w:rPr/>
        <w:t>Thus,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TRP</m:t>
          </m:r>
          <m:r>
            <w:rPr>
              <w:rFonts w:ascii="Cambria Math" w:hAnsi="Cambria Math"/>
            </w:rPr>
            <m:t xml:space="preserve">≈</m:t>
          </m:r>
          <m:f>
            <m:num>
              <m:r>
                <w:rPr>
                  <w:rFonts w:ascii="Cambria Math" w:hAnsi="Cambria Math"/>
                </w:rPr>
                <m:t xml:space="preserve">π</m:t>
              </m:r>
            </m:num>
            <m:den>
              <m:r>
                <w:rPr>
                  <w:rFonts w:ascii="Cambria Math" w:hAnsi="Cambria Math"/>
                </w:rPr>
                <m:t xml:space="preserve">2</m:t>
              </m:r>
              <m:r>
                <m:rPr>
                  <m:lit/>
                  <m:nor/>
                </m:rPr>
                <w:rPr>
                  <w:rFonts w:ascii="Cambria Math" w:hAnsi="Cambria Math"/>
                </w:rPr>
                <m:t xml:space="preserve">NM</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m:rPr>
                              <m:lit/>
                              <m:nor/>
                            </m:rPr>
                            <w:rPr>
                              <w:rFonts w:ascii="Cambria Math" w:hAnsi="Cambria Math"/>
                            </w:rPr>
                            <m:t xml:space="preserve">EIRP</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EIRP</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rPr/>
      </w:pPr>
      <w:r>
        <w:rPr/>
        <w:t xml:space="preserve">In these formulas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are the number of sampling intervals for theta and phi.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oMath>
      <w:r>
        <w:rPr/>
        <w:t xml:space="preserve"> are the measurement angles. The sampling intervals are discussed further in Subclause 4.4.</w:t>
      </w:r>
    </w:p>
    <w:p>
      <w:pPr>
        <w:pStyle w:val="Normal"/>
        <w:rPr/>
      </w:pPr>
      <w:r>
        <w:rPr/>
        <w:t>The TRP can also be calculated from Rayleigh faded samples of the total power transmitted from the UE. The measurement of transmitter performance in an isotropic Rayleigh fading environment is based on sampling the radiated power of the UE for a discrete number of field combinations in the chamber. The average value of these statistically distributed samples is proportional to the TRP and by calibrating the average power transfer function, an absolute value of the TRP can be obtained. Thus,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TRP</m:t>
          </m:r>
          <m:r>
            <w:rPr>
              <w:rFonts w:ascii="Cambria Math" w:hAnsi="Cambria Math"/>
            </w:rPr>
            <m:t xml:space="preserve">≈</m:t>
          </m:r>
          <m:f>
            <m:num>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f>
                        <m:num>
                          <m:sSub>
                            <m:e>
                              <m:r>
                                <w:rPr>
                                  <w:rFonts w:ascii="Cambria Math" w:hAnsi="Cambria Math"/>
                                </w:rPr>
                                <m:t xml:space="preserve">P</m:t>
                              </m:r>
                            </m:e>
                            <m:sub>
                              <m:r>
                                <w:rPr>
                                  <w:rFonts w:ascii="Cambria Math" w:hAnsi="Cambria Math"/>
                                </w:rPr>
                                <m:t xml:space="preserve">n</m:t>
                              </m:r>
                            </m:sub>
                          </m:sSub>
                        </m:num>
                        <m:den>
                          <m:sSub>
                            <m:e>
                              <m:r>
                                <w:rPr>
                                  <w:rFonts w:ascii="Cambria Math" w:hAnsi="Cambria Math"/>
                                </w:rPr>
                                <m:t xml:space="preserve">C</m:t>
                              </m:r>
                            </m:e>
                            <m:sub>
                              <m:r>
                                <w:rPr>
                                  <w:rFonts w:ascii="Cambria Math" w:hAnsi="Cambria Math"/>
                                </w:rPr>
                                <m:t xml:space="preserve">n</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den>
                      </m:f>
                    </m:e>
                  </m:d>
                </m:e>
              </m:nary>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e>
              </m:nary>
            </m:den>
          </m:f>
        </m:oMath>
      </m:oMathPara>
    </w:p>
    <w:p>
      <w:pPr>
        <w:pStyle w:val="Normal"/>
        <w:rPr/>
      </w:pPr>
      <w:r>
        <w:rPr/>
        <w:t xml:space="preserve">where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oMath>
      <w:r>
        <w:rPr/>
        <w:t xml:space="preserve"> is the reference power transfer function for fixed measurement antenna n, </w:t>
      </w:r>
      <w:r>
        <w:rPr/>
      </w:r>
      <m:oMath xmlns:m="http://schemas.openxmlformats.org/officeDocument/2006/math">
        <m:sSub>
          <m:e>
            <m:r>
              <w:rPr>
                <w:rFonts w:ascii="Cambria Math" w:hAnsi="Cambria Math"/>
              </w:rPr>
              <m:t xml:space="preserve">R</m:t>
            </m:r>
          </m:e>
          <m:sub>
            <m:r>
              <w:rPr>
                <w:rFonts w:ascii="Cambria Math" w:hAnsi="Cambria Math"/>
              </w:rPr>
              <m:t xml:space="preserve">n</m:t>
            </m:r>
          </m:sub>
        </m:sSub>
      </m:oMath>
      <w:r>
        <w:rPr/>
        <w:t xml:space="preserve"> is the reflection coefficient for fixed measurement antenna n and </w:t>
      </w:r>
      <w:r>
        <w:rPr/>
      </w:r>
      <m:oMath xmlns:m="http://schemas.openxmlformats.org/officeDocument/2006/math">
        <m:sSub>
          <m:e>
            <m:r>
              <w:rPr>
                <w:rFonts w:ascii="Cambria Math" w:hAnsi="Cambria Math"/>
              </w:rPr>
              <m:t xml:space="preserve">C</m:t>
            </m:r>
          </m:e>
          <m:sub>
            <m:r>
              <w:rPr>
                <w:rFonts w:ascii="Cambria Math" w:hAnsi="Cambria Math"/>
              </w:rPr>
              <m:t xml:space="preserve">n</m:t>
            </m:r>
          </m:sub>
        </m:sSub>
      </m:oMath>
      <w:r>
        <w:rPr/>
        <w:t xml:space="preserve"> is the path loss in the cables connecting the measurement receiver to fixed measurement antenna n. These parameters are calculated from the calibration measurement and are further discussed in Annex B.2. </w:t>
      </w:r>
      <w:r>
        <w:rPr/>
      </w:r>
      <m:oMath xmlns:m="http://schemas.openxmlformats.org/officeDocument/2006/math">
        <m:sSub>
          <m:e>
            <m:r>
              <w:rPr>
                <w:rFonts w:ascii="Cambria Math" w:hAnsi="Cambria Math"/>
              </w:rPr>
              <m:t xml:space="preserve">P</m:t>
            </m:r>
          </m:e>
          <m:sub>
            <m:r>
              <w:rPr>
                <w:rFonts w:ascii="Cambria Math" w:hAnsi="Cambria Math"/>
              </w:rPr>
              <m:t xml:space="preserve">n</m:t>
            </m:r>
          </m:sub>
        </m:sSub>
      </m:oMath>
      <w:r>
        <w:rPr/>
        <w:t xml:space="preserve"> is the average power measured by fixed measurement antenna n and can be calculated using the following expression:</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w:rPr>
                  <w:rFonts w:ascii="Cambria Math" w:hAnsi="Cambria Math"/>
                </w:rPr>
                <m:t xml:space="preserve">n</m:t>
              </m:r>
            </m:sub>
          </m:sSub>
          <m:r>
            <w:rPr>
              <w:rFonts w:ascii="Cambria Math" w:hAnsi="Cambria Math"/>
            </w:rPr>
            <m:t xml:space="preserve">=</m:t>
          </m:r>
          <m:f>
            <m:num>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p>
                    <m:e>
                      <m:d>
                        <m:dPr>
                          <m:begChr m:val="|"/>
                          <m:endChr m:val="|"/>
                        </m:dPr>
                        <m:e>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e>
                      </m:d>
                    </m:e>
                    <m:sup>
                      <m:r>
                        <w:rPr>
                          <w:rFonts w:ascii="Cambria Math" w:hAnsi="Cambria Math"/>
                        </w:rPr>
                        <m:t xml:space="preserve">2</m:t>
                      </m:r>
                    </m:sup>
                  </m:sSup>
                </m:e>
              </m:nary>
            </m:num>
            <m:den>
              <m:r>
                <w:rPr>
                  <w:rFonts w:ascii="Cambria Math" w:hAnsi="Cambria Math"/>
                </w:rPr>
                <m:t xml:space="preserve">M</m:t>
              </m:r>
            </m:den>
          </m:f>
        </m:oMath>
      </m:oMathPara>
    </w:p>
    <w:p>
      <w:pPr>
        <w:pStyle w:val="Normal"/>
        <w:rPr/>
      </w:pPr>
      <w:r>
        <w:rPr/>
        <w:t xml:space="preserve">where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oMath>
      <w:r>
        <w:rPr/>
        <w:t xml:space="preserve"> is sample number m of the complex transfer function measured with fixed measurement antenna n and </w:t>
      </w:r>
      <w:r>
        <w:rPr/>
      </w:r>
      <m:oMath xmlns:m="http://schemas.openxmlformats.org/officeDocument/2006/math">
        <m:r>
          <w:rPr>
            <w:rFonts w:ascii="Cambria Math" w:hAnsi="Cambria Math"/>
          </w:rPr>
          <m:t xml:space="preserve">M</m:t>
        </m:r>
      </m:oMath>
      <w:r>
        <w:rPr/>
        <w:t xml:space="preserve"> is the total number of samples measured for each fixed measurement antenna.</w:t>
      </w:r>
    </w:p>
    <w:p>
      <w:pPr>
        <w:pStyle w:val="Normal"/>
        <w:rPr/>
      </w:pPr>
      <w:r>
        <w:rPr/>
        <w:t>Note that all averaging must be performed using linear power values (e.g. measurements in Watts).</w:t>
      </w:r>
    </w:p>
    <w:p>
      <w:pPr>
        <w:pStyle w:val="Normal"/>
        <w:rPr/>
      </w:pPr>
      <w:r>
        <w:rPr/>
        <w:t>The requirements and this test apply to all types of UTRA for the FDD UE for Release 7 and later releases.</w:t>
      </w:r>
    </w:p>
    <w:p>
      <w:pPr>
        <w:pStyle w:val="Heading4"/>
        <w:ind w:left="1418" w:hanging="1418"/>
        <w:rPr/>
      </w:pPr>
      <w:bookmarkStart w:id="104" w:name="__RefHeading___Toc68601040"/>
      <w:bookmarkEnd w:id="104"/>
      <w:r>
        <w:rPr/>
        <w:t>6.1.7.2</w:t>
        <w:tab/>
        <w:t>Minimum Requirements</w:t>
      </w:r>
    </w:p>
    <w:p>
      <w:pPr>
        <w:pStyle w:val="Normal"/>
        <w:jc w:val="both"/>
        <w:rPr/>
      </w:pPr>
      <w:r>
        <w:rPr/>
        <w:t>The average TRP of low, mid and high channel in hand phantom browsing mode position shall be higher than minimum performance requirements for roaming bands shown in Table 6.1.7.2-1. The averaging shall be done in linear scale for the TRP results of both right and left hand phantom measurements.</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num>
                <m:den>
                  <m:r>
                    <w:rPr>
                      <w:rFonts w:ascii="Cambria Math" w:hAnsi="Cambria Math"/>
                    </w:rPr>
                    <m:t xml:space="preserve">6</m:t>
                  </m:r>
                </m:den>
              </m:f>
            </m:e>
          </m:d>
        </m:oMath>
      </m:oMathPara>
    </w:p>
    <w:p>
      <w:pPr>
        <w:pStyle w:val="Normal"/>
        <w:rPr/>
      </w:pPr>
      <w:r>
        <w:rPr/>
        <w:t>In addition the minimum TRP of each measured channel in hand phantom browsing mode position shall be higher than minimum performance requirements shown in the columns “Min”.</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min</m:t>
          </m:r>
          <m:d>
            <m:dPr>
              <m:begChr m:val="["/>
              <m:endChr m:val="]"/>
            </m:dPr>
            <m:e>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e>
          </m:d>
        </m:oMath>
      </m:oMathPara>
    </w:p>
    <w:p>
      <w:pPr>
        <w:pStyle w:val="TH"/>
        <w:rPr/>
      </w:pPr>
      <w:r>
        <w:rPr/>
        <w:t>Table 6.1.7.2-1: TRP minimum performance requirement for UTRA FDD roaming bands in hand phantom browsing mode position</w:t>
      </w:r>
    </w:p>
    <w:tbl>
      <w:tblPr>
        <w:tblW w:w="9360" w:type="dxa"/>
        <w:jc w:val="left"/>
        <w:tblInd w:w="-113" w:type="dxa"/>
        <w:tblLayout w:type="fixed"/>
        <w:tblCellMar>
          <w:top w:w="0" w:type="dxa"/>
          <w:left w:w="108" w:type="dxa"/>
          <w:bottom w:w="0" w:type="dxa"/>
          <w:right w:w="108" w:type="dxa"/>
        </w:tblCellMar>
      </w:tblPr>
      <w:tblGrid>
        <w:gridCol w:w="1101"/>
        <w:gridCol w:w="1134"/>
        <w:gridCol w:w="1134"/>
        <w:gridCol w:w="1030"/>
        <w:gridCol w:w="992"/>
        <w:gridCol w:w="993"/>
        <w:gridCol w:w="992"/>
        <w:gridCol w:w="992"/>
        <w:gridCol w:w="992"/>
      </w:tblGrid>
      <w:tr>
        <w:trPr/>
        <w:tc>
          <w:tcPr>
            <w:tcW w:w="1101" w:type="dxa"/>
            <w:vMerge w:val="restart"/>
            <w:tcBorders>
              <w:top w:val="single" w:sz="4" w:space="0" w:color="000000"/>
              <w:left w:val="single" w:sz="4" w:space="0" w:color="000000"/>
              <w:bottom w:val="single" w:sz="4" w:space="0" w:color="000000"/>
              <w:right w:val="single" w:sz="4" w:space="0" w:color="000000"/>
            </w:tcBorders>
          </w:tcPr>
          <w:p>
            <w:pPr>
              <w:pStyle w:val="Tah1"/>
              <w:rPr/>
            </w:pPr>
            <w:r>
              <w:rPr>
                <w:lang w:val="en-GB"/>
              </w:rPr>
              <w:t>Operating band</w:t>
            </w:r>
          </w:p>
        </w:tc>
        <w:tc>
          <w:tcPr>
            <w:tcW w:w="1134"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Class 1</w:t>
            </w:r>
          </w:p>
        </w:tc>
        <w:tc>
          <w:tcPr>
            <w:tcW w:w="1134"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Class 2</w:t>
            </w:r>
          </w:p>
        </w:tc>
        <w:tc>
          <w:tcPr>
            <w:tcW w:w="2022"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Class 3</w:t>
            </w:r>
          </w:p>
        </w:tc>
        <w:tc>
          <w:tcPr>
            <w:tcW w:w="1985"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Class 3bis</w:t>
            </w:r>
          </w:p>
        </w:tc>
        <w:tc>
          <w:tcPr>
            <w:tcW w:w="1984"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Class 4</w:t>
            </w:r>
          </w:p>
        </w:tc>
      </w:tr>
      <w:tr>
        <w:trPr/>
        <w:tc>
          <w:tcPr>
            <w:tcW w:w="1101" w:type="dxa"/>
            <w:vMerge w:val="continue"/>
            <w:tcBorders>
              <w:top w:val="single" w:sz="4" w:space="0" w:color="000000"/>
              <w:left w:val="single" w:sz="4" w:space="0" w:color="000000"/>
              <w:bottom w:val="single" w:sz="4" w:space="0" w:color="000000"/>
              <w:right w:val="single" w:sz="4" w:space="0" w:color="000000"/>
            </w:tcBorders>
          </w:tcPr>
          <w:p>
            <w:pPr>
              <w:pStyle w:val="Fp1"/>
              <w:snapToGrid w:val="false"/>
              <w:rPr>
                <w:rFonts w:ascii="Arial" w:hAnsi="Arial" w:cs="Arial"/>
                <w:b/>
                <w:b/>
                <w:bCs/>
                <w:sz w:val="18"/>
                <w:lang w:val="en-GB"/>
              </w:rPr>
            </w:pPr>
            <w:r>
              <w:rPr>
                <w:rFonts w:cs="Arial" w:ascii="Arial" w:hAnsi="Arial"/>
                <w:b/>
                <w:bCs/>
                <w:sz w:val="18"/>
                <w:lang w:val="en-GB"/>
              </w:rPr>
            </w:r>
          </w:p>
        </w:tc>
        <w:tc>
          <w:tcPr>
            <w:tcW w:w="1134"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(dBm)</w:t>
            </w:r>
          </w:p>
        </w:tc>
        <w:tc>
          <w:tcPr>
            <w:tcW w:w="1134"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(dBm)</w:t>
            </w:r>
          </w:p>
        </w:tc>
        <w:tc>
          <w:tcPr>
            <w:tcW w:w="2022"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(dBm)</w:t>
            </w:r>
          </w:p>
        </w:tc>
        <w:tc>
          <w:tcPr>
            <w:tcW w:w="1985"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(dBm)</w:t>
            </w:r>
          </w:p>
        </w:tc>
        <w:tc>
          <w:tcPr>
            <w:tcW w:w="1984"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(dBm)</w:t>
            </w:r>
          </w:p>
        </w:tc>
      </w:tr>
      <w:tr>
        <w:trPr/>
        <w:tc>
          <w:tcPr>
            <w:tcW w:w="1101" w:type="dxa"/>
            <w:vMerge w:val="continue"/>
            <w:tcBorders>
              <w:top w:val="single" w:sz="4" w:space="0" w:color="000000"/>
              <w:left w:val="single" w:sz="4" w:space="0" w:color="000000"/>
              <w:bottom w:val="single" w:sz="4" w:space="0" w:color="000000"/>
              <w:right w:val="single" w:sz="4" w:space="0" w:color="000000"/>
            </w:tcBorders>
          </w:tcPr>
          <w:p>
            <w:pPr>
              <w:pStyle w:val="Fp1"/>
              <w:snapToGrid w:val="false"/>
              <w:rPr>
                <w:rFonts w:ascii="Arial" w:hAnsi="Arial" w:cs="Arial"/>
                <w:b/>
                <w:b/>
                <w:bCs/>
                <w:sz w:val="18"/>
                <w:lang w:val="en-GB"/>
              </w:rPr>
            </w:pPr>
            <w:r>
              <w:rPr>
                <w:rFonts w:cs="Arial" w:ascii="Arial" w:hAnsi="Arial"/>
                <w:b/>
                <w:bCs/>
                <w:sz w:val="18"/>
                <w:lang w:val="en-GB"/>
              </w:rPr>
            </w:r>
          </w:p>
        </w:tc>
        <w:tc>
          <w:tcPr>
            <w:tcW w:w="1134" w:type="dxa"/>
            <w:tcBorders>
              <w:top w:val="single" w:sz="4" w:space="0" w:color="000000"/>
              <w:left w:val="single" w:sz="4" w:space="0" w:color="000000"/>
              <w:bottom w:val="single" w:sz="4" w:space="0" w:color="000000"/>
              <w:right w:val="single" w:sz="4" w:space="0" w:color="000000"/>
            </w:tcBorders>
          </w:tcPr>
          <w:p>
            <w:pPr>
              <w:pStyle w:val="Tah1"/>
              <w:snapToGrid w:val="false"/>
              <w:rPr>
                <w:rFonts w:ascii="Arial" w:hAnsi="Arial" w:cs="Arial"/>
                <w:b/>
                <w:b/>
                <w:bCs/>
                <w:sz w:val="18"/>
                <w:lang w:val="en-GB"/>
              </w:rPr>
            </w:pPr>
            <w:r>
              <w:rPr>
                <w:rFonts w:cs="Arial"/>
                <w:b/>
                <w:bCs/>
                <w:sz w:val="18"/>
                <w:lang w:val="en-GB"/>
              </w:rPr>
            </w:r>
          </w:p>
        </w:tc>
        <w:tc>
          <w:tcPr>
            <w:tcW w:w="1134" w:type="dxa"/>
            <w:tcBorders>
              <w:top w:val="single" w:sz="4" w:space="0" w:color="000000"/>
              <w:left w:val="single" w:sz="4" w:space="0" w:color="000000"/>
              <w:bottom w:val="single" w:sz="4" w:space="0" w:color="000000"/>
              <w:right w:val="single" w:sz="4" w:space="0" w:color="000000"/>
            </w:tcBorders>
          </w:tcPr>
          <w:p>
            <w:pPr>
              <w:pStyle w:val="Tah1"/>
              <w:snapToGrid w:val="false"/>
              <w:rPr>
                <w:lang w:val="en-GB"/>
              </w:rPr>
            </w:pPr>
            <w:r>
              <w:rPr>
                <w:lang w:val="en-GB"/>
              </w:rPr>
            </w:r>
          </w:p>
        </w:tc>
        <w:tc>
          <w:tcPr>
            <w:tcW w:w="1030"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Average</w:t>
            </w:r>
          </w:p>
        </w:tc>
        <w:tc>
          <w:tcPr>
            <w:tcW w:w="992"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Min</w:t>
            </w:r>
          </w:p>
        </w:tc>
        <w:tc>
          <w:tcPr>
            <w:tcW w:w="993"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Average</w:t>
            </w:r>
          </w:p>
        </w:tc>
        <w:tc>
          <w:tcPr>
            <w:tcW w:w="992"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Min</w:t>
            </w:r>
          </w:p>
        </w:tc>
        <w:tc>
          <w:tcPr>
            <w:tcW w:w="992"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Average</w:t>
            </w:r>
          </w:p>
        </w:tc>
        <w:tc>
          <w:tcPr>
            <w:tcW w:w="992"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Min</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3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3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sz w:val="20"/>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3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IV</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3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3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3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3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3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IX</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3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XIX</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3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c>
          <w:tcPr>
            <w:tcW w:w="9360" w:type="dxa"/>
            <w:gridSpan w:val="9"/>
            <w:tcBorders>
              <w:top w:val="single" w:sz="4" w:space="0" w:color="000000"/>
              <w:left w:val="single" w:sz="4" w:space="0" w:color="000000"/>
              <w:bottom w:val="single" w:sz="4" w:space="0" w:color="000000"/>
              <w:right w:val="single" w:sz="4" w:space="0" w:color="000000"/>
            </w:tcBorders>
          </w:tcPr>
          <w:p>
            <w:pPr>
              <w:pStyle w:val="TAN"/>
              <w:rPr>
                <w:bCs/>
                <w:lang w:eastAsia="en-US"/>
              </w:rPr>
            </w:pPr>
            <w:r>
              <w:rPr>
                <w:lang w:eastAsia="en-US"/>
              </w:rPr>
              <w:t>NOTE:</w:t>
              <w:tab/>
              <w:t>Applicable for dual-mode GSM/UMTS.</w:t>
            </w:r>
          </w:p>
        </w:tc>
      </w:tr>
    </w:tbl>
    <w:p>
      <w:pPr>
        <w:pStyle w:val="Normal"/>
        <w:rPr/>
      </w:pPr>
      <w:r>
        <w:rPr/>
      </w:r>
    </w:p>
    <w:p>
      <w:pPr>
        <w:pStyle w:val="Normal"/>
        <w:rPr/>
      </w:pPr>
      <w:r>
        <w:rPr/>
        <w:t>The normative reference for this clause is TS37.144 [12] Subclause 6.1.3.1.</w:t>
      </w:r>
    </w:p>
    <w:p>
      <w:pPr>
        <w:pStyle w:val="Heading4"/>
        <w:ind w:left="1418" w:hanging="1418"/>
        <w:rPr/>
      </w:pPr>
      <w:bookmarkStart w:id="105" w:name="__RefHeading___Toc68601041"/>
      <w:bookmarkEnd w:id="105"/>
      <w:r>
        <w:rPr/>
        <w:t>6.1.7.3</w:t>
        <w:tab/>
        <w:t>Test purpose</w:t>
      </w:r>
    </w:p>
    <w:p>
      <w:pPr>
        <w:pStyle w:val="Normal"/>
        <w:rPr/>
      </w:pPr>
      <w:r>
        <w:rPr/>
        <w:t xml:space="preserve">The purpose of this test is to verify that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 xml:space="preserve">of the UE is not below specified values. A lower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decrease the coverage area.</w:t>
      </w:r>
    </w:p>
    <w:p>
      <w:pPr>
        <w:pStyle w:val="Heading4"/>
        <w:ind w:left="1418" w:hanging="1418"/>
        <w:rPr/>
      </w:pPr>
      <w:bookmarkStart w:id="106" w:name="__RefHeading___Toc68601042"/>
      <w:bookmarkEnd w:id="106"/>
      <w:r>
        <w:rPr/>
        <w:t>6.1.7.4</w:t>
        <w:tab/>
        <w:t>Method of test</w:t>
      </w:r>
    </w:p>
    <w:p>
      <w:pPr>
        <w:pStyle w:val="Heading4"/>
        <w:ind w:left="1418" w:hanging="1418"/>
        <w:rPr/>
      </w:pPr>
      <w:bookmarkStart w:id="107" w:name="__RefHeading___Toc68601043"/>
      <w:bookmarkEnd w:id="107"/>
      <w:r>
        <w:rPr/>
        <w:t>6.1.7.4.1</w:t>
        <w:tab/>
        <w:t>Initial conditions</w:t>
      </w:r>
    </w:p>
    <w:p>
      <w:pPr>
        <w:pStyle w:val="Normal"/>
        <w:rPr/>
      </w:pPr>
      <w:r>
        <w:rPr/>
        <w:t xml:space="preserve">The output power is a measure of the maximum power the UE can transmit in a bandwidth of at least (1+ </w:t>
      </w:r>
      <w:r>
        <w:rPr>
          <w:rFonts w:cs="Symbol" w:ascii="Symbol" w:hAnsi="Symbol"/>
        </w:rPr>
        <w:t></w:t>
      </w:r>
      <w:r>
        <w:rPr/>
        <w:t xml:space="preserve"> times the chip rate of the radio access mode, for more information see 3GPP TS 34.121-1 [7] Subclause 5.2. The period of measurement shall be at least one timeslot. Also, care should be taken that the noise floor of the measurement receiver is not disturbing the power measurement.</w:t>
      </w:r>
    </w:p>
    <w:p>
      <w:pPr>
        <w:pStyle w:val="Normal"/>
        <w:rPr/>
      </w:pPr>
      <w:r>
        <w:rPr/>
        <w:t>Test environment: normal; see TS34.121-1 [7] Subclause G.2.1.</w:t>
      </w:r>
    </w:p>
    <w:p>
      <w:pPr>
        <w:pStyle w:val="Normal"/>
        <w:rPr/>
      </w:pPr>
      <w:r>
        <w:rPr/>
        <w:t>Frequencies to be tested: low range, mid range, high range; see Table 5.1-2.</w:t>
      </w:r>
    </w:p>
    <w:p>
      <w:pPr>
        <w:pStyle w:val="B1"/>
        <w:rPr/>
      </w:pPr>
      <w:r>
        <w:rPr/>
        <w:t>1)</w:t>
        <w:tab/>
        <w:t>Set the SS downlink physical channels according to settings in Table 6.1.7.4.1-1. Set the DPCH power such that there will not be transmission gaps due to too low signal strength throughout the measurement.</w:t>
      </w:r>
    </w:p>
    <w:p>
      <w:pPr>
        <w:pStyle w:val="B1"/>
        <w:rPr/>
      </w:pPr>
      <w:r>
        <w:rPr/>
        <w:t>2)</w:t>
        <w:tab/>
        <w:t>Power on the UE.</w:t>
      </w:r>
    </w:p>
    <w:p>
      <w:pPr>
        <w:pStyle w:val="B1"/>
        <w:rPr/>
      </w:pPr>
      <w:r>
        <w:rPr/>
        <w:t>3)</w:t>
        <w:tab/>
        <w:t>A call is set up according to the Generic call setup procedure. The power control algorithm shall be set to Power Control Algorithm 2. Compressed mode shall be set to OFF.</w:t>
      </w:r>
    </w:p>
    <w:p>
      <w:pPr>
        <w:pStyle w:val="B1"/>
        <w:rPr/>
      </w:pPr>
      <w:r>
        <w:rPr/>
        <w:t>4)</w:t>
        <w:tab/>
        <w:t>Enter the UE into loopback test mode 2 and start the loopback test.</w:t>
      </w:r>
    </w:p>
    <w:p>
      <w:pPr>
        <w:pStyle w:val="Normal"/>
        <w:rPr/>
      </w:pPr>
      <w:r>
        <w:rPr/>
        <w:t>See TS 34.108 [4] and TS 34.109 [5] for details regarding generic call setup procedure and loopback test.</w:t>
      </w:r>
    </w:p>
    <w:p>
      <w:pPr>
        <w:pStyle w:val="TH"/>
        <w:rPr/>
      </w:pPr>
      <w:r>
        <w:rPr/>
        <w:t>Table 6.1.7.4.1-1: Downlink Physical Channels transmitted during a connection</w:t>
      </w:r>
    </w:p>
    <w:tbl>
      <w:tblPr>
        <w:tblW w:w="7087" w:type="dxa"/>
        <w:jc w:val="left"/>
        <w:tblInd w:w="1553" w:type="dxa"/>
        <w:tblLayout w:type="fixed"/>
        <w:tblCellMar>
          <w:top w:w="0" w:type="dxa"/>
          <w:left w:w="108" w:type="dxa"/>
          <w:bottom w:w="0" w:type="dxa"/>
          <w:right w:w="108" w:type="dxa"/>
        </w:tblCellMar>
      </w:tblPr>
      <w:tblGrid>
        <w:gridCol w:w="2301"/>
        <w:gridCol w:w="2376"/>
        <w:gridCol w:w="2410"/>
      </w:tblGrid>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Physical Channel</w:t>
            </w:r>
          </w:p>
        </w:tc>
        <w:tc>
          <w:tcPr>
            <w:tcW w:w="2376" w:type="dxa"/>
            <w:tcBorders>
              <w:top w:val="single" w:sz="6" w:space="0" w:color="000000"/>
              <w:left w:val="single" w:sz="6" w:space="0" w:color="000000"/>
              <w:bottom w:val="single" w:sz="6" w:space="0" w:color="000000"/>
              <w:right w:val="single" w:sz="6" w:space="0" w:color="000000"/>
            </w:tcBorders>
          </w:tcPr>
          <w:p>
            <w:pPr>
              <w:pStyle w:val="TAH"/>
              <w:snapToGrid w:val="false"/>
              <w:rPr>
                <w:lang w:eastAsia="en-US"/>
              </w:rPr>
            </w:pPr>
            <w:r>
              <w:rPr>
                <w:lang w:eastAsia="en-US"/>
              </w:rPr>
            </w:r>
          </w:p>
        </w:tc>
        <w:tc>
          <w:tcPr>
            <w:tcW w:w="241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Power</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CPICH</w:t>
            </w:r>
          </w:p>
        </w:tc>
        <w:tc>
          <w:tcPr>
            <w:tcW w:w="2376"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CPICH_Ec / DPCH_Ec</w:t>
            </w:r>
          </w:p>
        </w:tc>
        <w:tc>
          <w:tcPr>
            <w:tcW w:w="2410"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7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P-CCPCH</w:t>
            </w:r>
          </w:p>
        </w:tc>
        <w:tc>
          <w:tcPr>
            <w:tcW w:w="2376"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P-CCPCH_Ec / DPCH_Ec</w:t>
            </w:r>
          </w:p>
        </w:tc>
        <w:tc>
          <w:tcPr>
            <w:tcW w:w="2410"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5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SCH</w:t>
            </w:r>
          </w:p>
        </w:tc>
        <w:tc>
          <w:tcPr>
            <w:tcW w:w="2376"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SCH_Ec / DPCH_Ec</w:t>
            </w:r>
          </w:p>
        </w:tc>
        <w:tc>
          <w:tcPr>
            <w:tcW w:w="2410"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5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PICH</w:t>
            </w:r>
          </w:p>
        </w:tc>
        <w:tc>
          <w:tcPr>
            <w:tcW w:w="2376"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PICH_Ec / DPCH_Ec</w:t>
            </w:r>
          </w:p>
        </w:tc>
        <w:tc>
          <w:tcPr>
            <w:tcW w:w="2410"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2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DPCH</w:t>
            </w:r>
          </w:p>
        </w:tc>
        <w:tc>
          <w:tcPr>
            <w:tcW w:w="2376"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Test dependent power</w:t>
            </w:r>
          </w:p>
        </w:tc>
        <w:tc>
          <w:tcPr>
            <w:tcW w:w="2410"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w:t>
            </w:r>
          </w:p>
        </w:tc>
      </w:tr>
    </w:tbl>
    <w:p>
      <w:pPr>
        <w:pStyle w:val="Normal"/>
        <w:rPr/>
      </w:pPr>
      <w:r>
        <w:rPr/>
      </w:r>
    </w:p>
    <w:p>
      <w:pPr>
        <w:pStyle w:val="Heading4"/>
        <w:ind w:left="1418" w:hanging="1418"/>
        <w:rPr/>
      </w:pPr>
      <w:bookmarkStart w:id="108" w:name="__RefHeading___Toc68601044"/>
      <w:bookmarkEnd w:id="108"/>
      <w:r>
        <w:rPr/>
        <w:t>6.1.7.4.2</w:t>
        <w:tab/>
        <w:t>Procedure</w:t>
      </w:r>
    </w:p>
    <w:p>
      <w:pPr>
        <w:pStyle w:val="B1"/>
        <w:rPr/>
      </w:pPr>
      <w:r>
        <w:rPr/>
        <w:t>1)</w:t>
        <w:tab/>
        <w:t>Send continuously Up power control commands to the UE.</w:t>
      </w:r>
    </w:p>
    <w:p>
      <w:pPr>
        <w:pStyle w:val="B1"/>
        <w:rPr/>
      </w:pPr>
      <w:r>
        <w:rPr/>
        <w:t>2)</w:t>
        <w:tab/>
        <w:t>As the UE reaches maximum power, start sending PN15 data pattern.</w:t>
      </w:r>
    </w:p>
    <w:p>
      <w:pPr>
        <w:pStyle w:val="B1"/>
        <w:rPr/>
      </w:pPr>
      <w:r>
        <w:rPr/>
        <w:t>3)</w:t>
        <w:tab/>
        <w:t>Position the UE according to the DUT positioning for browsing mode specified in Subclause 4.3.4.</w:t>
      </w:r>
    </w:p>
    <w:p>
      <w:pPr>
        <w:pStyle w:val="B1"/>
        <w:rPr/>
      </w:pPr>
      <w:r>
        <w:rPr/>
        <w:t>4)</w:t>
        <w:tab/>
        <w:t xml:space="preserve">Measure the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θ</m:t>
            </m:r>
          </m:sub>
        </m:sSub>
      </m:oMath>
      <w:r>
        <w:rPr/>
        <w:t xml:space="preserve"> and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ϕ</m:t>
            </m:r>
          </m:sub>
        </m:sSub>
      </m:oMath>
      <w:r>
        <w:rPr/>
        <w:t xml:space="preserve"> with a sample step of 15° in theta (</w:t>
      </w:r>
      <w:r>
        <w:rPr>
          <w:rFonts w:eastAsia="Symbol" w:cs="Symbol" w:ascii="Symbol" w:hAnsi="Symbol"/>
        </w:rPr>
        <w:t></w:t>
      </w:r>
      <w:r>
        <w:rPr/>
        <w:t>) and phi (</w:t>
      </w:r>
      <w:r>
        <w:rPr>
          <w:rFonts w:eastAsia="Symbol" w:cs="Symbol" w:ascii="Symbol" w:hAnsi="Symbol"/>
        </w:rPr>
        <w:t></w:t>
      </w:r>
      <w:r>
        <w:rPr/>
        <w:t>) directions using a test system having characteristics as described in Annex A.</w:t>
      </w:r>
    </w:p>
    <w:p>
      <w:pPr>
        <w:pStyle w:val="B1"/>
        <w:rPr/>
      </w:pPr>
      <w:r>
        <w:rPr/>
        <w:t>5)</w:t>
        <w:tab/>
        <w:t>Calculate TRP using equations from Subclause 6.1.7.1.</w:t>
      </w:r>
    </w:p>
    <w:p>
      <w:pPr>
        <w:pStyle w:val="NO"/>
        <w:rPr/>
      </w:pPr>
      <w:r>
        <w:rPr/>
        <w:t>NOTE 1:</w:t>
        <w:tab/>
        <w:t>The measurement procedure is based on the measurement of the spherical radiation pattern of the DUT. The power radiated by the DUT is sampled in far field in a group of points located on a spherical surface enclosing the DUT. The EIRP samples are taken using a constant sample step of 15° both in theta (</w:t>
      </w:r>
      <w:r>
        <w:rPr>
          <w:rFonts w:eastAsia="Symbol" w:cs="Symbol" w:ascii="Symbol" w:hAnsi="Symbol"/>
        </w:rPr>
        <w:t></w:t>
      </w:r>
      <w:r>
        <w:rPr/>
        <w:t>) and phi (</w:t>
      </w:r>
      <w:r>
        <w:rPr>
          <w:rFonts w:eastAsia="Symbol" w:cs="Symbol" w:ascii="Symbol" w:hAnsi="Symbol"/>
        </w:rPr>
        <w:t></w:t>
      </w:r>
      <w:r>
        <w:rPr/>
        <w:t xml:space="preserve">) directions. In some cases a different sampling grid may be used to speed up the measurements (See Subclause 4.4). All the EIRP samples are taken with two orthogonal polarizations,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-polarisations.</w:t>
      </w:r>
    </w:p>
    <w:p>
      <w:pPr>
        <w:pStyle w:val="NO"/>
        <w:rPr/>
      </w:pPr>
      <w:r>
        <w:rPr/>
        <w:t>NOTE 2:</w:t>
        <w:tab/>
        <w:t>The noise floor of the measurement receiver shall not disturb the power measurement.</w:t>
      </w:r>
    </w:p>
    <w:p>
      <w:pPr>
        <w:pStyle w:val="NO"/>
        <w:rPr/>
      </w:pPr>
      <w:r>
        <w:rPr/>
        <w:t>NOTE 3:</w:t>
        <w:tab/>
        <w:t>Non Standard settings: To speed up sensitivity measurements, power measurements may be done with non standard modulation. However to obtain TRP result the measured EIRP figures shall be normalized by</w:t>
      </w:r>
    </w:p>
    <w:p>
      <w:pPr>
        <w:pStyle w:val="EQ"/>
        <w:jc w:val="center"/>
        <w:rPr>
          <w:lang w:val="en-GB" w:eastAsia="en-GB"/>
        </w:rPr>
      </w:pPr>
      <w:r>
        <w:rPr>
          <w:lang w:val="en-GB" w:eastAsia="en-GB"/>
        </w:rPr>
      </w:r>
      <m:oMathPara xmlns:m="http://schemas.openxmlformats.org/officeDocument/2006/math">
        <m:oMathParaPr>
          <m:jc m:val="center"/>
        </m:oMathParaPr>
        <m:oMath>
          <m:r>
            <w:rPr>
              <w:rFonts w:ascii="Cambria Math" w:hAnsi="Cambria Math"/>
            </w:rPr>
            <m:t xml:space="preserve">Δ</m:t>
          </m:r>
          <m:bar>
            <m:barPr>
              <m:pos m:val="top"/>
            </m:barPr>
            <m:e>
              <m:r>
                <m:rPr>
                  <m:lit/>
                  <m:nor/>
                </m:rPr>
                <w:rPr>
                  <w:rFonts w:ascii="Cambria Math" w:hAnsi="Cambria Math"/>
                </w:rPr>
                <m:t xml:space="preserve">EIRP</m:t>
              </m:r>
            </m:e>
          </m:ba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m:rPr>
                          <m:lit/>
                          <m:nor/>
                        </m:rPr>
                        <w:rPr>
                          <w:rFonts w:ascii="Cambria Math" w:hAnsi="Cambria Math"/>
                        </w:rPr>
                        <m:t xml:space="preserve">EIRPstd</m:t>
                      </m:r>
                    </m:e>
                    <m:sub>
                      <m:r>
                        <w:rPr>
                          <w:rFonts w:ascii="Cambria Math" w:hAnsi="Cambria Math"/>
                        </w:rPr>
                        <m:t xml:space="preserve">i</m:t>
                      </m:r>
                    </m:sub>
                  </m:sSub>
                  <m:r>
                    <w:rPr>
                      <w:rFonts w:ascii="Cambria Math" w:hAnsi="Cambria Math"/>
                    </w:rPr>
                    <m:t xml:space="preserve">−</m:t>
                  </m:r>
                  <m:sSub>
                    <m:e>
                      <m:r>
                        <m:rPr>
                          <m:lit/>
                          <m:nor/>
                        </m:rPr>
                        <w:rPr>
                          <w:rFonts w:ascii="Cambria Math" w:hAnsi="Cambria Math"/>
                        </w:rPr>
                        <m:t xml:space="preserve">EIRPnstd</m:t>
                      </m:r>
                    </m:e>
                    <m:sub>
                      <m:r>
                        <w:rPr>
                          <w:rFonts w:ascii="Cambria Math" w:hAnsi="Cambria Math"/>
                        </w:rPr>
                        <m:t xml:space="preserve">i</m:t>
                      </m:r>
                    </m:sub>
                  </m:sSub>
                </m:e>
              </m:d>
            </m:e>
          </m:nary>
        </m:oMath>
      </m:oMathPara>
    </w:p>
    <w:p>
      <w:pPr>
        <w:pStyle w:val="Normal"/>
        <w:rPr/>
      </w:pPr>
      <w:r>
        <w:rPr/>
        <w:t xml:space="preserve">where </w:t>
      </w:r>
      <w:r>
        <w:rPr/>
      </w:r>
      <m:oMath xmlns:m="http://schemas.openxmlformats.org/officeDocument/2006/math">
        <m:sSub>
          <m:e>
            <m:r>
              <m:rPr>
                <m:lit/>
                <m:nor/>
              </m:rPr>
              <w:rPr>
                <w:rFonts w:ascii="Cambria Math" w:hAnsi="Cambria Math"/>
              </w:rPr>
              <m:t xml:space="preserve">EIRPstd</m:t>
            </m:r>
          </m:e>
          <m:sub>
            <m:r>
              <w:rPr>
                <w:rFonts w:ascii="Cambria Math" w:hAnsi="Cambria Math"/>
              </w:rPr>
              <m:t xml:space="preserve">i</m:t>
            </m:r>
          </m:sub>
        </m:sSub>
      </m:oMath>
      <w:r>
        <w:rPr/>
        <w:t xml:space="preserve"> is power measurement done with standard setting. </w:t>
      </w:r>
      <w:r>
        <w:rPr/>
      </w:r>
      <m:oMath xmlns:m="http://schemas.openxmlformats.org/officeDocument/2006/math">
        <m:sSub>
          <m:e>
            <m:r>
              <m:rPr>
                <m:lit/>
                <m:nor/>
              </m:rPr>
              <w:rPr>
                <w:rFonts w:ascii="Cambria Math" w:hAnsi="Cambria Math"/>
              </w:rPr>
              <m:t xml:space="preserve">EIRPnstd</m:t>
            </m:r>
          </m:e>
          <m:sub>
            <m:r>
              <w:rPr>
                <w:rFonts w:ascii="Cambria Math" w:hAnsi="Cambria Math"/>
              </w:rPr>
              <m:t xml:space="preserve">i</m:t>
            </m:r>
          </m:sub>
        </m:sSub>
      </m:oMath>
      <w:r>
        <w:rPr/>
        <w:t xml:space="preserve"> is power measurement done with non standard modulation. </w:t>
      </w:r>
      <w:r>
        <w:rPr/>
      </w:r>
      <m:oMath xmlns:m="http://schemas.openxmlformats.org/officeDocument/2006/math">
        <m:r>
          <w:rPr>
            <w:rFonts w:ascii="Cambria Math" w:hAnsi="Cambria Math"/>
          </w:rPr>
          <m:t xml:space="preserve">n</m:t>
        </m:r>
      </m:oMath>
      <w:r>
        <w:rPr/>
        <w:t xml:space="preserve"> is amount of reference measurement points.</w:t>
      </w:r>
    </w:p>
    <w:p>
      <w:pPr>
        <w:pStyle w:val="Normal"/>
        <w:rPr/>
      </w:pPr>
      <w:r>
        <w:rPr/>
        <w:t>To ensure accuracy of TRP, the amount of reference points measured should be at least 4. It is recommended to spread the reference measurements equally during the measurement time.</w:t>
      </w:r>
    </w:p>
    <w:p>
      <w:pPr>
        <w:pStyle w:val="Heading4"/>
        <w:ind w:left="1418" w:hanging="1418"/>
        <w:rPr/>
      </w:pPr>
      <w:bookmarkStart w:id="109" w:name="__RefHeading___Toc68601045"/>
      <w:bookmarkEnd w:id="109"/>
      <w:r>
        <w:rPr/>
        <w:t>6.1.7.4.3</w:t>
        <w:tab/>
        <w:t>Procedure, reverberation chamber method</w:t>
      </w:r>
    </w:p>
    <w:p>
      <w:pPr>
        <w:pStyle w:val="Normal"/>
        <w:rPr/>
      </w:pPr>
      <w:r>
        <w:rPr/>
        <w:t>TBD</w:t>
      </w:r>
    </w:p>
    <w:p>
      <w:pPr>
        <w:pStyle w:val="Heading4"/>
        <w:ind w:left="1418" w:hanging="1418"/>
        <w:rPr/>
      </w:pPr>
      <w:bookmarkStart w:id="110" w:name="__RefHeading___Toc68601046"/>
      <w:bookmarkEnd w:id="110"/>
      <w:r>
        <w:rPr/>
        <w:t>6.1.7.5</w:t>
        <w:tab/>
        <w:t>Test requirements</w:t>
      </w:r>
    </w:p>
    <w:p>
      <w:pPr>
        <w:pStyle w:val="Normal"/>
        <w:jc w:val="both"/>
        <w:rPr/>
      </w:pPr>
      <w:r>
        <w:rPr/>
        <w:t>The average TRP of low, mid and high channel in hand phantom browsing mode position shall be higher than test performance requirements for roaming bands shown in Table 6.1.7.5-1. The averaging shall be done in linear scale for the TRP results of both right and left hand phantom measurements.</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num>
                <m:den>
                  <m:r>
                    <w:rPr>
                      <w:rFonts w:ascii="Cambria Math" w:hAnsi="Cambria Math"/>
                    </w:rPr>
                    <m:t xml:space="preserve">6</m:t>
                  </m:r>
                </m:den>
              </m:f>
            </m:e>
          </m:d>
        </m:oMath>
      </m:oMathPara>
    </w:p>
    <w:p>
      <w:pPr>
        <w:pStyle w:val="Normal"/>
        <w:rPr/>
      </w:pPr>
      <w:r>
        <w:rPr/>
        <w:t>In addition the minimum TRP of each measured channel in hand phantom browsing mode position shall be higher than minimum performance requirements shown in the columns “Min”.</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min</m:t>
          </m:r>
          <m:d>
            <m:dPr>
              <m:begChr m:val="["/>
              <m:endChr m:val="]"/>
            </m:dPr>
            <m:e>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e>
          </m:d>
        </m:oMath>
      </m:oMathPara>
    </w:p>
    <w:p>
      <w:pPr>
        <w:pStyle w:val="TH"/>
        <w:rPr/>
      </w:pPr>
      <w:r>
        <w:rPr/>
        <w:t>Table 6.1.7.5-1: TRP test requirement for UTRA FDD roaming bands in hand phantom browsing mode position</w:t>
      </w:r>
    </w:p>
    <w:tbl>
      <w:tblPr>
        <w:tblW w:w="9606" w:type="dxa"/>
        <w:jc w:val="left"/>
        <w:tblInd w:w="-113" w:type="dxa"/>
        <w:tblLayout w:type="fixed"/>
        <w:tblCellMar>
          <w:top w:w="0" w:type="dxa"/>
          <w:left w:w="108" w:type="dxa"/>
          <w:bottom w:w="0" w:type="dxa"/>
          <w:right w:w="108" w:type="dxa"/>
        </w:tblCellMar>
      </w:tblPr>
      <w:tblGrid>
        <w:gridCol w:w="1101"/>
        <w:gridCol w:w="1134"/>
        <w:gridCol w:w="1134"/>
        <w:gridCol w:w="1134"/>
        <w:gridCol w:w="1134"/>
        <w:gridCol w:w="993"/>
        <w:gridCol w:w="992"/>
        <w:gridCol w:w="992"/>
        <w:gridCol w:w="992"/>
      </w:tblGrid>
      <w:tr>
        <w:trPr/>
        <w:tc>
          <w:tcPr>
            <w:tcW w:w="1101" w:type="dxa"/>
            <w:vMerge w:val="restart"/>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Operating band</w:t>
            </w:r>
          </w:p>
        </w:tc>
        <w:tc>
          <w:tcPr>
            <w:tcW w:w="1134"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Class 1</w:t>
            </w:r>
          </w:p>
        </w:tc>
        <w:tc>
          <w:tcPr>
            <w:tcW w:w="1134"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Class 2</w:t>
            </w:r>
          </w:p>
        </w:tc>
        <w:tc>
          <w:tcPr>
            <w:tcW w:w="2268"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Class 3</w:t>
            </w:r>
          </w:p>
        </w:tc>
        <w:tc>
          <w:tcPr>
            <w:tcW w:w="1985" w:type="dxa"/>
            <w:gridSpan w:val="2"/>
            <w:tcBorders>
              <w:top w:val="single" w:sz="4" w:space="0" w:color="000000"/>
              <w:left w:val="single" w:sz="4" w:space="0" w:color="000000"/>
              <w:bottom w:val="single" w:sz="4" w:space="0" w:color="000000"/>
              <w:right w:val="single" w:sz="4" w:space="0" w:color="000000"/>
            </w:tcBorders>
          </w:tcPr>
          <w:p>
            <w:pPr>
              <w:pStyle w:val="Tah1"/>
              <w:rPr/>
            </w:pPr>
            <w:r>
              <w:rPr>
                <w:lang w:val="en-GB"/>
              </w:rPr>
              <w:t>Power Class 3bis</w:t>
            </w:r>
          </w:p>
        </w:tc>
        <w:tc>
          <w:tcPr>
            <w:tcW w:w="1984"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Class 4</w:t>
            </w:r>
          </w:p>
        </w:tc>
      </w:tr>
      <w:tr>
        <w:trPr/>
        <w:tc>
          <w:tcPr>
            <w:tcW w:w="1101" w:type="dxa"/>
            <w:vMerge w:val="continue"/>
            <w:tcBorders>
              <w:top w:val="single" w:sz="4" w:space="0" w:color="000000"/>
              <w:left w:val="single" w:sz="4" w:space="0" w:color="000000"/>
              <w:bottom w:val="single" w:sz="4" w:space="0" w:color="000000"/>
              <w:right w:val="single" w:sz="4" w:space="0" w:color="000000"/>
            </w:tcBorders>
          </w:tcPr>
          <w:p>
            <w:pPr>
              <w:pStyle w:val="Fp1"/>
              <w:snapToGrid w:val="false"/>
              <w:rPr>
                <w:rFonts w:ascii="Arial" w:hAnsi="Arial" w:cs="Arial"/>
                <w:b/>
                <w:b/>
                <w:bCs/>
                <w:sz w:val="18"/>
                <w:lang w:val="en-GB"/>
              </w:rPr>
            </w:pPr>
            <w:r>
              <w:rPr>
                <w:rFonts w:cs="Arial" w:ascii="Arial" w:hAnsi="Arial"/>
                <w:b/>
                <w:bCs/>
                <w:sz w:val="18"/>
                <w:lang w:val="en-GB"/>
              </w:rPr>
            </w:r>
          </w:p>
        </w:tc>
        <w:tc>
          <w:tcPr>
            <w:tcW w:w="1134"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(dBm)</w:t>
            </w:r>
          </w:p>
        </w:tc>
        <w:tc>
          <w:tcPr>
            <w:tcW w:w="1134"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(dBm)</w:t>
            </w:r>
          </w:p>
        </w:tc>
        <w:tc>
          <w:tcPr>
            <w:tcW w:w="2268"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(dBm)</w:t>
            </w:r>
          </w:p>
        </w:tc>
        <w:tc>
          <w:tcPr>
            <w:tcW w:w="1985"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(dBm)</w:t>
            </w:r>
          </w:p>
        </w:tc>
        <w:tc>
          <w:tcPr>
            <w:tcW w:w="1984" w:type="dxa"/>
            <w:gridSpan w:val="2"/>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Power (dBm)</w:t>
            </w:r>
          </w:p>
        </w:tc>
      </w:tr>
      <w:tr>
        <w:trPr/>
        <w:tc>
          <w:tcPr>
            <w:tcW w:w="1101" w:type="dxa"/>
            <w:vMerge w:val="continue"/>
            <w:tcBorders>
              <w:top w:val="single" w:sz="4" w:space="0" w:color="000000"/>
              <w:left w:val="single" w:sz="4" w:space="0" w:color="000000"/>
              <w:bottom w:val="single" w:sz="4" w:space="0" w:color="000000"/>
              <w:right w:val="single" w:sz="4" w:space="0" w:color="000000"/>
            </w:tcBorders>
          </w:tcPr>
          <w:p>
            <w:pPr>
              <w:pStyle w:val="Fp1"/>
              <w:snapToGrid w:val="false"/>
              <w:rPr>
                <w:rFonts w:ascii="Arial" w:hAnsi="Arial" w:cs="Arial"/>
                <w:b/>
                <w:b/>
                <w:bCs/>
                <w:sz w:val="18"/>
                <w:lang w:val="en-GB"/>
              </w:rPr>
            </w:pPr>
            <w:r>
              <w:rPr>
                <w:rFonts w:cs="Arial" w:ascii="Arial" w:hAnsi="Arial"/>
                <w:b/>
                <w:bCs/>
                <w:sz w:val="18"/>
                <w:lang w:val="en-GB"/>
              </w:rPr>
            </w:r>
          </w:p>
        </w:tc>
        <w:tc>
          <w:tcPr>
            <w:tcW w:w="1134" w:type="dxa"/>
            <w:tcBorders>
              <w:top w:val="single" w:sz="4" w:space="0" w:color="000000"/>
              <w:left w:val="single" w:sz="4" w:space="0" w:color="000000"/>
              <w:bottom w:val="single" w:sz="4" w:space="0" w:color="000000"/>
              <w:right w:val="single" w:sz="4" w:space="0" w:color="000000"/>
            </w:tcBorders>
          </w:tcPr>
          <w:p>
            <w:pPr>
              <w:pStyle w:val="Tah1"/>
              <w:snapToGrid w:val="false"/>
              <w:rPr>
                <w:rFonts w:ascii="Arial" w:hAnsi="Arial" w:cs="Arial"/>
                <w:b/>
                <w:b/>
                <w:bCs/>
                <w:sz w:val="18"/>
                <w:lang w:val="en-GB"/>
              </w:rPr>
            </w:pPr>
            <w:r>
              <w:rPr>
                <w:rFonts w:cs="Arial"/>
                <w:b/>
                <w:bCs/>
                <w:sz w:val="18"/>
                <w:lang w:val="en-GB"/>
              </w:rPr>
            </w:r>
          </w:p>
        </w:tc>
        <w:tc>
          <w:tcPr>
            <w:tcW w:w="1134" w:type="dxa"/>
            <w:tcBorders>
              <w:top w:val="single" w:sz="4" w:space="0" w:color="000000"/>
              <w:left w:val="single" w:sz="4" w:space="0" w:color="000000"/>
              <w:bottom w:val="single" w:sz="4" w:space="0" w:color="000000"/>
              <w:right w:val="single" w:sz="4" w:space="0" w:color="000000"/>
            </w:tcBorders>
          </w:tcPr>
          <w:p>
            <w:pPr>
              <w:pStyle w:val="Tah1"/>
              <w:snapToGrid w:val="false"/>
              <w:rPr>
                <w:lang w:val="en-GB"/>
              </w:rPr>
            </w:pPr>
            <w:r>
              <w:rPr>
                <w:lang w:val="en-GB"/>
              </w:rPr>
            </w:r>
          </w:p>
        </w:tc>
        <w:tc>
          <w:tcPr>
            <w:tcW w:w="1134"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Average</w:t>
            </w:r>
          </w:p>
        </w:tc>
        <w:tc>
          <w:tcPr>
            <w:tcW w:w="1134"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Min</w:t>
            </w:r>
          </w:p>
        </w:tc>
        <w:tc>
          <w:tcPr>
            <w:tcW w:w="993"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Average</w:t>
            </w:r>
          </w:p>
        </w:tc>
        <w:tc>
          <w:tcPr>
            <w:tcW w:w="992"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Min</w:t>
            </w:r>
          </w:p>
        </w:tc>
        <w:tc>
          <w:tcPr>
            <w:tcW w:w="992"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Average</w:t>
            </w:r>
          </w:p>
        </w:tc>
        <w:tc>
          <w:tcPr>
            <w:tcW w:w="992" w:type="dxa"/>
            <w:tcBorders>
              <w:top w:val="single" w:sz="4" w:space="0" w:color="000000"/>
              <w:left w:val="single" w:sz="4" w:space="0" w:color="000000"/>
              <w:bottom w:val="single" w:sz="4" w:space="0" w:color="000000"/>
              <w:right w:val="single" w:sz="4" w:space="0" w:color="000000"/>
            </w:tcBorders>
          </w:tcPr>
          <w:p>
            <w:pPr>
              <w:pStyle w:val="Tah1"/>
              <w:rPr>
                <w:lang w:val="en-GB"/>
              </w:rPr>
            </w:pPr>
            <w:r>
              <w:rPr>
                <w:lang w:val="en-GB"/>
              </w:rPr>
              <w:t>Min</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sz w:val="20"/>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IV</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IX</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XIX</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9606" w:type="dxa"/>
            <w:gridSpan w:val="9"/>
            <w:tcBorders>
              <w:top w:val="single" w:sz="4" w:space="0" w:color="000000"/>
              <w:left w:val="single" w:sz="4" w:space="0" w:color="000000"/>
              <w:bottom w:val="single" w:sz="4" w:space="0" w:color="000000"/>
              <w:right w:val="single" w:sz="4" w:space="0" w:color="000000"/>
            </w:tcBorders>
          </w:tcPr>
          <w:p>
            <w:pPr>
              <w:pStyle w:val="TAN"/>
              <w:rPr>
                <w:bCs/>
                <w:lang w:eastAsia="en-US"/>
              </w:rPr>
            </w:pPr>
            <w:r>
              <w:rPr>
                <w:lang w:eastAsia="en-US"/>
              </w:rPr>
              <w:t>NOTE:</w:t>
              <w:tab/>
              <w:t>Applicable for dual-mode GSM/UMTS.</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Heading3"/>
        <w:rPr/>
      </w:pPr>
      <w:bookmarkStart w:id="111" w:name="__RefHeading___Toc68601047"/>
      <w:bookmarkEnd w:id="111"/>
      <w:r>
        <w:rPr/>
        <w:t>6.1.8</w:t>
        <w:tab/>
        <w:t>Total Radiated Power (TRP) for UTRA LCR TDD in Browsing Mode with Hand Phantom</w:t>
      </w:r>
    </w:p>
    <w:p>
      <w:pPr>
        <w:pStyle w:val="EditorsNote"/>
        <w:rPr/>
      </w:pPr>
      <w:r>
        <w:rPr/>
        <w:t>Editor’s notes: This subclause is incomplete. The following items are missing or incomplete:</w:t>
      </w:r>
    </w:p>
    <w:p>
      <w:pPr>
        <w:pStyle w:val="EditorsNote"/>
        <w:rPr/>
      </w:pPr>
      <w:r>
        <w:rPr/>
        <w:t>- Minimum requirements are not specified in TS 37.144 yet</w:t>
      </w:r>
    </w:p>
    <w:p>
      <w:pPr>
        <w:pStyle w:val="EditorsNote"/>
        <w:rPr/>
      </w:pPr>
      <w:r>
        <w:rPr/>
        <w:t>- Text for Subclause Procedure, reverberation chamber method</w:t>
      </w:r>
    </w:p>
    <w:p>
      <w:pPr>
        <w:pStyle w:val="Heading4"/>
        <w:ind w:left="1418" w:hanging="1418"/>
        <w:rPr/>
      </w:pPr>
      <w:bookmarkStart w:id="112" w:name="__RefHeading___Toc68601048"/>
      <w:bookmarkEnd w:id="112"/>
      <w:r>
        <w:rPr/>
        <w:t>6.1.8.1</w:t>
        <w:tab/>
        <w:t>Definition and applicability</w:t>
      </w:r>
    </w:p>
    <w:p>
      <w:pPr>
        <w:pStyle w:val="Normal"/>
        <w:rPr/>
      </w:pPr>
      <w:r>
        <w:rPr/>
        <w:t>The Total Radiated Power (TRP) is a measure of how much power the DUT actually radiates. The TRP is defined as the integral of the power transmitted in different directions over the entire radiation sphere:</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TRP</m:t>
          </m:r>
          <m:r>
            <w:rPr>
              <w:rFonts w:ascii="Cambria Math" w:hAnsi="Cambria Math"/>
            </w:rPr>
            <m:t xml:space="preserve">=</m:t>
          </m:r>
          <m:f>
            <m:num>
              <m:r>
                <w:rPr>
                  <w:rFonts w:ascii="Cambria Math" w:hAnsi="Cambria Math"/>
                </w:rPr>
                <m:t xml:space="preserve">1</m:t>
              </m:r>
            </m:num>
            <m:den>
              <m:r>
                <w:rPr>
                  <w:rFonts w:ascii="Cambria Math" w:hAnsi="Cambria Math"/>
                </w:rPr>
                <m:t xml:space="preserve">4</m:t>
              </m:r>
              <m:r>
                <w:rPr>
                  <w:rFonts w:ascii="Cambria Math" w:hAnsi="Cambria Math"/>
                </w:rPr>
                <m:t xml:space="preserve">π</m:t>
              </m:r>
            </m:den>
          </m:f>
          <m:nary>
            <m:naryPr>
              <m:chr m:val="∮"/>
              <m:subHide m:val="1"/>
              <m:supHide m:val="1"/>
            </m:naryPr>
            <m:sub/>
            <m:sup/>
            <m:e>
              <m:d>
                <m:dPr>
                  <m:begChr m:val="("/>
                  <m:endChr m:val=")"/>
                </m:dPr>
                <m:e>
                  <m:sSub>
                    <m:e>
                      <m:r>
                        <m:rPr>
                          <m:lit/>
                          <m:nor/>
                        </m:rPr>
                        <w:rPr>
                          <w:rFonts w:ascii="Cambria Math" w:hAnsi="Cambria Math"/>
                        </w:rPr>
                        <m:t xml:space="preserve">EIRP</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EIRP</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e>
              </m:d>
            </m:e>
          </m:nary>
          <m:r>
            <w:rPr>
              <w:rFonts w:ascii="Cambria Math" w:hAnsi="Cambria Math"/>
            </w:rPr>
            <m:t xml:space="preserve">d</m:t>
          </m:r>
          <m:r>
            <w:rPr>
              <w:rFonts w:ascii="Cambria Math" w:hAnsi="Cambria Math"/>
            </w:rPr>
            <m:t xml:space="preserve">Ω</m:t>
          </m:r>
        </m:oMath>
      </m:oMathPara>
    </w:p>
    <w:p>
      <w:pPr>
        <w:pStyle w:val="Normal"/>
        <w:rPr/>
      </w:pPr>
      <w:r>
        <w:rPr/>
        <w:t xml:space="preserve">Where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r>
          <w:rPr>
            <w:rFonts w:ascii="Cambria Math" w:hAnsi="Cambria Math"/>
          </w:rPr>
          <m:t xml:space="preserve">f</m:t>
        </m:r>
      </m:oMath>
      <w:r>
        <w:rPr/>
        <w:t xml:space="preserve"> is frequency.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 are the orthogonal polarizations.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θ</m:t>
            </m:r>
          </m:sub>
        </m:sSub>
      </m:oMath>
      <w:r>
        <w:rPr/>
        <w:t xml:space="preserve"> and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ϕ</m:t>
            </m:r>
          </m:sub>
        </m:sSub>
      </m:oMath>
      <w:r>
        <w:rPr/>
        <w:t xml:space="preserve"> are the actually transmitted power-levels in corresponding polarizations.</w:t>
      </w:r>
    </w:p>
    <w:p>
      <w:pPr>
        <w:pStyle w:val="Normal"/>
        <w:rPr/>
      </w:pPr>
      <w:r>
        <w:rPr/>
        <w:t>Thus,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TRP</m:t>
          </m:r>
          <m:r>
            <w:rPr>
              <w:rFonts w:ascii="Cambria Math" w:hAnsi="Cambria Math"/>
            </w:rPr>
            <m:t xml:space="preserve">≈</m:t>
          </m:r>
          <m:f>
            <m:num>
              <m:r>
                <w:rPr>
                  <w:rFonts w:ascii="Cambria Math" w:hAnsi="Cambria Math"/>
                </w:rPr>
                <m:t xml:space="preserve">π</m:t>
              </m:r>
            </m:num>
            <m:den>
              <m:r>
                <w:rPr>
                  <w:rFonts w:ascii="Cambria Math" w:hAnsi="Cambria Math"/>
                </w:rPr>
                <m:t xml:space="preserve">2</m:t>
              </m:r>
              <m:r>
                <m:rPr>
                  <m:lit/>
                  <m:nor/>
                </m:rPr>
                <w:rPr>
                  <w:rFonts w:ascii="Cambria Math" w:hAnsi="Cambria Math"/>
                </w:rPr>
                <m:t xml:space="preserve">NM</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m:rPr>
                              <m:lit/>
                              <m:nor/>
                            </m:rPr>
                            <w:rPr>
                              <w:rFonts w:ascii="Cambria Math" w:hAnsi="Cambria Math"/>
                            </w:rPr>
                            <m:t xml:space="preserve">EIRP</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EIRP</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rPr/>
      </w:pPr>
      <w:r>
        <w:rPr/>
        <w:t xml:space="preserve">In these formulas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are the number of sampling intervals for theta and phi.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oMath>
      <w:r>
        <w:rPr/>
        <w:t xml:space="preserve"> are the measurement angles. The sampling intervals are discussed further in Subclause 4.4.</w:t>
      </w:r>
    </w:p>
    <w:p>
      <w:pPr>
        <w:pStyle w:val="Normal"/>
        <w:rPr/>
      </w:pPr>
      <w:r>
        <w:rPr/>
        <w:t>The TRP can also be calculated from Rayleigh faded samples of the total power transmitted from the UE. The measurement of transmitter performance in an isotropic Rayleigh fading environment is based on sampling the radiated power of the UE for a discrete number of field combinations in the chamber. The average value of these statistically distributed samples is proportional to the TRP and by calibrating the average power transfer function, an absolute value of the TRP can be obtained. Thus,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TRP</m:t>
          </m:r>
          <m:r>
            <w:rPr>
              <w:rFonts w:ascii="Cambria Math" w:hAnsi="Cambria Math"/>
            </w:rPr>
            <m:t xml:space="preserve">≈</m:t>
          </m:r>
          <m:f>
            <m:num>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f>
                        <m:num>
                          <m:sSub>
                            <m:e>
                              <m:r>
                                <w:rPr>
                                  <w:rFonts w:ascii="Cambria Math" w:hAnsi="Cambria Math"/>
                                </w:rPr>
                                <m:t xml:space="preserve">P</m:t>
                              </m:r>
                            </m:e>
                            <m:sub>
                              <m:r>
                                <w:rPr>
                                  <w:rFonts w:ascii="Cambria Math" w:hAnsi="Cambria Math"/>
                                </w:rPr>
                                <m:t xml:space="preserve">n</m:t>
                              </m:r>
                            </m:sub>
                          </m:sSub>
                        </m:num>
                        <m:den>
                          <m:sSub>
                            <m:e>
                              <m:r>
                                <w:rPr>
                                  <w:rFonts w:ascii="Cambria Math" w:hAnsi="Cambria Math"/>
                                </w:rPr>
                                <m:t xml:space="preserve">C</m:t>
                              </m:r>
                            </m:e>
                            <m:sub>
                              <m:r>
                                <w:rPr>
                                  <w:rFonts w:ascii="Cambria Math" w:hAnsi="Cambria Math"/>
                                </w:rPr>
                                <m:t xml:space="preserve">n</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den>
                      </m:f>
                    </m:e>
                  </m:d>
                </m:e>
              </m:nary>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e>
              </m:nary>
            </m:den>
          </m:f>
        </m:oMath>
      </m:oMathPara>
    </w:p>
    <w:p>
      <w:pPr>
        <w:pStyle w:val="Normal"/>
        <w:rPr/>
      </w:pPr>
      <w:r>
        <w:rPr/>
        <w:t xml:space="preserve">where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oMath>
      <w:r>
        <w:rPr/>
        <w:t xml:space="preserve"> is the reference power transfer function for fixed measurement antenna n, </w:t>
      </w:r>
      <w:r>
        <w:rPr/>
      </w:r>
      <m:oMath xmlns:m="http://schemas.openxmlformats.org/officeDocument/2006/math">
        <m:sSub>
          <m:e>
            <m:r>
              <w:rPr>
                <w:rFonts w:ascii="Cambria Math" w:hAnsi="Cambria Math"/>
              </w:rPr>
              <m:t xml:space="preserve">R</m:t>
            </m:r>
          </m:e>
          <m:sub>
            <m:r>
              <w:rPr>
                <w:rFonts w:ascii="Cambria Math" w:hAnsi="Cambria Math"/>
              </w:rPr>
              <m:t xml:space="preserve">n</m:t>
            </m:r>
          </m:sub>
        </m:sSub>
      </m:oMath>
      <w:r>
        <w:rPr/>
        <w:t xml:space="preserve"> is the reflection coefficient for fixed measurement antenna n and </w:t>
      </w:r>
      <w:r>
        <w:rPr/>
      </w:r>
      <m:oMath xmlns:m="http://schemas.openxmlformats.org/officeDocument/2006/math">
        <m:sSub>
          <m:e>
            <m:r>
              <w:rPr>
                <w:rFonts w:ascii="Cambria Math" w:hAnsi="Cambria Math"/>
              </w:rPr>
              <m:t xml:space="preserve">C</m:t>
            </m:r>
          </m:e>
          <m:sub>
            <m:r>
              <w:rPr>
                <w:rFonts w:ascii="Cambria Math" w:hAnsi="Cambria Math"/>
              </w:rPr>
              <m:t xml:space="preserve">n</m:t>
            </m:r>
          </m:sub>
        </m:sSub>
      </m:oMath>
      <w:r>
        <w:rPr/>
        <w:t xml:space="preserve"> is the path loss in the cables connecting the measurement receiver to fixed measurement antenna n. These parameters are calculated from the calibration measurement and are further discussed in Annex B.2. </w:t>
      </w:r>
      <w:r>
        <w:rPr/>
      </w:r>
      <m:oMath xmlns:m="http://schemas.openxmlformats.org/officeDocument/2006/math">
        <m:sSub>
          <m:e>
            <m:r>
              <w:rPr>
                <w:rFonts w:ascii="Cambria Math" w:hAnsi="Cambria Math"/>
              </w:rPr>
              <m:t xml:space="preserve">P</m:t>
            </m:r>
          </m:e>
          <m:sub>
            <m:r>
              <w:rPr>
                <w:rFonts w:ascii="Cambria Math" w:hAnsi="Cambria Math"/>
              </w:rPr>
              <m:t xml:space="preserve">n</m:t>
            </m:r>
          </m:sub>
        </m:sSub>
      </m:oMath>
      <w:r>
        <w:rPr/>
        <w:t xml:space="preserve"> is the average power measured by fixed measurement antenna n and can be calculated using the following expression:</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w:rPr>
                  <w:rFonts w:ascii="Cambria Math" w:hAnsi="Cambria Math"/>
                </w:rPr>
                <m:t xml:space="preserve">n</m:t>
              </m:r>
            </m:sub>
          </m:sSub>
          <m:r>
            <w:rPr>
              <w:rFonts w:ascii="Cambria Math" w:hAnsi="Cambria Math"/>
            </w:rPr>
            <m:t xml:space="preserve">=</m:t>
          </m:r>
          <m:f>
            <m:num>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p>
                    <m:e>
                      <m:d>
                        <m:dPr>
                          <m:begChr m:val="|"/>
                          <m:endChr m:val="|"/>
                        </m:dPr>
                        <m:e>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e>
                      </m:d>
                    </m:e>
                    <m:sup>
                      <m:r>
                        <w:rPr>
                          <w:rFonts w:ascii="Cambria Math" w:hAnsi="Cambria Math"/>
                        </w:rPr>
                        <m:t xml:space="preserve">2</m:t>
                      </m:r>
                    </m:sup>
                  </m:sSup>
                </m:e>
              </m:nary>
            </m:num>
            <m:den>
              <m:r>
                <w:rPr>
                  <w:rFonts w:ascii="Cambria Math" w:hAnsi="Cambria Math"/>
                </w:rPr>
                <m:t xml:space="preserve">M</m:t>
              </m:r>
            </m:den>
          </m:f>
        </m:oMath>
      </m:oMathPara>
    </w:p>
    <w:p>
      <w:pPr>
        <w:pStyle w:val="Normal"/>
        <w:rPr/>
      </w:pPr>
      <w:r>
        <w:rPr/>
        <w:t xml:space="preserve">where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oMath>
      <w:r>
        <w:rPr/>
        <w:t xml:space="preserve"> is sample number m of the complex transfer function measured with fixed measurement antenna n and </w:t>
      </w:r>
      <w:r>
        <w:rPr/>
      </w:r>
      <m:oMath xmlns:m="http://schemas.openxmlformats.org/officeDocument/2006/math">
        <m:r>
          <w:rPr>
            <w:rFonts w:ascii="Cambria Math" w:hAnsi="Cambria Math"/>
          </w:rPr>
          <m:t xml:space="preserve">M</m:t>
        </m:r>
      </m:oMath>
      <w:r>
        <w:rPr/>
        <w:t xml:space="preserve"> is the total number of samples measured for each fixed measurement antenna.</w:t>
      </w:r>
    </w:p>
    <w:p>
      <w:pPr>
        <w:pStyle w:val="Normal"/>
        <w:rPr/>
      </w:pPr>
      <w:r>
        <w:rPr/>
        <w:t>Note that all averaging must be performed using linear power values (e.g. measurements in Watts).</w:t>
      </w:r>
    </w:p>
    <w:p>
      <w:pPr>
        <w:pStyle w:val="Normal"/>
        <w:rPr/>
      </w:pPr>
      <w:r>
        <w:rPr/>
        <w:t>The requirements and this test apply to all types of UTRA for the TDD UE for Release 8 and later releases.</w:t>
      </w:r>
    </w:p>
    <w:p>
      <w:pPr>
        <w:pStyle w:val="Heading4"/>
        <w:ind w:left="1418" w:hanging="1418"/>
        <w:rPr/>
      </w:pPr>
      <w:bookmarkStart w:id="113" w:name="__RefHeading___Toc68601049"/>
      <w:bookmarkEnd w:id="113"/>
      <w:r>
        <w:rPr/>
        <w:t>6.1.8.2</w:t>
        <w:tab/>
        <w:t>Minimum Requirements</w:t>
      </w:r>
    </w:p>
    <w:p>
      <w:pPr>
        <w:pStyle w:val="Normal"/>
        <w:jc w:val="both"/>
        <w:rPr/>
      </w:pPr>
      <w:r>
        <w:rPr/>
        <w:t>The average TRP of low, mid and high channel in hand phantom browsing mode position shall be higher than minimum performance requirements for roaming bands shown in Table 6.1.8.2-1. The averaging shall be done in linear scale for the TRP results of both right and left hand phantom measurements.</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num>
                <m:den>
                  <m:r>
                    <w:rPr>
                      <w:rFonts w:ascii="Cambria Math" w:hAnsi="Cambria Math"/>
                    </w:rPr>
                    <m:t xml:space="preserve">6</m:t>
                  </m:r>
                </m:den>
              </m:f>
            </m:e>
          </m:d>
        </m:oMath>
      </m:oMathPara>
    </w:p>
    <w:p>
      <w:pPr>
        <w:pStyle w:val="Normal"/>
        <w:rPr/>
      </w:pPr>
      <w:r>
        <w:rPr/>
        <w:t>In addition the minimum TRP of each measured channel in hand phantom browsing mode position shall be higher than minimum performance requirements shown in the columns “Min”.</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min</m:t>
          </m:r>
          <m:d>
            <m:dPr>
              <m:begChr m:val="["/>
              <m:endChr m:val="]"/>
            </m:dPr>
            <m:e>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e>
          </m:d>
        </m:oMath>
      </m:oMathPara>
    </w:p>
    <w:p>
      <w:pPr>
        <w:pStyle w:val="TH"/>
        <w:rPr/>
      </w:pPr>
      <w:r>
        <w:rPr/>
        <w:t>Table 6.1.8.2-1: TRP minimum performance requirement for UTRA LCR TDD roaming bands in hand phantom browsing mode position</w:t>
      </w:r>
    </w:p>
    <w:tbl>
      <w:tblPr>
        <w:tblW w:w="7668" w:type="dxa"/>
        <w:jc w:val="center"/>
        <w:tblInd w:w="0" w:type="dxa"/>
        <w:tblLayout w:type="fixed"/>
        <w:tblCellMar>
          <w:top w:w="0" w:type="dxa"/>
          <w:left w:w="108" w:type="dxa"/>
          <w:bottom w:w="0" w:type="dxa"/>
          <w:right w:w="108" w:type="dxa"/>
        </w:tblCellMar>
      </w:tblPr>
      <w:tblGrid>
        <w:gridCol w:w="1154"/>
        <w:gridCol w:w="935"/>
        <w:gridCol w:w="567"/>
        <w:gridCol w:w="992"/>
        <w:gridCol w:w="709"/>
        <w:gridCol w:w="992"/>
        <w:gridCol w:w="567"/>
        <w:gridCol w:w="992"/>
        <w:gridCol w:w="760"/>
      </w:tblGrid>
      <w:tr>
        <w:trPr>
          <w:trHeight w:val="277" w:hRule="atLeast"/>
        </w:trPr>
        <w:tc>
          <w:tcPr>
            <w:tcW w:w="1154" w:type="dxa"/>
            <w:vMerge w:val="restart"/>
            <w:tcBorders>
              <w:top w:val="single" w:sz="4" w:space="0" w:color="000000"/>
              <w:left w:val="single" w:sz="4" w:space="0" w:color="000000"/>
              <w:bottom w:val="single" w:sz="4" w:space="0" w:color="000000"/>
              <w:right w:val="single" w:sz="4" w:space="0" w:color="000000"/>
            </w:tcBorders>
          </w:tcPr>
          <w:p>
            <w:pPr>
              <w:pStyle w:val="TAH"/>
              <w:rPr/>
            </w:pPr>
            <w:r>
              <w:rPr>
                <w:lang w:eastAsia="en-US"/>
              </w:rPr>
              <w:t xml:space="preserve">Operating band </w:t>
            </w:r>
          </w:p>
        </w:tc>
        <w:tc>
          <w:tcPr>
            <w:tcW w:w="150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Power Class 1 </w:t>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Power Class 2 </w:t>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Power Class 3 </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Power Class 4 </w:t>
            </w:r>
          </w:p>
        </w:tc>
      </w:tr>
      <w:tr>
        <w:trPr>
          <w:trHeight w:val="316" w:hRule="atLeast"/>
        </w:trPr>
        <w:tc>
          <w:tcPr>
            <w:tcW w:w="1154"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50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Power (dBm) </w:t>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Power (dBm) </w:t>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Power (dBm) </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Power (dBm) </w:t>
            </w:r>
          </w:p>
        </w:tc>
      </w:tr>
      <w:tr>
        <w:trPr>
          <w:trHeight w:val="244" w:hRule="atLeast"/>
        </w:trPr>
        <w:tc>
          <w:tcPr>
            <w:tcW w:w="1154"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93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Average </w:t>
            </w:r>
          </w:p>
        </w:tc>
        <w:tc>
          <w:tcPr>
            <w:tcW w:w="56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Average </w:t>
            </w:r>
          </w:p>
        </w:tc>
        <w:tc>
          <w:tcPr>
            <w:tcW w:w="70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Average </w:t>
            </w:r>
          </w:p>
        </w:tc>
        <w:tc>
          <w:tcPr>
            <w:tcW w:w="56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rFonts w:eastAsia="Arial"/>
                <w:lang w:eastAsia="en-US"/>
              </w:rPr>
              <w:t xml:space="preserve"> </w:t>
            </w:r>
            <w:r>
              <w:rPr>
                <w:lang w:eastAsia="en-US"/>
              </w:rPr>
              <w:t xml:space="preserve">Average </w:t>
            </w:r>
          </w:p>
        </w:tc>
        <w:tc>
          <w:tcPr>
            <w:tcW w:w="76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Min </w:t>
            </w:r>
          </w:p>
        </w:tc>
      </w:tr>
      <w:tr>
        <w:trPr>
          <w:trHeight w:val="215" w:hRule="atLeast"/>
        </w:trPr>
        <w:tc>
          <w:tcPr>
            <w:tcW w:w="115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a</w:t>
            </w:r>
          </w:p>
        </w:tc>
        <w:tc>
          <w:tcPr>
            <w:tcW w:w="93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w:lang w:eastAsia="en-US"/>
              </w:rPr>
              <w:t xml:space="preserve"> </w:t>
            </w: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r>
      <w:tr>
        <w:trPr>
          <w:trHeight w:val="215" w:hRule="atLeast"/>
        </w:trPr>
        <w:tc>
          <w:tcPr>
            <w:tcW w:w="115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b</w:t>
            </w:r>
          </w:p>
        </w:tc>
        <w:tc>
          <w:tcPr>
            <w:tcW w:w="93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w:lang w:eastAsia="en-US"/>
              </w:rPr>
              <w:t xml:space="preserve"> </w:t>
            </w: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r>
      <w:tr>
        <w:trPr>
          <w:trHeight w:val="215" w:hRule="atLeast"/>
        </w:trPr>
        <w:tc>
          <w:tcPr>
            <w:tcW w:w="115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c</w:t>
            </w:r>
          </w:p>
        </w:tc>
        <w:tc>
          <w:tcPr>
            <w:tcW w:w="93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w:lang w:eastAsia="en-US"/>
              </w:rPr>
              <w:t xml:space="preserve"> </w:t>
            </w: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r>
      <w:tr>
        <w:trPr>
          <w:trHeight w:val="215" w:hRule="atLeast"/>
        </w:trPr>
        <w:tc>
          <w:tcPr>
            <w:tcW w:w="115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w:t>
            </w:r>
          </w:p>
        </w:tc>
        <w:tc>
          <w:tcPr>
            <w:tcW w:w="93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w:lang w:eastAsia="en-US"/>
              </w:rPr>
              <w:t xml:space="preserve"> </w:t>
            </w: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r>
      <w:tr>
        <w:trPr>
          <w:trHeight w:val="215" w:hRule="atLeast"/>
        </w:trPr>
        <w:tc>
          <w:tcPr>
            <w:tcW w:w="115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e</w:t>
            </w:r>
          </w:p>
        </w:tc>
        <w:tc>
          <w:tcPr>
            <w:tcW w:w="93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w:lang w:eastAsia="en-US"/>
              </w:rPr>
              <w:t xml:space="preserve"> </w:t>
            </w: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ascii="Arial Unicode MS" w:hAnsi="Arial Unicode MS" w:cs="Arial Unicode M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r>
      <w:tr>
        <w:trPr>
          <w:trHeight w:val="215" w:hRule="atLeast"/>
        </w:trPr>
        <w:tc>
          <w:tcPr>
            <w:tcW w:w="115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f</w:t>
            </w:r>
          </w:p>
        </w:tc>
        <w:tc>
          <w:tcPr>
            <w:tcW w:w="93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w:lang w:eastAsia="en-US"/>
              </w:rPr>
              <w:t xml:space="preserve"> </w:t>
            </w: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ascii="Arial Unicode MS" w:hAnsi="Arial Unicode MS" w:cs="Arial Unicode M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r>
      <w:tr>
        <w:trPr>
          <w:trHeight w:val="215" w:hRule="atLeast"/>
        </w:trPr>
        <w:tc>
          <w:tcPr>
            <w:tcW w:w="7668" w:type="dxa"/>
            <w:gridSpan w:val="9"/>
            <w:tcBorders>
              <w:top w:val="single" w:sz="4" w:space="0" w:color="000000"/>
              <w:left w:val="single" w:sz="4" w:space="0" w:color="000000"/>
              <w:bottom w:val="single" w:sz="4" w:space="0" w:color="000000"/>
              <w:right w:val="single" w:sz="4" w:space="0" w:color="000000"/>
            </w:tcBorders>
            <w:vAlign w:val="center"/>
          </w:tcPr>
          <w:p>
            <w:pPr>
              <w:pStyle w:val="TAN"/>
              <w:rPr>
                <w:lang w:eastAsia="en-US"/>
              </w:rPr>
            </w:pPr>
            <w:r>
              <w:rPr>
                <w:lang w:eastAsia="en-US"/>
              </w:rPr>
              <w:t>Note:</w:t>
              <w:tab/>
              <w:t>Applicable for dual-mode GSM/UTRA LCR TDD.</w:t>
            </w:r>
          </w:p>
        </w:tc>
      </w:tr>
    </w:tbl>
    <w:p>
      <w:pPr>
        <w:pStyle w:val="Normal"/>
        <w:rPr/>
      </w:pPr>
      <w:r>
        <w:rPr/>
      </w:r>
    </w:p>
    <w:p>
      <w:pPr>
        <w:pStyle w:val="Normal"/>
        <w:rPr/>
      </w:pPr>
      <w:r>
        <w:rPr/>
        <w:t>The normative reference for this clause is TS37.144 [12] Subclause 6.1.3.2.</w:t>
      </w:r>
    </w:p>
    <w:p>
      <w:pPr>
        <w:pStyle w:val="Heading4"/>
        <w:ind w:left="1418" w:hanging="1418"/>
        <w:rPr/>
      </w:pPr>
      <w:bookmarkStart w:id="114" w:name="__RefHeading___Toc68601050"/>
      <w:bookmarkEnd w:id="114"/>
      <w:r>
        <w:rPr/>
        <w:t>6.1.8.3</w:t>
        <w:tab/>
        <w:t>Test purpose</w:t>
      </w:r>
    </w:p>
    <w:p>
      <w:pPr>
        <w:pStyle w:val="Normal"/>
        <w:rPr/>
      </w:pPr>
      <w:r>
        <w:rPr/>
        <w:t xml:space="preserve">The purpose of this test is to verify that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 xml:space="preserve">of the UE is not below specified values. A lower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decrease the coverage area.</w:t>
      </w:r>
    </w:p>
    <w:p>
      <w:pPr>
        <w:pStyle w:val="Heading4"/>
        <w:ind w:left="1418" w:hanging="1418"/>
        <w:rPr/>
      </w:pPr>
      <w:bookmarkStart w:id="115" w:name="__RefHeading___Toc68601051"/>
      <w:bookmarkEnd w:id="115"/>
      <w:r>
        <w:rPr/>
        <w:t>6.1.8.4</w:t>
        <w:tab/>
        <w:t>Method of test</w:t>
      </w:r>
    </w:p>
    <w:p>
      <w:pPr>
        <w:pStyle w:val="Heading4"/>
        <w:ind w:left="1418" w:hanging="1418"/>
        <w:rPr/>
      </w:pPr>
      <w:bookmarkStart w:id="116" w:name="__RefHeading___Toc68601052"/>
      <w:bookmarkEnd w:id="116"/>
      <w:r>
        <w:rPr/>
        <w:t>6.1.8.4.1</w:t>
        <w:tab/>
        <w:t>Initial conditions</w:t>
      </w:r>
    </w:p>
    <w:p>
      <w:pPr>
        <w:pStyle w:val="Normal"/>
        <w:rPr/>
      </w:pPr>
      <w:r>
        <w:rPr>
          <w:lang w:eastAsia="zh-CN"/>
        </w:rPr>
        <w:t xml:space="preserve">The output power is a measure of the maximum power the UE can transmit in a bandwidth of at least </w:t>
      </w:r>
      <w:r>
        <w:rPr/>
        <w:t xml:space="preserve">(1+ </w:t>
      </w:r>
      <w:r>
        <w:rPr>
          <w:rFonts w:cs="Symbol" w:ascii="Symbol" w:hAnsi="Symbol"/>
        </w:rPr>
        <w:t></w:t>
      </w:r>
      <w:r>
        <w:rPr/>
        <w:t xml:space="preserve"> </w:t>
      </w:r>
      <w:r>
        <w:rPr>
          <w:lang w:eastAsia="zh-CN"/>
        </w:rPr>
        <w:t>times the chip rate of the radio access mode, for more information see 3GPP TS 34.122 [8] Subclause 5.2. The period of measurement shall be at least one timeslot. Also, care should be taken that the noise floor of the measurement receiver is not disturbing the power measurement. Normally, the receiving device should be set accordingly so that the receiving signal will be at least 30dB higher than the system noise floor.</w:t>
      </w:r>
    </w:p>
    <w:p>
      <w:pPr>
        <w:pStyle w:val="Normal"/>
        <w:rPr/>
      </w:pPr>
      <w:r>
        <w:rPr>
          <w:lang w:eastAsia="zh-CN"/>
        </w:rPr>
        <w:t>Test environment: normal; see 3GPP TS34.122-1 [8] Subclause G.2.1.</w:t>
      </w:r>
    </w:p>
    <w:p>
      <w:pPr>
        <w:pStyle w:val="Normal"/>
        <w:rPr/>
      </w:pPr>
      <w:r>
        <w:rPr>
          <w:lang w:eastAsia="zh-CN"/>
        </w:rPr>
        <w:t>Frequencies to be tested: low range, mid range, high range; see Table 5.2-2.</w:t>
      </w:r>
    </w:p>
    <w:p>
      <w:pPr>
        <w:pStyle w:val="B1"/>
        <w:rPr>
          <w:lang w:eastAsia="zh-CN"/>
        </w:rPr>
      </w:pPr>
      <w:r>
        <w:rPr>
          <w:lang w:eastAsia="zh-CN"/>
        </w:rPr>
        <w:t>1)</w:t>
        <w:tab/>
        <w:t>Set the SS downlink physical channels parameters. Set the DPCH power such that there will not be transmission gaps due to too low signal strength throughout the measurement.</w:t>
      </w:r>
    </w:p>
    <w:p>
      <w:pPr>
        <w:pStyle w:val="B1"/>
        <w:rPr>
          <w:lang w:eastAsia="zh-CN"/>
        </w:rPr>
      </w:pPr>
      <w:r>
        <w:rPr>
          <w:lang w:eastAsia="zh-CN"/>
        </w:rPr>
        <w:t>2)</w:t>
        <w:tab/>
        <w:t>Power on the UE.</w:t>
      </w:r>
    </w:p>
    <w:p>
      <w:pPr>
        <w:pStyle w:val="B1"/>
        <w:rPr>
          <w:lang w:eastAsia="zh-CN"/>
        </w:rPr>
      </w:pPr>
      <w:r>
        <w:rPr>
          <w:lang w:eastAsia="zh-CN"/>
        </w:rPr>
        <w:t>3)</w:t>
        <w:tab/>
        <w:t>A call is set up according to the Generic call setup procedure. The power control algorithm shall be set to Power Control Algorithm 2.</w:t>
      </w:r>
    </w:p>
    <w:p>
      <w:pPr>
        <w:pStyle w:val="B1"/>
        <w:rPr>
          <w:lang w:eastAsia="zh-CN"/>
        </w:rPr>
      </w:pPr>
      <w:r>
        <w:rPr>
          <w:lang w:eastAsia="zh-CN"/>
        </w:rPr>
        <w:t>4)</w:t>
        <w:tab/>
        <w:t>Enter the UE into loopback test mode and start the loopback test.</w:t>
      </w:r>
    </w:p>
    <w:p>
      <w:pPr>
        <w:pStyle w:val="B1"/>
        <w:rPr/>
      </w:pPr>
      <w:r>
        <w:rPr>
          <w:lang w:eastAsia="zh-CN"/>
        </w:rPr>
        <w:t>5)</w:t>
        <w:tab/>
        <w:t xml:space="preserve">The measurement receiver shall be set to: zero span, video trigger and RMS detector. The RBW shall be at least </w:t>
      </w:r>
      <w:r>
        <w:rPr/>
        <w:t xml:space="preserve">(1+ </w:t>
      </w:r>
      <w:r>
        <w:rPr>
          <w:rFonts w:cs="Symbol" w:ascii="Symbol" w:hAnsi="Symbol"/>
        </w:rPr>
        <w:t></w:t>
      </w:r>
      <w:r>
        <w:rPr/>
        <w:t xml:space="preserve"> times the chip rate of the radio access mode</w:t>
      </w:r>
      <w:r>
        <w:rPr>
          <w:lang w:eastAsia="zh-CN"/>
        </w:rPr>
        <w:t xml:space="preserve"> and the VBW at least 3 times bigger than the RBW. For 1.28Mcps T</w:t>
      </w:r>
      <w:r>
        <w:rPr/>
        <w:t>DD UE</w:t>
      </w:r>
      <w:r>
        <w:rPr>
          <w:lang w:eastAsia="zh-CN"/>
        </w:rPr>
        <w:t>, the RBW shall be set to 3MHz, and VBW shall be set to 10MHz.</w:t>
      </w:r>
    </w:p>
    <w:p>
      <w:pPr>
        <w:pStyle w:val="Normal"/>
        <w:rPr/>
      </w:pPr>
      <w:r>
        <w:rPr/>
        <w:t>See TS 34.108 [4] and TS 34.109 [5] for details regarding generic call setup procedure and loopback test.</w:t>
      </w:r>
    </w:p>
    <w:p>
      <w:pPr>
        <w:pStyle w:val="Heading4"/>
        <w:ind w:left="1418" w:hanging="1418"/>
        <w:rPr/>
      </w:pPr>
      <w:bookmarkStart w:id="117" w:name="__RefHeading___Toc68601053"/>
      <w:bookmarkEnd w:id="117"/>
      <w:r>
        <w:rPr/>
        <w:t>6.1.8.4.2</w:t>
        <w:tab/>
        <w:t>Procedure</w:t>
      </w:r>
    </w:p>
    <w:p>
      <w:pPr>
        <w:pStyle w:val="B1"/>
        <w:rPr>
          <w:lang w:eastAsia="zh-CN"/>
        </w:rPr>
      </w:pPr>
      <w:r>
        <w:rPr>
          <w:lang w:eastAsia="zh-CN"/>
        </w:rPr>
        <w:t>1)</w:t>
        <w:tab/>
        <w:t>Send continuously Up power control commands to the UE.</w:t>
      </w:r>
    </w:p>
    <w:p>
      <w:pPr>
        <w:pStyle w:val="B1"/>
        <w:rPr>
          <w:lang w:eastAsia="zh-CN"/>
        </w:rPr>
      </w:pPr>
      <w:r>
        <w:rPr>
          <w:lang w:eastAsia="zh-CN"/>
        </w:rPr>
        <w:t>2)</w:t>
        <w:tab/>
        <w:t>As the UE reaches maximum power, start sending PN15 data pattern.</w:t>
      </w:r>
    </w:p>
    <w:p>
      <w:pPr>
        <w:pStyle w:val="B1"/>
        <w:rPr/>
      </w:pPr>
      <w:r>
        <w:rPr>
          <w:lang w:eastAsia="zh-CN"/>
        </w:rPr>
        <w:t>3)</w:t>
        <w:tab/>
        <w:t xml:space="preserve">Position the UE </w:t>
      </w:r>
      <w:r>
        <w:rPr/>
        <w:t>according to the DUT positioning for browsing mode specified in Subclause 4.3.4.</w:t>
      </w:r>
    </w:p>
    <w:p>
      <w:pPr>
        <w:pStyle w:val="B1"/>
        <w:rPr/>
      </w:pPr>
      <w:r>
        <w:rPr>
          <w:lang w:eastAsia="zh-CN"/>
        </w:rPr>
        <w:t>4)</w:t>
        <w:tab/>
        <w:t xml:space="preserve">Measure the </w:t>
      </w:r>
      <w:r>
        <w:rPr>
          <w:i/>
          <w:iCs/>
          <w:sz w:val="24"/>
          <w:szCs w:val="24"/>
          <w:lang w:eastAsia="zh-CN"/>
        </w:rPr>
        <w:t>EIRP</w:t>
      </w:r>
      <w:r>
        <w:rPr>
          <w:rFonts w:cs="SimSun;宋体" w:ascii="SimSun;宋体" w:hAnsi="SimSun;宋体"/>
          <w:i/>
          <w:iCs/>
          <w:sz w:val="24"/>
          <w:szCs w:val="24"/>
          <w:vertAlign w:val="subscript"/>
          <w:lang w:eastAsia="zh-CN"/>
        </w:rPr>
        <w:t>θ</w:t>
      </w:r>
      <w:r>
        <w:rPr>
          <w:rFonts w:cs="Symbol" w:ascii="Symbol" w:hAnsi="Symbol"/>
          <w:sz w:val="15"/>
          <w:szCs w:val="15"/>
          <w:lang w:eastAsia="zh-CN"/>
        </w:rPr>
        <w:t></w:t>
      </w:r>
      <w:r>
        <w:rPr>
          <w:lang w:eastAsia="zh-CN"/>
        </w:rPr>
        <w:t xml:space="preserve">and </w:t>
      </w:r>
      <w:r>
        <w:rPr>
          <w:i/>
          <w:iCs/>
          <w:sz w:val="24"/>
          <w:szCs w:val="24"/>
          <w:lang w:eastAsia="zh-CN"/>
        </w:rPr>
        <w:t>EIRP</w:t>
      </w:r>
      <w:r>
        <w:rPr>
          <w:rFonts w:cs="SimSun;宋体" w:ascii="SimSun;宋体" w:hAnsi="SimSun;宋体"/>
          <w:i/>
          <w:iCs/>
          <w:sz w:val="24"/>
          <w:szCs w:val="24"/>
          <w:vertAlign w:val="subscript"/>
          <w:lang w:eastAsia="zh-CN"/>
        </w:rPr>
        <w:t>φ</w:t>
      </w:r>
      <w:r>
        <w:rPr>
          <w:lang w:eastAsia="zh-CN"/>
        </w:rPr>
        <w:t>with a sample step of 15° in theta (</w:t>
      </w:r>
      <w:r>
        <w:rPr>
          <w:rFonts w:cs="Symbol" w:ascii="SimSun;宋体" w:hAnsi="SimSun;宋体"/>
          <w:lang w:eastAsia="zh-CN"/>
        </w:rPr>
        <w:t>θ</w:t>
      </w:r>
      <w:r>
        <w:rPr>
          <w:lang w:eastAsia="zh-CN"/>
        </w:rPr>
        <w:t>) and phi (</w:t>
      </w:r>
      <w:r>
        <w:rPr>
          <w:rFonts w:cs="Symbol" w:ascii="SimSun;宋体" w:hAnsi="SimSun;宋体"/>
          <w:lang w:eastAsia="zh-CN"/>
        </w:rPr>
        <w:t>φ</w:t>
      </w:r>
      <w:r>
        <w:rPr>
          <w:lang w:eastAsia="zh-CN"/>
        </w:rPr>
        <w:t>) directions using a test system having characteristics as described in Annex A.</w:t>
      </w:r>
    </w:p>
    <w:p>
      <w:pPr>
        <w:pStyle w:val="B1"/>
        <w:rPr>
          <w:lang w:eastAsia="zh-CN"/>
        </w:rPr>
      </w:pPr>
      <w:r>
        <w:rPr>
          <w:lang w:eastAsia="zh-CN"/>
        </w:rPr>
        <w:t>5)</w:t>
        <w:tab/>
        <w:t>Calculate TRP using equations from Subclause 6.1.8.1.</w:t>
      </w:r>
    </w:p>
    <w:p>
      <w:pPr>
        <w:pStyle w:val="NO"/>
        <w:rPr/>
      </w:pPr>
      <w:r>
        <w:rPr>
          <w:lang w:eastAsia="zh-CN"/>
        </w:rPr>
        <w:t>NOTE 1:</w:t>
        <w:tab/>
        <w:t>The measurement procedure is based on the measurement of the spherical radiation pattern of the DUT. The power radiated by the DUT is sampled in far field in a group of points located on a spherical surface enclosing the DUT. The EIRP samples are taken using a constant sample step of 15° both in theta (</w:t>
      </w:r>
      <w:r>
        <w:rPr>
          <w:rFonts w:cs="Symbol" w:ascii="SimSun;宋体" w:hAnsi="SimSun;宋体"/>
          <w:lang w:eastAsia="zh-CN"/>
        </w:rPr>
        <w:t>θ</w:t>
      </w:r>
      <w:r>
        <w:rPr>
          <w:lang w:eastAsia="zh-CN"/>
        </w:rPr>
        <w:t>) and phi (</w:t>
      </w:r>
      <w:r>
        <w:rPr>
          <w:rFonts w:cs="Symbol" w:ascii="SimSun;宋体" w:hAnsi="SimSun;宋体"/>
          <w:lang w:eastAsia="zh-CN"/>
        </w:rPr>
        <w:t>φ</w:t>
      </w:r>
      <w:r>
        <w:rPr>
          <w:lang w:eastAsia="zh-CN"/>
        </w:rPr>
        <w:t xml:space="preserve">) directions. In some cases a different sampling grid may be used to speed up the measurements (See </w:t>
      </w:r>
      <w:r>
        <w:rPr/>
        <w:t>Subclause 4.4</w:t>
      </w:r>
      <w:r>
        <w:rPr>
          <w:lang w:eastAsia="zh-CN"/>
        </w:rPr>
        <w:t xml:space="preserve">). All the EIRP samples are taken with two orthogonal polarizations, </w:t>
      </w:r>
      <w:r>
        <w:rPr>
          <w:rFonts w:cs="Symbol" w:ascii="SimSun;宋体" w:hAnsi="SimSun;宋体"/>
          <w:lang w:eastAsia="zh-CN"/>
        </w:rPr>
        <w:t>θ</w:t>
      </w:r>
      <w:r>
        <w:rPr>
          <w:lang w:eastAsia="zh-CN"/>
        </w:rPr>
        <w:t xml:space="preserve">- and </w:t>
      </w:r>
      <w:r>
        <w:rPr>
          <w:rFonts w:cs="Symbol" w:ascii="SimSun;宋体" w:hAnsi="SimSun;宋体"/>
          <w:lang w:eastAsia="zh-CN"/>
        </w:rPr>
        <w:t>φ</w:t>
      </w:r>
      <w:r>
        <w:rPr>
          <w:rFonts w:cs="Symbol" w:ascii="Symbol" w:hAnsi="Symbol"/>
          <w:sz w:val="21"/>
          <w:szCs w:val="21"/>
          <w:lang w:eastAsia="zh-CN"/>
        </w:rPr>
        <w:t></w:t>
      </w:r>
      <w:r>
        <w:rPr>
          <w:lang w:eastAsia="zh-CN"/>
        </w:rPr>
        <w:t>- polarizations.</w:t>
      </w:r>
    </w:p>
    <w:p>
      <w:pPr>
        <w:pStyle w:val="NO"/>
        <w:rPr/>
      </w:pPr>
      <w:r>
        <w:rPr>
          <w:lang w:eastAsia="zh-CN"/>
        </w:rPr>
        <w:t>NOTE 2:</w:t>
        <w:tab/>
        <w:t>The noise floor of the measurement receiver shall not disturb the power measurement.</w:t>
      </w:r>
    </w:p>
    <w:p>
      <w:pPr>
        <w:pStyle w:val="NO"/>
        <w:rPr/>
      </w:pPr>
      <w:r>
        <w:rPr>
          <w:lang w:eastAsia="zh-CN"/>
        </w:rPr>
        <w:t>NOTE 3:</w:t>
        <w:tab/>
        <w:t>Non Standard settings: To speed up sensitivity measurements, power measurements may be done with non standard modulation. However to obtain TRP result the measured EIRP figures shall be normalized by</w:t>
      </w:r>
    </w:p>
    <w:p>
      <w:pPr>
        <w:pStyle w:val="EQ"/>
        <w:jc w:val="center"/>
        <w:rPr>
          <w:lang w:val="en-GB" w:eastAsia="zh-CN"/>
        </w:rPr>
      </w:pPr>
      <w:r>
        <w:rPr>
          <w:lang w:val="en-GB" w:eastAsia="en-GB"/>
        </w:rPr>
      </w:r>
      <m:oMathPara xmlns:m="http://schemas.openxmlformats.org/officeDocument/2006/math">
        <m:oMathParaPr>
          <m:jc m:val="center"/>
        </m:oMathParaPr>
        <m:oMath>
          <m:r>
            <w:rPr>
              <w:rFonts w:ascii="Cambria Math" w:hAnsi="Cambria Math"/>
            </w:rPr>
            <m:t xml:space="preserve">Δ</m:t>
          </m:r>
          <m:bar>
            <m:barPr>
              <m:pos m:val="top"/>
            </m:barPr>
            <m:e>
              <m:r>
                <m:rPr>
                  <m:lit/>
                  <m:nor/>
                </m:rPr>
                <w:rPr>
                  <w:rFonts w:ascii="Cambria Math" w:hAnsi="Cambria Math"/>
                </w:rPr>
                <m:t xml:space="preserve">EIRP</m:t>
              </m:r>
            </m:e>
          </m:ba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m:rPr>
                          <m:lit/>
                          <m:nor/>
                        </m:rPr>
                        <w:rPr>
                          <w:rFonts w:ascii="Cambria Math" w:hAnsi="Cambria Math"/>
                        </w:rPr>
                        <m:t xml:space="preserve">EIRPstd</m:t>
                      </m:r>
                    </m:e>
                    <m:sub>
                      <m:r>
                        <w:rPr>
                          <w:rFonts w:ascii="Cambria Math" w:hAnsi="Cambria Math"/>
                        </w:rPr>
                        <m:t xml:space="preserve">i</m:t>
                      </m:r>
                    </m:sub>
                  </m:sSub>
                  <m:r>
                    <w:rPr>
                      <w:rFonts w:ascii="Cambria Math" w:hAnsi="Cambria Math"/>
                    </w:rPr>
                    <m:t xml:space="preserve">−</m:t>
                  </m:r>
                  <m:sSub>
                    <m:e>
                      <m:r>
                        <m:rPr>
                          <m:lit/>
                          <m:nor/>
                        </m:rPr>
                        <w:rPr>
                          <w:rFonts w:ascii="Cambria Math" w:hAnsi="Cambria Math"/>
                        </w:rPr>
                        <m:t xml:space="preserve">EIRPnstd</m:t>
                      </m:r>
                    </m:e>
                    <m:sub>
                      <m:r>
                        <w:rPr>
                          <w:rFonts w:ascii="Cambria Math" w:hAnsi="Cambria Math"/>
                        </w:rPr>
                        <m:t xml:space="preserve">i</m:t>
                      </m:r>
                    </m:sub>
                  </m:sSub>
                </m:e>
              </m:d>
            </m:e>
          </m:nary>
        </m:oMath>
      </m:oMathPara>
    </w:p>
    <w:p>
      <w:pPr>
        <w:pStyle w:val="Normal"/>
        <w:rPr/>
      </w:pPr>
      <w:r>
        <w:rPr>
          <w:lang w:eastAsia="zh-CN"/>
        </w:rPr>
        <w:t xml:space="preserve">where </w:t>
      </w:r>
      <w:r>
        <w:rPr>
          <w:i/>
          <w:iCs/>
          <w:sz w:val="14"/>
          <w:szCs w:val="14"/>
          <w:lang w:eastAsia="zh-CN"/>
        </w:rPr>
        <w:t xml:space="preserve">i </w:t>
      </w:r>
      <w:r>
        <w:rPr>
          <w:i/>
          <w:iCs/>
          <w:sz w:val="24"/>
          <w:szCs w:val="24"/>
          <w:lang w:eastAsia="zh-CN"/>
        </w:rPr>
        <w:t>EIRPstd</w:t>
      </w:r>
      <w:r>
        <w:rPr>
          <w:i/>
          <w:iCs/>
          <w:sz w:val="14"/>
          <w:szCs w:val="14"/>
          <w:lang w:eastAsia="zh-CN"/>
        </w:rPr>
        <w:t xml:space="preserve"> i</w:t>
      </w:r>
      <w:r>
        <w:rPr>
          <w:i/>
          <w:iCs/>
          <w:sz w:val="24"/>
          <w:szCs w:val="24"/>
          <w:lang w:eastAsia="zh-CN"/>
        </w:rPr>
        <w:t xml:space="preserve"> </w:t>
      </w:r>
      <w:r>
        <w:rPr>
          <w:lang w:eastAsia="zh-CN"/>
        </w:rPr>
        <w:t xml:space="preserve">is power measurement done with standard setting. </w:t>
      </w:r>
      <w:r>
        <w:rPr>
          <w:i/>
          <w:iCs/>
          <w:sz w:val="24"/>
          <w:szCs w:val="24"/>
          <w:lang w:eastAsia="zh-CN"/>
        </w:rPr>
        <w:t>EIRPnstd</w:t>
      </w:r>
      <w:r>
        <w:rPr>
          <w:i/>
          <w:iCs/>
          <w:sz w:val="14"/>
          <w:szCs w:val="14"/>
          <w:lang w:eastAsia="zh-CN"/>
        </w:rPr>
        <w:t xml:space="preserve"> i </w:t>
      </w:r>
      <w:r>
        <w:rPr>
          <w:lang w:eastAsia="zh-CN"/>
        </w:rPr>
        <w:t xml:space="preserve">is power measurement done with non standard modulation. </w:t>
      </w:r>
      <w:r>
        <w:rPr>
          <w:i/>
          <w:iCs/>
          <w:sz w:val="24"/>
          <w:szCs w:val="24"/>
          <w:lang w:eastAsia="zh-CN"/>
        </w:rPr>
        <w:t xml:space="preserve">n </w:t>
      </w:r>
      <w:r>
        <w:rPr>
          <w:lang w:eastAsia="zh-CN"/>
        </w:rPr>
        <w:t>is amount of reference measurement points.</w:t>
      </w:r>
    </w:p>
    <w:p>
      <w:pPr>
        <w:pStyle w:val="Normal"/>
        <w:rPr/>
      </w:pPr>
      <w:r>
        <w:rPr>
          <w:lang w:eastAsia="zh-CN"/>
        </w:rPr>
        <w:t>To ensure accuracy of TRP, the amount of reference points measured should be at least 4. It is recommended to spread the reference measurements equally during the measurement time.</w:t>
      </w:r>
    </w:p>
    <w:p>
      <w:pPr>
        <w:pStyle w:val="Heading4"/>
        <w:ind w:left="1418" w:hanging="1418"/>
        <w:rPr/>
      </w:pPr>
      <w:bookmarkStart w:id="118" w:name="__RefHeading___Toc68601054"/>
      <w:bookmarkEnd w:id="118"/>
      <w:r>
        <w:rPr/>
        <w:t>6.1.8.4.3</w:t>
        <w:tab/>
        <w:t>Procedure, reverberation chamber method</w:t>
      </w:r>
    </w:p>
    <w:p>
      <w:pPr>
        <w:pStyle w:val="Normal"/>
        <w:rPr/>
      </w:pPr>
      <w:r>
        <w:rPr/>
        <w:t>TBD</w:t>
      </w:r>
    </w:p>
    <w:p>
      <w:pPr>
        <w:pStyle w:val="Heading4"/>
        <w:ind w:left="1418" w:hanging="1418"/>
        <w:rPr/>
      </w:pPr>
      <w:bookmarkStart w:id="119" w:name="__RefHeading___Toc68601055"/>
      <w:bookmarkEnd w:id="119"/>
      <w:r>
        <w:rPr/>
        <w:t>6.1.8.5</w:t>
        <w:tab/>
        <w:t>Test requirements</w:t>
      </w:r>
    </w:p>
    <w:p>
      <w:pPr>
        <w:pStyle w:val="Normal"/>
        <w:jc w:val="both"/>
        <w:rPr/>
      </w:pPr>
      <w:r>
        <w:rPr/>
        <w:t>The average TRP of low, mid and high channel in hand phantom browsing mode position shall be higher than test performance requirements for roaming bands shown in Table 6.1.8.5-1. The averaging shall be done in linear scale for the TRP results of both right and left side hand phantom measurements.</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num>
                <m:den>
                  <m:r>
                    <w:rPr>
                      <w:rFonts w:ascii="Cambria Math" w:hAnsi="Cambria Math"/>
                    </w:rPr>
                    <m:t xml:space="preserve">6</m:t>
                  </m:r>
                </m:den>
              </m:f>
            </m:e>
          </m:d>
        </m:oMath>
      </m:oMathPara>
    </w:p>
    <w:p>
      <w:pPr>
        <w:pStyle w:val="Normal"/>
        <w:rPr/>
      </w:pPr>
      <w:r>
        <w:rPr/>
        <w:t>In addition the minimum TRP of each measured channel in hand phantom browsing mode position shall be higher than minimum performance requirements shown in the columns “Min”.</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min</m:t>
          </m:r>
          <m:d>
            <m:dPr>
              <m:begChr m:val="["/>
              <m:endChr m:val="]"/>
            </m:dPr>
            <m:e>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e>
          </m:d>
        </m:oMath>
      </m:oMathPara>
    </w:p>
    <w:p>
      <w:pPr>
        <w:pStyle w:val="TH"/>
        <w:rPr/>
      </w:pPr>
      <w:r>
        <w:rPr/>
        <w:t>Table 6.1.8.5-1: TRP test requirement for UTRA LCR TDD roaming bands in hand phantom browsing mode position</w:t>
      </w:r>
    </w:p>
    <w:tbl>
      <w:tblPr>
        <w:tblW w:w="7692" w:type="dxa"/>
        <w:jc w:val="center"/>
        <w:tblInd w:w="0" w:type="dxa"/>
        <w:tblLayout w:type="fixed"/>
        <w:tblCellMar>
          <w:top w:w="0" w:type="dxa"/>
          <w:left w:w="108" w:type="dxa"/>
          <w:bottom w:w="0" w:type="dxa"/>
          <w:right w:w="108" w:type="dxa"/>
        </w:tblCellMar>
      </w:tblPr>
      <w:tblGrid>
        <w:gridCol w:w="1178"/>
        <w:gridCol w:w="935"/>
        <w:gridCol w:w="567"/>
        <w:gridCol w:w="992"/>
        <w:gridCol w:w="709"/>
        <w:gridCol w:w="992"/>
        <w:gridCol w:w="567"/>
        <w:gridCol w:w="992"/>
        <w:gridCol w:w="760"/>
      </w:tblGrid>
      <w:tr>
        <w:trPr>
          <w:trHeight w:val="277" w:hRule="atLeast"/>
        </w:trPr>
        <w:tc>
          <w:tcPr>
            <w:tcW w:w="1178" w:type="dxa"/>
            <w:vMerge w:val="restart"/>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Operating band</w:t>
            </w:r>
          </w:p>
        </w:tc>
        <w:tc>
          <w:tcPr>
            <w:tcW w:w="150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1</w:t>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2</w:t>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3</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4</w:t>
            </w:r>
          </w:p>
        </w:tc>
      </w:tr>
      <w:tr>
        <w:trPr>
          <w:trHeight w:val="316" w:hRule="atLeast"/>
        </w:trPr>
        <w:tc>
          <w:tcPr>
            <w:tcW w:w="1178"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50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r>
      <w:tr>
        <w:trPr>
          <w:trHeight w:val="244" w:hRule="atLeast"/>
        </w:trPr>
        <w:tc>
          <w:tcPr>
            <w:tcW w:w="1178"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93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56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70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56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76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r>
      <w:tr>
        <w:trPr>
          <w:trHeight w:val="215" w:hRule="atLeast"/>
        </w:trPr>
        <w:tc>
          <w:tcPr>
            <w:tcW w:w="117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a</w:t>
            </w:r>
          </w:p>
        </w:tc>
        <w:tc>
          <w:tcPr>
            <w:tcW w:w="93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r>
      <w:tr>
        <w:trPr>
          <w:trHeight w:val="215" w:hRule="atLeast"/>
        </w:trPr>
        <w:tc>
          <w:tcPr>
            <w:tcW w:w="117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b</w:t>
            </w:r>
          </w:p>
        </w:tc>
        <w:tc>
          <w:tcPr>
            <w:tcW w:w="93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r>
      <w:tr>
        <w:trPr>
          <w:trHeight w:val="215" w:hRule="atLeast"/>
        </w:trPr>
        <w:tc>
          <w:tcPr>
            <w:tcW w:w="117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c</w:t>
            </w:r>
          </w:p>
        </w:tc>
        <w:tc>
          <w:tcPr>
            <w:tcW w:w="93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r>
      <w:tr>
        <w:trPr>
          <w:trHeight w:val="215" w:hRule="atLeast"/>
        </w:trPr>
        <w:tc>
          <w:tcPr>
            <w:tcW w:w="117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w:t>
            </w:r>
          </w:p>
        </w:tc>
        <w:tc>
          <w:tcPr>
            <w:tcW w:w="93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r>
      <w:tr>
        <w:trPr>
          <w:trHeight w:val="215" w:hRule="atLeast"/>
        </w:trPr>
        <w:tc>
          <w:tcPr>
            <w:tcW w:w="117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e</w:t>
            </w:r>
          </w:p>
        </w:tc>
        <w:tc>
          <w:tcPr>
            <w:tcW w:w="93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r>
      <w:tr>
        <w:trPr>
          <w:trHeight w:val="215" w:hRule="atLeast"/>
        </w:trPr>
        <w:tc>
          <w:tcPr>
            <w:tcW w:w="117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f</w:t>
            </w:r>
          </w:p>
        </w:tc>
        <w:tc>
          <w:tcPr>
            <w:tcW w:w="93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ascii="Arial Unicode MS" w:hAnsi="Arial Unicode MS" w:cs="Arial Unicode M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ascii="Arial Unicode MS" w:hAnsi="Arial Unicode MS" w:cs="Arial Unicode M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eastAsia="Arial Unicode MS"/>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eastAsia="Arial Unicode MS"/>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eastAsia="Arial Unicode MS"/>
                <w:lang w:eastAsia="en-US"/>
              </w:rPr>
              <w:t>－</w:t>
            </w:r>
          </w:p>
        </w:tc>
      </w:tr>
      <w:tr>
        <w:trPr>
          <w:trHeight w:val="215" w:hRule="atLeast"/>
        </w:trPr>
        <w:tc>
          <w:tcPr>
            <w:tcW w:w="7692" w:type="dxa"/>
            <w:gridSpan w:val="9"/>
            <w:tcBorders>
              <w:top w:val="single" w:sz="4" w:space="0" w:color="000000"/>
              <w:left w:val="single" w:sz="4" w:space="0" w:color="000000"/>
              <w:bottom w:val="single" w:sz="4" w:space="0" w:color="000000"/>
              <w:right w:val="single" w:sz="4" w:space="0" w:color="000000"/>
            </w:tcBorders>
            <w:vAlign w:val="center"/>
          </w:tcPr>
          <w:p>
            <w:pPr>
              <w:pStyle w:val="TAN"/>
              <w:rPr>
                <w:lang w:eastAsia="en-US"/>
              </w:rPr>
            </w:pPr>
            <w:r>
              <w:rPr>
                <w:lang w:eastAsia="en-US"/>
              </w:rPr>
              <w:t>Note:</w:t>
              <w:tab/>
              <w:t>Applicable for dual-mode GSM/UTRA LCR TDD.</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Heading3"/>
        <w:rPr/>
      </w:pPr>
      <w:bookmarkStart w:id="120" w:name="__RefHeading___Toc68601056"/>
      <w:bookmarkEnd w:id="120"/>
      <w:r>
        <w:rPr/>
        <w:t>6.1.9</w:t>
        <w:tab/>
        <w:t>Total Radiated Power (TRP) for E-UTRA FDD in Browsing Mode with Hand Phantom</w:t>
      </w:r>
    </w:p>
    <w:p>
      <w:pPr>
        <w:pStyle w:val="EditorsNote"/>
        <w:rPr/>
      </w:pPr>
      <w:r>
        <w:rPr/>
        <w:t>Editor’s notes: This subclause is incomplete. The following items are missing or incomplete:</w:t>
      </w:r>
    </w:p>
    <w:p>
      <w:pPr>
        <w:pStyle w:val="EditorsNote"/>
        <w:rPr/>
      </w:pPr>
      <w:r>
        <w:rPr/>
        <w:t>- Minimum requirements are not specified in TS 37.144 yet</w:t>
      </w:r>
    </w:p>
    <w:p>
      <w:pPr>
        <w:pStyle w:val="EditorsNote"/>
        <w:rPr/>
      </w:pPr>
      <w:r>
        <w:rPr/>
        <w:t>- Text for Subclause Procedure, reverberation chamber method</w:t>
      </w:r>
    </w:p>
    <w:p>
      <w:pPr>
        <w:pStyle w:val="EditorsNote"/>
        <w:rPr/>
      </w:pPr>
      <w:r>
        <w:rPr/>
        <w:t>- Test requirements are to be determined</w:t>
      </w:r>
    </w:p>
    <w:p>
      <w:pPr>
        <w:pStyle w:val="Heading4"/>
        <w:ind w:left="1418" w:hanging="1418"/>
        <w:rPr/>
      </w:pPr>
      <w:bookmarkStart w:id="121" w:name="__RefHeading___Toc68601057"/>
      <w:bookmarkEnd w:id="121"/>
      <w:r>
        <w:rPr/>
        <w:t>6.1.9.1</w:t>
        <w:tab/>
        <w:t>Definition and applicability</w:t>
      </w:r>
    </w:p>
    <w:p>
      <w:pPr>
        <w:pStyle w:val="Normal"/>
        <w:rPr/>
      </w:pPr>
      <w:r>
        <w:rPr/>
        <w:t>The Total Radiated Power (TRP) is a measure of how much power the antenna actually radiates, when non-idealities such as mismatch and losses in the antenna are taken into account. The TRP is defined as the integral of the power transmitted in different directions over the entire radiation sphere:</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m:rPr>
                  <m:lit/>
                  <m:nor/>
                </m:rPr>
                <w:rPr>
                  <w:rFonts w:ascii="Cambria Math" w:hAnsi="Cambria Math"/>
                </w:rPr>
                <m:t xml:space="preserve">TRP</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4</m:t>
              </m:r>
              <m:r>
                <w:rPr>
                  <w:rFonts w:ascii="Cambria Math" w:hAnsi="Cambria Math"/>
                </w:rPr>
                <m:t xml:space="preserve">π</m:t>
              </m:r>
            </m:den>
          </m:f>
          <m:nary>
            <m:naryPr>
              <m:chr m:val="∮"/>
              <m:subHide m:val="1"/>
              <m:supHide m:val="1"/>
            </m:naryPr>
            <m:sub/>
            <m:sup/>
            <m:e>
              <m:d>
                <m:dPr>
                  <m:begChr m:val="("/>
                  <m:endChr m:val=")"/>
                </m:dPr>
                <m:e>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e>
              </m:d>
            </m:e>
          </m:nary>
          <m:r>
            <w:rPr>
              <w:rFonts w:ascii="Cambria Math" w:hAnsi="Cambria Math"/>
            </w:rPr>
            <m:t xml:space="preserve">d</m:t>
          </m:r>
          <m:r>
            <w:rPr>
              <w:rFonts w:ascii="Cambria Math" w:hAnsi="Cambria Math"/>
            </w:rPr>
            <m:t xml:space="preserve">Ω</m:t>
          </m:r>
        </m:oMath>
      </m:oMathPara>
    </w:p>
    <w:p>
      <w:pPr>
        <w:pStyle w:val="Normal"/>
        <w:rPr/>
      </w:pPr>
      <w:r>
        <w:rPr/>
        <w:t xml:space="preserve">Using </w:t>
      </w:r>
      <w:r>
        <w:rPr/>
      </w:r>
      <m:oMath xmlns:m="http://schemas.openxmlformats.org/officeDocument/2006/math">
        <m:r>
          <w:rPr>
            <w:rFonts w:ascii="Cambria Math" w:hAnsi="Cambria Math"/>
          </w:rPr>
          <m:t xml:space="preserve">ψ</m:t>
        </m:r>
      </m:oMath>
      <w:r>
        <w:rPr/>
        <w:t xml:space="preserve"> to denote either </w:t>
      </w:r>
      <w:r>
        <w:rPr/>
      </w:r>
      <m:oMath xmlns:m="http://schemas.openxmlformats.org/officeDocument/2006/math">
        <m:r>
          <w:rPr>
            <w:rFonts w:ascii="Cambria Math" w:hAnsi="Cambria Math"/>
          </w:rPr>
          <m:t xml:space="preserve">θ</m:t>
        </m:r>
      </m:oMath>
      <w:r>
        <w:rPr/>
        <w:t xml:space="preserve"> or </w:t>
      </w:r>
      <w:r>
        <w:rPr/>
      </w:r>
      <m:oMath xmlns:m="http://schemas.openxmlformats.org/officeDocument/2006/math">
        <m:r>
          <w:rPr>
            <w:rFonts w:ascii="Cambria Math" w:hAnsi="Cambria Math"/>
          </w:rPr>
          <m:t xml:space="preserve">ϕ</m:t>
        </m:r>
      </m:oMath>
      <w:r>
        <w:rPr/>
        <w:t xml:space="preserve">, </w:t>
      </w:r>
      <w:r>
        <w:rPr/>
      </w:r>
      <m:oMath xmlns:m="http://schemas.openxmlformats.org/officeDocument/2006/math">
        <m:sSub>
          <m:e>
            <m:r>
              <w:rPr>
                <w:rFonts w:ascii="Cambria Math" w:hAnsi="Cambria Math"/>
              </w:rPr>
              <m:t xml:space="preserve">G</m:t>
            </m:r>
          </m:e>
          <m:sub>
            <m:r>
              <w:rPr>
                <w:rFonts w:ascii="Cambria Math" w:hAnsi="Cambria Math"/>
              </w:rPr>
              <m:t xml:space="preserve">ψ</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oMath>
      <w:r>
        <w:rPr/>
        <w:t xml:space="preserve">is the </w:t>
      </w:r>
      <w:r>
        <w:rPr/>
      </w:r>
      <m:oMath xmlns:m="http://schemas.openxmlformats.org/officeDocument/2006/math">
        <m:r>
          <w:rPr>
            <w:rFonts w:ascii="Cambria Math" w:hAnsi="Cambria Math"/>
          </w:rPr>
          <m:t xml:space="preserve">ψ</m:t>
        </m:r>
      </m:oMath>
      <w:r>
        <w:rPr/>
        <w:t xml:space="preserve">-polarization component of the gain pattern for the handset antenna measured at the frequency </w:t>
      </w:r>
      <w:r>
        <w:rPr/>
      </w:r>
      <m:oMath xmlns:m="http://schemas.openxmlformats.org/officeDocument/2006/math">
        <m:r>
          <w:rPr>
            <w:rFonts w:ascii="Cambria Math" w:hAnsi="Cambria Math"/>
          </w:rPr>
          <m:t xml:space="preserve">f</m:t>
        </m:r>
      </m:oMath>
      <w:r>
        <w:rPr/>
        <w:t xml:space="preserve">, where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oMath>
      <w:r>
        <w:rPr/>
        <w:t xml:space="preserve">is the transmit power level of the handset so that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ψ</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oMath>
      <w:r>
        <w:rPr/>
        <w:t xml:space="preserve">is the actually transmitted power-level, also known as EIRP, in the </w:t>
      </w:r>
      <w:r>
        <w:rPr/>
      </w:r>
      <m:oMath xmlns:m="http://schemas.openxmlformats.org/officeDocument/2006/math">
        <m:r>
          <w:rPr>
            <w:rFonts w:ascii="Cambria Math" w:hAnsi="Cambria Math"/>
          </w:rPr>
          <m:t xml:space="preserve">ψ</m:t>
        </m:r>
      </m:oMath>
      <w:r>
        <w:rPr/>
        <w:t xml:space="preserve">-polarization and in the direction </w:t>
      </w:r>
      <w:r>
        <w:rPr/>
      </w:r>
      <m:oMath xmlns:m="http://schemas.openxmlformats.org/officeDocument/2006/math">
        <m:r>
          <w:rPr>
            <w:rFonts w:ascii="Cambria Math" w:hAnsi="Cambria Math"/>
          </w:rPr>
          <m:t xml:space="preserve">Ω</m:t>
        </m:r>
      </m:oMath>
      <w:r>
        <w:rPr/>
        <w:t xml:space="preserve"> for frequency </w:t>
      </w:r>
      <w:r>
        <w:rPr/>
      </w:r>
      <m:oMath xmlns:m="http://schemas.openxmlformats.org/officeDocument/2006/math">
        <m:r>
          <w:rPr>
            <w:rFonts w:ascii="Cambria Math" w:hAnsi="Cambria Math"/>
          </w:rPr>
          <m:t xml:space="preserve">f</m:t>
        </m:r>
      </m:oMath>
      <w:r>
        <w:rPr/>
        <w:t>.</w:t>
      </w:r>
    </w:p>
    <w:p>
      <w:pPr>
        <w:pStyle w:val="Normal"/>
        <w:rPr/>
      </w:pPr>
      <w:r>
        <w:rPr/>
        <w:t>The above equation may be written in "gain" form, that is, the TRP given by P</w:t>
      </w:r>
      <w:r>
        <w:rPr>
          <w:vertAlign w:val="subscript"/>
        </w:rPr>
        <w:t>TRP</w:t>
      </w:r>
      <w:r>
        <w:rPr/>
        <w:t xml:space="preserve"> is normalized to the transmitted power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oMath>
      <w:r>
        <w:rPr/>
        <w:t>. This is the total radiation efficiency, which can also be denoted as Total Radiated Power Gain, TRPG,</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Γ</m:t>
              </m:r>
            </m:e>
            <m:sub>
              <m:r>
                <m:rPr>
                  <m:lit/>
                  <m:nor/>
                </m:rPr>
                <w:rPr>
                  <w:rFonts w:ascii="Cambria Math" w:hAnsi="Cambria Math"/>
                </w:rPr>
                <m:t xml:space="preserve">TRP</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4</m:t>
              </m:r>
              <m:r>
                <w:rPr>
                  <w:rFonts w:ascii="Cambria Math" w:hAnsi="Cambria Math"/>
                </w:rPr>
                <m:t xml:space="preserve">π</m:t>
              </m:r>
            </m:den>
          </m:f>
          <m:nary>
            <m:naryPr>
              <m:chr m:val="∮"/>
              <m:subHide m:val="1"/>
              <m:supHide m:val="1"/>
            </m:naryPr>
            <m:sub/>
            <m:sup/>
            <m:e>
              <m:d>
                <m:dPr>
                  <m:begChr m:val="("/>
                  <m:endChr m:val=")"/>
                </m:dPr>
                <m:e>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e>
              </m:d>
            </m:e>
          </m:nary>
          <m:r>
            <w:rPr>
              <w:rFonts w:ascii="Cambria Math" w:hAnsi="Cambria Math"/>
            </w:rPr>
            <m:t xml:space="preserve">d</m:t>
          </m:r>
          <m:r>
            <w:rPr>
              <w:rFonts w:ascii="Cambria Math" w:hAnsi="Cambria Math"/>
            </w:rPr>
            <m:t xml:space="preserve">Ω</m:t>
          </m:r>
        </m:oMath>
      </m:oMathPara>
    </w:p>
    <w:p>
      <w:pPr>
        <w:pStyle w:val="Normal"/>
        <w:rPr/>
      </w:pPr>
      <w:r>
        <w:rPr/>
        <w:t xml:space="preserve">In practice discrete samples of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ψ</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oMath>
      <w:r>
        <w:rPr/>
        <w:t xml:space="preserve"> are measured and used to approximate the integral so that the TRP is computed as</w:t>
      </w:r>
    </w:p>
    <w:p>
      <w:pPr>
        <w:pStyle w:val="EQ"/>
        <w:tabs>
          <w:tab w:val="clear" w:pos="9072"/>
          <w:tab w:val="center" w:pos="4536" w:leader="none"/>
          <w:tab w:val="right" w:pos="7938" w:leader="none"/>
        </w:tabs>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m:rPr>
                  <m:lit/>
                  <m:nor/>
                </m:rPr>
                <w:rPr>
                  <w:rFonts w:ascii="Cambria Math" w:hAnsi="Cambria Math"/>
                </w:rPr>
                <m:t xml:space="preserve">TRP</m:t>
              </m:r>
            </m:sub>
          </m:sSub>
          <m:r>
            <w:rPr>
              <w:rFonts w:ascii="Cambria Math" w:hAnsi="Cambria Math"/>
            </w:rPr>
            <m:t xml:space="preserve">≈</m:t>
          </m:r>
          <m:f>
            <m:num>
              <m:sSub>
                <m:e>
                  <m:r>
                    <w:rPr>
                      <w:rFonts w:ascii="Cambria Math" w:hAnsi="Cambria Math"/>
                    </w:rPr>
                    <m:t xml:space="preserve">Δ</m:t>
                  </m:r>
                </m:e>
                <m:sub>
                  <m:r>
                    <w:rPr>
                      <w:rFonts w:ascii="Cambria Math" w:hAnsi="Cambria Math"/>
                    </w:rPr>
                    <m:t xml:space="preserve">θ</m:t>
                  </m:r>
                </m:sub>
              </m:sSub>
              <m:sSub>
                <m:e>
                  <m:r>
                    <w:rPr>
                      <w:rFonts w:ascii="Cambria Math" w:hAnsi="Cambria Math"/>
                    </w:rPr>
                    <m:t xml:space="preserve">Δ</m:t>
                  </m:r>
                </m:e>
                <m:sub>
                  <m:r>
                    <w:rPr>
                      <w:rFonts w:ascii="Cambria Math" w:hAnsi="Cambria Math"/>
                    </w:rPr>
                    <m:t xml:space="preserve">ϕ</m:t>
                  </m:r>
                </m:sub>
              </m:sSub>
            </m:num>
            <m:den>
              <m:r>
                <w:rPr>
                  <w:rFonts w:ascii="Cambria Math" w:hAnsi="Cambria Math"/>
                </w:rPr>
                <m:t xml:space="preserve">4</m:t>
              </m:r>
              <m:r>
                <w:rPr>
                  <w:rFonts w:ascii="Cambria Math" w:hAnsi="Cambria Math"/>
                </w:rPr>
                <m:t xml:space="preserve">π</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rPr/>
      </w:pPr>
      <w:r>
        <w:rPr/>
        <w:t xml:space="preserve">Or, by using the relation </w:t>
      </w:r>
      <w:r>
        <w:rPr/>
      </w:r>
      <m:oMath xmlns:m="http://schemas.openxmlformats.org/officeDocument/2006/math">
        <m:r>
          <m:rPr>
            <m:lit/>
            <m:nor/>
          </m:rPr>
          <w:rPr>
            <w:rFonts w:ascii="Cambria Math" w:hAnsi="Cambria Math"/>
          </w:rPr>
          <m:t xml:space="preserve">EIRP</m:t>
        </m:r>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tx</m:t>
            </m:r>
          </m:sub>
        </m:sSub>
        <m:r>
          <w:rPr>
            <w:rFonts w:ascii="Cambria Math" w:hAnsi="Cambria Math"/>
          </w:rPr>
          <m:t xml:space="preserve">G</m:t>
        </m:r>
      </m:oMath>
      <w:r>
        <w:rPr/>
        <w:t>:</w:t>
      </w:r>
    </w:p>
    <w:p>
      <w:pPr>
        <w:pStyle w:val="EQ"/>
        <w:tabs>
          <w:tab w:val="clear" w:pos="9072"/>
          <w:tab w:val="center" w:pos="4536" w:leader="none"/>
          <w:tab w:val="right" w:pos="7938" w:leader="none"/>
        </w:tabs>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m:rPr>
                  <m:lit/>
                  <m:nor/>
                </m:rPr>
                <w:rPr>
                  <w:rFonts w:ascii="Cambria Math" w:hAnsi="Cambria Math"/>
                </w:rPr>
                <m:t xml:space="preserve">TRP</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f>
            <m:num>
              <m:sSub>
                <m:e>
                  <m:r>
                    <w:rPr>
                      <w:rFonts w:ascii="Cambria Math" w:hAnsi="Cambria Math"/>
                    </w:rPr>
                    <m:t xml:space="preserve">Δ</m:t>
                  </m:r>
                </m:e>
                <m:sub>
                  <m:r>
                    <w:rPr>
                      <w:rFonts w:ascii="Cambria Math" w:hAnsi="Cambria Math"/>
                    </w:rPr>
                    <m:t xml:space="preserve">θ</m:t>
                  </m:r>
                </m:sub>
              </m:sSub>
              <m:sSub>
                <m:e>
                  <m:r>
                    <w:rPr>
                      <w:rFonts w:ascii="Cambria Math" w:hAnsi="Cambria Math"/>
                    </w:rPr>
                    <m:t xml:space="preserve">Δ</m:t>
                  </m:r>
                </m:e>
                <m:sub>
                  <m:r>
                    <w:rPr>
                      <w:rFonts w:ascii="Cambria Math" w:hAnsi="Cambria Math"/>
                    </w:rPr>
                    <m:t xml:space="preserve">ϕ</m:t>
                  </m:r>
                </m:sub>
              </m:sSub>
            </m:num>
            <m:den>
              <m:r>
                <w:rPr>
                  <w:rFonts w:ascii="Cambria Math" w:hAnsi="Cambria Math"/>
                </w:rPr>
                <m:t xml:space="preserve">4</m:t>
              </m:r>
              <m:r>
                <w:rPr>
                  <w:rFonts w:ascii="Cambria Math" w:hAnsi="Cambria Math"/>
                </w:rPr>
                <m:t xml:space="preserve">π</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m:rPr>
                              <m:lit/>
                              <m:nor/>
                            </m:rPr>
                            <w:rPr>
                              <w:rFonts w:ascii="Cambria Math" w:hAnsi="Cambria Math"/>
                            </w:rPr>
                            <m:t xml:space="preserve">EIRP</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EIRP</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rPr/>
      </w:pPr>
      <w:r>
        <w:rPr/>
        <w:t>In gain form the TRP can be expressed as:</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Γ</m:t>
              </m:r>
            </m:e>
            <m:sub>
              <m:r>
                <m:rPr>
                  <m:lit/>
                  <m:nor/>
                </m:rPr>
                <w:rPr>
                  <w:rFonts w:ascii="Cambria Math" w:hAnsi="Cambria Math"/>
                </w:rPr>
                <m:t xml:space="preserve">TRP</m:t>
              </m:r>
            </m:sub>
          </m:sSub>
          <m:r>
            <w:rPr>
              <w:rFonts w:ascii="Cambria Math" w:hAnsi="Cambria Math"/>
            </w:rPr>
            <m:t xml:space="preserve">≈</m:t>
          </m:r>
          <m:f>
            <m:num>
              <m:sSub>
                <m:e>
                  <m:r>
                    <w:rPr>
                      <w:rFonts w:ascii="Cambria Math" w:hAnsi="Cambria Math"/>
                    </w:rPr>
                    <m:t xml:space="preserve">Δ</m:t>
                  </m:r>
                </m:e>
                <m:sub>
                  <m:r>
                    <w:rPr>
                      <w:rFonts w:ascii="Cambria Math" w:hAnsi="Cambria Math"/>
                    </w:rPr>
                    <m:t xml:space="preserve">θ</m:t>
                  </m:r>
                </m:sub>
              </m:sSub>
              <m:sSub>
                <m:e>
                  <m:r>
                    <w:rPr>
                      <w:rFonts w:ascii="Cambria Math" w:hAnsi="Cambria Math"/>
                    </w:rPr>
                    <m:t xml:space="preserve">Δ</m:t>
                  </m:r>
                </m:e>
                <m:sub>
                  <m:r>
                    <w:rPr>
                      <w:rFonts w:ascii="Cambria Math" w:hAnsi="Cambria Math"/>
                    </w:rPr>
                    <m:t xml:space="preserve">ϕ</m:t>
                  </m:r>
                </m:sub>
              </m:sSub>
            </m:num>
            <m:den>
              <m:r>
                <w:rPr>
                  <w:rFonts w:ascii="Cambria Math" w:hAnsi="Cambria Math"/>
                </w:rPr>
                <m:t xml:space="preserve">4</m:t>
              </m:r>
              <m:r>
                <w:rPr>
                  <w:rFonts w:ascii="Cambria Math" w:hAnsi="Cambria Math"/>
                </w:rPr>
                <m:t xml:space="preserve">π</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rPr/>
      </w:pPr>
      <w:r>
        <w:rPr/>
        <w:t xml:space="preserve">In these formulas </w:t>
      </w:r>
      <w:r>
        <w:rPr/>
      </w:r>
      <m:oMath xmlns:m="http://schemas.openxmlformats.org/officeDocument/2006/math">
        <m:sSub>
          <m:e>
            <m:r>
              <w:rPr>
                <w:rFonts w:ascii="Cambria Math" w:hAnsi="Cambria Math"/>
              </w:rPr>
              <m:t xml:space="preserve">Δ</m:t>
            </m:r>
          </m:e>
          <m:sub>
            <m:r>
              <w:rPr>
                <w:rFonts w:ascii="Cambria Math" w:hAnsi="Cambria Math"/>
              </w:rPr>
              <m:t xml:space="preserve">θ</m:t>
            </m:r>
          </m:sub>
        </m:sSub>
        <m:r>
          <w:rPr>
            <w:rFonts w:ascii="Cambria Math" w:hAnsi="Cambria Math"/>
          </w:rPr>
          <m:t xml:space="preserve">=</m:t>
        </m:r>
        <m:f>
          <m:fPr>
            <m:type m:val="lin"/>
          </m:fPr>
          <m:num>
            <m:r>
              <w:rPr>
                <w:rFonts w:ascii="Cambria Math" w:hAnsi="Cambria Math"/>
              </w:rPr>
              <m:t xml:space="preserve">π</m:t>
            </m:r>
          </m:num>
          <m:den>
            <m:r>
              <w:rPr>
                <w:rFonts w:ascii="Cambria Math" w:hAnsi="Cambria Math"/>
              </w:rPr>
              <m:t xml:space="preserve">(</m:t>
            </m:r>
          </m:den>
        </m:f>
        <m:r>
          <w:rPr>
            <w:rFonts w:ascii="Cambria Math" w:hAnsi="Cambria Math"/>
          </w:rPr>
          <m:t xml:space="preserve">N</m:t>
        </m:r>
        <m:r>
          <w:rPr>
            <w:rFonts w:ascii="Cambria Math" w:hAnsi="Cambria Math"/>
          </w:rPr>
          <m:t xml:space="preserve">)</m:t>
        </m:r>
      </m:oMath>
      <w:r>
        <w:rPr/>
        <w:t xml:space="preserve"> and </w:t>
      </w:r>
      <w:r>
        <w:rPr/>
      </w:r>
      <m:oMath xmlns:m="http://schemas.openxmlformats.org/officeDocument/2006/math">
        <m:sSub>
          <m:e>
            <m:r>
              <w:rPr>
                <w:rFonts w:ascii="Cambria Math" w:hAnsi="Cambria Math"/>
              </w:rPr>
              <m:t xml:space="preserve">Δ</m:t>
            </m:r>
          </m:e>
          <m:sub>
            <m:r>
              <w:rPr>
                <w:rFonts w:ascii="Cambria Math" w:hAnsi="Cambria Math"/>
              </w:rPr>
              <m:t xml:space="preserve">ϕ</m:t>
            </m:r>
          </m:sub>
        </m:sSub>
        <m:r>
          <w:rPr>
            <w:rFonts w:ascii="Cambria Math" w:hAnsi="Cambria Math"/>
          </w:rPr>
          <m:t xml:space="preserve">=</m:t>
        </m:r>
        <m:r>
          <w:rPr>
            <w:rFonts w:ascii="Cambria Math" w:hAnsi="Cambria Math"/>
          </w:rPr>
          <m:t xml:space="preserve">2</m:t>
        </m:r>
        <m:f>
          <m:fPr>
            <m:type m:val="lin"/>
          </m:fPr>
          <m:num>
            <m:r>
              <w:rPr>
                <w:rFonts w:ascii="Cambria Math" w:hAnsi="Cambria Math"/>
              </w:rPr>
              <m:t xml:space="preserve">π</m:t>
            </m:r>
          </m:num>
          <m:den>
            <m:r>
              <w:rPr>
                <w:rFonts w:ascii="Cambria Math" w:hAnsi="Cambria Math"/>
              </w:rPr>
              <m:t xml:space="preserve">M</m:t>
            </m:r>
          </m:den>
        </m:f>
      </m:oMath>
      <w:r>
        <w:rPr/>
        <w:t xml:space="preserve"> are the sampling intervals for the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-angles, respectively, and the number of samples in the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-angles are given by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respectively. The sampling points of the sphere are given by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nΔ</m:t>
            </m:r>
          </m:e>
          <m:sub>
            <m:r>
              <w:rPr>
                <w:rFonts w:ascii="Cambria Math" w:hAnsi="Cambria Math"/>
              </w:rPr>
              <m:t xml:space="preserve">θ</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sSub>
          <m:e>
            <m:r>
              <w:rPr>
                <w:rFonts w:ascii="Cambria Math" w:hAnsi="Cambria Math"/>
              </w:rPr>
              <m:t xml:space="preserve">mΔ</m:t>
            </m:r>
          </m:e>
          <m:sub>
            <m:r>
              <w:rPr>
                <w:rFonts w:ascii="Cambria Math" w:hAnsi="Cambria Math"/>
              </w:rPr>
              <m:t xml:space="preserve">ϕ</m:t>
            </m:r>
          </m:sub>
        </m:sSub>
      </m:oMath>
      <w:r>
        <w:rPr/>
        <w:t xml:space="preserve">. The sampling intervals are discussed further in Section 4.4. </w:t>
      </w:r>
    </w:p>
    <w:p>
      <w:pPr>
        <w:pStyle w:val="Normal"/>
        <w:rPr/>
      </w:pPr>
      <w:r>
        <w:rPr/>
        <w:t>When measuring power radiated by active devices, expressing the data in terms of EIRP is more appropriate. The upper form of the TRP formulas (which includes EIRP terms) will be used in the data processing.</w:t>
      </w:r>
    </w:p>
    <w:p>
      <w:pPr>
        <w:pStyle w:val="Normal"/>
        <w:rPr/>
      </w:pPr>
      <w:r>
        <w:rPr/>
        <w:t>The requirements and this test apply to all types of LTE UEs independent of release.</w:t>
      </w:r>
    </w:p>
    <w:p>
      <w:pPr>
        <w:pStyle w:val="Heading4"/>
        <w:ind w:left="1418" w:hanging="1418"/>
        <w:rPr/>
      </w:pPr>
      <w:bookmarkStart w:id="122" w:name="__RefHeading___Toc68601058"/>
      <w:bookmarkEnd w:id="122"/>
      <w:r>
        <w:rPr/>
        <w:t>6.1.9.2</w:t>
        <w:tab/>
        <w:t>Minimum Requirements</w:t>
      </w:r>
    </w:p>
    <w:p>
      <w:pPr>
        <w:pStyle w:val="Normal"/>
        <w:jc w:val="both"/>
        <w:rPr/>
      </w:pPr>
      <w:r>
        <w:rPr/>
        <w:t xml:space="preserve"> </w:t>
      </w:r>
      <w:r>
        <w:rPr/>
        <w:t>The average TRP of low, mid and high channel in hand phantom browsing mode position shall be higher than minimum performance requirements for roaming bands shown in Table 6.1.9.2-1. The averaging shall be done in linear scale for the TRP results of both right and left hand phantom measurements.</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num>
                <m:den>
                  <m:r>
                    <w:rPr>
                      <w:rFonts w:ascii="Cambria Math" w:hAnsi="Cambria Math"/>
                    </w:rPr>
                    <m:t xml:space="preserve">6</m:t>
                  </m:r>
                </m:den>
              </m:f>
            </m:e>
          </m:d>
        </m:oMath>
      </m:oMathPara>
    </w:p>
    <w:p>
      <w:pPr>
        <w:pStyle w:val="Normal"/>
        <w:rPr/>
      </w:pPr>
      <w:r>
        <w:rPr/>
        <w:t>In addition the minimum TRP of each measured channel in hand phantom browsing mode position shall be higher than minimum performance requirements shown in the columns “Min”.</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min</m:t>
          </m:r>
          <m:d>
            <m:dPr>
              <m:begChr m:val="["/>
              <m:endChr m:val="]"/>
            </m:dPr>
            <m:e>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e>
          </m:d>
        </m:oMath>
      </m:oMathPara>
    </w:p>
    <w:p>
      <w:pPr>
        <w:pStyle w:val="TH"/>
        <w:rPr/>
      </w:pPr>
      <w:r>
        <w:rPr/>
        <w:t>Table 6.1.9.2-1: TRP minimum performance requirement for E-UTRA FDD roaming bands in hand phantom browsing mode position</w:t>
      </w:r>
    </w:p>
    <w:p>
      <w:pPr>
        <w:pStyle w:val="Normal"/>
        <w:rPr>
          <w:b/>
          <w:b/>
        </w:rPr>
      </w:pPr>
      <w:r>
        <w:rPr/>
        <w:t>TBD</w:t>
      </w:r>
    </w:p>
    <w:p>
      <w:pPr>
        <w:pStyle w:val="Normal"/>
        <w:rPr/>
      </w:pPr>
      <w:r>
        <w:rPr/>
        <w:t>The normative reference for this clause is TS37.144 [12] Subclause 6.1.3.3.</w:t>
      </w:r>
    </w:p>
    <w:p>
      <w:pPr>
        <w:pStyle w:val="Heading4"/>
        <w:ind w:left="1418" w:hanging="1418"/>
        <w:rPr/>
      </w:pPr>
      <w:bookmarkStart w:id="123" w:name="__RefHeading___Toc68601059"/>
      <w:bookmarkEnd w:id="123"/>
      <w:r>
        <w:rPr/>
        <w:t>6.1.9.3</w:t>
        <w:tab/>
        <w:t>Test purpose</w:t>
      </w:r>
    </w:p>
    <w:p>
      <w:pPr>
        <w:pStyle w:val="Normal"/>
        <w:rPr/>
      </w:pPr>
      <w:r>
        <w:rPr/>
        <w:t xml:space="preserve">The purpose of this test is to verify that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 xml:space="preserve">of the UE is not below specified values. A lower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decrease the coverage area.</w:t>
      </w:r>
    </w:p>
    <w:p>
      <w:pPr>
        <w:pStyle w:val="Heading4"/>
        <w:ind w:left="1418" w:hanging="1418"/>
        <w:rPr/>
      </w:pPr>
      <w:bookmarkStart w:id="124" w:name="__RefHeading___Toc68601060"/>
      <w:bookmarkEnd w:id="124"/>
      <w:r>
        <w:rPr/>
        <w:t>6.1.9.4</w:t>
        <w:tab/>
        <w:t>Method of test</w:t>
      </w:r>
    </w:p>
    <w:p>
      <w:pPr>
        <w:pStyle w:val="Heading4"/>
        <w:ind w:left="1418" w:hanging="1418"/>
        <w:rPr/>
      </w:pPr>
      <w:bookmarkStart w:id="125" w:name="__RefHeading___Toc68601061"/>
      <w:bookmarkEnd w:id="125"/>
      <w:r>
        <w:rPr/>
        <w:t>6.1.9.4.1</w:t>
        <w:tab/>
        <w:t>Initial conditions</w:t>
      </w:r>
    </w:p>
    <w:p>
      <w:pPr>
        <w:pStyle w:val="Normal"/>
        <w:rPr/>
      </w:pPr>
      <w:r>
        <w:rPr/>
        <w:t xml:space="preserve">A radio communications tester or a corresponding device is used as a NB simulator to setup calls to the DUT. The NB/BS simulator may also measure the radiated power samples. Alternatively, a measurement receiver or spectrum analyzer may be used for that purpose. </w:t>
      </w:r>
    </w:p>
    <w:p>
      <w:pPr>
        <w:pStyle w:val="Normal"/>
        <w:rPr/>
      </w:pPr>
      <w:r>
        <w:rPr/>
        <w:t>The maximum output power for different UE power classes are defined in 3GPP TS 36.521-1 [11] Subclause 6.2.2 for any transmission bandwidth within the channel bandwidth. Also care should be taken that the noise floor of the measurement receiver is not disturbing the power measurement.</w:t>
      </w:r>
    </w:p>
    <w:p>
      <w:pPr>
        <w:pStyle w:val="Normal"/>
        <w:rPr/>
      </w:pPr>
      <w:r>
        <w:rPr/>
        <w:t>Chamber environment constraints and coordinate system shall be the same as described in Subclause A.3.</w:t>
      </w:r>
    </w:p>
    <w:p>
      <w:pPr>
        <w:pStyle w:val="Normal"/>
        <w:rPr>
          <w:lang w:eastAsia="zh-CN"/>
        </w:rPr>
      </w:pPr>
      <w:r>
        <w:rPr/>
        <w:t>Phantom Specifications shall be the same as described in Subclause A.2.2.</w:t>
      </w:r>
    </w:p>
    <w:p>
      <w:pPr>
        <w:pStyle w:val="Normal"/>
        <w:rPr/>
      </w:pPr>
      <w:r>
        <w:rPr/>
        <w:t>Test environment: normal; see TS36.508 [10] Subclause 4.1.1.</w:t>
      </w:r>
    </w:p>
    <w:p>
      <w:pPr>
        <w:pStyle w:val="Normal"/>
        <w:rPr/>
      </w:pPr>
      <w:r>
        <w:rPr/>
        <w:t xml:space="preserve">Frequencies to be tested: low range, mid range, high range; see Table 5.3-1. </w:t>
      </w:r>
    </w:p>
    <w:p>
      <w:pPr>
        <w:pStyle w:val="Normal"/>
        <w:rPr/>
      </w:pPr>
      <w:r>
        <w:rPr/>
        <w:t>Positioning Requirements shall be the same as described in Subclause 4.3.</w:t>
      </w:r>
    </w:p>
    <w:p>
      <w:pPr>
        <w:pStyle w:val="Normal"/>
        <w:ind w:left="568" w:hanging="284"/>
        <w:rPr/>
      </w:pPr>
      <w:r>
        <w:rPr/>
        <w:t>1)</w:t>
        <w:tab/>
        <w:t>Position the UE according to the DUT positioning for hand phantom browsing mode specified in Subclause 4.3.4.</w:t>
      </w:r>
    </w:p>
    <w:p>
      <w:pPr>
        <w:pStyle w:val="Normal"/>
        <w:ind w:left="568" w:hanging="284"/>
        <w:rPr/>
      </w:pPr>
      <w:r>
        <w:rPr/>
        <w:t>2)</w:t>
        <w:tab/>
        <w:t>Power on the UE.</w:t>
      </w:r>
    </w:p>
    <w:p>
      <w:pPr>
        <w:pStyle w:val="Normal"/>
        <w:ind w:left="568" w:hanging="284"/>
        <w:rPr/>
      </w:pPr>
      <w:r>
        <w:rPr/>
        <w:t>3)</w:t>
        <w:tab/>
        <w:t>Set the initial conditions as per Subclause 6.2.2 of 3GPP TS 36.521-1 [11], with the following exception: set the carrier frequency, channel bandwidth, RB length and RB location as per Table 5.3-1 for FDD mode.</w:t>
      </w:r>
    </w:p>
    <w:p>
      <w:pPr>
        <w:pStyle w:val="Heading4"/>
        <w:ind w:left="1418" w:hanging="1418"/>
        <w:rPr/>
      </w:pPr>
      <w:bookmarkStart w:id="126" w:name="__RefHeading___Toc68601062"/>
      <w:bookmarkEnd w:id="126"/>
      <w:r>
        <w:rPr/>
        <w:t>6.1.9.4.2</w:t>
        <w:tab/>
        <w:t>Procedure</w:t>
      </w:r>
    </w:p>
    <w:p>
      <w:pPr>
        <w:pStyle w:val="Normal"/>
        <w:ind w:left="568" w:hanging="284"/>
        <w:rPr/>
      </w:pPr>
      <w:r>
        <w:rPr/>
        <w:t>1)</w:t>
        <w:tab/>
        <w:t>Follow Steps 1 and 2 in section 6.2.2.4.2 of 3GPP TS 36.521-1 [11] and ensure that the DUT transmits with its maximum power.</w:t>
      </w:r>
    </w:p>
    <w:p>
      <w:pPr>
        <w:pStyle w:val="Normal"/>
        <w:ind w:left="568" w:hanging="284"/>
        <w:rPr/>
      </w:pPr>
      <w:r>
        <w:rPr/>
        <w:t>2)</w:t>
        <w:tab/>
        <w:t>For the anechoic chamber based methodologies, measure the spherical effective isotropic radiated power (EIRP) pattern following the sampling grid specified in Subclause 4.4. Calculate the TRP using the EIRP pattern data as per Subclause 6.1.9.1.</w:t>
      </w:r>
    </w:p>
    <w:p>
      <w:pPr>
        <w:pStyle w:val="Normal"/>
        <w:ind w:left="568" w:hanging="284"/>
        <w:rPr/>
      </w:pPr>
      <w:r>
        <w:rPr/>
        <w:t>3)</w:t>
        <w:tab/>
        <w:t>Repeat the measurement of the DUT using the left and right hand phantom for low, mid and high channels.</w:t>
      </w:r>
    </w:p>
    <w:p>
      <w:pPr>
        <w:pStyle w:val="Normal"/>
        <w:ind w:left="568" w:hanging="284"/>
        <w:rPr/>
      </w:pPr>
      <w:r>
        <w:rPr/>
        <w:t>4)</w:t>
        <w:tab/>
        <w:t>Calculate the average and minimum TRP as per Subclause 6.1.9.2.</w:t>
      </w:r>
    </w:p>
    <w:p>
      <w:pPr>
        <w:pStyle w:val="Heading4"/>
        <w:ind w:left="1418" w:hanging="1418"/>
        <w:rPr/>
      </w:pPr>
      <w:bookmarkStart w:id="127" w:name="__RefHeading___Toc68601063"/>
      <w:bookmarkEnd w:id="127"/>
      <w:r>
        <w:rPr/>
        <w:t>6.1.9.4.3</w:t>
        <w:tab/>
        <w:t>Procedure, reverberation chamber method</w:t>
      </w:r>
    </w:p>
    <w:p>
      <w:pPr>
        <w:pStyle w:val="Normal"/>
        <w:rPr/>
      </w:pPr>
      <w:r>
        <w:rPr/>
        <w:t>TBD</w:t>
      </w:r>
    </w:p>
    <w:p>
      <w:pPr>
        <w:pStyle w:val="Heading4"/>
        <w:ind w:left="1418" w:hanging="1418"/>
        <w:rPr/>
      </w:pPr>
      <w:bookmarkStart w:id="128" w:name="__RefHeading___Toc68601064"/>
      <w:bookmarkEnd w:id="128"/>
      <w:r>
        <w:rPr/>
        <w:t>6.1.9.5</w:t>
        <w:tab/>
        <w:t>Test requirements</w:t>
      </w:r>
    </w:p>
    <w:p>
      <w:pPr>
        <w:pStyle w:val="Normal"/>
        <w:jc w:val="both"/>
        <w:rPr/>
      </w:pPr>
      <w:r>
        <w:rPr/>
        <w:t>The average TRP of low, mid and high channel in hand phantom browsing mode position shall be higher than test performance requirements for roaming bands shown in Table 6.1.9.5-1. The averaging shall be done in linear scale for the TRP results of both right and left hand phantom measurements.</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num>
                <m:den>
                  <m:r>
                    <w:rPr>
                      <w:rFonts w:ascii="Cambria Math" w:hAnsi="Cambria Math"/>
                    </w:rPr>
                    <m:t xml:space="preserve">6</m:t>
                  </m:r>
                </m:den>
              </m:f>
            </m:e>
          </m:d>
        </m:oMath>
      </m:oMathPara>
    </w:p>
    <w:p>
      <w:pPr>
        <w:pStyle w:val="Normal"/>
        <w:rPr/>
      </w:pPr>
      <w:r>
        <w:rPr/>
        <w:t>In addition the minimum TRP of each measured channel in hand phantom browsing mode position shall be higher than minimum performance requirements shown in the columns “Min”.</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min</m:t>
          </m:r>
          <m:d>
            <m:dPr>
              <m:begChr m:val="["/>
              <m:endChr m:val="]"/>
            </m:dPr>
            <m:e>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e>
          </m:d>
        </m:oMath>
      </m:oMathPara>
    </w:p>
    <w:p>
      <w:pPr>
        <w:pStyle w:val="Normal"/>
        <w:keepNext w:val="true"/>
        <w:keepLines/>
        <w:spacing w:before="60" w:after="180"/>
        <w:jc w:val="center"/>
        <w:rPr>
          <w:rFonts w:ascii="Arial" w:hAnsi="Arial" w:cs="Arial"/>
          <w:b/>
          <w:b/>
        </w:rPr>
      </w:pPr>
      <w:r>
        <w:rPr>
          <w:rFonts w:cs="Arial" w:ascii="Arial" w:hAnsi="Arial"/>
          <w:b/>
        </w:rPr>
        <w:t>Table 6.1.9.5-1: TRP test requirement for E-UTRA FDD roaming bands in hand phantom browsing mode position</w:t>
      </w:r>
    </w:p>
    <w:p>
      <w:pPr>
        <w:pStyle w:val="Normal"/>
        <w:rPr>
          <w:b/>
          <w:b/>
        </w:rPr>
      </w:pPr>
      <w:r>
        <w:rPr/>
        <w:t>TBD</w:t>
      </w:r>
    </w:p>
    <w:p>
      <w:pPr>
        <w:pStyle w:val="NO"/>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Heading3"/>
        <w:rPr/>
      </w:pPr>
      <w:bookmarkStart w:id="129" w:name="__RefHeading___Toc68601065"/>
      <w:bookmarkEnd w:id="129"/>
      <w:r>
        <w:rPr/>
        <w:t>6.1.10</w:t>
        <w:tab/>
        <w:t>Total Radiated Power (TRP) for E-UTRA TDD in Browsing Mode with Hand Phantom</w:t>
      </w:r>
    </w:p>
    <w:p>
      <w:pPr>
        <w:pStyle w:val="EditorsNote"/>
        <w:rPr/>
      </w:pPr>
      <w:r>
        <w:rPr/>
        <w:t>Editor’s notes: This subclause is incomplete. The following items are missing or incomplete:</w:t>
      </w:r>
    </w:p>
    <w:p>
      <w:pPr>
        <w:pStyle w:val="EditorsNote"/>
        <w:rPr/>
      </w:pPr>
      <w:r>
        <w:rPr/>
        <w:t>- Minimum requirements are not specified in TS 37.144 yet</w:t>
      </w:r>
    </w:p>
    <w:p>
      <w:pPr>
        <w:pStyle w:val="EditorsNote"/>
        <w:rPr/>
      </w:pPr>
      <w:r>
        <w:rPr/>
        <w:t>- Text for Subclause Procedure, reverberation chamber method</w:t>
      </w:r>
    </w:p>
    <w:p>
      <w:pPr>
        <w:pStyle w:val="EditorsNote"/>
        <w:rPr/>
      </w:pPr>
      <w:r>
        <w:rPr/>
        <w:t>- Test requirements are to be determined</w:t>
      </w:r>
    </w:p>
    <w:p>
      <w:pPr>
        <w:pStyle w:val="Heading4"/>
        <w:ind w:left="1418" w:hanging="1418"/>
        <w:rPr/>
      </w:pPr>
      <w:bookmarkStart w:id="130" w:name="__RefHeading___Toc68601066"/>
      <w:bookmarkEnd w:id="130"/>
      <w:r>
        <w:rPr/>
        <w:t>6.1.10.1</w:t>
        <w:tab/>
        <w:t>Definition and applicability</w:t>
      </w:r>
    </w:p>
    <w:p>
      <w:pPr>
        <w:pStyle w:val="Normal"/>
        <w:rPr/>
      </w:pPr>
      <w:r>
        <w:rPr/>
        <w:t>The Total Radiated Power (TRP) is a measure of how much power the antenna actually radiates, when non-idealities such as mismatch and losses in the antenna are taken into account. The TRP is defined as the integral of the power transmitted in different directions over the entire radiation sphere:</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m:rPr>
                  <m:lit/>
                  <m:nor/>
                </m:rPr>
                <w:rPr>
                  <w:rFonts w:ascii="Cambria Math" w:hAnsi="Cambria Math"/>
                </w:rPr>
                <m:t xml:space="preserve">TRP</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4</m:t>
              </m:r>
              <m:r>
                <w:rPr>
                  <w:rFonts w:ascii="Cambria Math" w:hAnsi="Cambria Math"/>
                </w:rPr>
                <m:t xml:space="preserve">π</m:t>
              </m:r>
            </m:den>
          </m:f>
          <m:nary>
            <m:naryPr>
              <m:chr m:val="∮"/>
              <m:subHide m:val="1"/>
              <m:supHide m:val="1"/>
            </m:naryPr>
            <m:sub/>
            <m:sup/>
            <m:e>
              <m:d>
                <m:dPr>
                  <m:begChr m:val="("/>
                  <m:endChr m:val=")"/>
                </m:dPr>
                <m:e>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e>
              </m:d>
            </m:e>
          </m:nary>
          <m:r>
            <w:rPr>
              <w:rFonts w:ascii="Cambria Math" w:hAnsi="Cambria Math"/>
            </w:rPr>
            <m:t xml:space="preserve">d</m:t>
          </m:r>
          <m:r>
            <w:rPr>
              <w:rFonts w:ascii="Cambria Math" w:hAnsi="Cambria Math"/>
            </w:rPr>
            <m:t xml:space="preserve">Ω</m:t>
          </m:r>
        </m:oMath>
      </m:oMathPara>
    </w:p>
    <w:p>
      <w:pPr>
        <w:pStyle w:val="Normal"/>
        <w:rPr/>
      </w:pPr>
      <w:r>
        <w:rPr/>
        <w:t xml:space="preserve">Using </w:t>
      </w:r>
      <w:r>
        <w:rPr/>
      </w:r>
      <m:oMath xmlns:m="http://schemas.openxmlformats.org/officeDocument/2006/math">
        <m:r>
          <w:rPr>
            <w:rFonts w:ascii="Cambria Math" w:hAnsi="Cambria Math"/>
          </w:rPr>
          <m:t xml:space="preserve">ψ</m:t>
        </m:r>
      </m:oMath>
      <w:r>
        <w:rPr/>
        <w:t xml:space="preserve"> to denote either </w:t>
      </w:r>
      <w:r>
        <w:rPr/>
      </w:r>
      <m:oMath xmlns:m="http://schemas.openxmlformats.org/officeDocument/2006/math">
        <m:r>
          <w:rPr>
            <w:rFonts w:ascii="Cambria Math" w:hAnsi="Cambria Math"/>
          </w:rPr>
          <m:t xml:space="preserve">θ</m:t>
        </m:r>
      </m:oMath>
      <w:r>
        <w:rPr/>
        <w:t xml:space="preserve"> or </w:t>
      </w:r>
      <w:r>
        <w:rPr/>
      </w:r>
      <m:oMath xmlns:m="http://schemas.openxmlformats.org/officeDocument/2006/math">
        <m:r>
          <w:rPr>
            <w:rFonts w:ascii="Cambria Math" w:hAnsi="Cambria Math"/>
          </w:rPr>
          <m:t xml:space="preserve">ϕ</m:t>
        </m:r>
      </m:oMath>
      <w:r>
        <w:rPr/>
        <w:t xml:space="preserve">, </w:t>
      </w:r>
      <w:r>
        <w:rPr/>
      </w:r>
      <m:oMath xmlns:m="http://schemas.openxmlformats.org/officeDocument/2006/math">
        <m:sSub>
          <m:e>
            <m:r>
              <w:rPr>
                <w:rFonts w:ascii="Cambria Math" w:hAnsi="Cambria Math"/>
              </w:rPr>
              <m:t xml:space="preserve">G</m:t>
            </m:r>
          </m:e>
          <m:sub>
            <m:r>
              <w:rPr>
                <w:rFonts w:ascii="Cambria Math" w:hAnsi="Cambria Math"/>
              </w:rPr>
              <m:t xml:space="preserve">ψ</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oMath>
      <w:r>
        <w:rPr/>
        <w:t xml:space="preserve">is the </w:t>
      </w:r>
      <w:r>
        <w:rPr/>
      </w:r>
      <m:oMath xmlns:m="http://schemas.openxmlformats.org/officeDocument/2006/math">
        <m:r>
          <w:rPr>
            <w:rFonts w:ascii="Cambria Math" w:hAnsi="Cambria Math"/>
          </w:rPr>
          <m:t xml:space="preserve">ψ</m:t>
        </m:r>
      </m:oMath>
      <w:r>
        <w:rPr/>
        <w:t xml:space="preserve">-polarization component of the gain pattern for the handset antenna measured at the frequency </w:t>
      </w:r>
      <w:r>
        <w:rPr/>
      </w:r>
      <m:oMath xmlns:m="http://schemas.openxmlformats.org/officeDocument/2006/math">
        <m:r>
          <w:rPr>
            <w:rFonts w:ascii="Cambria Math" w:hAnsi="Cambria Math"/>
          </w:rPr>
          <m:t xml:space="preserve">f</m:t>
        </m:r>
      </m:oMath>
      <w:r>
        <w:rPr/>
        <w:t xml:space="preserve">, where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oMath>
      <w:r>
        <w:rPr/>
        <w:t xml:space="preserve">is the transmit power level of the handset so that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ψ</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oMath>
      <w:r>
        <w:rPr/>
        <w:t xml:space="preserve">is the actually transmitted power-level, also known as EIRP, in the </w:t>
      </w:r>
      <w:r>
        <w:rPr/>
      </w:r>
      <m:oMath xmlns:m="http://schemas.openxmlformats.org/officeDocument/2006/math">
        <m:r>
          <w:rPr>
            <w:rFonts w:ascii="Cambria Math" w:hAnsi="Cambria Math"/>
          </w:rPr>
          <m:t xml:space="preserve">ψ</m:t>
        </m:r>
      </m:oMath>
      <w:r>
        <w:rPr/>
        <w:t xml:space="preserve">-polarization and in the direction </w:t>
      </w:r>
      <w:r>
        <w:rPr/>
      </w:r>
      <m:oMath xmlns:m="http://schemas.openxmlformats.org/officeDocument/2006/math">
        <m:r>
          <w:rPr>
            <w:rFonts w:ascii="Cambria Math" w:hAnsi="Cambria Math"/>
          </w:rPr>
          <m:t xml:space="preserve">Ω</m:t>
        </m:r>
      </m:oMath>
      <w:r>
        <w:rPr/>
        <w:t xml:space="preserve"> for frequency </w:t>
      </w:r>
      <w:r>
        <w:rPr/>
      </w:r>
      <m:oMath xmlns:m="http://schemas.openxmlformats.org/officeDocument/2006/math">
        <m:r>
          <w:rPr>
            <w:rFonts w:ascii="Cambria Math" w:hAnsi="Cambria Math"/>
          </w:rPr>
          <m:t xml:space="preserve">f</m:t>
        </m:r>
      </m:oMath>
      <w:r>
        <w:rPr/>
        <w:t>.</w:t>
      </w:r>
    </w:p>
    <w:p>
      <w:pPr>
        <w:pStyle w:val="Normal"/>
        <w:rPr/>
      </w:pPr>
      <w:r>
        <w:rPr/>
        <w:t>The above equation may be written in "gain" form, that is, the TRP given by P</w:t>
      </w:r>
      <w:r>
        <w:rPr>
          <w:vertAlign w:val="subscript"/>
        </w:rPr>
        <w:t>TRP</w:t>
      </w:r>
      <w:r>
        <w:rPr/>
        <w:t xml:space="preserve"> is normalized to the transmitted power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oMath>
      <w:r>
        <w:rPr/>
        <w:t>. This is the total radiation efficiency, which can also be denoted as Total Radiated Power Gain, TRPG,</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Γ</m:t>
              </m:r>
            </m:e>
            <m:sub>
              <m:r>
                <m:rPr>
                  <m:lit/>
                  <m:nor/>
                </m:rPr>
                <w:rPr>
                  <w:rFonts w:ascii="Cambria Math" w:hAnsi="Cambria Math"/>
                </w:rPr>
                <m:t xml:space="preserve">TRP</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4</m:t>
              </m:r>
              <m:r>
                <w:rPr>
                  <w:rFonts w:ascii="Cambria Math" w:hAnsi="Cambria Math"/>
                </w:rPr>
                <m:t xml:space="preserve">π</m:t>
              </m:r>
            </m:den>
          </m:f>
          <m:nary>
            <m:naryPr>
              <m:chr m:val="∮"/>
              <m:subHide m:val="1"/>
              <m:supHide m:val="1"/>
            </m:naryPr>
            <m:sub/>
            <m:sup/>
            <m:e>
              <m:d>
                <m:dPr>
                  <m:begChr m:val="("/>
                  <m:endChr m:val=")"/>
                </m:dPr>
                <m:e>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e>
              </m:d>
            </m:e>
          </m:nary>
          <m:r>
            <w:rPr>
              <w:rFonts w:ascii="Cambria Math" w:hAnsi="Cambria Math"/>
            </w:rPr>
            <m:t xml:space="preserve">d</m:t>
          </m:r>
          <m:r>
            <w:rPr>
              <w:rFonts w:ascii="Cambria Math" w:hAnsi="Cambria Math"/>
            </w:rPr>
            <m:t xml:space="preserve">Ω</m:t>
          </m:r>
        </m:oMath>
      </m:oMathPara>
    </w:p>
    <w:p>
      <w:pPr>
        <w:pStyle w:val="Normal"/>
        <w:rPr/>
      </w:pPr>
      <w:r>
        <w:rPr/>
        <w:t xml:space="preserve">In practice discrete samples of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ψ</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oMath>
      <w:r>
        <w:rPr/>
        <w:t xml:space="preserve"> are measured and used to approximate the integral so that the TRP is computed as</w:t>
      </w:r>
    </w:p>
    <w:p>
      <w:pPr>
        <w:pStyle w:val="EQ"/>
        <w:tabs>
          <w:tab w:val="clear" w:pos="9072"/>
          <w:tab w:val="center" w:pos="4536" w:leader="none"/>
          <w:tab w:val="right" w:pos="7938" w:leader="none"/>
        </w:tabs>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m:rPr>
                  <m:lit/>
                  <m:nor/>
                </m:rPr>
                <w:rPr>
                  <w:rFonts w:ascii="Cambria Math" w:hAnsi="Cambria Math"/>
                </w:rPr>
                <m:t xml:space="preserve">TRP</m:t>
              </m:r>
            </m:sub>
          </m:sSub>
          <m:r>
            <w:rPr>
              <w:rFonts w:ascii="Cambria Math" w:hAnsi="Cambria Math"/>
            </w:rPr>
            <m:t xml:space="preserve">≈</m:t>
          </m:r>
          <m:f>
            <m:num>
              <m:sSub>
                <m:e>
                  <m:r>
                    <w:rPr>
                      <w:rFonts w:ascii="Cambria Math" w:hAnsi="Cambria Math"/>
                    </w:rPr>
                    <m:t xml:space="preserve">Δ</m:t>
                  </m:r>
                </m:e>
                <m:sub>
                  <m:r>
                    <w:rPr>
                      <w:rFonts w:ascii="Cambria Math" w:hAnsi="Cambria Math"/>
                    </w:rPr>
                    <m:t xml:space="preserve">θ</m:t>
                  </m:r>
                </m:sub>
              </m:sSub>
              <m:sSub>
                <m:e>
                  <m:r>
                    <w:rPr>
                      <w:rFonts w:ascii="Cambria Math" w:hAnsi="Cambria Math"/>
                    </w:rPr>
                    <m:t xml:space="preserve">Δ</m:t>
                  </m:r>
                </m:e>
                <m:sub>
                  <m:r>
                    <w:rPr>
                      <w:rFonts w:ascii="Cambria Math" w:hAnsi="Cambria Math"/>
                    </w:rPr>
                    <m:t xml:space="preserve">ϕ</m:t>
                  </m:r>
                </m:sub>
              </m:sSub>
            </m:num>
            <m:den>
              <m:r>
                <w:rPr>
                  <w:rFonts w:ascii="Cambria Math" w:hAnsi="Cambria Math"/>
                </w:rPr>
                <m:t xml:space="preserve">4</m:t>
              </m:r>
              <m:r>
                <w:rPr>
                  <w:rFonts w:ascii="Cambria Math" w:hAnsi="Cambria Math"/>
                </w:rPr>
                <m:t xml:space="preserve">π</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rPr/>
      </w:pPr>
      <w:r>
        <w:rPr/>
        <w:t xml:space="preserve">Or, by using the relation </w:t>
      </w:r>
      <w:r>
        <w:rPr/>
      </w:r>
      <m:oMath xmlns:m="http://schemas.openxmlformats.org/officeDocument/2006/math">
        <m:r>
          <m:rPr>
            <m:lit/>
            <m:nor/>
          </m:rPr>
          <w:rPr>
            <w:rFonts w:ascii="Cambria Math" w:hAnsi="Cambria Math"/>
          </w:rPr>
          <m:t xml:space="preserve">EIRP</m:t>
        </m:r>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tx</m:t>
            </m:r>
          </m:sub>
        </m:sSub>
        <m:r>
          <w:rPr>
            <w:rFonts w:ascii="Cambria Math" w:hAnsi="Cambria Math"/>
          </w:rPr>
          <m:t xml:space="preserve">G</m:t>
        </m:r>
      </m:oMath>
      <w:r>
        <w:rPr/>
        <w:t>:</w:t>
      </w:r>
    </w:p>
    <w:p>
      <w:pPr>
        <w:pStyle w:val="EQ"/>
        <w:tabs>
          <w:tab w:val="clear" w:pos="9072"/>
          <w:tab w:val="center" w:pos="4536" w:leader="none"/>
          <w:tab w:val="right" w:pos="7938" w:leader="none"/>
        </w:tabs>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m:rPr>
                  <m:lit/>
                  <m:nor/>
                </m:rPr>
                <w:rPr>
                  <w:rFonts w:ascii="Cambria Math" w:hAnsi="Cambria Math"/>
                </w:rPr>
                <m:t xml:space="preserve">TRP</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f>
            <m:num>
              <m:sSub>
                <m:e>
                  <m:r>
                    <w:rPr>
                      <w:rFonts w:ascii="Cambria Math" w:hAnsi="Cambria Math"/>
                    </w:rPr>
                    <m:t xml:space="preserve">Δ</m:t>
                  </m:r>
                </m:e>
                <m:sub>
                  <m:r>
                    <w:rPr>
                      <w:rFonts w:ascii="Cambria Math" w:hAnsi="Cambria Math"/>
                    </w:rPr>
                    <m:t xml:space="preserve">θ</m:t>
                  </m:r>
                </m:sub>
              </m:sSub>
              <m:sSub>
                <m:e>
                  <m:r>
                    <w:rPr>
                      <w:rFonts w:ascii="Cambria Math" w:hAnsi="Cambria Math"/>
                    </w:rPr>
                    <m:t xml:space="preserve">Δ</m:t>
                  </m:r>
                </m:e>
                <m:sub>
                  <m:r>
                    <w:rPr>
                      <w:rFonts w:ascii="Cambria Math" w:hAnsi="Cambria Math"/>
                    </w:rPr>
                    <m:t xml:space="preserve">ϕ</m:t>
                  </m:r>
                </m:sub>
              </m:sSub>
            </m:num>
            <m:den>
              <m:r>
                <w:rPr>
                  <w:rFonts w:ascii="Cambria Math" w:hAnsi="Cambria Math"/>
                </w:rPr>
                <m:t xml:space="preserve">4</m:t>
              </m:r>
              <m:r>
                <w:rPr>
                  <w:rFonts w:ascii="Cambria Math" w:hAnsi="Cambria Math"/>
                </w:rPr>
                <m:t xml:space="preserve">π</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m:rPr>
                              <m:lit/>
                              <m:nor/>
                            </m:rPr>
                            <w:rPr>
                              <w:rFonts w:ascii="Cambria Math" w:hAnsi="Cambria Math"/>
                            </w:rPr>
                            <m:t xml:space="preserve">EIRP</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EIRP</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rPr/>
      </w:pPr>
      <w:r>
        <w:rPr/>
        <w:t>In gain form the TRP can be expressed as:</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Γ</m:t>
              </m:r>
            </m:e>
            <m:sub>
              <m:r>
                <m:rPr>
                  <m:lit/>
                  <m:nor/>
                </m:rPr>
                <w:rPr>
                  <w:rFonts w:ascii="Cambria Math" w:hAnsi="Cambria Math"/>
                </w:rPr>
                <m:t xml:space="preserve">TRP</m:t>
              </m:r>
            </m:sub>
          </m:sSub>
          <m:r>
            <w:rPr>
              <w:rFonts w:ascii="Cambria Math" w:hAnsi="Cambria Math"/>
            </w:rPr>
            <m:t xml:space="preserve">≈</m:t>
          </m:r>
          <m:f>
            <m:num>
              <m:sSub>
                <m:e>
                  <m:r>
                    <w:rPr>
                      <w:rFonts w:ascii="Cambria Math" w:hAnsi="Cambria Math"/>
                    </w:rPr>
                    <m:t xml:space="preserve">Δ</m:t>
                  </m:r>
                </m:e>
                <m:sub>
                  <m:r>
                    <w:rPr>
                      <w:rFonts w:ascii="Cambria Math" w:hAnsi="Cambria Math"/>
                    </w:rPr>
                    <m:t xml:space="preserve">θ</m:t>
                  </m:r>
                </m:sub>
              </m:sSub>
              <m:sSub>
                <m:e>
                  <m:r>
                    <w:rPr>
                      <w:rFonts w:ascii="Cambria Math" w:hAnsi="Cambria Math"/>
                    </w:rPr>
                    <m:t xml:space="preserve">Δ</m:t>
                  </m:r>
                </m:e>
                <m:sub>
                  <m:r>
                    <w:rPr>
                      <w:rFonts w:ascii="Cambria Math" w:hAnsi="Cambria Math"/>
                    </w:rPr>
                    <m:t xml:space="preserve">ϕ</m:t>
                  </m:r>
                </m:sub>
              </m:sSub>
            </m:num>
            <m:den>
              <m:r>
                <w:rPr>
                  <w:rFonts w:ascii="Cambria Math" w:hAnsi="Cambria Math"/>
                </w:rPr>
                <m:t xml:space="preserve">4</m:t>
              </m:r>
              <m:r>
                <w:rPr>
                  <w:rFonts w:ascii="Cambria Math" w:hAnsi="Cambria Math"/>
                </w:rPr>
                <m:t xml:space="preserve">π</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rPr/>
      </w:pPr>
      <w:r>
        <w:rPr/>
        <w:t xml:space="preserve">In these formulas </w:t>
      </w:r>
      <w:r>
        <w:rPr/>
      </w:r>
      <m:oMath xmlns:m="http://schemas.openxmlformats.org/officeDocument/2006/math">
        <m:sSub>
          <m:e>
            <m:r>
              <w:rPr>
                <w:rFonts w:ascii="Cambria Math" w:hAnsi="Cambria Math"/>
              </w:rPr>
              <m:t xml:space="preserve">Δ</m:t>
            </m:r>
          </m:e>
          <m:sub>
            <m:r>
              <w:rPr>
                <w:rFonts w:ascii="Cambria Math" w:hAnsi="Cambria Math"/>
              </w:rPr>
              <m:t xml:space="preserve">θ</m:t>
            </m:r>
          </m:sub>
        </m:sSub>
        <m:r>
          <w:rPr>
            <w:rFonts w:ascii="Cambria Math" w:hAnsi="Cambria Math"/>
          </w:rPr>
          <m:t xml:space="preserve">=</m:t>
        </m:r>
        <m:f>
          <m:fPr>
            <m:type m:val="lin"/>
          </m:fPr>
          <m:num>
            <m:r>
              <w:rPr>
                <w:rFonts w:ascii="Cambria Math" w:hAnsi="Cambria Math"/>
              </w:rPr>
              <m:t xml:space="preserve">π</m:t>
            </m:r>
          </m:num>
          <m:den>
            <m:r>
              <w:rPr>
                <w:rFonts w:ascii="Cambria Math" w:hAnsi="Cambria Math"/>
              </w:rPr>
              <m:t xml:space="preserve">(</m:t>
            </m:r>
          </m:den>
        </m:f>
        <m:r>
          <w:rPr>
            <w:rFonts w:ascii="Cambria Math" w:hAnsi="Cambria Math"/>
          </w:rPr>
          <m:t xml:space="preserve">N</m:t>
        </m:r>
        <m:r>
          <w:rPr>
            <w:rFonts w:ascii="Cambria Math" w:hAnsi="Cambria Math"/>
          </w:rPr>
          <m:t xml:space="preserve">)</m:t>
        </m:r>
      </m:oMath>
      <w:r>
        <w:rPr/>
        <w:t xml:space="preserve"> and </w:t>
      </w:r>
      <w:r>
        <w:rPr/>
      </w:r>
      <m:oMath xmlns:m="http://schemas.openxmlformats.org/officeDocument/2006/math">
        <m:sSub>
          <m:e>
            <m:r>
              <w:rPr>
                <w:rFonts w:ascii="Cambria Math" w:hAnsi="Cambria Math"/>
              </w:rPr>
              <m:t xml:space="preserve">Δ</m:t>
            </m:r>
          </m:e>
          <m:sub>
            <m:r>
              <w:rPr>
                <w:rFonts w:ascii="Cambria Math" w:hAnsi="Cambria Math"/>
              </w:rPr>
              <m:t xml:space="preserve">ϕ</m:t>
            </m:r>
          </m:sub>
        </m:sSub>
        <m:r>
          <w:rPr>
            <w:rFonts w:ascii="Cambria Math" w:hAnsi="Cambria Math"/>
          </w:rPr>
          <m:t xml:space="preserve">=</m:t>
        </m:r>
        <m:r>
          <w:rPr>
            <w:rFonts w:ascii="Cambria Math" w:hAnsi="Cambria Math"/>
          </w:rPr>
          <m:t xml:space="preserve">2</m:t>
        </m:r>
        <m:f>
          <m:fPr>
            <m:type m:val="lin"/>
          </m:fPr>
          <m:num>
            <m:r>
              <w:rPr>
                <w:rFonts w:ascii="Cambria Math" w:hAnsi="Cambria Math"/>
              </w:rPr>
              <m:t xml:space="preserve">π</m:t>
            </m:r>
          </m:num>
          <m:den>
            <m:r>
              <w:rPr>
                <w:rFonts w:ascii="Cambria Math" w:hAnsi="Cambria Math"/>
              </w:rPr>
              <m:t xml:space="preserve">M</m:t>
            </m:r>
          </m:den>
        </m:f>
      </m:oMath>
      <w:r>
        <w:rPr/>
        <w:t xml:space="preserve"> are the sampling intervals for the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-angles, respectively, and the number of samples in the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-angles are given by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respectively. The sampling points of the sphere are given by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nΔ</m:t>
            </m:r>
          </m:e>
          <m:sub>
            <m:r>
              <w:rPr>
                <w:rFonts w:ascii="Cambria Math" w:hAnsi="Cambria Math"/>
              </w:rPr>
              <m:t xml:space="preserve">θ</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sSub>
          <m:e>
            <m:r>
              <w:rPr>
                <w:rFonts w:ascii="Cambria Math" w:hAnsi="Cambria Math"/>
              </w:rPr>
              <m:t xml:space="preserve">mΔ</m:t>
            </m:r>
          </m:e>
          <m:sub>
            <m:r>
              <w:rPr>
                <w:rFonts w:ascii="Cambria Math" w:hAnsi="Cambria Math"/>
              </w:rPr>
              <m:t xml:space="preserve">ϕ</m:t>
            </m:r>
          </m:sub>
        </m:sSub>
      </m:oMath>
      <w:r>
        <w:rPr/>
        <w:t xml:space="preserve">. The sampling intervals are discussed further in Section 4.4. </w:t>
      </w:r>
    </w:p>
    <w:p>
      <w:pPr>
        <w:pStyle w:val="Normal"/>
        <w:rPr/>
      </w:pPr>
      <w:r>
        <w:rPr/>
        <w:t>When measuring power radiated by active devices, expressing the data in terms of EIRP is more appropriate. The upper form of the TRP formulas (which includes EIRP terms) will be used in the data processing.</w:t>
      </w:r>
    </w:p>
    <w:p>
      <w:pPr>
        <w:pStyle w:val="Normal"/>
        <w:rPr/>
      </w:pPr>
      <w:r>
        <w:rPr/>
        <w:t>The requirements and this test apply to all types of LTE UEs independent of release.</w:t>
      </w:r>
    </w:p>
    <w:p>
      <w:pPr>
        <w:pStyle w:val="Heading4"/>
        <w:ind w:left="1418" w:hanging="1418"/>
        <w:rPr/>
      </w:pPr>
      <w:bookmarkStart w:id="131" w:name="__RefHeading___Toc68601067"/>
      <w:bookmarkEnd w:id="131"/>
      <w:r>
        <w:rPr/>
        <w:t>6.1.10.2</w:t>
        <w:tab/>
        <w:t>Minimum Requirements</w:t>
      </w:r>
    </w:p>
    <w:p>
      <w:pPr>
        <w:pStyle w:val="Normal"/>
        <w:jc w:val="both"/>
        <w:rPr/>
      </w:pPr>
      <w:r>
        <w:rPr/>
        <w:t>The average TRP of low, mid and high channel in hand phantom browsing mode position shall be higher than minimum performance requirements for roaming bands shown in Table 6.1.10.2-1. The averaging shall be done in linear scale for the TRP results of both right and left hand phantom measurements.</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num>
                <m:den>
                  <m:r>
                    <w:rPr>
                      <w:rFonts w:ascii="Cambria Math" w:hAnsi="Cambria Math"/>
                    </w:rPr>
                    <m:t xml:space="preserve">6</m:t>
                  </m:r>
                </m:den>
              </m:f>
            </m:e>
          </m:d>
        </m:oMath>
      </m:oMathPara>
    </w:p>
    <w:p>
      <w:pPr>
        <w:pStyle w:val="Normal"/>
        <w:rPr/>
      </w:pPr>
      <w:r>
        <w:rPr/>
        <w:t>In addition the minimum TRP of each measured channel in beside head position shall be higher than minimum performance requirements shown in the columns “Min”.</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min</m:t>
          </m:r>
          <m:d>
            <m:dPr>
              <m:begChr m:val="["/>
              <m:endChr m:val="]"/>
            </m:dPr>
            <m:e>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e>
          </m:d>
        </m:oMath>
      </m:oMathPara>
    </w:p>
    <w:p>
      <w:pPr>
        <w:pStyle w:val="TH"/>
        <w:rPr/>
      </w:pPr>
      <w:r>
        <w:rPr/>
        <w:t>Table 6.1.10.2-1: TRP minimum performance requirement for E-UTRA TDD roaming bands in hand phantom browsing mode position</w:t>
      </w:r>
    </w:p>
    <w:p>
      <w:pPr>
        <w:pStyle w:val="Normal"/>
        <w:rPr>
          <w:b/>
          <w:b/>
        </w:rPr>
      </w:pPr>
      <w:r>
        <w:rPr/>
        <w:t>TBD</w:t>
      </w:r>
    </w:p>
    <w:p>
      <w:pPr>
        <w:pStyle w:val="Normal"/>
        <w:rPr/>
      </w:pPr>
      <w:r>
        <w:rPr/>
        <w:t>The normative reference for this clause is TS37.144 [12] Subclause 6.1.3.4.</w:t>
      </w:r>
    </w:p>
    <w:p>
      <w:pPr>
        <w:pStyle w:val="Heading4"/>
        <w:ind w:left="1418" w:hanging="1418"/>
        <w:rPr/>
      </w:pPr>
      <w:bookmarkStart w:id="132" w:name="__RefHeading___Toc68601068"/>
      <w:bookmarkEnd w:id="132"/>
      <w:r>
        <w:rPr/>
        <w:t>6.1.10.3</w:t>
        <w:tab/>
        <w:t>Test purpose</w:t>
      </w:r>
    </w:p>
    <w:p>
      <w:pPr>
        <w:pStyle w:val="Normal"/>
        <w:rPr/>
      </w:pPr>
      <w:r>
        <w:rPr/>
        <w:t xml:space="preserve">The purpose of this test is to verify that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 xml:space="preserve">of the UE is not below specified values. A lower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decrease the coverage area.</w:t>
      </w:r>
    </w:p>
    <w:p>
      <w:pPr>
        <w:pStyle w:val="Heading4"/>
        <w:ind w:left="1418" w:hanging="1418"/>
        <w:rPr/>
      </w:pPr>
      <w:bookmarkStart w:id="133" w:name="__RefHeading___Toc68601069"/>
      <w:bookmarkEnd w:id="133"/>
      <w:r>
        <w:rPr/>
        <w:t>6.1.10.4</w:t>
        <w:tab/>
        <w:t>Method of test</w:t>
      </w:r>
    </w:p>
    <w:p>
      <w:pPr>
        <w:pStyle w:val="Heading4"/>
        <w:ind w:left="1418" w:hanging="1418"/>
        <w:rPr/>
      </w:pPr>
      <w:bookmarkStart w:id="134" w:name="__RefHeading___Toc68601070"/>
      <w:bookmarkEnd w:id="134"/>
      <w:r>
        <w:rPr/>
        <w:t>6.1.10.4.1</w:t>
        <w:tab/>
        <w:t>Initial conditions</w:t>
      </w:r>
    </w:p>
    <w:p>
      <w:pPr>
        <w:pStyle w:val="Normal"/>
        <w:rPr/>
      </w:pPr>
      <w:r>
        <w:rPr/>
        <w:t xml:space="preserve">A radio communications tester or a corresponding device is used as a NB simulator to setup calls to the DUT. The NB/BS simulator may also measure the radiated power samples. Alternatively, a measurement receiver or spectrum analyzer may be used for that purpose. </w:t>
      </w:r>
    </w:p>
    <w:p>
      <w:pPr>
        <w:pStyle w:val="Normal"/>
        <w:rPr/>
      </w:pPr>
      <w:r>
        <w:rPr/>
        <w:t>The maximum output power for different UE power classes are defined in 3GPP TS 36.521-1 [11] Subclause 6.2.2 for any transmission bandwidth within the channel bandwidth. Also care should be taken that the noise floor of the measurement receiver is not disturbing the power measurement.</w:t>
      </w:r>
    </w:p>
    <w:p>
      <w:pPr>
        <w:pStyle w:val="Normal"/>
        <w:rPr/>
      </w:pPr>
      <w:r>
        <w:rPr/>
        <w:t>Chamber environment constraints and coordinate system shall be the same as described in Subclause A.3.</w:t>
      </w:r>
    </w:p>
    <w:p>
      <w:pPr>
        <w:pStyle w:val="Normal"/>
        <w:rPr>
          <w:lang w:eastAsia="zh-CN"/>
        </w:rPr>
      </w:pPr>
      <w:r>
        <w:rPr/>
        <w:t>Phantom Specifications shall be the same as described in Subclause A.2.2.</w:t>
      </w:r>
    </w:p>
    <w:p>
      <w:pPr>
        <w:pStyle w:val="Normal"/>
        <w:rPr/>
      </w:pPr>
      <w:r>
        <w:rPr/>
        <w:t>Test environment: normal; see TS36.508 [10] Subclause 4.1.1.</w:t>
      </w:r>
    </w:p>
    <w:p>
      <w:pPr>
        <w:pStyle w:val="Normal"/>
        <w:rPr/>
      </w:pPr>
      <w:r>
        <w:rPr/>
        <w:t xml:space="preserve">Frequencies to be tested: low range, mid range, high range; see Table 5.4-2. </w:t>
      </w:r>
    </w:p>
    <w:p>
      <w:pPr>
        <w:pStyle w:val="Normal"/>
        <w:rPr/>
      </w:pPr>
      <w:r>
        <w:rPr/>
        <w:t>Positioning Requirements shall be the same as described in Subclause 4.3.</w:t>
      </w:r>
    </w:p>
    <w:p>
      <w:pPr>
        <w:pStyle w:val="Normal"/>
        <w:ind w:left="568" w:hanging="284"/>
        <w:rPr/>
      </w:pPr>
      <w:r>
        <w:rPr/>
        <w:t>1)</w:t>
        <w:tab/>
        <w:t>Position the UE according to the DUT positioning for hand phantom browsing mode specified in Subclause 4.3.4.</w:t>
      </w:r>
    </w:p>
    <w:p>
      <w:pPr>
        <w:pStyle w:val="Normal"/>
        <w:ind w:left="568" w:hanging="284"/>
        <w:rPr/>
      </w:pPr>
      <w:r>
        <w:rPr/>
        <w:t>2)</w:t>
        <w:tab/>
        <w:t>Power on the UE.</w:t>
      </w:r>
    </w:p>
    <w:p>
      <w:pPr>
        <w:pStyle w:val="Normal"/>
        <w:ind w:left="568" w:hanging="284"/>
        <w:rPr/>
      </w:pPr>
      <w:r>
        <w:rPr/>
        <w:t>3)</w:t>
        <w:tab/>
        <w:t>Set the initial conditions as per Subclause 6.2.2 of 3GPP TS 36.521-1 [11], with the following exception: set the carrier frequency, channel bandwidth, RB length and RB location as per Table 5.4-1 for TDD mode.</w:t>
      </w:r>
    </w:p>
    <w:p>
      <w:pPr>
        <w:pStyle w:val="Heading4"/>
        <w:ind w:left="1418" w:hanging="1418"/>
        <w:rPr/>
      </w:pPr>
      <w:bookmarkStart w:id="135" w:name="__RefHeading___Toc68601071"/>
      <w:bookmarkEnd w:id="135"/>
      <w:r>
        <w:rPr/>
        <w:t>6.1.10.4.2</w:t>
        <w:tab/>
        <w:t>Procedure</w:t>
      </w:r>
    </w:p>
    <w:p>
      <w:pPr>
        <w:pStyle w:val="Normal"/>
        <w:ind w:left="568" w:hanging="284"/>
        <w:rPr/>
      </w:pPr>
      <w:r>
        <w:rPr/>
        <w:t>1)</w:t>
        <w:tab/>
        <w:t>Follow Steps 1 and 2 in section 6.2.2.4.2 of 3GPP TS 36.521-1 [11] and ensure that the DUT transmits with its maximum power.</w:t>
      </w:r>
    </w:p>
    <w:p>
      <w:pPr>
        <w:pStyle w:val="Normal"/>
        <w:ind w:left="568" w:hanging="284"/>
        <w:rPr/>
      </w:pPr>
      <w:r>
        <w:rPr/>
        <w:t>2)</w:t>
        <w:tab/>
        <w:t>For the anechoic chamber based methodologies, measure the spherical effective isotropic radiated power (EIRP) pattern following the sampling grid specified in Subclause 4.4. Slots with transient periods are not under test. The uplink downlink configuration and the special subframe configuration in TDD are set as per Table 8.2.2-1 of 3GPP TS 36.521-1 [11]. Calculate the TRP using the EIRP pattern data as per Subclause 6.1.10.1.</w:t>
      </w:r>
    </w:p>
    <w:p>
      <w:pPr>
        <w:pStyle w:val="Normal"/>
        <w:ind w:left="568" w:hanging="284"/>
        <w:rPr/>
      </w:pPr>
      <w:r>
        <w:rPr/>
        <w:t>3)</w:t>
        <w:tab/>
        <w:t>Repeat the measurement of the DUT using the left and right hand phantom for low, mid and high channels.</w:t>
      </w:r>
    </w:p>
    <w:p>
      <w:pPr>
        <w:pStyle w:val="Normal"/>
        <w:ind w:left="568" w:hanging="284"/>
        <w:rPr/>
      </w:pPr>
      <w:r>
        <w:rPr/>
        <w:t>4)</w:t>
        <w:tab/>
        <w:t>Calculate the average and minimum TRP as per Subclause 6.1.10.2.</w:t>
      </w:r>
    </w:p>
    <w:p>
      <w:pPr>
        <w:pStyle w:val="Heading4"/>
        <w:ind w:left="1418" w:hanging="1418"/>
        <w:rPr/>
      </w:pPr>
      <w:bookmarkStart w:id="136" w:name="__RefHeading___Toc68601072"/>
      <w:bookmarkEnd w:id="136"/>
      <w:r>
        <w:rPr/>
        <w:t>6.1.10.4.3</w:t>
        <w:tab/>
        <w:t>Procedure, reverberation chamber method</w:t>
      </w:r>
    </w:p>
    <w:p>
      <w:pPr>
        <w:pStyle w:val="Normal"/>
        <w:rPr/>
      </w:pPr>
      <w:r>
        <w:rPr/>
        <w:t>TBD</w:t>
      </w:r>
    </w:p>
    <w:p>
      <w:pPr>
        <w:pStyle w:val="Heading4"/>
        <w:ind w:left="1418" w:hanging="1418"/>
        <w:rPr/>
      </w:pPr>
      <w:bookmarkStart w:id="137" w:name="__RefHeading___Toc68601073"/>
      <w:bookmarkEnd w:id="137"/>
      <w:r>
        <w:rPr/>
        <w:t>6.1.10.5</w:t>
        <w:tab/>
        <w:t>Test requirements</w:t>
      </w:r>
    </w:p>
    <w:p>
      <w:pPr>
        <w:pStyle w:val="Normal"/>
        <w:jc w:val="both"/>
        <w:rPr/>
      </w:pPr>
      <w:r>
        <w:rPr/>
        <w:t>The average TRP of low, mid and high channel in hand phantom browsing mode position shall be higher than test performance requirements for roaming bands shown in Table 6.1.10.5-1. The averaging shall be done in linear scale for the TRP results of both right and left hand phantom measurements.</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num>
                <m:den>
                  <m:r>
                    <w:rPr>
                      <w:rFonts w:ascii="Cambria Math" w:hAnsi="Cambria Math"/>
                    </w:rPr>
                    <m:t xml:space="preserve">6</m:t>
                  </m:r>
                </m:den>
              </m:f>
            </m:e>
          </m:d>
        </m:oMath>
      </m:oMathPara>
    </w:p>
    <w:p>
      <w:pPr>
        <w:pStyle w:val="Normal"/>
        <w:rPr/>
      </w:pPr>
      <w:r>
        <w:rPr/>
        <w:t>In addition the minimum TRP of each measured channel in beside head position shall be higher than minimum performance requirements shown in the columns “Min”.</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min</m:t>
          </m:r>
          <m:d>
            <m:dPr>
              <m:begChr m:val="["/>
              <m:endChr m:val="]"/>
            </m:dPr>
            <m:e>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e>
          </m:d>
        </m:oMath>
      </m:oMathPara>
    </w:p>
    <w:p>
      <w:pPr>
        <w:pStyle w:val="Normal"/>
        <w:keepNext w:val="true"/>
        <w:keepLines/>
        <w:spacing w:before="60" w:after="180"/>
        <w:jc w:val="center"/>
        <w:rPr/>
      </w:pPr>
      <w:r>
        <w:rPr>
          <w:rFonts w:cs="Arial" w:ascii="Arial" w:hAnsi="Arial"/>
          <w:b/>
        </w:rPr>
        <w:t>Table 6.1.10.5-1: TRP test requirement for E-UTRA TDD roaming bands in hand phantom browsing mode position</w:t>
      </w:r>
    </w:p>
    <w:p>
      <w:pPr>
        <w:pStyle w:val="Normal"/>
        <w:rPr/>
      </w:pPr>
      <w:r>
        <w:rPr/>
        <w:t>TBD</w:t>
      </w:r>
    </w:p>
    <w:p>
      <w:pPr>
        <w:pStyle w:val="Normal"/>
        <w:rPr/>
      </w:pPr>
      <w:r>
        <w:rPr/>
      </w:r>
    </w:p>
    <w:p>
      <w:pPr>
        <w:pStyle w:val="Normal"/>
        <w:keepLines/>
        <w:ind w:left="1135" w:hanging="851"/>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Heading2"/>
        <w:rPr/>
      </w:pPr>
      <w:bookmarkStart w:id="138" w:name="__RefHeading___Toc68601074"/>
      <w:bookmarkEnd w:id="138"/>
      <w:r>
        <w:rPr/>
        <w:t>6.2</w:t>
        <w:tab/>
        <w:t>Performance for LME</w:t>
      </w:r>
    </w:p>
    <w:p>
      <w:pPr>
        <w:pStyle w:val="Heading3"/>
        <w:rPr/>
      </w:pPr>
      <w:bookmarkStart w:id="139" w:name="__RefHeading___Toc68601075"/>
      <w:bookmarkEnd w:id="139"/>
      <w:r>
        <w:rPr/>
        <w:t>6.2.1</w:t>
        <w:tab/>
        <w:t>Total Radiated Power (TRP) for UTRA FDD LME</w:t>
      </w:r>
    </w:p>
    <w:p>
      <w:pPr>
        <w:pStyle w:val="EditorsNote"/>
        <w:rPr/>
      </w:pPr>
      <w:r>
        <w:rPr/>
        <w:t>Editor’s note: This test case is incomplete. The following aspects are either missing or not yet determined:</w:t>
      </w:r>
    </w:p>
    <w:p>
      <w:pPr>
        <w:pStyle w:val="EditorsNote"/>
        <w:rPr/>
      </w:pPr>
      <w:r>
        <w:rPr>
          <w:i/>
        </w:rPr>
        <w:t>- The TRP Minimum Performance Requirement for this test is undefined</w:t>
      </w:r>
    </w:p>
    <w:p>
      <w:pPr>
        <w:pStyle w:val="EditorsNote"/>
        <w:rPr/>
      </w:pPr>
      <w:r>
        <w:rPr>
          <w:i/>
        </w:rPr>
        <w:t>- The Test Requirements and related Test Tolerances applicable for this test are undefined</w:t>
      </w:r>
    </w:p>
    <w:p>
      <w:pPr>
        <w:pStyle w:val="Heading4"/>
        <w:ind w:left="1418" w:hanging="1418"/>
        <w:rPr/>
      </w:pPr>
      <w:bookmarkStart w:id="140" w:name="__RefHeading___Toc68601076"/>
      <w:bookmarkEnd w:id="140"/>
      <w:r>
        <w:rPr/>
        <w:t>6.2.1.1</w:t>
      </w:r>
      <w:r>
        <w:rPr>
          <w:rFonts w:cs="Calibri" w:ascii="Calibri" w:hAnsi="Calibri"/>
          <w:sz w:val="22"/>
          <w:szCs w:val="22"/>
        </w:rPr>
        <w:tab/>
      </w:r>
      <w:r>
        <w:rPr/>
        <w:t>Definition and applicability</w:t>
      </w:r>
    </w:p>
    <w:p>
      <w:pPr>
        <w:pStyle w:val="Normal"/>
        <w:rPr/>
      </w:pPr>
      <w:r>
        <w:rPr/>
        <w:t>The Total Radiated Power (TRP) is a measure of how much power the DUT actually radiates. The TRP is defined as the integral of the power transmitted in different directions over the entire radiation sphere:</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TRP</m:t>
          </m:r>
          <m:r>
            <w:rPr>
              <w:rFonts w:ascii="Cambria Math" w:hAnsi="Cambria Math"/>
            </w:rPr>
            <m:t xml:space="preserve">=</m:t>
          </m:r>
          <m:f>
            <m:num>
              <m:r>
                <w:rPr>
                  <w:rFonts w:ascii="Cambria Math" w:hAnsi="Cambria Math"/>
                </w:rPr>
                <m:t xml:space="preserve">1</m:t>
              </m:r>
            </m:num>
            <m:den>
              <m:r>
                <w:rPr>
                  <w:rFonts w:ascii="Cambria Math" w:hAnsi="Cambria Math"/>
                </w:rPr>
                <m:t xml:space="preserve">4</m:t>
              </m:r>
              <m:r>
                <w:rPr>
                  <w:rFonts w:ascii="Cambria Math" w:hAnsi="Cambria Math"/>
                </w:rPr>
                <m:t xml:space="preserve">π</m:t>
              </m:r>
            </m:den>
          </m:f>
          <m:nary>
            <m:naryPr>
              <m:chr m:val="∮"/>
              <m:subHide m:val="1"/>
              <m:supHide m:val="1"/>
            </m:naryPr>
            <m:sub/>
            <m:sup/>
            <m:e>
              <m:d>
                <m:dPr>
                  <m:begChr m:val="("/>
                  <m:endChr m:val=")"/>
                </m:dPr>
                <m:e>
                  <m:sSub>
                    <m:e>
                      <m:r>
                        <m:rPr>
                          <m:lit/>
                          <m:nor/>
                        </m:rPr>
                        <w:rPr>
                          <w:rFonts w:ascii="Cambria Math" w:hAnsi="Cambria Math"/>
                        </w:rPr>
                        <m:t xml:space="preserve">EIRP</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EIRP</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e>
              </m:d>
            </m:e>
          </m:nary>
          <m:r>
            <w:rPr>
              <w:rFonts w:ascii="Cambria Math" w:hAnsi="Cambria Math"/>
            </w:rPr>
            <m:t xml:space="preserve">d</m:t>
          </m:r>
          <m:r>
            <w:rPr>
              <w:rFonts w:ascii="Cambria Math" w:hAnsi="Cambria Math"/>
            </w:rPr>
            <m:t xml:space="preserve">Ω</m:t>
          </m:r>
        </m:oMath>
      </m:oMathPara>
    </w:p>
    <w:p>
      <w:pPr>
        <w:pStyle w:val="Normal"/>
        <w:rPr/>
      </w:pPr>
      <w:r>
        <w:rPr/>
        <w:t xml:space="preserve">Where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r>
          <w:rPr>
            <w:rFonts w:ascii="Cambria Math" w:hAnsi="Cambria Math"/>
          </w:rPr>
          <m:t xml:space="preserve">f</m:t>
        </m:r>
      </m:oMath>
      <w:r>
        <w:rPr/>
        <w:t xml:space="preserve"> is frequency.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 are the orthogonal polarizations.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θ</m:t>
            </m:r>
          </m:sub>
        </m:sSub>
      </m:oMath>
      <w:r>
        <w:rPr/>
        <w:t xml:space="preserve"> and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ϕ</m:t>
            </m:r>
          </m:sub>
        </m:sSub>
      </m:oMath>
      <w:r>
        <w:rPr/>
        <w:t xml:space="preserve"> are the actually transmitted power-levels in corresponding polarizations.</w:t>
      </w:r>
    </w:p>
    <w:p>
      <w:pPr>
        <w:pStyle w:val="Normal"/>
        <w:rPr/>
      </w:pPr>
      <w:r>
        <w:rPr/>
        <w:t>Thus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TRP</m:t>
          </m:r>
          <m:r>
            <w:rPr>
              <w:rFonts w:ascii="Cambria Math" w:hAnsi="Cambria Math"/>
            </w:rPr>
            <m:t xml:space="preserve">≈</m:t>
          </m:r>
          <m:f>
            <m:num>
              <m:r>
                <w:rPr>
                  <w:rFonts w:ascii="Cambria Math" w:hAnsi="Cambria Math"/>
                </w:rPr>
                <m:t xml:space="preserve">π</m:t>
              </m:r>
            </m:num>
            <m:den>
              <m:r>
                <w:rPr>
                  <w:rFonts w:ascii="Cambria Math" w:hAnsi="Cambria Math"/>
                </w:rPr>
                <m:t xml:space="preserve">2</m:t>
              </m:r>
              <m:r>
                <m:rPr>
                  <m:lit/>
                  <m:nor/>
                </m:rPr>
                <w:rPr>
                  <w:rFonts w:ascii="Cambria Math" w:hAnsi="Cambria Math"/>
                </w:rPr>
                <m:t xml:space="preserve">NM</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m:rPr>
                              <m:lit/>
                              <m:nor/>
                            </m:rPr>
                            <w:rPr>
                              <w:rFonts w:ascii="Cambria Math" w:hAnsi="Cambria Math"/>
                            </w:rPr>
                            <m:t xml:space="preserve">EIRP</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EIRP</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rPr/>
      </w:pPr>
      <w:r>
        <w:rPr/>
        <w:t xml:space="preserve">In these formulas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are the number of sampling intervals for theta and phi.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oMath>
      <w:r>
        <w:rPr/>
        <w:t xml:space="preserve"> are the measurement angles. The sampling intervals are discussed further in Section 4.4.</w:t>
      </w:r>
    </w:p>
    <w:p>
      <w:pPr>
        <w:pStyle w:val="Normal"/>
        <w:rPr/>
      </w:pPr>
      <w:r>
        <w:rPr/>
        <w:t>The TRP can also be calculated from Rayleigh faded samples of the total power transmitted from the LME. The measurement of transmitter performance in an isotropic Rayleigh fading environment is based on sampling the radiated power of the LME for a discrete number of field combinations in the chamber. The average value of these statistically distributed samples is proportional to the TRP and by calibrating the average power transfer function, an absolute value of the TRP can be obtained. Thus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TRP</m:t>
          </m:r>
          <m:r>
            <w:rPr>
              <w:rFonts w:ascii="Cambria Math" w:hAnsi="Cambria Math"/>
            </w:rPr>
            <m:t xml:space="preserve">≈</m:t>
          </m:r>
          <m:f>
            <m:num>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f>
                        <m:num>
                          <m:sSub>
                            <m:e>
                              <m:r>
                                <w:rPr>
                                  <w:rFonts w:ascii="Cambria Math" w:hAnsi="Cambria Math"/>
                                </w:rPr>
                                <m:t xml:space="preserve">P</m:t>
                              </m:r>
                            </m:e>
                            <m:sub>
                              <m:r>
                                <w:rPr>
                                  <w:rFonts w:ascii="Cambria Math" w:hAnsi="Cambria Math"/>
                                </w:rPr>
                                <m:t xml:space="preserve">n</m:t>
                              </m:r>
                            </m:sub>
                          </m:sSub>
                        </m:num>
                        <m:den>
                          <m:sSub>
                            <m:e>
                              <m:r>
                                <w:rPr>
                                  <w:rFonts w:ascii="Cambria Math" w:hAnsi="Cambria Math"/>
                                </w:rPr>
                                <m:t xml:space="preserve">C</m:t>
                              </m:r>
                            </m:e>
                            <m:sub>
                              <m:r>
                                <w:rPr>
                                  <w:rFonts w:ascii="Cambria Math" w:hAnsi="Cambria Math"/>
                                </w:rPr>
                                <m:t xml:space="preserve">n</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den>
                      </m:f>
                    </m:e>
                  </m:d>
                </m:e>
              </m:nary>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e>
              </m:nary>
            </m:den>
          </m:f>
        </m:oMath>
      </m:oMathPara>
    </w:p>
    <w:p>
      <w:pPr>
        <w:pStyle w:val="Normal"/>
        <w:rPr/>
      </w:pPr>
      <w:r>
        <w:rPr/>
        <w:t xml:space="preserve">where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oMath>
      <w:r>
        <w:rPr/>
        <w:t xml:space="preserve"> is the reference power transfer function for fixed measurement antenna n, </w:t>
      </w:r>
      <w:r>
        <w:rPr/>
      </w:r>
      <m:oMath xmlns:m="http://schemas.openxmlformats.org/officeDocument/2006/math">
        <m:sSub>
          <m:e>
            <m:r>
              <w:rPr>
                <w:rFonts w:ascii="Cambria Math" w:hAnsi="Cambria Math"/>
              </w:rPr>
              <m:t xml:space="preserve">R</m:t>
            </m:r>
          </m:e>
          <m:sub>
            <m:r>
              <w:rPr>
                <w:rFonts w:ascii="Cambria Math" w:hAnsi="Cambria Math"/>
              </w:rPr>
              <m:t xml:space="preserve">n</m:t>
            </m:r>
          </m:sub>
        </m:sSub>
      </m:oMath>
      <w:r>
        <w:rPr/>
        <w:t xml:space="preserve"> is the reflection coefficient for fixed measurement antenna n and </w:t>
      </w:r>
      <w:r>
        <w:rPr/>
      </w:r>
      <m:oMath xmlns:m="http://schemas.openxmlformats.org/officeDocument/2006/math">
        <m:sSub>
          <m:e>
            <m:r>
              <w:rPr>
                <w:rFonts w:ascii="Cambria Math" w:hAnsi="Cambria Math"/>
              </w:rPr>
              <m:t xml:space="preserve">C</m:t>
            </m:r>
          </m:e>
          <m:sub>
            <m:r>
              <w:rPr>
                <w:rFonts w:ascii="Cambria Math" w:hAnsi="Cambria Math"/>
              </w:rPr>
              <m:t xml:space="preserve">n</m:t>
            </m:r>
          </m:sub>
        </m:sSub>
      </m:oMath>
      <w:r>
        <w:rPr/>
        <w:t xml:space="preserve"> is the path loss in the cables connecting the measurement receiver to fixed measurement antenna n. These parameters are calculated from the calibration measurement and are further discussed in Annex B.2. </w:t>
      </w:r>
      <w:r>
        <w:rPr/>
      </w:r>
      <m:oMath xmlns:m="http://schemas.openxmlformats.org/officeDocument/2006/math">
        <m:sSub>
          <m:e>
            <m:r>
              <w:rPr>
                <w:rFonts w:ascii="Cambria Math" w:hAnsi="Cambria Math"/>
              </w:rPr>
              <m:t xml:space="preserve">P</m:t>
            </m:r>
          </m:e>
          <m:sub>
            <m:r>
              <w:rPr>
                <w:rFonts w:ascii="Cambria Math" w:hAnsi="Cambria Math"/>
              </w:rPr>
              <m:t xml:space="preserve">n</m:t>
            </m:r>
          </m:sub>
        </m:sSub>
      </m:oMath>
      <w:r>
        <w:rPr/>
        <w:t xml:space="preserve"> is the average power measured by fixed measurement antenna n and can be calculated using the following expression:</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w:rPr>
                  <w:rFonts w:ascii="Cambria Math" w:hAnsi="Cambria Math"/>
                </w:rPr>
                <m:t xml:space="preserve">n</m:t>
              </m:r>
            </m:sub>
          </m:sSub>
          <m:r>
            <w:rPr>
              <w:rFonts w:ascii="Cambria Math" w:hAnsi="Cambria Math"/>
            </w:rPr>
            <m:t xml:space="preserve">=</m:t>
          </m:r>
          <m:f>
            <m:num>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p>
                    <m:e>
                      <m:d>
                        <m:dPr>
                          <m:begChr m:val="|"/>
                          <m:endChr m:val="|"/>
                        </m:dPr>
                        <m:e>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e>
                      </m:d>
                    </m:e>
                    <m:sup>
                      <m:r>
                        <w:rPr>
                          <w:rFonts w:ascii="Cambria Math" w:hAnsi="Cambria Math"/>
                        </w:rPr>
                        <m:t xml:space="preserve">2</m:t>
                      </m:r>
                    </m:sup>
                  </m:sSup>
                </m:e>
              </m:nary>
            </m:num>
            <m:den>
              <m:r>
                <w:rPr>
                  <w:rFonts w:ascii="Cambria Math" w:hAnsi="Cambria Math"/>
                </w:rPr>
                <m:t xml:space="preserve">M</m:t>
              </m:r>
            </m:den>
          </m:f>
        </m:oMath>
      </m:oMathPara>
    </w:p>
    <w:p>
      <w:pPr>
        <w:pStyle w:val="Normal"/>
        <w:rPr/>
      </w:pPr>
      <w:r>
        <w:rPr/>
        <w:t xml:space="preserve">where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oMath>
      <w:r>
        <w:rPr/>
        <w:t xml:space="preserve"> is sample number m of the complex transfer function measured with fixed measurement antenna n and </w:t>
      </w:r>
      <w:r>
        <w:rPr/>
      </w:r>
      <m:oMath xmlns:m="http://schemas.openxmlformats.org/officeDocument/2006/math">
        <m:r>
          <w:rPr>
            <w:rFonts w:ascii="Cambria Math" w:hAnsi="Cambria Math"/>
          </w:rPr>
          <m:t xml:space="preserve">M</m:t>
        </m:r>
      </m:oMath>
      <w:r>
        <w:rPr/>
        <w:t xml:space="preserve"> is the total number of samples measured for each fixed measurement antenna.</w:t>
      </w:r>
    </w:p>
    <w:p>
      <w:pPr>
        <w:pStyle w:val="Normal"/>
        <w:rPr/>
      </w:pPr>
      <w:r>
        <w:rPr/>
        <w:t>The requirements and this test apply to all types of UTRA for the FDD UE for Release 11 and later releases that support LME.</w:t>
      </w:r>
    </w:p>
    <w:p>
      <w:pPr>
        <w:pStyle w:val="NO"/>
        <w:rPr/>
      </w:pPr>
      <w:r>
        <w:rPr/>
        <w:t>NOTE: This test case can be optionally executed for Release 7 and onward UE’s supporting LME feature.</w:t>
      </w:r>
    </w:p>
    <w:p>
      <w:pPr>
        <w:pStyle w:val="Heading4"/>
        <w:ind w:left="1418" w:hanging="1418"/>
        <w:rPr/>
      </w:pPr>
      <w:bookmarkStart w:id="141" w:name="__RefHeading___Toc68601077"/>
      <w:bookmarkEnd w:id="141"/>
      <w:r>
        <w:rPr/>
        <w:t>6.2.1.2</w:t>
        <w:tab/>
        <w:t>Minimum Requirements</w:t>
      </w:r>
    </w:p>
    <w:p>
      <w:pPr>
        <w:pStyle w:val="Normal"/>
        <w:jc w:val="both"/>
        <w:rPr/>
      </w:pPr>
      <w:r>
        <w:rPr/>
        <w:t>The average TRP of low, mid and high channel shall be higher than minimum performance requirements for roaming bands shown in Table 6.1.2.2-1. The averaging shall be done in linear scale for the TRP results.</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num>
                <m:den>
                  <m:r>
                    <w:rPr>
                      <w:rFonts w:ascii="Cambria Math" w:hAnsi="Cambria Math"/>
                    </w:rPr>
                    <m:t xml:space="preserve">3</m:t>
                  </m:r>
                </m:den>
              </m:f>
            </m:e>
          </m:d>
        </m:oMath>
      </m:oMathPara>
    </w:p>
    <w:p>
      <w:pPr>
        <w:pStyle w:val="Normal"/>
        <w:rPr/>
      </w:pPr>
      <w:r>
        <w:rPr/>
        <w:t>In addition the minimum TRP of each measured channel shall be higher than minimum performance requirements shown in the columns “Min”.</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m:rPr>
                  <m:lit/>
                  <m:nor/>
                </m:rPr>
                <w:rPr>
                  <w:rFonts w:ascii="Cambria Math" w:hAnsi="Cambria Math"/>
                </w:rPr>
                <m:t xml:space="preserve">min</m:t>
              </m:r>
              <m:d>
                <m:dPr>
                  <m:begChr m:val="("/>
                  <m:endChr m:val=")"/>
                </m:dPr>
                <m:e>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e>
              </m:d>
            </m:e>
          </m:d>
        </m:oMath>
      </m:oMathPara>
    </w:p>
    <w:p>
      <w:pPr>
        <w:pStyle w:val="TH"/>
        <w:rPr/>
      </w:pPr>
      <w:r>
        <w:rPr/>
        <w:t>Table 6.1.2.2-1: TRP minimum performance requirement for UTRA FDD using LME</w:t>
      </w:r>
    </w:p>
    <w:tbl>
      <w:tblPr>
        <w:tblW w:w="9645" w:type="dxa"/>
        <w:jc w:val="center"/>
        <w:tblInd w:w="0" w:type="dxa"/>
        <w:tblLayout w:type="fixed"/>
        <w:tblCellMar>
          <w:top w:w="0" w:type="dxa"/>
          <w:left w:w="108" w:type="dxa"/>
          <w:bottom w:w="0" w:type="dxa"/>
          <w:right w:w="108" w:type="dxa"/>
        </w:tblCellMar>
      </w:tblPr>
      <w:tblGrid>
        <w:gridCol w:w="1096"/>
        <w:gridCol w:w="1455"/>
        <w:gridCol w:w="1559"/>
        <w:gridCol w:w="994"/>
        <w:gridCol w:w="851"/>
        <w:gridCol w:w="993"/>
        <w:gridCol w:w="852"/>
        <w:gridCol w:w="993"/>
        <w:gridCol w:w="852"/>
      </w:tblGrid>
      <w:tr>
        <w:trPr/>
        <w:tc>
          <w:tcPr>
            <w:tcW w:w="1096" w:type="dxa"/>
            <w:vMerge w:val="restart"/>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Operating band</w:t>
            </w:r>
          </w:p>
        </w:tc>
        <w:tc>
          <w:tcPr>
            <w:tcW w:w="145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1</w:t>
            </w:r>
          </w:p>
        </w:tc>
        <w:tc>
          <w:tcPr>
            <w:tcW w:w="155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2</w:t>
            </w:r>
          </w:p>
        </w:tc>
        <w:tc>
          <w:tcPr>
            <w:tcW w:w="1845"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3</w:t>
            </w:r>
          </w:p>
        </w:tc>
        <w:tc>
          <w:tcPr>
            <w:tcW w:w="1845"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3bis</w:t>
            </w:r>
          </w:p>
        </w:tc>
        <w:tc>
          <w:tcPr>
            <w:tcW w:w="1845"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4</w:t>
            </w:r>
          </w:p>
        </w:tc>
      </w:tr>
      <w:tr>
        <w:trPr/>
        <w:tc>
          <w:tcPr>
            <w:tcW w:w="1096"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b/>
                <w:b/>
                <w:sz w:val="18"/>
                <w:lang w:eastAsia="zh-CN"/>
              </w:rPr>
            </w:pPr>
            <w:r>
              <w:rPr>
                <w:rFonts w:cs="Arial" w:ascii="Arial" w:hAnsi="Arial"/>
                <w:b/>
                <w:sz w:val="18"/>
                <w:lang w:eastAsia="zh-CN"/>
              </w:rPr>
            </w:r>
          </w:p>
        </w:tc>
        <w:tc>
          <w:tcPr>
            <w:tcW w:w="145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55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845"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845"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845"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r>
      <w:tr>
        <w:trPr/>
        <w:tc>
          <w:tcPr>
            <w:tcW w:w="1096"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b/>
                <w:b/>
                <w:sz w:val="18"/>
                <w:lang w:eastAsia="zh-CN"/>
              </w:rPr>
            </w:pPr>
            <w:r>
              <w:rPr>
                <w:rFonts w:cs="Arial" w:ascii="Arial" w:hAnsi="Arial"/>
                <w:b/>
                <w:sz w:val="18"/>
                <w:lang w:eastAsia="zh-CN"/>
              </w:rPr>
            </w:r>
          </w:p>
        </w:tc>
        <w:tc>
          <w:tcPr>
            <w:tcW w:w="1455" w:type="dxa"/>
            <w:tcBorders>
              <w:top w:val="single" w:sz="4" w:space="0" w:color="000000"/>
              <w:left w:val="single" w:sz="4" w:space="0" w:color="000000"/>
              <w:bottom w:val="single" w:sz="4" w:space="0" w:color="000000"/>
              <w:right w:val="single" w:sz="4" w:space="0" w:color="000000"/>
            </w:tcBorders>
          </w:tcPr>
          <w:p>
            <w:pPr>
              <w:pStyle w:val="TAH"/>
              <w:snapToGrid w:val="false"/>
              <w:rPr>
                <w:rFonts w:ascii="Arial" w:hAnsi="Arial" w:cs="Arial"/>
                <w:b/>
                <w:b/>
                <w:sz w:val="18"/>
              </w:rPr>
            </w:pPr>
            <w:r>
              <w:rPr>
                <w:rFonts w:cs="Arial"/>
                <w:b/>
                <w:sz w:val="18"/>
              </w:rPr>
            </w:r>
          </w:p>
        </w:tc>
        <w:tc>
          <w:tcPr>
            <w:tcW w:w="1559"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994"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85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3"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85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3"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85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w:t>
            </w:r>
          </w:p>
        </w:tc>
        <w:tc>
          <w:tcPr>
            <w:tcW w:w="145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99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TBD</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w:t>
            </w:r>
          </w:p>
        </w:tc>
        <w:tc>
          <w:tcPr>
            <w:tcW w:w="145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99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sz w:val="20"/>
              </w:rPr>
            </w:pPr>
            <w:r>
              <w:rPr>
                <w:lang w:eastAsia="en-US"/>
              </w:rPr>
              <w:t>TBD</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III</w:t>
            </w:r>
          </w:p>
        </w:tc>
        <w:tc>
          <w:tcPr>
            <w:tcW w:w="145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99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IV</w:t>
            </w:r>
          </w:p>
        </w:tc>
        <w:tc>
          <w:tcPr>
            <w:tcW w:w="145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99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w:t>
            </w:r>
          </w:p>
        </w:tc>
        <w:tc>
          <w:tcPr>
            <w:tcW w:w="145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99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w:t>
            </w:r>
          </w:p>
        </w:tc>
        <w:tc>
          <w:tcPr>
            <w:tcW w:w="145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99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w:t>
            </w:r>
          </w:p>
        </w:tc>
        <w:tc>
          <w:tcPr>
            <w:tcW w:w="145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99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VIII</w:t>
            </w:r>
          </w:p>
        </w:tc>
        <w:tc>
          <w:tcPr>
            <w:tcW w:w="145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99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IX</w:t>
            </w:r>
          </w:p>
        </w:tc>
        <w:tc>
          <w:tcPr>
            <w:tcW w:w="145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99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XIX</w:t>
            </w:r>
          </w:p>
        </w:tc>
        <w:tc>
          <w:tcPr>
            <w:tcW w:w="145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99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c>
          <w:tcPr>
            <w:tcW w:w="9645" w:type="dxa"/>
            <w:gridSpan w:val="9"/>
            <w:tcBorders>
              <w:top w:val="single" w:sz="4" w:space="0" w:color="000000"/>
              <w:left w:val="single" w:sz="4" w:space="0" w:color="000000"/>
              <w:bottom w:val="single" w:sz="4" w:space="0" w:color="000000"/>
              <w:right w:val="single" w:sz="4" w:space="0" w:color="000000"/>
            </w:tcBorders>
          </w:tcPr>
          <w:p>
            <w:pPr>
              <w:pStyle w:val="TAN"/>
              <w:rPr>
                <w:lang w:eastAsia="en-US"/>
              </w:rPr>
            </w:pPr>
            <w:r>
              <w:rPr>
                <w:lang w:eastAsia="en-US"/>
              </w:rPr>
              <w:t>NOTE 1: Applicable for dual-mode GSM/UMTS.</w:t>
            </w:r>
          </w:p>
          <w:p>
            <w:pPr>
              <w:pStyle w:val="TAN"/>
              <w:rPr>
                <w:b/>
                <w:b/>
                <w:bCs/>
              </w:rPr>
            </w:pPr>
            <w:r>
              <w:rPr>
                <w:lang w:eastAsia="en-US"/>
              </w:rPr>
              <w:t>NOTE 2: Applicable for USB plug-in devices.</w:t>
            </w:r>
          </w:p>
        </w:tc>
      </w:tr>
    </w:tbl>
    <w:p>
      <w:pPr>
        <w:pStyle w:val="Normal"/>
        <w:rPr/>
      </w:pPr>
      <w:r>
        <w:rPr/>
      </w:r>
    </w:p>
    <w:p>
      <w:pPr>
        <w:pStyle w:val="Normal"/>
        <w:rPr/>
      </w:pPr>
      <w:r>
        <w:rPr/>
        <w:t>The normative reference for this clause is TS37.144 [12] Subclause 6.2.2.</w:t>
      </w:r>
    </w:p>
    <w:p>
      <w:pPr>
        <w:pStyle w:val="Heading4"/>
        <w:ind w:left="1418" w:hanging="1418"/>
        <w:rPr/>
      </w:pPr>
      <w:bookmarkStart w:id="142" w:name="__RefHeading___Toc68601078"/>
      <w:bookmarkEnd w:id="142"/>
      <w:r>
        <w:rPr/>
        <w:t>6.2.1.3</w:t>
      </w:r>
      <w:r>
        <w:rPr>
          <w:rFonts w:cs="Calibri" w:ascii="Calibri" w:hAnsi="Calibri"/>
          <w:sz w:val="22"/>
          <w:szCs w:val="22"/>
        </w:rPr>
        <w:tab/>
      </w:r>
      <w:r>
        <w:rPr/>
        <w:t>Test purpose</w:t>
      </w:r>
    </w:p>
    <w:p>
      <w:pPr>
        <w:pStyle w:val="Normal"/>
        <w:rPr/>
      </w:pPr>
      <w:r>
        <w:rPr/>
        <w:t xml:space="preserve">The purpose of this test is to verify that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 xml:space="preserve">of the UE is not below specified values. A lower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decrease the coverage area.</w:t>
      </w:r>
    </w:p>
    <w:p>
      <w:pPr>
        <w:pStyle w:val="Heading4"/>
        <w:ind w:left="1418" w:hanging="1418"/>
        <w:rPr/>
      </w:pPr>
      <w:bookmarkStart w:id="143" w:name="__RefHeading___Toc68601079"/>
      <w:bookmarkEnd w:id="143"/>
      <w:r>
        <w:rPr/>
        <w:t>6.2.1.4</w:t>
      </w:r>
      <w:r>
        <w:rPr>
          <w:rFonts w:cs="Calibri" w:ascii="Calibri" w:hAnsi="Calibri"/>
          <w:sz w:val="22"/>
          <w:szCs w:val="22"/>
        </w:rPr>
        <w:tab/>
      </w:r>
      <w:r>
        <w:rPr/>
        <w:t>Method of test</w:t>
      </w:r>
    </w:p>
    <w:p>
      <w:pPr>
        <w:pStyle w:val="Heading5"/>
        <w:ind w:left="1701" w:hanging="1701"/>
        <w:rPr/>
      </w:pPr>
      <w:bookmarkStart w:id="144" w:name="__RefHeading___Toc68601080"/>
      <w:bookmarkEnd w:id="144"/>
      <w:r>
        <w:rPr/>
        <w:t>6.2.1.4.1</w:t>
      </w:r>
      <w:r>
        <w:rPr>
          <w:rFonts w:cs="Calibri" w:ascii="Calibri" w:hAnsi="Calibri"/>
          <w:szCs w:val="22"/>
        </w:rPr>
        <w:tab/>
      </w:r>
      <w:r>
        <w:rPr/>
        <w:t>Initial conditions</w:t>
      </w:r>
    </w:p>
    <w:p>
      <w:pPr>
        <w:pStyle w:val="Normal"/>
        <w:rPr/>
      </w:pPr>
      <w:r>
        <w:rPr/>
        <w:t xml:space="preserve">The output power is a measure of the maximum power the UE can transmit in a bandwidth of at least (1+ </w:t>
      </w:r>
      <w:r>
        <w:rPr>
          <w:rFonts w:cs="Symbol" w:ascii="Symbol" w:hAnsi="Symbol"/>
        </w:rPr>
        <w:t></w:t>
      </w:r>
      <w:r>
        <w:rPr/>
        <w:t xml:space="preserve"> times the chip rate of the radio access mode, for more information see TS 34.121-1 [7] clause 5.2. The period of measurement shall be at least one timeslot. Also, care should be taken that the noise floor of the measurement receiver is not disturbing the power measurement.</w:t>
      </w:r>
    </w:p>
    <w:p>
      <w:pPr>
        <w:pStyle w:val="Normal"/>
        <w:rPr/>
      </w:pPr>
      <w:r>
        <w:rPr/>
        <w:t>Test environment: normal; see TS 34.121-1 [7] clause G.2.1.</w:t>
      </w:r>
    </w:p>
    <w:p>
      <w:pPr>
        <w:pStyle w:val="Normal"/>
        <w:rPr/>
      </w:pPr>
      <w:r>
        <w:rPr/>
        <w:t>Frequencies to be tested: low range, mid range, high range; see Table 5.1-2.</w:t>
      </w:r>
    </w:p>
    <w:p>
      <w:pPr>
        <w:pStyle w:val="B1"/>
        <w:rPr/>
      </w:pPr>
      <w:r>
        <w:rPr/>
        <w:t>1)</w:t>
        <w:tab/>
        <w:t>Set the SS downlink physical channels according to settings in Table 6.2.1.4.1-1. Set the DPCH power such that there will not be transmission gaps due to too low signal strength throughout the measurement.</w:t>
      </w:r>
    </w:p>
    <w:p>
      <w:pPr>
        <w:pStyle w:val="B1"/>
        <w:rPr/>
      </w:pPr>
      <w:r>
        <w:rPr/>
        <w:t>2)</w:t>
        <w:tab/>
        <w:t>Connect the plug-in UE to a laptop ground plane phantom. Power on the plug-in UE. The real functional laptop supplies power to the plug-in UE.</w:t>
      </w:r>
    </w:p>
    <w:p>
      <w:pPr>
        <w:pStyle w:val="B1"/>
        <w:rPr/>
      </w:pPr>
      <w:r>
        <w:rPr/>
        <w:t>3)</w:t>
        <w:tab/>
        <w:t>A call is set up according to the Generic call setup procedure. The power control algorithm shall be set to Power Control Algorithm 2. Compressed mode shall be set to OFF.</w:t>
      </w:r>
    </w:p>
    <w:p>
      <w:pPr>
        <w:pStyle w:val="B1"/>
        <w:rPr/>
      </w:pPr>
      <w:r>
        <w:rPr/>
        <w:t>4)</w:t>
        <w:tab/>
        <w:t>Enter the UE into loopback test mode 2 and start the loopback test.</w:t>
      </w:r>
    </w:p>
    <w:p>
      <w:pPr>
        <w:pStyle w:val="Normal"/>
        <w:rPr/>
      </w:pPr>
      <w:r>
        <w:rPr/>
        <w:t>See TS 34.108 [4] and TS 34.109 [5] for details regarding generic call setup procedure and loopback test.</w:t>
      </w:r>
    </w:p>
    <w:p>
      <w:pPr>
        <w:pStyle w:val="TH"/>
        <w:rPr/>
      </w:pPr>
      <w:r>
        <w:rPr/>
        <w:t>Table 6.2.1.4.1-1: Downlink Physical Channels transmitted during a connection</w:t>
      </w:r>
    </w:p>
    <w:tbl>
      <w:tblPr>
        <w:tblW w:w="7229" w:type="dxa"/>
        <w:jc w:val="left"/>
        <w:tblInd w:w="1553" w:type="dxa"/>
        <w:tblLayout w:type="fixed"/>
        <w:tblCellMar>
          <w:top w:w="0" w:type="dxa"/>
          <w:left w:w="108" w:type="dxa"/>
          <w:bottom w:w="0" w:type="dxa"/>
          <w:right w:w="108" w:type="dxa"/>
        </w:tblCellMar>
      </w:tblPr>
      <w:tblGrid>
        <w:gridCol w:w="2301"/>
        <w:gridCol w:w="2518"/>
        <w:gridCol w:w="2410"/>
      </w:tblGrid>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Physical Channel</w:t>
            </w:r>
          </w:p>
        </w:tc>
        <w:tc>
          <w:tcPr>
            <w:tcW w:w="2518" w:type="dxa"/>
            <w:tcBorders>
              <w:top w:val="single" w:sz="6" w:space="0" w:color="000000"/>
              <w:left w:val="single" w:sz="6" w:space="0" w:color="000000"/>
              <w:bottom w:val="single" w:sz="6" w:space="0" w:color="000000"/>
              <w:right w:val="single" w:sz="6" w:space="0" w:color="000000"/>
            </w:tcBorders>
          </w:tcPr>
          <w:p>
            <w:pPr>
              <w:pStyle w:val="TAH"/>
              <w:snapToGrid w:val="false"/>
              <w:rPr/>
            </w:pPr>
            <w:r>
              <w:rPr/>
            </w:r>
          </w:p>
        </w:tc>
        <w:tc>
          <w:tcPr>
            <w:tcW w:w="241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Power</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CPICH</w:t>
            </w:r>
          </w:p>
        </w:tc>
        <w:tc>
          <w:tcPr>
            <w:tcW w:w="2518"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CPICH_Ec / DPCH_Ec</w:t>
            </w:r>
          </w:p>
        </w:tc>
        <w:tc>
          <w:tcPr>
            <w:tcW w:w="2410"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7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P-CCPCH</w:t>
            </w:r>
          </w:p>
        </w:tc>
        <w:tc>
          <w:tcPr>
            <w:tcW w:w="2518"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P-CCPCH_Ec / DPCH_Ec</w:t>
            </w:r>
          </w:p>
        </w:tc>
        <w:tc>
          <w:tcPr>
            <w:tcW w:w="2410"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5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SCH</w:t>
            </w:r>
          </w:p>
        </w:tc>
        <w:tc>
          <w:tcPr>
            <w:tcW w:w="2518"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SCH_Ec / DPCH_Ec</w:t>
            </w:r>
          </w:p>
        </w:tc>
        <w:tc>
          <w:tcPr>
            <w:tcW w:w="2410"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5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PICH</w:t>
            </w:r>
          </w:p>
        </w:tc>
        <w:tc>
          <w:tcPr>
            <w:tcW w:w="2518"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PICH_Ec / DPCH_Ec</w:t>
            </w:r>
          </w:p>
        </w:tc>
        <w:tc>
          <w:tcPr>
            <w:tcW w:w="2410"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2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DPCH</w:t>
            </w:r>
          </w:p>
        </w:tc>
        <w:tc>
          <w:tcPr>
            <w:tcW w:w="2518"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Test dependent power</w:t>
            </w:r>
          </w:p>
        </w:tc>
        <w:tc>
          <w:tcPr>
            <w:tcW w:w="2410"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w:t>
            </w:r>
          </w:p>
        </w:tc>
      </w:tr>
    </w:tbl>
    <w:p>
      <w:pPr>
        <w:pStyle w:val="Normal"/>
        <w:rPr/>
      </w:pPr>
      <w:r>
        <w:rPr/>
      </w:r>
    </w:p>
    <w:p>
      <w:pPr>
        <w:pStyle w:val="Heading5"/>
        <w:ind w:left="1701" w:hanging="1701"/>
        <w:rPr/>
      </w:pPr>
      <w:bookmarkStart w:id="145" w:name="__RefHeading___Toc68601081"/>
      <w:bookmarkEnd w:id="145"/>
      <w:r>
        <w:rPr/>
        <w:t>6.2.1.4.2</w:t>
      </w:r>
      <w:r>
        <w:rPr>
          <w:rFonts w:cs="Calibri" w:ascii="Calibri" w:hAnsi="Calibri"/>
          <w:szCs w:val="22"/>
        </w:rPr>
        <w:tab/>
      </w:r>
      <w:r>
        <w:rPr/>
        <w:t>Procedure</w:t>
      </w:r>
    </w:p>
    <w:p>
      <w:pPr>
        <w:pStyle w:val="B1"/>
        <w:rPr/>
      </w:pPr>
      <w:r>
        <w:rPr/>
        <w:t>1)</w:t>
        <w:tab/>
        <w:t>Send continuously Up power control commands to the plug-in UE.</w:t>
      </w:r>
    </w:p>
    <w:p>
      <w:pPr>
        <w:pStyle w:val="B1"/>
        <w:rPr/>
      </w:pPr>
      <w:r>
        <w:rPr/>
        <w:t>2)</w:t>
        <w:tab/>
        <w:t>As the plug-in UE reaches maximum power, start sending PN15 data pattern.</w:t>
      </w:r>
    </w:p>
    <w:p>
      <w:pPr>
        <w:pStyle w:val="B1"/>
        <w:rPr/>
      </w:pPr>
      <w:r>
        <w:rPr/>
        <w:t>3)</w:t>
        <w:tab/>
        <w:t>Position the plug-in UE into the USB connector in accordance with the manufacturer recommended primary mechanical mode. In the absence of such a recommendation position the plug-in UE so that it is horizontally plugged into the horizontal USB connector.</w:t>
      </w:r>
    </w:p>
    <w:p>
      <w:pPr>
        <w:pStyle w:val="B1"/>
        <w:rPr/>
      </w:pPr>
      <w:r>
        <w:rPr/>
        <w:t>4)</w:t>
        <w:tab/>
        <w:t xml:space="preserve">Measure the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θ</m:t>
            </m:r>
          </m:sub>
        </m:sSub>
      </m:oMath>
      <w:r>
        <w:rPr/>
        <w:t xml:space="preserve"> and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ϕ</m:t>
            </m:r>
          </m:sub>
        </m:sSub>
      </m:oMath>
      <w:r>
        <w:rPr/>
        <w:t xml:space="preserve"> with a sample step of 15° in theta (</w:t>
      </w:r>
      <w:r>
        <w:rPr>
          <w:rFonts w:eastAsia="Symbol" w:cs="Symbol" w:ascii="Symbol" w:hAnsi="Symbol"/>
        </w:rPr>
        <w:t>q</w:t>
      </w:r>
      <w:r>
        <w:rPr/>
        <w:t>) and phi (</w:t>
      </w:r>
      <w:r>
        <w:rPr>
          <w:rFonts w:eastAsia="Symbol" w:cs="Symbol" w:ascii="Symbol" w:hAnsi="Symbol"/>
        </w:rPr>
        <w:t>f</w:t>
      </w:r>
      <w:r>
        <w:rPr/>
        <w:t>) directions using a test system having characteristics as described in Annex A.</w:t>
      </w:r>
    </w:p>
    <w:p>
      <w:pPr>
        <w:pStyle w:val="B1"/>
        <w:rPr/>
      </w:pPr>
      <w:r>
        <w:rPr/>
        <w:t>5)</w:t>
        <w:tab/>
        <w:t xml:space="preserve">Calculate TRP using equations from clause </w:t>
      </w:r>
      <w:r>
        <w:rPr>
          <w:lang w:eastAsia="zh-CN"/>
        </w:rPr>
        <w:t>6.2.1.2.</w:t>
      </w:r>
    </w:p>
    <w:p>
      <w:pPr>
        <w:pStyle w:val="NO"/>
        <w:rPr/>
      </w:pPr>
      <w:r>
        <w:rPr/>
        <w:t>NOTE 1:</w:t>
        <w:tab/>
        <w:t>The measurement procedure is based on the measurement of the spherical radiation pattern of the DUT. The power radiated by the DUT is sampled in far field in a group of points located on a spherical surface enclosing the DUT. The EIRP samples are taken using a constant sample step of 15° both in theta (</w:t>
      </w:r>
      <w:r>
        <w:rPr>
          <w:rFonts w:eastAsia="Symbol" w:cs="Symbol" w:ascii="Symbol" w:hAnsi="Symbol"/>
        </w:rPr>
        <w:t>q</w:t>
      </w:r>
      <w:r>
        <w:rPr/>
        <w:t>) and phi (</w:t>
      </w:r>
      <w:r>
        <w:rPr>
          <w:rFonts w:eastAsia="Symbol" w:cs="Symbol" w:ascii="Symbol" w:hAnsi="Symbol"/>
        </w:rPr>
        <w:t>f</w:t>
      </w:r>
      <w:r>
        <w:rPr/>
        <w:t xml:space="preserve">) directions. In some cases a different sampling grid may be used to speed up the measurements (See Section 4.4). All the EIRP samples are taken with two orthogonal polarizations,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-polarisations.</w:t>
      </w:r>
    </w:p>
    <w:p>
      <w:pPr>
        <w:pStyle w:val="NO"/>
        <w:rPr/>
      </w:pPr>
      <w:r>
        <w:rPr/>
        <w:t>NOTE 2:</w:t>
        <w:tab/>
        <w:t>The noise floor of the measurement receiver shall not disturb the power measurement.</w:t>
      </w:r>
    </w:p>
    <w:p>
      <w:pPr>
        <w:pStyle w:val="NO"/>
        <w:rPr/>
      </w:pPr>
      <w:r>
        <w:rPr/>
        <w:t>NOTE 3:</w:t>
        <w:tab/>
        <w:t>Non Standard settings: To speed up sensitivity measurements, power measurements may be done with non standard modulation. However to obtain TRP result the measured EIRP figures shall be normalized by</w:t>
      </w:r>
    </w:p>
    <w:p>
      <w:pPr>
        <w:pStyle w:val="EQ"/>
        <w:jc w:val="center"/>
        <w:rPr>
          <w:lang w:val="en-GB" w:eastAsia="en-GB"/>
        </w:rPr>
      </w:pPr>
      <w:r>
        <w:rPr>
          <w:lang w:val="en-GB" w:eastAsia="en-GB"/>
        </w:rPr>
      </w:r>
      <m:oMathPara xmlns:m="http://schemas.openxmlformats.org/officeDocument/2006/math">
        <m:oMathParaPr>
          <m:jc m:val="center"/>
        </m:oMathParaPr>
        <m:oMath>
          <m:r>
            <w:rPr>
              <w:rFonts w:ascii="Cambria Math" w:hAnsi="Cambria Math"/>
            </w:rPr>
            <m:t xml:space="preserve">Δ</m:t>
          </m:r>
          <m:bar>
            <m:barPr>
              <m:pos m:val="top"/>
            </m:barPr>
            <m:e>
              <m:r>
                <m:rPr>
                  <m:lit/>
                  <m:nor/>
                </m:rPr>
                <w:rPr>
                  <w:rFonts w:ascii="Cambria Math" w:hAnsi="Cambria Math"/>
                </w:rPr>
                <m:t xml:space="preserve">EIRP</m:t>
              </m:r>
            </m:e>
          </m:ba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m:rPr>
                          <m:lit/>
                          <m:nor/>
                        </m:rPr>
                        <w:rPr>
                          <w:rFonts w:ascii="Cambria Math" w:hAnsi="Cambria Math"/>
                        </w:rPr>
                        <m:t xml:space="preserve">EIRPstd</m:t>
                      </m:r>
                    </m:e>
                    <m:sub>
                      <m:r>
                        <w:rPr>
                          <w:rFonts w:ascii="Cambria Math" w:hAnsi="Cambria Math"/>
                        </w:rPr>
                        <m:t xml:space="preserve">i</m:t>
                      </m:r>
                    </m:sub>
                  </m:sSub>
                  <m:r>
                    <w:rPr>
                      <w:rFonts w:ascii="Cambria Math" w:hAnsi="Cambria Math"/>
                    </w:rPr>
                    <m:t xml:space="preserve">−</m:t>
                  </m:r>
                  <m:sSub>
                    <m:e>
                      <m:r>
                        <m:rPr>
                          <m:lit/>
                          <m:nor/>
                        </m:rPr>
                        <w:rPr>
                          <w:rFonts w:ascii="Cambria Math" w:hAnsi="Cambria Math"/>
                        </w:rPr>
                        <m:t xml:space="preserve">EIRPnstd</m:t>
                      </m:r>
                    </m:e>
                    <m:sub>
                      <m:r>
                        <w:rPr>
                          <w:rFonts w:ascii="Cambria Math" w:hAnsi="Cambria Math"/>
                        </w:rPr>
                        <m:t xml:space="preserve">i</m:t>
                      </m:r>
                    </m:sub>
                  </m:sSub>
                </m:e>
              </m:d>
            </m:e>
          </m:nary>
        </m:oMath>
      </m:oMathPara>
    </w:p>
    <w:p>
      <w:pPr>
        <w:pStyle w:val="Normal"/>
        <w:rPr/>
      </w:pPr>
      <w:r>
        <w:rPr/>
        <w:t xml:space="preserve">where </w:t>
      </w:r>
      <w:r>
        <w:rPr/>
      </w:r>
      <m:oMath xmlns:m="http://schemas.openxmlformats.org/officeDocument/2006/math">
        <m:sSub>
          <m:e>
            <m:r>
              <m:rPr>
                <m:lit/>
                <m:nor/>
              </m:rPr>
              <w:rPr>
                <w:rFonts w:ascii="Cambria Math" w:hAnsi="Cambria Math"/>
              </w:rPr>
              <m:t xml:space="preserve">EIRPstd</m:t>
            </m:r>
          </m:e>
          <m:sub>
            <m:r>
              <w:rPr>
                <w:rFonts w:ascii="Cambria Math" w:hAnsi="Cambria Math"/>
              </w:rPr>
              <m:t xml:space="preserve">i</m:t>
            </m:r>
          </m:sub>
        </m:sSub>
      </m:oMath>
      <w:r>
        <w:rPr/>
        <w:t xml:space="preserve"> is power measurement done with standard setting. </w:t>
      </w:r>
      <w:r>
        <w:rPr/>
      </w:r>
      <m:oMath xmlns:m="http://schemas.openxmlformats.org/officeDocument/2006/math">
        <m:sSub>
          <m:e>
            <m:r>
              <m:rPr>
                <m:lit/>
                <m:nor/>
              </m:rPr>
              <w:rPr>
                <w:rFonts w:ascii="Cambria Math" w:hAnsi="Cambria Math"/>
              </w:rPr>
              <m:t xml:space="preserve">EIRPnstd</m:t>
            </m:r>
          </m:e>
          <m:sub>
            <m:r>
              <w:rPr>
                <w:rFonts w:ascii="Cambria Math" w:hAnsi="Cambria Math"/>
              </w:rPr>
              <m:t xml:space="preserve">i</m:t>
            </m:r>
          </m:sub>
        </m:sSub>
      </m:oMath>
      <w:r>
        <w:rPr/>
        <w:t xml:space="preserve"> is power measurement done with non standard modulation. </w:t>
      </w:r>
      <w:r>
        <w:rPr/>
      </w:r>
      <m:oMath xmlns:m="http://schemas.openxmlformats.org/officeDocument/2006/math">
        <m:r>
          <w:rPr>
            <w:rFonts w:ascii="Cambria Math" w:hAnsi="Cambria Math"/>
          </w:rPr>
          <m:t xml:space="preserve">n</m:t>
        </m:r>
      </m:oMath>
      <w:r>
        <w:rPr/>
        <w:t xml:space="preserve"> is amount of reference measurement points.</w:t>
      </w:r>
    </w:p>
    <w:p>
      <w:pPr>
        <w:pStyle w:val="Normal"/>
        <w:rPr/>
      </w:pPr>
      <w:r>
        <w:rPr/>
        <w:t>To ensure accuracy of TRP, the amount of reference points measured should be at least 4. It is recommended to spread the reference measurements equally during the measurement time.</w:t>
      </w:r>
    </w:p>
    <w:p>
      <w:pPr>
        <w:pStyle w:val="Heading5"/>
        <w:ind w:left="1701" w:hanging="1701"/>
        <w:rPr/>
      </w:pPr>
      <w:bookmarkStart w:id="146" w:name="__RefHeading___Toc68601082"/>
      <w:bookmarkEnd w:id="146"/>
      <w:r>
        <w:rPr/>
        <w:t>6.2.1.4.3</w:t>
      </w:r>
      <w:r>
        <w:rPr>
          <w:rFonts w:cs="Calibri" w:ascii="Calibri" w:hAnsi="Calibri"/>
          <w:szCs w:val="22"/>
        </w:rPr>
        <w:tab/>
      </w:r>
      <w:r>
        <w:rPr/>
        <w:t>Procedure, reverberation chamber method</w:t>
      </w:r>
    </w:p>
    <w:p>
      <w:pPr>
        <w:pStyle w:val="B1"/>
        <w:rPr/>
      </w:pPr>
      <w:r>
        <w:rPr/>
        <w:t>1)</w:t>
        <w:tab/>
        <w:t>Send continuously Up power control commands to the plug-in UE.</w:t>
      </w:r>
    </w:p>
    <w:p>
      <w:pPr>
        <w:pStyle w:val="B1"/>
        <w:rPr/>
      </w:pPr>
      <w:r>
        <w:rPr/>
        <w:t>2)</w:t>
        <w:tab/>
        <w:t>As the plug-in UE reaches maximum power, start sending PN15 data pattern.</w:t>
      </w:r>
    </w:p>
    <w:p>
      <w:pPr>
        <w:pStyle w:val="B1"/>
        <w:rPr/>
      </w:pPr>
      <w:r>
        <w:rPr/>
        <w:t>3)</w:t>
        <w:tab/>
        <w:t>Position the plug-in UE into the USB connector in accordance with the manufacturer recommended primary mechanical mode. In the absence of such a recommendation position the plug-in UE so that it is horizontally plugged into the horizontal USB connector.</w:t>
      </w:r>
    </w:p>
    <w:p>
      <w:pPr>
        <w:pStyle w:val="B1"/>
        <w:rPr/>
      </w:pPr>
      <w:r>
        <w:rPr/>
        <w:t>4)</w:t>
        <w:tab/>
        <w:t xml:space="preserve">Measure a sufficient number of independent samples (see section 4.5) of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oMath>
      <w:r>
        <w:rPr/>
        <w:t xml:space="preserve"> using a test system having characteristics as described in Annex A.</w:t>
      </w:r>
    </w:p>
    <w:p>
      <w:pPr>
        <w:pStyle w:val="B1"/>
        <w:rPr/>
      </w:pPr>
      <w:r>
        <w:rPr/>
        <w:t>5)</w:t>
        <w:tab/>
        <w:t xml:space="preserve">Calculate TRP using equations from clause </w:t>
      </w:r>
      <w:r>
        <w:rPr>
          <w:lang w:eastAsia="zh-CN"/>
        </w:rPr>
        <w:t>6.2.1.2.</w:t>
      </w:r>
    </w:p>
    <w:p>
      <w:pPr>
        <w:pStyle w:val="NO"/>
        <w:rPr/>
      </w:pPr>
      <w:r>
        <w:rPr/>
        <w:t>NOTE 1:</w:t>
        <w:tab/>
        <w:t>The measurement procedure is based on the measurement of the total power radiated from the UE/MS to a full 3 dimensional isotropic environment with uniform elevation and azimuth field distribution. The power transmitted by the DUT is undergoing Rayleigh fading and is sampled by the fixed measurement antennas. Moreover, it is important that the samples collected are independent, in order to get sufficient accuracy of the estimated TRP value.</w:t>
      </w:r>
    </w:p>
    <w:p>
      <w:pPr>
        <w:pStyle w:val="NO"/>
        <w:rPr/>
      </w:pPr>
      <w:r>
        <w:rPr/>
        <w:t>NOTE 2:</w:t>
        <w:tab/>
        <w:t>The noise floor of the measurement receiver shall not disturb the power measurement.</w:t>
      </w:r>
    </w:p>
    <w:p>
      <w:pPr>
        <w:pStyle w:val="Heading4"/>
        <w:ind w:left="1418" w:hanging="1418"/>
        <w:rPr/>
      </w:pPr>
      <w:bookmarkStart w:id="147" w:name="__RefHeading___Toc68601083"/>
      <w:bookmarkEnd w:id="147"/>
      <w:r>
        <w:rPr/>
        <w:t>6.2.1.5</w:t>
      </w:r>
      <w:r>
        <w:rPr>
          <w:rFonts w:cs="Calibri" w:ascii="Calibri" w:hAnsi="Calibri"/>
          <w:sz w:val="22"/>
          <w:szCs w:val="22"/>
        </w:rPr>
        <w:tab/>
      </w:r>
      <w:r>
        <w:rPr/>
        <w:t>Test requirements</w:t>
      </w:r>
    </w:p>
    <w:p>
      <w:pPr>
        <w:pStyle w:val="Normal"/>
        <w:jc w:val="both"/>
        <w:rPr/>
      </w:pPr>
      <w:r>
        <w:rPr/>
        <w:t>The average TRP of low, mid and high channel shall be higher than test performance requirements for roaming bands shown in Table 6.2.1.5-1. The averaging shall be done in linear scale for the TRP.</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num>
                <m:den>
                  <m:r>
                    <w:rPr>
                      <w:rFonts w:ascii="Cambria Math" w:hAnsi="Cambria Math"/>
                    </w:rPr>
                    <m:t xml:space="preserve">3</m:t>
                  </m:r>
                </m:den>
              </m:f>
            </m:e>
          </m:d>
        </m:oMath>
      </m:oMathPara>
    </w:p>
    <w:p>
      <w:pPr>
        <w:pStyle w:val="Normal"/>
        <w:rPr/>
      </w:pPr>
      <w:r>
        <w:rPr/>
        <w:t>In addition the minimum TRP of each measured channel shall be higher than minimum performance requirements shown in the columns “Min”.</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m:rPr>
                  <m:lit/>
                  <m:nor/>
                </m:rPr>
                <w:rPr>
                  <w:rFonts w:ascii="Cambria Math" w:hAnsi="Cambria Math"/>
                </w:rPr>
                <m:t xml:space="preserve">min</m:t>
              </m:r>
              <m:d>
                <m:dPr>
                  <m:begChr m:val="("/>
                  <m:endChr m:val=")"/>
                </m:dPr>
                <m:e>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e>
              </m:d>
            </m:e>
          </m:d>
        </m:oMath>
      </m:oMathPara>
    </w:p>
    <w:p>
      <w:pPr>
        <w:pStyle w:val="TH"/>
        <w:rPr/>
      </w:pPr>
      <w:r>
        <w:rPr/>
        <w:t>Table 6.2.1.5-1: TRP test requirement for UTRA FDD using LME</w:t>
      </w:r>
    </w:p>
    <w:tbl>
      <w:tblPr>
        <w:tblW w:w="9645" w:type="dxa"/>
        <w:jc w:val="center"/>
        <w:tblInd w:w="0" w:type="dxa"/>
        <w:tblLayout w:type="fixed"/>
        <w:tblCellMar>
          <w:top w:w="0" w:type="dxa"/>
          <w:left w:w="108" w:type="dxa"/>
          <w:bottom w:w="0" w:type="dxa"/>
          <w:right w:w="108" w:type="dxa"/>
        </w:tblCellMar>
      </w:tblPr>
      <w:tblGrid>
        <w:gridCol w:w="1080"/>
        <w:gridCol w:w="1440"/>
        <w:gridCol w:w="1440"/>
        <w:gridCol w:w="1081"/>
        <w:gridCol w:w="901"/>
        <w:gridCol w:w="1006"/>
        <w:gridCol w:w="852"/>
        <w:gridCol w:w="993"/>
        <w:gridCol w:w="852"/>
      </w:tblGrid>
      <w:tr>
        <w:trPr/>
        <w:tc>
          <w:tcPr>
            <w:tcW w:w="1080" w:type="dxa"/>
            <w:vMerge w:val="restart"/>
            <w:tcBorders>
              <w:top w:val="single" w:sz="4" w:space="0" w:color="000000"/>
              <w:left w:val="single" w:sz="4" w:space="0" w:color="000000"/>
              <w:bottom w:val="single" w:sz="4" w:space="0" w:color="000000"/>
              <w:right w:val="single" w:sz="4" w:space="0" w:color="000000"/>
            </w:tcBorders>
          </w:tcPr>
          <w:p>
            <w:pPr>
              <w:pStyle w:val="TAH"/>
              <w:rPr/>
            </w:pPr>
            <w:r>
              <w:rPr>
                <w:lang w:eastAsia="en-US"/>
              </w:rPr>
              <w:t>Operating band</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1</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2</w:t>
            </w:r>
          </w:p>
        </w:tc>
        <w:tc>
          <w:tcPr>
            <w:tcW w:w="198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3</w:t>
            </w:r>
          </w:p>
        </w:tc>
        <w:tc>
          <w:tcPr>
            <w:tcW w:w="1858"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3bis</w:t>
            </w:r>
          </w:p>
        </w:tc>
        <w:tc>
          <w:tcPr>
            <w:tcW w:w="1845"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4</w:t>
            </w:r>
          </w:p>
        </w:tc>
      </w:tr>
      <w:tr>
        <w:trPr/>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b/>
                <w:b/>
                <w:sz w:val="18"/>
                <w:lang w:eastAsia="zh-CN"/>
              </w:rPr>
            </w:pPr>
            <w:r>
              <w:rPr>
                <w:rFonts w:cs="Arial" w:ascii="Arial" w:hAnsi="Arial"/>
                <w:b/>
                <w:sz w:val="18"/>
                <w:lang w:eastAsia="zh-CN"/>
              </w:rPr>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98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858"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845"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r>
      <w:tr>
        <w:trPr/>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b/>
                <w:b/>
                <w:sz w:val="18"/>
                <w:lang w:eastAsia="zh-CN"/>
              </w:rPr>
            </w:pPr>
            <w:r>
              <w:rPr>
                <w:rFonts w:cs="Arial" w:ascii="Arial" w:hAnsi="Arial"/>
                <w:b/>
                <w:sz w:val="18"/>
                <w:lang w:eastAsia="zh-CN"/>
              </w:rPr>
            </w:r>
          </w:p>
        </w:tc>
        <w:tc>
          <w:tcPr>
            <w:tcW w:w="1440" w:type="dxa"/>
            <w:tcBorders>
              <w:top w:val="single" w:sz="4" w:space="0" w:color="000000"/>
              <w:left w:val="single" w:sz="4" w:space="0" w:color="000000"/>
              <w:bottom w:val="single" w:sz="4" w:space="0" w:color="000000"/>
              <w:right w:val="single" w:sz="4" w:space="0" w:color="000000"/>
            </w:tcBorders>
          </w:tcPr>
          <w:p>
            <w:pPr>
              <w:pStyle w:val="TAH"/>
              <w:snapToGrid w:val="false"/>
              <w:rPr>
                <w:rFonts w:ascii="Arial" w:hAnsi="Arial" w:cs="Arial"/>
                <w:b/>
                <w:b/>
                <w:sz w:val="18"/>
              </w:rPr>
            </w:pPr>
            <w:r>
              <w:rPr>
                <w:rFonts w:cs="Arial"/>
                <w:b/>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08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90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100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85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3"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85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r>
      <w:tr>
        <w:trPr/>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8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9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10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r>
      <w:tr>
        <w:trPr/>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8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901"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TBD +TT</w:t>
            </w:r>
          </w:p>
        </w:tc>
        <w:tc>
          <w:tcPr>
            <w:tcW w:w="10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993" w:type="dxa"/>
            <w:tcBorders>
              <w:top w:val="single" w:sz="4" w:space="0" w:color="000000"/>
              <w:left w:val="single" w:sz="4" w:space="0" w:color="000000"/>
              <w:bottom w:val="single" w:sz="4" w:space="0" w:color="000000"/>
              <w:right w:val="single" w:sz="4" w:space="0" w:color="000000"/>
            </w:tcBorders>
          </w:tcPr>
          <w:p>
            <w:pPr>
              <w:pStyle w:val="TAC"/>
              <w:rPr>
                <w:sz w:val="20"/>
              </w:rPr>
            </w:pPr>
            <w:r>
              <w:rPr>
                <w:lang w:eastAsia="en-US"/>
              </w:rPr>
              <w:t>TBD +TT</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r>
      <w:tr>
        <w:trPr/>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III</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8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9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10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r>
      <w:tr>
        <w:trPr/>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IV</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8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9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10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r>
      <w:tr>
        <w:trPr/>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8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9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10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r>
      <w:tr>
        <w:trPr/>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8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9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10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852"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TBD +TT</w:t>
            </w:r>
          </w:p>
        </w:tc>
      </w:tr>
      <w:tr>
        <w:trPr/>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8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9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10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r>
      <w:tr>
        <w:trPr/>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VIII</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8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9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10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r>
      <w:tr>
        <w:trPr/>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IX</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8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9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10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r>
      <w:tr>
        <w:trPr/>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XIX</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8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9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100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c>
          <w:tcPr>
            <w:tcW w:w="8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+TT</w:t>
            </w:r>
          </w:p>
        </w:tc>
      </w:tr>
      <w:tr>
        <w:trPr/>
        <w:tc>
          <w:tcPr>
            <w:tcW w:w="9645" w:type="dxa"/>
            <w:gridSpan w:val="9"/>
            <w:tcBorders>
              <w:top w:val="single" w:sz="4" w:space="0" w:color="000000"/>
              <w:left w:val="single" w:sz="4" w:space="0" w:color="000000"/>
              <w:bottom w:val="single" w:sz="4" w:space="0" w:color="000000"/>
              <w:right w:val="single" w:sz="4" w:space="0" w:color="000000"/>
            </w:tcBorders>
          </w:tcPr>
          <w:p>
            <w:pPr>
              <w:pStyle w:val="TAN"/>
              <w:rPr/>
            </w:pPr>
            <w:r>
              <w:rPr>
                <w:lang w:eastAsia="en-US"/>
              </w:rPr>
              <w:t>NOTE 1: Applicable for dual-mode GSM/UMTS.</w:t>
            </w:r>
          </w:p>
          <w:p>
            <w:pPr>
              <w:pStyle w:val="TAN"/>
              <w:rPr>
                <w:b/>
                <w:b/>
                <w:bCs/>
              </w:rPr>
            </w:pPr>
            <w:r>
              <w:rPr>
                <w:lang w:eastAsia="en-US"/>
              </w:rPr>
              <w:t>NOTE 2: Applicable for USB plug-in devices.</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Heading3"/>
        <w:rPr>
          <w:lang w:eastAsia="zh-CN"/>
        </w:rPr>
      </w:pPr>
      <w:bookmarkStart w:id="148" w:name="__RefHeading___Toc68601084"/>
      <w:bookmarkEnd w:id="148"/>
      <w:r>
        <w:rPr/>
        <w:t>6.</w:t>
      </w:r>
      <w:r>
        <w:rPr>
          <w:lang w:eastAsia="zh-CN"/>
        </w:rPr>
        <w:t>2</w:t>
      </w:r>
      <w:r>
        <w:rPr/>
        <w:t>.2</w:t>
        <w:tab/>
        <w:t>Total Radiated Power (TRP) for UTRA LCR TDD LME</w:t>
      </w:r>
    </w:p>
    <w:p>
      <w:pPr>
        <w:pStyle w:val="EditorsNote"/>
        <w:rPr/>
      </w:pPr>
      <w:r>
        <w:rPr/>
        <w:t>Editor’s note: This test case is incomplete. The following aspects are either missing or not yet determined:</w:t>
      </w:r>
    </w:p>
    <w:p>
      <w:pPr>
        <w:pStyle w:val="EditorsNote"/>
        <w:rPr/>
      </w:pPr>
      <w:r>
        <w:rPr>
          <w:i/>
        </w:rPr>
        <w:t>- The TRP Minimum Performance Requirement for this test is undefined</w:t>
      </w:r>
    </w:p>
    <w:p>
      <w:pPr>
        <w:pStyle w:val="EditorsNote"/>
        <w:rPr/>
      </w:pPr>
      <w:r>
        <w:rPr>
          <w:i/>
        </w:rPr>
        <w:t>- The Test Requirements and related Test Tolerances applicable for this test are undefined</w:t>
      </w:r>
    </w:p>
    <w:p>
      <w:pPr>
        <w:pStyle w:val="Heading4"/>
        <w:ind w:left="1418" w:hanging="1418"/>
        <w:rPr/>
      </w:pPr>
      <w:bookmarkStart w:id="149" w:name="__RefHeading___Toc68601085"/>
      <w:bookmarkEnd w:id="149"/>
      <w:r>
        <w:rPr/>
        <w:t>6.2.2.1</w:t>
      </w:r>
      <w:r>
        <w:rPr>
          <w:rFonts w:cs="Calibri" w:ascii="Calibri" w:hAnsi="Calibri"/>
          <w:sz w:val="22"/>
          <w:szCs w:val="22"/>
        </w:rPr>
        <w:tab/>
      </w:r>
      <w:r>
        <w:rPr/>
        <w:t>Definition and applicability</w:t>
      </w:r>
    </w:p>
    <w:p>
      <w:pPr>
        <w:pStyle w:val="Normal"/>
        <w:numPr>
          <w:ilvl w:val="0"/>
          <w:numId w:val="5"/>
        </w:numPr>
        <w:suppressAutoHyphens w:val="true"/>
        <w:rPr/>
      </w:pPr>
      <w:r>
        <w:rPr/>
        <w:t>The Total Radiated Power (TRP) is a measure of how much power the DUT actually radiates. The TRP is defined as the integral of the power transmitted in different directions over the entire radiation sphere:</w:t>
      </w:r>
    </w:p>
    <w:p>
      <w:pPr>
        <w:pStyle w:val="EQ"/>
        <w:numPr>
          <w:ilvl w:val="0"/>
          <w:numId w:val="5"/>
        </w:numPr>
        <w:suppressAutoHyphens w:val="true"/>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TRP</m:t>
          </m:r>
          <m:r>
            <w:rPr>
              <w:rFonts w:ascii="Cambria Math" w:hAnsi="Cambria Math"/>
            </w:rPr>
            <m:t xml:space="preserve">=</m:t>
          </m:r>
          <m:f>
            <m:num>
              <m:r>
                <w:rPr>
                  <w:rFonts w:ascii="Cambria Math" w:hAnsi="Cambria Math"/>
                </w:rPr>
                <m:t xml:space="preserve">1</m:t>
              </m:r>
            </m:num>
            <m:den>
              <m:r>
                <w:rPr>
                  <w:rFonts w:ascii="Cambria Math" w:hAnsi="Cambria Math"/>
                </w:rPr>
                <m:t xml:space="preserve">4</m:t>
              </m:r>
              <m:r>
                <w:rPr>
                  <w:rFonts w:ascii="Cambria Math" w:hAnsi="Cambria Math"/>
                </w:rPr>
                <m:t xml:space="preserve">π</m:t>
              </m:r>
            </m:den>
          </m:f>
          <m:nary>
            <m:naryPr>
              <m:chr m:val="∮"/>
              <m:subHide m:val="1"/>
              <m:supHide m:val="1"/>
            </m:naryPr>
            <m:sub/>
            <m:sup/>
            <m:e>
              <m:d>
                <m:dPr>
                  <m:begChr m:val="("/>
                  <m:endChr m:val=")"/>
                </m:dPr>
                <m:e>
                  <m:sSub>
                    <m:e>
                      <m:r>
                        <m:rPr>
                          <m:lit/>
                          <m:nor/>
                        </m:rPr>
                        <w:rPr>
                          <w:rFonts w:ascii="Cambria Math" w:hAnsi="Cambria Math"/>
                        </w:rPr>
                        <m:t xml:space="preserve">EIRP</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EIRP</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e>
              </m:d>
            </m:e>
          </m:nary>
          <m:r>
            <w:rPr>
              <w:rFonts w:ascii="Cambria Math" w:hAnsi="Cambria Math"/>
            </w:rPr>
            <m:t xml:space="preserve">d</m:t>
          </m:r>
          <m:r>
            <w:rPr>
              <w:rFonts w:ascii="Cambria Math" w:hAnsi="Cambria Math"/>
            </w:rPr>
            <m:t xml:space="preserve">Ω</m:t>
          </m:r>
        </m:oMath>
      </m:oMathPara>
    </w:p>
    <w:p>
      <w:pPr>
        <w:pStyle w:val="Normal"/>
        <w:numPr>
          <w:ilvl w:val="0"/>
          <w:numId w:val="5"/>
        </w:numPr>
        <w:suppressAutoHyphens w:val="true"/>
        <w:rPr/>
      </w:pPr>
      <w:r>
        <w:rPr/>
        <w:t xml:space="preserve">Where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r>
          <w:rPr>
            <w:rFonts w:ascii="Cambria Math" w:hAnsi="Cambria Math"/>
          </w:rPr>
          <m:t xml:space="preserve">f</m:t>
        </m:r>
      </m:oMath>
      <w:r>
        <w:rPr/>
        <w:t xml:space="preserve"> is frequency.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 are the orthogonal polarizations.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θ</m:t>
            </m:r>
          </m:sub>
        </m:sSub>
      </m:oMath>
      <w:r>
        <w:rPr/>
        <w:t xml:space="preserve"> and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ϕ</m:t>
            </m:r>
          </m:sub>
        </m:sSub>
      </m:oMath>
      <w:r>
        <w:rPr/>
        <w:t xml:space="preserve"> are the actually transmitted power-levels in corresponding polarizations.</w:t>
      </w:r>
    </w:p>
    <w:p>
      <w:pPr>
        <w:pStyle w:val="Normal"/>
        <w:numPr>
          <w:ilvl w:val="0"/>
          <w:numId w:val="5"/>
        </w:numPr>
        <w:suppressAutoHyphens w:val="true"/>
        <w:rPr/>
      </w:pPr>
      <w:r>
        <w:rPr/>
        <w:t>Thus</w:t>
      </w:r>
    </w:p>
    <w:p>
      <w:pPr>
        <w:pStyle w:val="EQ"/>
        <w:numPr>
          <w:ilvl w:val="0"/>
          <w:numId w:val="5"/>
        </w:numPr>
        <w:suppressAutoHyphens w:val="true"/>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TRP</m:t>
          </m:r>
          <m:r>
            <w:rPr>
              <w:rFonts w:ascii="Cambria Math" w:hAnsi="Cambria Math"/>
            </w:rPr>
            <m:t xml:space="preserve">≈</m:t>
          </m:r>
          <m:f>
            <m:num>
              <m:r>
                <w:rPr>
                  <w:rFonts w:ascii="Cambria Math" w:hAnsi="Cambria Math"/>
                </w:rPr>
                <m:t xml:space="preserve">π</m:t>
              </m:r>
            </m:num>
            <m:den>
              <m:r>
                <w:rPr>
                  <w:rFonts w:ascii="Cambria Math" w:hAnsi="Cambria Math"/>
                </w:rPr>
                <m:t xml:space="preserve">2</m:t>
              </m:r>
              <m:r>
                <m:rPr>
                  <m:lit/>
                  <m:nor/>
                </m:rPr>
                <w:rPr>
                  <w:rFonts w:ascii="Cambria Math" w:hAnsi="Cambria Math"/>
                </w:rPr>
                <m:t xml:space="preserve">NM</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m:rPr>
                              <m:lit/>
                              <m:nor/>
                            </m:rPr>
                            <w:rPr>
                              <w:rFonts w:ascii="Cambria Math" w:hAnsi="Cambria Math"/>
                            </w:rPr>
                            <m:t xml:space="preserve">EIRP</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EIRP</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numPr>
          <w:ilvl w:val="0"/>
          <w:numId w:val="5"/>
        </w:numPr>
        <w:suppressAutoHyphens w:val="true"/>
        <w:rPr/>
      </w:pPr>
      <w:r>
        <w:rPr/>
        <w:t xml:space="preserve">In these formulas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are the number of sampling intervals for theta and phi.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oMath>
      <w:r>
        <w:rPr/>
        <w:t xml:space="preserve"> are the measurement angles. The sampling intervals are discussed further in Section 4.4.</w:t>
      </w:r>
    </w:p>
    <w:p>
      <w:pPr>
        <w:pStyle w:val="Normal"/>
        <w:numPr>
          <w:ilvl w:val="0"/>
          <w:numId w:val="5"/>
        </w:numPr>
        <w:suppressAutoHyphens w:val="true"/>
        <w:rPr/>
      </w:pPr>
      <w:r>
        <w:rPr/>
        <w:t>The TRP can also be calculated from Rayleigh faded samples of the total power transmitted from the LME. The measurement of transmitter performance in an isotropic Rayleigh fading environment is based on sampling the radiated power of the LME for a discrete number of field combinations in the chamber. The average value of these statistically distributed samples is proportional to the TRP and by calibrating the average power transfer function, an absolute value of the TRP can be obtained. Thus</w:t>
      </w:r>
    </w:p>
    <w:p>
      <w:pPr>
        <w:pStyle w:val="EQ"/>
        <w:numPr>
          <w:ilvl w:val="0"/>
          <w:numId w:val="5"/>
        </w:numPr>
        <w:suppressAutoHyphens w:val="true"/>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TRP</m:t>
          </m:r>
          <m:r>
            <w:rPr>
              <w:rFonts w:ascii="Cambria Math" w:hAnsi="Cambria Math"/>
            </w:rPr>
            <m:t xml:space="preserve">≈</m:t>
          </m:r>
          <m:f>
            <m:num>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f>
                        <m:num>
                          <m:sSub>
                            <m:e>
                              <m:r>
                                <w:rPr>
                                  <w:rFonts w:ascii="Cambria Math" w:hAnsi="Cambria Math"/>
                                </w:rPr>
                                <m:t xml:space="preserve">P</m:t>
                              </m:r>
                            </m:e>
                            <m:sub>
                              <m:r>
                                <w:rPr>
                                  <w:rFonts w:ascii="Cambria Math" w:hAnsi="Cambria Math"/>
                                </w:rPr>
                                <m:t xml:space="preserve">n</m:t>
                              </m:r>
                            </m:sub>
                          </m:sSub>
                        </m:num>
                        <m:den>
                          <m:sSub>
                            <m:e>
                              <m:r>
                                <w:rPr>
                                  <w:rFonts w:ascii="Cambria Math" w:hAnsi="Cambria Math"/>
                                </w:rPr>
                                <m:t xml:space="preserve">C</m:t>
                              </m:r>
                            </m:e>
                            <m:sub>
                              <m:r>
                                <w:rPr>
                                  <w:rFonts w:ascii="Cambria Math" w:hAnsi="Cambria Math"/>
                                </w:rPr>
                                <m:t xml:space="preserve">n</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den>
                      </m:f>
                    </m:e>
                  </m:d>
                </m:e>
              </m:nary>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e>
              </m:nary>
            </m:den>
          </m:f>
        </m:oMath>
      </m:oMathPara>
    </w:p>
    <w:p>
      <w:pPr>
        <w:pStyle w:val="Normal"/>
        <w:numPr>
          <w:ilvl w:val="0"/>
          <w:numId w:val="5"/>
        </w:numPr>
        <w:suppressAutoHyphens w:val="true"/>
        <w:rPr/>
      </w:pPr>
      <w:r>
        <w:rPr/>
        <w:t xml:space="preserve">where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oMath>
      <w:r>
        <w:rPr/>
        <w:t xml:space="preserve"> is the reference power transfer function for fixed measurement antenna n, </w:t>
      </w:r>
      <w:r>
        <w:rPr/>
      </w:r>
      <m:oMath xmlns:m="http://schemas.openxmlformats.org/officeDocument/2006/math">
        <m:sSub>
          <m:e>
            <m:r>
              <w:rPr>
                <w:rFonts w:ascii="Cambria Math" w:hAnsi="Cambria Math"/>
              </w:rPr>
              <m:t xml:space="preserve">R</m:t>
            </m:r>
          </m:e>
          <m:sub>
            <m:r>
              <w:rPr>
                <w:rFonts w:ascii="Cambria Math" w:hAnsi="Cambria Math"/>
              </w:rPr>
              <m:t xml:space="preserve">n</m:t>
            </m:r>
          </m:sub>
        </m:sSub>
      </m:oMath>
      <w:r>
        <w:rPr/>
        <w:t xml:space="preserve"> is the reflection coefficient for fixed measurement antenna n and </w:t>
      </w:r>
      <w:r>
        <w:rPr/>
      </w:r>
      <m:oMath xmlns:m="http://schemas.openxmlformats.org/officeDocument/2006/math">
        <m:sSub>
          <m:e>
            <m:r>
              <w:rPr>
                <w:rFonts w:ascii="Cambria Math" w:hAnsi="Cambria Math"/>
              </w:rPr>
              <m:t xml:space="preserve">C</m:t>
            </m:r>
          </m:e>
          <m:sub>
            <m:r>
              <w:rPr>
                <w:rFonts w:ascii="Cambria Math" w:hAnsi="Cambria Math"/>
              </w:rPr>
              <m:t xml:space="preserve">n</m:t>
            </m:r>
          </m:sub>
        </m:sSub>
      </m:oMath>
      <w:r>
        <w:rPr/>
        <w:t xml:space="preserve"> is the path loss in the cables connecting the measurement receiver to fixed measurement antenna n. These parameters are calculated from the calibration measurement and are further discussed in Annex B.2. </w:t>
      </w:r>
      <w:r>
        <w:rPr/>
      </w:r>
      <m:oMath xmlns:m="http://schemas.openxmlformats.org/officeDocument/2006/math">
        <m:sSub>
          <m:e>
            <m:r>
              <w:rPr>
                <w:rFonts w:ascii="Cambria Math" w:hAnsi="Cambria Math"/>
              </w:rPr>
              <m:t xml:space="preserve">P</m:t>
            </m:r>
          </m:e>
          <m:sub>
            <m:r>
              <w:rPr>
                <w:rFonts w:ascii="Cambria Math" w:hAnsi="Cambria Math"/>
              </w:rPr>
              <m:t xml:space="preserve">n</m:t>
            </m:r>
          </m:sub>
        </m:sSub>
      </m:oMath>
      <w:r>
        <w:rPr/>
        <w:t xml:space="preserve"> is the average power measured by fixed measurement antenna n and can be calculated using the following expression:</w:t>
      </w:r>
    </w:p>
    <w:p>
      <w:pPr>
        <w:pStyle w:val="EQ"/>
        <w:numPr>
          <w:ilvl w:val="0"/>
          <w:numId w:val="5"/>
        </w:numPr>
        <w:suppressAutoHyphens w:val="true"/>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w:rPr>
                  <w:rFonts w:ascii="Cambria Math" w:hAnsi="Cambria Math"/>
                </w:rPr>
                <m:t xml:space="preserve">n</m:t>
              </m:r>
            </m:sub>
          </m:sSub>
          <m:r>
            <w:rPr>
              <w:rFonts w:ascii="Cambria Math" w:hAnsi="Cambria Math"/>
            </w:rPr>
            <m:t xml:space="preserve">=</m:t>
          </m:r>
          <m:f>
            <m:num>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p>
                    <m:e>
                      <m:d>
                        <m:dPr>
                          <m:begChr m:val="|"/>
                          <m:endChr m:val="|"/>
                        </m:dPr>
                        <m:e>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e>
                      </m:d>
                    </m:e>
                    <m:sup>
                      <m:r>
                        <w:rPr>
                          <w:rFonts w:ascii="Cambria Math" w:hAnsi="Cambria Math"/>
                        </w:rPr>
                        <m:t xml:space="preserve">2</m:t>
                      </m:r>
                    </m:sup>
                  </m:sSup>
                </m:e>
              </m:nary>
            </m:num>
            <m:den>
              <m:r>
                <w:rPr>
                  <w:rFonts w:ascii="Cambria Math" w:hAnsi="Cambria Math"/>
                </w:rPr>
                <m:t xml:space="preserve">M</m:t>
              </m:r>
            </m:den>
          </m:f>
        </m:oMath>
      </m:oMathPara>
    </w:p>
    <w:p>
      <w:pPr>
        <w:pStyle w:val="Normal"/>
        <w:numPr>
          <w:ilvl w:val="0"/>
          <w:numId w:val="5"/>
        </w:numPr>
        <w:suppressAutoHyphens w:val="true"/>
        <w:rPr/>
      </w:pPr>
      <w:r>
        <w:rPr/>
        <w:t xml:space="preserve">where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oMath>
      <w:r>
        <w:rPr/>
        <w:t xml:space="preserve"> is sample number m of the complex transfer function measured with fixed measurement antenna n and </w:t>
      </w:r>
      <w:r>
        <w:rPr/>
      </w:r>
      <m:oMath xmlns:m="http://schemas.openxmlformats.org/officeDocument/2006/math">
        <m:r>
          <w:rPr>
            <w:rFonts w:ascii="Cambria Math" w:hAnsi="Cambria Math"/>
          </w:rPr>
          <m:t xml:space="preserve">M</m:t>
        </m:r>
      </m:oMath>
      <w:r>
        <w:rPr/>
        <w:t xml:space="preserve"> is the total number of samples measured for each fixed measurement antenna.</w:t>
      </w:r>
    </w:p>
    <w:p>
      <w:pPr>
        <w:pStyle w:val="Normal"/>
        <w:numPr>
          <w:ilvl w:val="0"/>
          <w:numId w:val="5"/>
        </w:numPr>
        <w:suppressAutoHyphens w:val="true"/>
        <w:rPr/>
      </w:pPr>
      <w:r>
        <w:rPr/>
        <w:t>The requirements and this test apply to all types of UTRA for the TDD UE for Release 11 and later releases that support LME.</w:t>
      </w:r>
    </w:p>
    <w:p>
      <w:pPr>
        <w:pStyle w:val="NO"/>
        <w:numPr>
          <w:ilvl w:val="0"/>
          <w:numId w:val="5"/>
        </w:numPr>
        <w:suppressAutoHyphens w:val="true"/>
        <w:rPr/>
      </w:pPr>
      <w:r>
        <w:rPr/>
        <w:t>NOTE: This test case can be optionally executed for Release 8 and onward UE’s supporting LME feature.</w:t>
      </w:r>
    </w:p>
    <w:p>
      <w:pPr>
        <w:pStyle w:val="Heading4"/>
        <w:ind w:left="1418" w:hanging="1418"/>
        <w:rPr/>
      </w:pPr>
      <w:bookmarkStart w:id="150" w:name="__RefHeading___Toc68601086"/>
      <w:bookmarkEnd w:id="150"/>
      <w:r>
        <w:rPr/>
        <w:t>6.2.2.2</w:t>
      </w:r>
      <w:r>
        <w:rPr>
          <w:rFonts w:cs="Calibri" w:ascii="Calibri" w:hAnsi="Calibri"/>
          <w:sz w:val="22"/>
          <w:szCs w:val="22"/>
        </w:rPr>
        <w:tab/>
      </w:r>
      <w:r>
        <w:rPr/>
        <w:t>Minimum Requirements</w:t>
      </w:r>
    </w:p>
    <w:p>
      <w:pPr>
        <w:pStyle w:val="Normal"/>
        <w:numPr>
          <w:ilvl w:val="0"/>
          <w:numId w:val="5"/>
        </w:numPr>
        <w:suppressAutoHyphens w:val="true"/>
        <w:jc w:val="both"/>
        <w:rPr/>
      </w:pPr>
      <w:r>
        <w:rPr/>
        <w:t>The average TRP of low, mid and high channel shall be higher than minimum performance requirements for roaming bands shown in Table 6.2.2.2-1. The averaging shall be done in linear scale for the TRP results.</w:t>
      </w:r>
    </w:p>
    <w:p>
      <w:pPr>
        <w:pStyle w:val="EQ"/>
        <w:numPr>
          <w:ilvl w:val="0"/>
          <w:numId w:val="5"/>
        </w:numPr>
        <w:suppressAutoHyphens w:val="true"/>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num>
                <m:den>
                  <m:r>
                    <w:rPr>
                      <w:rFonts w:ascii="Cambria Math" w:hAnsi="Cambria Math"/>
                    </w:rPr>
                    <m:t xml:space="preserve">3</m:t>
                  </m:r>
                </m:den>
              </m:f>
            </m:e>
          </m:d>
        </m:oMath>
      </m:oMathPara>
    </w:p>
    <w:p>
      <w:pPr>
        <w:pStyle w:val="Normal"/>
        <w:numPr>
          <w:ilvl w:val="0"/>
          <w:numId w:val="5"/>
        </w:numPr>
        <w:suppressAutoHyphens w:val="true"/>
        <w:rPr/>
      </w:pPr>
      <w:r>
        <w:rPr/>
        <w:t>In addition the minimum TRP of each measured channel shall be higher than minimum performance requirements shown in the columns “Min”.</w:t>
      </w:r>
    </w:p>
    <w:p>
      <w:pPr>
        <w:pStyle w:val="EQ"/>
        <w:numPr>
          <w:ilvl w:val="0"/>
          <w:numId w:val="5"/>
        </w:numPr>
        <w:suppressAutoHyphens w:val="true"/>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m:rPr>
                  <m:lit/>
                  <m:nor/>
                </m:rPr>
                <w:rPr>
                  <w:rFonts w:ascii="Cambria Math" w:hAnsi="Cambria Math"/>
                </w:rPr>
                <m:t xml:space="preserve">min</m:t>
              </m:r>
              <m:d>
                <m:dPr>
                  <m:begChr m:val="("/>
                  <m:endChr m:val=")"/>
                </m:dPr>
                <m:e>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e>
              </m:d>
            </m:e>
          </m:d>
        </m:oMath>
      </m:oMathPara>
    </w:p>
    <w:p>
      <w:pPr>
        <w:pStyle w:val="TH"/>
        <w:numPr>
          <w:ilvl w:val="0"/>
          <w:numId w:val="5"/>
        </w:numPr>
        <w:suppressAutoHyphens w:val="true"/>
        <w:rPr/>
      </w:pPr>
      <w:r>
        <w:rPr/>
        <w:t>Table 6.2.2.2-1: TRP minimum performance requirement for UTRA LCR TDD using LME</w:t>
      </w:r>
    </w:p>
    <w:tbl>
      <w:tblPr>
        <w:tblW w:w="8175" w:type="dxa"/>
        <w:jc w:val="center"/>
        <w:tblInd w:w="0" w:type="dxa"/>
        <w:tblLayout w:type="fixed"/>
        <w:tblCellMar>
          <w:top w:w="0" w:type="dxa"/>
          <w:left w:w="108" w:type="dxa"/>
          <w:bottom w:w="0" w:type="dxa"/>
          <w:right w:w="108" w:type="dxa"/>
        </w:tblCellMar>
      </w:tblPr>
      <w:tblGrid>
        <w:gridCol w:w="1106"/>
        <w:gridCol w:w="954"/>
        <w:gridCol w:w="540"/>
        <w:gridCol w:w="1079"/>
        <w:gridCol w:w="989"/>
        <w:gridCol w:w="989"/>
        <w:gridCol w:w="809"/>
        <w:gridCol w:w="989"/>
        <w:gridCol w:w="720"/>
      </w:tblGrid>
      <w:tr>
        <w:trPr>
          <w:trHeight w:val="277" w:hRule="atLeast"/>
        </w:trPr>
        <w:tc>
          <w:tcPr>
            <w:tcW w:w="1106" w:type="dxa"/>
            <w:vMerge w:val="restart"/>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 xml:space="preserve">Operating band </w:t>
            </w:r>
          </w:p>
        </w:tc>
        <w:tc>
          <w:tcPr>
            <w:tcW w:w="1494"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Power Class 1</w:t>
            </w:r>
          </w:p>
        </w:tc>
        <w:tc>
          <w:tcPr>
            <w:tcW w:w="2068"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Power Class 2</w:t>
            </w:r>
          </w:p>
        </w:tc>
        <w:tc>
          <w:tcPr>
            <w:tcW w:w="1798"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Power Class 3</w:t>
            </w:r>
          </w:p>
        </w:tc>
        <w:tc>
          <w:tcPr>
            <w:tcW w:w="1709"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Power Class 4</w:t>
            </w:r>
          </w:p>
        </w:tc>
      </w:tr>
      <w:tr>
        <w:trPr>
          <w:trHeight w:val="316" w:hRule="atLeast"/>
        </w:trPr>
        <w:tc>
          <w:tcPr>
            <w:tcW w:w="1106" w:type="dxa"/>
            <w:vMerge w:val="continue"/>
            <w:tcBorders>
              <w:top w:val="single" w:sz="6" w:space="0" w:color="000000"/>
              <w:left w:val="single" w:sz="6" w:space="0" w:color="000000"/>
              <w:bottom w:val="single" w:sz="6" w:space="0" w:color="000000"/>
              <w:right w:val="single" w:sz="6" w:space="0" w:color="000000"/>
            </w:tcBorders>
          </w:tcPr>
          <w:p>
            <w:pPr>
              <w:pStyle w:val="Normal"/>
              <w:snapToGrid w:val="false"/>
              <w:spacing w:before="0" w:after="0"/>
              <w:rPr>
                <w:rFonts w:ascii="Arial" w:hAnsi="Arial" w:cs="Arial"/>
                <w:b/>
                <w:b/>
                <w:sz w:val="18"/>
                <w:lang w:eastAsia="zh-CN"/>
              </w:rPr>
            </w:pPr>
            <w:r>
              <w:rPr>
                <w:rFonts w:cs="Arial" w:ascii="Arial" w:hAnsi="Arial"/>
                <w:b/>
                <w:sz w:val="18"/>
                <w:lang w:eastAsia="zh-CN"/>
              </w:rPr>
            </w:r>
          </w:p>
        </w:tc>
        <w:tc>
          <w:tcPr>
            <w:tcW w:w="1494"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Power (dBm)</w:t>
            </w:r>
          </w:p>
        </w:tc>
        <w:tc>
          <w:tcPr>
            <w:tcW w:w="2068"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Power (dBm)</w:t>
            </w:r>
          </w:p>
        </w:tc>
        <w:tc>
          <w:tcPr>
            <w:tcW w:w="1798"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Power (dBm)</w:t>
            </w:r>
          </w:p>
        </w:tc>
        <w:tc>
          <w:tcPr>
            <w:tcW w:w="1709"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Power (dBm)</w:t>
            </w:r>
          </w:p>
        </w:tc>
      </w:tr>
      <w:tr>
        <w:trPr>
          <w:trHeight w:val="244" w:hRule="atLeast"/>
        </w:trPr>
        <w:tc>
          <w:tcPr>
            <w:tcW w:w="1106" w:type="dxa"/>
            <w:vMerge w:val="continue"/>
            <w:tcBorders>
              <w:top w:val="single" w:sz="6" w:space="0" w:color="000000"/>
              <w:left w:val="single" w:sz="6" w:space="0" w:color="000000"/>
              <w:bottom w:val="single" w:sz="6" w:space="0" w:color="000000"/>
              <w:right w:val="single" w:sz="6" w:space="0" w:color="000000"/>
            </w:tcBorders>
          </w:tcPr>
          <w:p>
            <w:pPr>
              <w:pStyle w:val="Normal"/>
              <w:snapToGrid w:val="false"/>
              <w:spacing w:before="0" w:after="0"/>
              <w:rPr>
                <w:rFonts w:ascii="Arial" w:hAnsi="Arial" w:cs="Arial"/>
                <w:b/>
                <w:b/>
                <w:sz w:val="18"/>
                <w:lang w:eastAsia="zh-CN"/>
              </w:rPr>
            </w:pPr>
            <w:r>
              <w:rPr>
                <w:rFonts w:cs="Arial" w:ascii="Arial" w:hAnsi="Arial"/>
                <w:b/>
                <w:sz w:val="18"/>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Average</w:t>
            </w:r>
          </w:p>
        </w:tc>
        <w:tc>
          <w:tcPr>
            <w:tcW w:w="54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Min</w:t>
            </w:r>
          </w:p>
        </w:tc>
        <w:tc>
          <w:tcPr>
            <w:tcW w:w="1079" w:type="dxa"/>
            <w:tcBorders>
              <w:top w:val="single" w:sz="6" w:space="0" w:color="000000"/>
              <w:left w:val="single" w:sz="6" w:space="0" w:color="000000"/>
              <w:bottom w:val="single" w:sz="6" w:space="0" w:color="000000"/>
              <w:right w:val="single" w:sz="4" w:space="0" w:color="000000"/>
            </w:tcBorders>
          </w:tcPr>
          <w:p>
            <w:pPr>
              <w:pStyle w:val="TAH"/>
              <w:rPr>
                <w:lang w:eastAsia="en-US"/>
              </w:rPr>
            </w:pPr>
            <w:r>
              <w:rPr>
                <w:lang w:eastAsia="en-US"/>
              </w:rPr>
              <w:t>Average</w:t>
            </w:r>
          </w:p>
        </w:tc>
        <w:tc>
          <w:tcPr>
            <w:tcW w:w="989"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Min</w:t>
            </w:r>
          </w:p>
        </w:tc>
        <w:tc>
          <w:tcPr>
            <w:tcW w:w="98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Average</w:t>
            </w:r>
          </w:p>
        </w:tc>
        <w:tc>
          <w:tcPr>
            <w:tcW w:w="80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Min</w:t>
            </w:r>
          </w:p>
        </w:tc>
        <w:tc>
          <w:tcPr>
            <w:tcW w:w="98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Average</w:t>
            </w:r>
          </w:p>
        </w:tc>
        <w:tc>
          <w:tcPr>
            <w:tcW w:w="72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Min</w:t>
            </w:r>
          </w:p>
        </w:tc>
      </w:tr>
      <w:tr>
        <w:trPr>
          <w:trHeight w:val="215" w:hRule="atLeast"/>
        </w:trPr>
        <w:tc>
          <w:tcPr>
            <w:tcW w:w="1106"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a</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540"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1079" w:type="dxa"/>
            <w:tcBorders>
              <w:top w:val="single" w:sz="6" w:space="0" w:color="000000"/>
              <w:left w:val="single" w:sz="6" w:space="0" w:color="000000"/>
              <w:bottom w:val="single" w:sz="6" w:space="0" w:color="000000"/>
              <w:right w:val="single" w:sz="4" w:space="0" w:color="000000"/>
            </w:tcBorders>
            <w:vAlign w:val="center"/>
          </w:tcPr>
          <w:p>
            <w:pPr>
              <w:pStyle w:val="TAC"/>
              <w:rPr>
                <w:lang w:eastAsia="en-US"/>
              </w:rPr>
            </w:pPr>
            <w:r>
              <w:rPr>
                <w:lang w:eastAsia="en-US"/>
              </w:rPr>
              <w:t>TBD</w:t>
            </w:r>
          </w:p>
        </w:tc>
        <w:tc>
          <w:tcPr>
            <w:tcW w:w="989" w:type="dxa"/>
            <w:tcBorders>
              <w:top w:val="single" w:sz="6" w:space="0" w:color="000000"/>
              <w:left w:val="single" w:sz="4" w:space="0" w:color="000000"/>
              <w:bottom w:val="single" w:sz="6" w:space="0" w:color="000000"/>
              <w:right w:val="single" w:sz="6" w:space="0" w:color="000000"/>
            </w:tcBorders>
            <w:vAlign w:val="center"/>
          </w:tcPr>
          <w:p>
            <w:pPr>
              <w:pStyle w:val="TAC"/>
              <w:rPr>
                <w:lang w:eastAsia="en-US"/>
              </w:rPr>
            </w:pPr>
            <w:r>
              <w:rPr>
                <w:lang w:eastAsia="en-US"/>
              </w:rPr>
              <w:t>TBD</w:t>
            </w:r>
          </w:p>
        </w:tc>
        <w:tc>
          <w:tcPr>
            <w:tcW w:w="989"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989"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720"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r>
      <w:tr>
        <w:trPr>
          <w:trHeight w:val="215" w:hRule="atLeast"/>
        </w:trPr>
        <w:tc>
          <w:tcPr>
            <w:tcW w:w="1106"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b</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540"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1079" w:type="dxa"/>
            <w:tcBorders>
              <w:top w:val="single" w:sz="6" w:space="0" w:color="000000"/>
              <w:left w:val="single" w:sz="6" w:space="0" w:color="000000"/>
              <w:bottom w:val="single" w:sz="6" w:space="0" w:color="000000"/>
              <w:right w:val="single" w:sz="4" w:space="0" w:color="000000"/>
            </w:tcBorders>
            <w:vAlign w:val="center"/>
          </w:tcPr>
          <w:p>
            <w:pPr>
              <w:pStyle w:val="TAC"/>
              <w:rPr>
                <w:lang w:eastAsia="en-US"/>
              </w:rPr>
            </w:pPr>
            <w:r>
              <w:rPr>
                <w:lang w:eastAsia="en-US"/>
              </w:rPr>
              <w:t>TBD</w:t>
            </w:r>
          </w:p>
        </w:tc>
        <w:tc>
          <w:tcPr>
            <w:tcW w:w="989" w:type="dxa"/>
            <w:tcBorders>
              <w:top w:val="single" w:sz="6" w:space="0" w:color="000000"/>
              <w:left w:val="single" w:sz="4" w:space="0" w:color="000000"/>
              <w:bottom w:val="single" w:sz="6" w:space="0" w:color="000000"/>
              <w:right w:val="single" w:sz="6" w:space="0" w:color="000000"/>
            </w:tcBorders>
            <w:vAlign w:val="center"/>
          </w:tcPr>
          <w:p>
            <w:pPr>
              <w:pStyle w:val="TAC"/>
              <w:rPr>
                <w:lang w:eastAsia="en-US"/>
              </w:rPr>
            </w:pPr>
            <w:r>
              <w:rPr>
                <w:lang w:eastAsia="en-US"/>
              </w:rPr>
              <w:t>TBD</w:t>
            </w:r>
          </w:p>
        </w:tc>
        <w:tc>
          <w:tcPr>
            <w:tcW w:w="989"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989"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720"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r>
      <w:tr>
        <w:trPr>
          <w:trHeight w:val="215" w:hRule="atLeast"/>
        </w:trPr>
        <w:tc>
          <w:tcPr>
            <w:tcW w:w="1106"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c</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540"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1079" w:type="dxa"/>
            <w:tcBorders>
              <w:top w:val="single" w:sz="6" w:space="0" w:color="000000"/>
              <w:left w:val="single" w:sz="6" w:space="0" w:color="000000"/>
              <w:bottom w:val="single" w:sz="6" w:space="0" w:color="000000"/>
              <w:right w:val="single" w:sz="4" w:space="0" w:color="000000"/>
            </w:tcBorders>
            <w:vAlign w:val="center"/>
          </w:tcPr>
          <w:p>
            <w:pPr>
              <w:pStyle w:val="TAC"/>
              <w:rPr>
                <w:lang w:eastAsia="en-US"/>
              </w:rPr>
            </w:pPr>
            <w:r>
              <w:rPr>
                <w:lang w:eastAsia="en-US"/>
              </w:rPr>
              <w:t>TBD</w:t>
            </w:r>
          </w:p>
        </w:tc>
        <w:tc>
          <w:tcPr>
            <w:tcW w:w="989" w:type="dxa"/>
            <w:tcBorders>
              <w:top w:val="single" w:sz="6" w:space="0" w:color="000000"/>
              <w:left w:val="single" w:sz="4" w:space="0" w:color="000000"/>
              <w:bottom w:val="single" w:sz="6" w:space="0" w:color="000000"/>
              <w:right w:val="single" w:sz="6" w:space="0" w:color="000000"/>
            </w:tcBorders>
            <w:vAlign w:val="center"/>
          </w:tcPr>
          <w:p>
            <w:pPr>
              <w:pStyle w:val="TAC"/>
              <w:rPr>
                <w:lang w:eastAsia="en-US"/>
              </w:rPr>
            </w:pPr>
            <w:r>
              <w:rPr>
                <w:lang w:eastAsia="en-US"/>
              </w:rPr>
              <w:t>TBD</w:t>
            </w:r>
          </w:p>
        </w:tc>
        <w:tc>
          <w:tcPr>
            <w:tcW w:w="989"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989"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720"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r>
      <w:tr>
        <w:trPr>
          <w:trHeight w:val="215" w:hRule="atLeast"/>
        </w:trPr>
        <w:tc>
          <w:tcPr>
            <w:tcW w:w="1106"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d</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540"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1079" w:type="dxa"/>
            <w:tcBorders>
              <w:top w:val="single" w:sz="6" w:space="0" w:color="000000"/>
              <w:left w:val="single" w:sz="6" w:space="0" w:color="000000"/>
              <w:bottom w:val="single" w:sz="6" w:space="0" w:color="000000"/>
              <w:right w:val="single" w:sz="4" w:space="0" w:color="000000"/>
            </w:tcBorders>
            <w:vAlign w:val="center"/>
          </w:tcPr>
          <w:p>
            <w:pPr>
              <w:pStyle w:val="TAC"/>
              <w:rPr>
                <w:lang w:eastAsia="en-US"/>
              </w:rPr>
            </w:pPr>
            <w:r>
              <w:rPr>
                <w:lang w:eastAsia="en-US"/>
              </w:rPr>
              <w:t>TBD</w:t>
            </w:r>
          </w:p>
        </w:tc>
        <w:tc>
          <w:tcPr>
            <w:tcW w:w="989" w:type="dxa"/>
            <w:tcBorders>
              <w:top w:val="single" w:sz="6" w:space="0" w:color="000000"/>
              <w:left w:val="single" w:sz="4" w:space="0" w:color="000000"/>
              <w:bottom w:val="single" w:sz="6" w:space="0" w:color="000000"/>
              <w:right w:val="single" w:sz="6" w:space="0" w:color="000000"/>
            </w:tcBorders>
            <w:vAlign w:val="center"/>
          </w:tcPr>
          <w:p>
            <w:pPr>
              <w:pStyle w:val="TAC"/>
              <w:rPr>
                <w:lang w:eastAsia="en-US"/>
              </w:rPr>
            </w:pPr>
            <w:r>
              <w:rPr>
                <w:lang w:eastAsia="en-US"/>
              </w:rPr>
              <w:t>TBD</w:t>
            </w:r>
          </w:p>
        </w:tc>
        <w:tc>
          <w:tcPr>
            <w:tcW w:w="989"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989"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720"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r>
      <w:tr>
        <w:trPr>
          <w:trHeight w:val="215" w:hRule="atLeast"/>
        </w:trPr>
        <w:tc>
          <w:tcPr>
            <w:tcW w:w="1106"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540" w:type="dxa"/>
            <w:tcBorders>
              <w:top w:val="single" w:sz="6" w:space="0" w:color="000000"/>
              <w:left w:val="single" w:sz="6" w:space="0" w:color="000000"/>
              <w:bottom w:val="single" w:sz="6" w:space="0" w:color="000000"/>
              <w:right w:val="single" w:sz="6" w:space="0" w:color="000000"/>
            </w:tcBorders>
            <w:vAlign w:val="center"/>
          </w:tcPr>
          <w:p>
            <w:pPr>
              <w:pStyle w:val="TAC"/>
              <w:rPr>
                <w:rFonts w:cs="Arial"/>
              </w:rPr>
            </w:pPr>
            <w:r>
              <w:rPr>
                <w:rFonts w:ascii="Arial Unicode MS" w:hAnsi="Arial Unicode MS" w:cs="Arial Unicode MS" w:eastAsia="Arial Unicode MS"/>
                <w:lang w:eastAsia="en-US"/>
              </w:rPr>
              <w:t>－</w:t>
            </w:r>
          </w:p>
        </w:tc>
        <w:tc>
          <w:tcPr>
            <w:tcW w:w="1079" w:type="dxa"/>
            <w:tcBorders>
              <w:top w:val="single" w:sz="6" w:space="0" w:color="000000"/>
              <w:left w:val="single" w:sz="6" w:space="0" w:color="000000"/>
              <w:bottom w:val="single" w:sz="6" w:space="0" w:color="000000"/>
              <w:right w:val="single" w:sz="4" w:space="0" w:color="000000"/>
            </w:tcBorders>
            <w:vAlign w:val="center"/>
          </w:tcPr>
          <w:p>
            <w:pPr>
              <w:pStyle w:val="TAC"/>
              <w:rPr>
                <w:lang w:eastAsia="en-US"/>
              </w:rPr>
            </w:pPr>
            <w:r>
              <w:rPr>
                <w:lang w:eastAsia="en-US"/>
              </w:rPr>
              <w:t>TBD</w:t>
            </w:r>
          </w:p>
        </w:tc>
        <w:tc>
          <w:tcPr>
            <w:tcW w:w="989" w:type="dxa"/>
            <w:tcBorders>
              <w:top w:val="single" w:sz="6" w:space="0" w:color="000000"/>
              <w:left w:val="single" w:sz="4" w:space="0" w:color="000000"/>
              <w:bottom w:val="single" w:sz="6" w:space="0" w:color="000000"/>
              <w:right w:val="single" w:sz="6" w:space="0" w:color="000000"/>
            </w:tcBorders>
            <w:vAlign w:val="center"/>
          </w:tcPr>
          <w:p>
            <w:pPr>
              <w:pStyle w:val="TAC"/>
              <w:rPr>
                <w:lang w:eastAsia="en-US"/>
              </w:rPr>
            </w:pPr>
            <w:r>
              <w:rPr>
                <w:lang w:eastAsia="en-US"/>
              </w:rPr>
              <w:t>TBD</w:t>
            </w:r>
          </w:p>
        </w:tc>
        <w:tc>
          <w:tcPr>
            <w:tcW w:w="989" w:type="dxa"/>
            <w:tcBorders>
              <w:top w:val="single" w:sz="6" w:space="0" w:color="000000"/>
              <w:left w:val="single" w:sz="6" w:space="0" w:color="000000"/>
              <w:bottom w:val="single" w:sz="6" w:space="0" w:color="000000"/>
              <w:right w:val="single" w:sz="6" w:space="0" w:color="000000"/>
            </w:tcBorders>
            <w:vAlign w:val="center"/>
          </w:tcPr>
          <w:p>
            <w:pPr>
              <w:pStyle w:val="TAC"/>
              <w:rPr>
                <w:rFonts w:cs="Arial"/>
              </w:rPr>
            </w:pPr>
            <w:r>
              <w:rPr>
                <w:rFonts w:ascii="Arial Unicode MS" w:hAnsi="Arial Unicode MS" w:cs="Arial Unicode MS" w:eastAsia="Arial Unicode MS"/>
                <w:lang w:eastAsia="en-US"/>
              </w:rPr>
              <w:t>－</w:t>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TAC"/>
              <w:rPr>
                <w:rFonts w:cs="Arial"/>
              </w:rPr>
            </w:pPr>
            <w:r>
              <w:rPr>
                <w:rFonts w:ascii="Arial Unicode MS" w:hAnsi="Arial Unicode MS" w:cs="Arial Unicode MS" w:eastAsia="Arial Unicode MS"/>
                <w:lang w:eastAsia="en-US"/>
              </w:rPr>
              <w:t>－</w:t>
            </w:r>
          </w:p>
        </w:tc>
        <w:tc>
          <w:tcPr>
            <w:tcW w:w="989" w:type="dxa"/>
            <w:tcBorders>
              <w:top w:val="single" w:sz="6" w:space="0" w:color="000000"/>
              <w:left w:val="single" w:sz="6" w:space="0" w:color="000000"/>
              <w:bottom w:val="single" w:sz="6" w:space="0" w:color="000000"/>
              <w:right w:val="single" w:sz="6" w:space="0" w:color="000000"/>
            </w:tcBorders>
            <w:vAlign w:val="center"/>
          </w:tcPr>
          <w:p>
            <w:pPr>
              <w:pStyle w:val="TAC"/>
              <w:rPr>
                <w:rFonts w:cs="Arial"/>
              </w:rPr>
            </w:pPr>
            <w:r>
              <w:rPr>
                <w:rFonts w:ascii="Arial Unicode MS" w:hAnsi="Arial Unicode MS" w:cs="Arial Unicode MS" w:eastAsia="Arial Unicode MS"/>
                <w:lang w:eastAsia="en-US"/>
              </w:rPr>
              <w:t>－</w:t>
            </w:r>
          </w:p>
        </w:tc>
        <w:tc>
          <w:tcPr>
            <w:tcW w:w="720"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r>
      <w:tr>
        <w:trPr>
          <w:trHeight w:val="215" w:hRule="atLeast"/>
        </w:trPr>
        <w:tc>
          <w:tcPr>
            <w:tcW w:w="1106"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f</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540" w:type="dxa"/>
            <w:tcBorders>
              <w:top w:val="single" w:sz="6" w:space="0" w:color="000000"/>
              <w:left w:val="single" w:sz="6" w:space="0" w:color="000000"/>
              <w:bottom w:val="single" w:sz="6" w:space="0" w:color="000000"/>
              <w:right w:val="single" w:sz="6" w:space="0" w:color="000000"/>
            </w:tcBorders>
            <w:vAlign w:val="center"/>
          </w:tcPr>
          <w:p>
            <w:pPr>
              <w:pStyle w:val="TAC"/>
              <w:rPr>
                <w:rFonts w:cs="Arial"/>
              </w:rPr>
            </w:pPr>
            <w:r>
              <w:rPr>
                <w:rFonts w:ascii="Arial Unicode MS" w:hAnsi="Arial Unicode MS" w:cs="Arial Unicode MS" w:eastAsia="Arial Unicode MS"/>
                <w:lang w:eastAsia="en-US"/>
              </w:rPr>
              <w:t>－</w:t>
            </w:r>
          </w:p>
        </w:tc>
        <w:tc>
          <w:tcPr>
            <w:tcW w:w="1079" w:type="dxa"/>
            <w:tcBorders>
              <w:top w:val="single" w:sz="6" w:space="0" w:color="000000"/>
              <w:left w:val="single" w:sz="6" w:space="0" w:color="000000"/>
              <w:bottom w:val="single" w:sz="6" w:space="0" w:color="000000"/>
              <w:right w:val="single" w:sz="4" w:space="0" w:color="000000"/>
            </w:tcBorders>
            <w:vAlign w:val="center"/>
          </w:tcPr>
          <w:p>
            <w:pPr>
              <w:pStyle w:val="TAC"/>
              <w:rPr>
                <w:lang w:eastAsia="en-US"/>
              </w:rPr>
            </w:pPr>
            <w:r>
              <w:rPr>
                <w:lang w:eastAsia="en-US"/>
              </w:rPr>
              <w:t>TBD</w:t>
            </w:r>
          </w:p>
        </w:tc>
        <w:tc>
          <w:tcPr>
            <w:tcW w:w="989" w:type="dxa"/>
            <w:tcBorders>
              <w:top w:val="single" w:sz="6" w:space="0" w:color="000000"/>
              <w:left w:val="single" w:sz="4" w:space="0" w:color="000000"/>
              <w:bottom w:val="single" w:sz="6" w:space="0" w:color="000000"/>
              <w:right w:val="single" w:sz="6" w:space="0" w:color="000000"/>
            </w:tcBorders>
            <w:vAlign w:val="center"/>
          </w:tcPr>
          <w:p>
            <w:pPr>
              <w:pStyle w:val="TAC"/>
              <w:rPr>
                <w:lang w:eastAsia="en-US"/>
              </w:rPr>
            </w:pPr>
            <w:r>
              <w:rPr>
                <w:lang w:eastAsia="en-US"/>
              </w:rPr>
              <w:t>TBD</w:t>
            </w:r>
          </w:p>
        </w:tc>
        <w:tc>
          <w:tcPr>
            <w:tcW w:w="989" w:type="dxa"/>
            <w:tcBorders>
              <w:top w:val="single" w:sz="6" w:space="0" w:color="000000"/>
              <w:left w:val="single" w:sz="6" w:space="0" w:color="000000"/>
              <w:bottom w:val="single" w:sz="6" w:space="0" w:color="000000"/>
              <w:right w:val="single" w:sz="6" w:space="0" w:color="000000"/>
            </w:tcBorders>
            <w:vAlign w:val="center"/>
          </w:tcPr>
          <w:p>
            <w:pPr>
              <w:pStyle w:val="TAC"/>
              <w:rPr>
                <w:rFonts w:cs="Arial"/>
              </w:rPr>
            </w:pPr>
            <w:r>
              <w:rPr>
                <w:rFonts w:ascii="Arial Unicode MS" w:hAnsi="Arial Unicode MS" w:cs="Arial Unicode MS" w:eastAsia="Arial Unicode MS"/>
                <w:lang w:eastAsia="en-US"/>
              </w:rPr>
              <w:t>－</w:t>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989" w:type="dxa"/>
            <w:tcBorders>
              <w:top w:val="single" w:sz="6" w:space="0" w:color="000000"/>
              <w:left w:val="single" w:sz="6" w:space="0" w:color="000000"/>
              <w:bottom w:val="single" w:sz="6" w:space="0" w:color="000000"/>
              <w:right w:val="single" w:sz="6" w:space="0" w:color="000000"/>
            </w:tcBorders>
            <w:vAlign w:val="center"/>
          </w:tcPr>
          <w:p>
            <w:pPr>
              <w:pStyle w:val="TAC"/>
              <w:rPr>
                <w:rFonts w:cs="Arial"/>
              </w:rPr>
            </w:pPr>
            <w:r>
              <w:rPr>
                <w:rFonts w:ascii="Arial Unicode MS" w:hAnsi="Arial Unicode MS" w:cs="Arial Unicode MS" w:eastAsia="Arial Unicode MS"/>
                <w:lang w:eastAsia="en-US"/>
              </w:rPr>
              <w:t>－</w:t>
            </w:r>
          </w:p>
        </w:tc>
        <w:tc>
          <w:tcPr>
            <w:tcW w:w="720"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r>
      <w:tr>
        <w:trPr>
          <w:trHeight w:val="215" w:hRule="atLeast"/>
        </w:trPr>
        <w:tc>
          <w:tcPr>
            <w:tcW w:w="8175" w:type="dxa"/>
            <w:gridSpan w:val="9"/>
            <w:tcBorders>
              <w:top w:val="single" w:sz="6" w:space="0" w:color="000000"/>
              <w:left w:val="single" w:sz="6" w:space="0" w:color="000000"/>
              <w:bottom w:val="single" w:sz="6" w:space="0" w:color="000000"/>
              <w:right w:val="single" w:sz="6" w:space="0" w:color="000000"/>
            </w:tcBorders>
            <w:vAlign w:val="center"/>
          </w:tcPr>
          <w:p>
            <w:pPr>
              <w:pStyle w:val="TAN"/>
              <w:rPr>
                <w:lang w:eastAsia="en-US"/>
              </w:rPr>
            </w:pPr>
            <w:r>
              <w:rPr>
                <w:lang w:eastAsia="en-US"/>
              </w:rPr>
              <w:t>NOTE 1: Applicable for dual-mode GSM/UTRA LCR TDD.</w:t>
            </w:r>
          </w:p>
          <w:p>
            <w:pPr>
              <w:pStyle w:val="TAN"/>
              <w:rPr>
                <w:lang w:eastAsia="en-US"/>
              </w:rPr>
            </w:pPr>
            <w:r>
              <w:rPr>
                <w:lang w:eastAsia="en-US"/>
              </w:rPr>
              <w:t>NOTE 2: Applicable for USB plug-in devices.</w:t>
            </w:r>
          </w:p>
        </w:tc>
      </w:tr>
    </w:tbl>
    <w:p>
      <w:pPr>
        <w:pStyle w:val="Normal"/>
        <w:numPr>
          <w:ilvl w:val="0"/>
          <w:numId w:val="5"/>
        </w:numPr>
        <w:suppressAutoHyphens w:val="true"/>
        <w:rPr/>
      </w:pPr>
      <w:r>
        <w:rPr/>
      </w:r>
    </w:p>
    <w:p>
      <w:pPr>
        <w:pStyle w:val="Normal"/>
        <w:numPr>
          <w:ilvl w:val="0"/>
          <w:numId w:val="5"/>
        </w:numPr>
        <w:suppressAutoHyphens w:val="true"/>
        <w:rPr/>
      </w:pPr>
      <w:r>
        <w:rPr/>
        <w:t>The normative reference for this clause is TS37.144 [12] Subclause 6.2.3.</w:t>
      </w:r>
    </w:p>
    <w:p>
      <w:pPr>
        <w:pStyle w:val="Heading4"/>
        <w:ind w:left="1418" w:hanging="1418"/>
        <w:rPr/>
      </w:pPr>
      <w:bookmarkStart w:id="151" w:name="__RefHeading___Toc68601087"/>
      <w:bookmarkEnd w:id="151"/>
      <w:r>
        <w:rPr/>
        <w:t>6.2.2.3</w:t>
      </w:r>
      <w:r>
        <w:rPr>
          <w:rFonts w:cs="Calibri" w:ascii="Calibri" w:hAnsi="Calibri"/>
          <w:sz w:val="22"/>
          <w:szCs w:val="22"/>
        </w:rPr>
        <w:tab/>
      </w:r>
      <w:r>
        <w:rPr/>
        <w:t>Test purpose</w:t>
      </w:r>
    </w:p>
    <w:p>
      <w:pPr>
        <w:pStyle w:val="Normal"/>
        <w:numPr>
          <w:ilvl w:val="0"/>
          <w:numId w:val="5"/>
        </w:numPr>
        <w:suppressAutoHyphens w:val="true"/>
        <w:rPr/>
      </w:pPr>
      <w:r>
        <w:rPr/>
        <w:t xml:space="preserve">The purpose of this test is to verify that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 xml:space="preserve">of the UE is not below specified values. A lower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decrease the coverage area.</w:t>
      </w:r>
    </w:p>
    <w:p>
      <w:pPr>
        <w:pStyle w:val="Heading4"/>
        <w:ind w:left="1418" w:hanging="1418"/>
        <w:rPr/>
      </w:pPr>
      <w:bookmarkStart w:id="152" w:name="__RefHeading___Toc68601088"/>
      <w:bookmarkEnd w:id="152"/>
      <w:r>
        <w:rPr/>
        <w:t>6.2.2.4</w:t>
      </w:r>
      <w:r>
        <w:rPr>
          <w:rFonts w:cs="Calibri" w:ascii="Calibri" w:hAnsi="Calibri"/>
          <w:sz w:val="22"/>
          <w:szCs w:val="22"/>
        </w:rPr>
        <w:tab/>
      </w:r>
      <w:r>
        <w:rPr/>
        <w:t>Method of test</w:t>
      </w:r>
    </w:p>
    <w:p>
      <w:pPr>
        <w:pStyle w:val="Heading5"/>
        <w:ind w:left="1701" w:hanging="1701"/>
        <w:rPr/>
      </w:pPr>
      <w:bookmarkStart w:id="153" w:name="__RefHeading___Toc68601089"/>
      <w:bookmarkEnd w:id="153"/>
      <w:r>
        <w:rPr/>
        <w:t>6.2.2.4.1</w:t>
      </w:r>
      <w:r>
        <w:rPr>
          <w:rFonts w:cs="Calibri" w:ascii="Calibri" w:hAnsi="Calibri"/>
          <w:szCs w:val="22"/>
        </w:rPr>
        <w:tab/>
      </w:r>
      <w:r>
        <w:rPr/>
        <w:t>Initial conditions</w:t>
      </w:r>
    </w:p>
    <w:p>
      <w:pPr>
        <w:pStyle w:val="Normal"/>
        <w:numPr>
          <w:ilvl w:val="0"/>
          <w:numId w:val="5"/>
        </w:numPr>
        <w:tabs>
          <w:tab w:val="clear" w:pos="284"/>
          <w:tab w:val="left" w:pos="0" w:leader="none"/>
        </w:tabs>
        <w:suppressAutoHyphens w:val="true"/>
        <w:ind w:left="0" w:hanging="0"/>
        <w:rPr/>
      </w:pPr>
      <w:r>
        <w:rPr/>
        <w:t xml:space="preserve">The output power is a measure of the maximum power the UE can transmit in a bandwidth of at least (1+ </w:t>
      </w:r>
      <w:r>
        <w:rPr>
          <w:rFonts w:cs="Symbol" w:ascii="Symbol" w:hAnsi="Symbol"/>
        </w:rPr>
        <w:t></w:t>
      </w:r>
      <w:r>
        <w:rPr/>
        <w:t xml:space="preserve"> times the chip rate of the radio access mode, for more information see TS 34.122 [8] clause 5.2. The period of measurement shall be at least one timeslot. Also, care should be taken that the noise floor of the measurement receiver is not disturbing the power measurement. Normally, the receiving device should be set accordingly so that the receiving signal will be at least 30 dB higher than the system noise floor.</w:t>
      </w:r>
    </w:p>
    <w:p>
      <w:pPr>
        <w:pStyle w:val="Normal"/>
        <w:numPr>
          <w:ilvl w:val="0"/>
          <w:numId w:val="5"/>
        </w:numPr>
        <w:suppressAutoHyphens w:val="true"/>
        <w:rPr/>
      </w:pPr>
      <w:r>
        <w:rPr/>
        <w:t>Test environment: normal; see TS 34.122 [8] clause G.2.1.</w:t>
      </w:r>
    </w:p>
    <w:p>
      <w:pPr>
        <w:pStyle w:val="Normal"/>
        <w:numPr>
          <w:ilvl w:val="0"/>
          <w:numId w:val="5"/>
        </w:numPr>
        <w:suppressAutoHyphens w:val="true"/>
        <w:rPr/>
      </w:pPr>
      <w:r>
        <w:rPr/>
        <w:t>Frequencies to be tested: low range, mid range, high range; see TS 34.122 [8] clause G.2.4.</w:t>
      </w:r>
    </w:p>
    <w:p>
      <w:pPr>
        <w:pStyle w:val="B1"/>
        <w:numPr>
          <w:ilvl w:val="0"/>
          <w:numId w:val="5"/>
        </w:numPr>
        <w:suppressAutoHyphens w:val="true"/>
        <w:rPr/>
      </w:pPr>
      <w:r>
        <w:rPr/>
        <w:t>1)</w:t>
        <w:tab/>
        <w:t>Set the SS downlink physical channels according to settings in Table 6.2.2.4.1-1. Set the DPCH power such that there will not be transmission gaps due to too low signal strength throughout the measurement.</w:t>
      </w:r>
    </w:p>
    <w:p>
      <w:pPr>
        <w:pStyle w:val="B1"/>
        <w:numPr>
          <w:ilvl w:val="0"/>
          <w:numId w:val="5"/>
        </w:numPr>
        <w:suppressAutoHyphens w:val="true"/>
        <w:rPr/>
      </w:pPr>
      <w:r>
        <w:rPr/>
        <w:t>2)</w:t>
        <w:tab/>
        <w:t>Connect the plug-in UE to a laptop ground plane phantom. Power on the plug-in UE. The real functional laptop supplies power to the plug-in UE.</w:t>
      </w:r>
    </w:p>
    <w:p>
      <w:pPr>
        <w:pStyle w:val="B1"/>
        <w:numPr>
          <w:ilvl w:val="0"/>
          <w:numId w:val="5"/>
        </w:numPr>
        <w:suppressAutoHyphens w:val="true"/>
        <w:rPr/>
      </w:pPr>
      <w:r>
        <w:rPr/>
        <w:t>3)</w:t>
        <w:tab/>
        <w:t>A call is set up according to the Generic call setup procedure. The power control algorithm shall be set to Power Control Algorithm 2.</w:t>
      </w:r>
    </w:p>
    <w:p>
      <w:pPr>
        <w:pStyle w:val="B1"/>
        <w:numPr>
          <w:ilvl w:val="0"/>
          <w:numId w:val="5"/>
        </w:numPr>
        <w:suppressAutoHyphens w:val="true"/>
        <w:rPr/>
      </w:pPr>
      <w:r>
        <w:rPr/>
        <w:t>4)</w:t>
        <w:tab/>
        <w:t>Enter the UE into loopback test mode and start the loopback test.</w:t>
      </w:r>
    </w:p>
    <w:p>
      <w:pPr>
        <w:pStyle w:val="B1"/>
        <w:numPr>
          <w:ilvl w:val="0"/>
          <w:numId w:val="5"/>
        </w:numPr>
        <w:suppressAutoHyphens w:val="true"/>
        <w:rPr/>
      </w:pPr>
      <w:r>
        <w:rPr/>
        <w:t>5)</w:t>
        <w:tab/>
        <w:t xml:space="preserve">The measurement receiver shall be set to: zero span, video trigger and RMS detector. The RBW shall be at least (1+ </w:t>
      </w:r>
      <w:r>
        <w:rPr>
          <w:rFonts w:cs="Symbol" w:ascii="Symbol" w:hAnsi="Symbol"/>
        </w:rPr>
        <w:t></w:t>
      </w:r>
      <w:r>
        <w:rPr/>
        <w:t>times the chip rate of the radio access mode and the VBW at least 3 times bigger than the RBW. For 1.28Mcps TDD UE, the RBW shall be set to 3MHz, and VBW shall be set to 10MHz.</w:t>
      </w:r>
    </w:p>
    <w:p>
      <w:pPr>
        <w:pStyle w:val="Normal"/>
        <w:numPr>
          <w:ilvl w:val="0"/>
          <w:numId w:val="5"/>
        </w:numPr>
        <w:suppressAutoHyphens w:val="true"/>
        <w:rPr>
          <w:lang w:eastAsia="zh-CN"/>
        </w:rPr>
      </w:pPr>
      <w:r>
        <w:rPr>
          <w:lang w:eastAsia="zh-CN"/>
        </w:rPr>
        <w:t>See TS 34.108 [4] and TS 34.109 [5] for details regarding generic call setup procedure and loopback test.</w:t>
      </w:r>
    </w:p>
    <w:p>
      <w:pPr>
        <w:pStyle w:val="TH"/>
        <w:numPr>
          <w:ilvl w:val="0"/>
          <w:numId w:val="5"/>
        </w:numPr>
        <w:suppressAutoHyphens w:val="true"/>
        <w:rPr/>
      </w:pPr>
      <w:r>
        <w:rPr/>
        <w:t>Table 6.2.2.4.1-1: Downlink Physical Channels transmitted during a connection</w:t>
      </w:r>
    </w:p>
    <w:tbl>
      <w:tblPr>
        <w:tblW w:w="6848" w:type="dxa"/>
        <w:jc w:val="left"/>
        <w:tblInd w:w="1553" w:type="dxa"/>
        <w:tblLayout w:type="fixed"/>
        <w:tblCellMar>
          <w:top w:w="0" w:type="dxa"/>
          <w:left w:w="108" w:type="dxa"/>
          <w:bottom w:w="0" w:type="dxa"/>
          <w:right w:w="108" w:type="dxa"/>
        </w:tblCellMar>
      </w:tblPr>
      <w:tblGrid>
        <w:gridCol w:w="2301"/>
        <w:gridCol w:w="2376"/>
        <w:gridCol w:w="2171"/>
      </w:tblGrid>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jc w:val="center"/>
              <w:rPr>
                <w:b/>
                <w:b/>
              </w:rPr>
            </w:pPr>
            <w:r>
              <w:rPr>
                <w:b/>
                <w:lang w:eastAsia="en-US"/>
              </w:rPr>
              <w:t>Physical Channel</w:t>
            </w:r>
          </w:p>
        </w:tc>
        <w:tc>
          <w:tcPr>
            <w:tcW w:w="2376" w:type="dxa"/>
            <w:tcBorders>
              <w:top w:val="single" w:sz="6" w:space="0" w:color="000000"/>
              <w:left w:val="single" w:sz="6" w:space="0" w:color="000000"/>
              <w:bottom w:val="single" w:sz="6" w:space="0" w:color="000000"/>
              <w:right w:val="single" w:sz="6" w:space="0" w:color="000000"/>
            </w:tcBorders>
          </w:tcPr>
          <w:p>
            <w:pPr>
              <w:pStyle w:val="TAL1"/>
              <w:snapToGrid w:val="false"/>
              <w:jc w:val="center"/>
              <w:rPr>
                <w:b/>
                <w:b/>
              </w:rPr>
            </w:pPr>
            <w:r>
              <w:rPr>
                <w:b/>
              </w:rPr>
            </w:r>
          </w:p>
        </w:tc>
        <w:tc>
          <w:tcPr>
            <w:tcW w:w="2171" w:type="dxa"/>
            <w:tcBorders>
              <w:top w:val="single" w:sz="6" w:space="0" w:color="000000"/>
              <w:left w:val="single" w:sz="6" w:space="0" w:color="000000"/>
              <w:bottom w:val="single" w:sz="6" w:space="0" w:color="000000"/>
              <w:right w:val="single" w:sz="6" w:space="0" w:color="000000"/>
            </w:tcBorders>
          </w:tcPr>
          <w:p>
            <w:pPr>
              <w:pStyle w:val="TAL1"/>
              <w:jc w:val="center"/>
              <w:rPr>
                <w:b/>
                <w:b/>
                <w:lang w:eastAsia="en-US"/>
              </w:rPr>
            </w:pPr>
            <w:r>
              <w:rPr>
                <w:b/>
                <w:lang w:eastAsia="en-US"/>
              </w:rPr>
              <w:t>Power</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Ior</w:t>
            </w:r>
          </w:p>
        </w:tc>
        <w:tc>
          <w:tcPr>
            <w:tcW w:w="2376"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-75 dBm</w:t>
            </w:r>
          </w:p>
        </w:tc>
        <w:tc>
          <w:tcPr>
            <w:tcW w:w="217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DwPCH</w:t>
            </w:r>
          </w:p>
        </w:tc>
        <w:tc>
          <w:tcPr>
            <w:tcW w:w="2376"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DwPCH_Ec / Ior</w:t>
            </w:r>
          </w:p>
        </w:tc>
        <w:tc>
          <w:tcPr>
            <w:tcW w:w="217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0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PCCPCH</w:t>
            </w:r>
          </w:p>
        </w:tc>
        <w:tc>
          <w:tcPr>
            <w:tcW w:w="2376"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w:t>
            </w:r>
            <w:r>
              <w:rPr>
                <w:lang w:eastAsia="en-US"/>
              </w:rPr>
              <w:t>P-CCPCH_Ec / Ior</w:t>
            </w:r>
          </w:p>
        </w:tc>
        <w:tc>
          <w:tcPr>
            <w:tcW w:w="217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-3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SCCPCH</w:t>
            </w:r>
          </w:p>
        </w:tc>
        <w:tc>
          <w:tcPr>
            <w:tcW w:w="2376"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w:t>
            </w:r>
            <w:r>
              <w:rPr>
                <w:lang w:eastAsia="en-US"/>
              </w:rPr>
              <w:t>S-CCPCH_Ec / Ior</w:t>
            </w:r>
          </w:p>
        </w:tc>
        <w:tc>
          <w:tcPr>
            <w:tcW w:w="217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-6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PICH</w:t>
            </w:r>
          </w:p>
        </w:tc>
        <w:tc>
          <w:tcPr>
            <w:tcW w:w="2376" w:type="dxa"/>
            <w:tcBorders>
              <w:top w:val="single" w:sz="6" w:space="0" w:color="000000"/>
              <w:left w:val="single" w:sz="6" w:space="0" w:color="000000"/>
              <w:bottom w:val="single" w:sz="6" w:space="0" w:color="000000"/>
              <w:right w:val="single" w:sz="6" w:space="0" w:color="000000"/>
            </w:tcBorders>
          </w:tcPr>
          <w:p>
            <w:pPr>
              <w:pStyle w:val="TAL1"/>
              <w:rPr/>
            </w:pPr>
            <w:r>
              <w:rPr>
                <w:lang w:eastAsia="en-US"/>
              </w:rPr>
              <w:t>∑</w:t>
            </w:r>
            <w:r>
              <w:rPr>
                <w:lang w:eastAsia="en-US"/>
              </w:rPr>
              <w:t>PICH_Ec / Ior</w:t>
            </w:r>
          </w:p>
        </w:tc>
        <w:tc>
          <w:tcPr>
            <w:tcW w:w="217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-6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FPACH</w:t>
            </w:r>
          </w:p>
        </w:tc>
        <w:tc>
          <w:tcPr>
            <w:tcW w:w="2376"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FPACH_Ec / Ior</w:t>
            </w:r>
          </w:p>
        </w:tc>
        <w:tc>
          <w:tcPr>
            <w:tcW w:w="217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-6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DL DPCH</w:t>
            </w:r>
          </w:p>
        </w:tc>
        <w:tc>
          <w:tcPr>
            <w:tcW w:w="2376"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w:t>
            </w:r>
            <w:r>
              <w:rPr>
                <w:lang w:eastAsia="en-US"/>
              </w:rPr>
              <w:t>DPCH_Ec / Ior</w:t>
            </w:r>
          </w:p>
        </w:tc>
        <w:tc>
          <w:tcPr>
            <w:tcW w:w="217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0 dB</w:t>
            </w:r>
          </w:p>
        </w:tc>
      </w:tr>
    </w:tbl>
    <w:p>
      <w:pPr>
        <w:pStyle w:val="Normal"/>
        <w:rPr/>
      </w:pPr>
      <w:r>
        <w:rPr/>
      </w:r>
    </w:p>
    <w:p>
      <w:pPr>
        <w:pStyle w:val="Heading5"/>
        <w:ind w:left="1701" w:hanging="1701"/>
        <w:rPr/>
      </w:pPr>
      <w:bookmarkStart w:id="154" w:name="__RefHeading___Toc68601090"/>
      <w:bookmarkEnd w:id="154"/>
      <w:r>
        <w:rPr/>
        <w:t>6.2.2.4.2</w:t>
      </w:r>
      <w:r>
        <w:rPr>
          <w:rFonts w:cs="Calibri" w:ascii="Calibri" w:hAnsi="Calibri"/>
          <w:szCs w:val="22"/>
        </w:rPr>
        <w:tab/>
      </w:r>
      <w:r>
        <w:rPr/>
        <w:t>Procedure</w:t>
      </w:r>
    </w:p>
    <w:p>
      <w:pPr>
        <w:pStyle w:val="B1"/>
        <w:rPr/>
      </w:pPr>
      <w:r>
        <w:rPr/>
        <w:t>1)</w:t>
        <w:tab/>
        <w:t>Send continuously Up power control commands to the plug-in UE.</w:t>
      </w:r>
    </w:p>
    <w:p>
      <w:pPr>
        <w:pStyle w:val="B1"/>
        <w:rPr/>
      </w:pPr>
      <w:r>
        <w:rPr/>
        <w:t>2)</w:t>
        <w:tab/>
        <w:t>As the plug-in UE reaches maximum power, start sending PN15 data pattern.</w:t>
      </w:r>
    </w:p>
    <w:p>
      <w:pPr>
        <w:pStyle w:val="B1"/>
        <w:rPr/>
      </w:pPr>
      <w:r>
        <w:rPr/>
        <w:t>3)</w:t>
        <w:tab/>
        <w:t>Position the plug-in UE into the USB connector in accordance with the manufacturer recommended primary mechanical mode. In the absence of such a recommendation position the plug-in UE so that it is horizontally plugged into the horizontal USB connector.</w:t>
      </w:r>
    </w:p>
    <w:p>
      <w:pPr>
        <w:pStyle w:val="B1"/>
        <w:rPr/>
      </w:pPr>
      <w:r>
        <w:rPr/>
        <w:t>4)</w:t>
        <w:tab/>
        <w:t xml:space="preserve">Measure the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θ</m:t>
            </m:r>
          </m:sub>
        </m:sSub>
      </m:oMath>
      <w:r>
        <w:rPr/>
        <w:t xml:space="preserve"> and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ϕ</m:t>
            </m:r>
          </m:sub>
        </m:sSub>
      </m:oMath>
      <w:r>
        <w:rPr/>
        <w:t xml:space="preserve"> with a sample step of 15° in theta (</w:t>
      </w:r>
      <w:r>
        <w:rPr>
          <w:rFonts w:eastAsia="Symbol" w:cs="Symbol" w:ascii="Symbol" w:hAnsi="Symbol"/>
        </w:rPr>
        <w:t>q</w:t>
      </w:r>
      <w:r>
        <w:rPr/>
        <w:t>) and phi (</w:t>
      </w:r>
      <w:r>
        <w:rPr>
          <w:rFonts w:eastAsia="Symbol" w:cs="Symbol" w:ascii="Symbol" w:hAnsi="Symbol"/>
        </w:rPr>
        <w:t>f</w:t>
      </w:r>
      <w:r>
        <w:rPr/>
        <w:t>) directions using a test system having characteristics as described in Annex A.</w:t>
      </w:r>
    </w:p>
    <w:p>
      <w:pPr>
        <w:pStyle w:val="B1"/>
        <w:rPr/>
      </w:pPr>
      <w:r>
        <w:rPr/>
        <w:t>5)</w:t>
        <w:tab/>
        <w:t xml:space="preserve">Calculate TRP using equations from clause </w:t>
      </w:r>
      <w:r>
        <w:rPr>
          <w:lang w:eastAsia="zh-CN"/>
        </w:rPr>
        <w:t>6.2.2.2.</w:t>
      </w:r>
    </w:p>
    <w:p>
      <w:pPr>
        <w:pStyle w:val="NO"/>
        <w:rPr/>
      </w:pPr>
      <w:r>
        <w:rPr/>
        <w:t>NOTE 1:</w:t>
        <w:tab/>
        <w:t>The measurement procedure is based on the measurement of the spherical radiation pattern of the DUT. The power radiated by the DUT is sampled in far field in a group of points located on a spherical surface enclosing the DUT. The EIRP samples are taken using a constant sample step of 15° both in theta (</w:t>
      </w:r>
      <w:r>
        <w:rPr>
          <w:rFonts w:eastAsia="Symbol" w:cs="Symbol" w:ascii="Symbol" w:hAnsi="Symbol"/>
        </w:rPr>
        <w:t>q</w:t>
      </w:r>
      <w:r>
        <w:rPr/>
        <w:t>) and phi (</w:t>
      </w:r>
      <w:r>
        <w:rPr>
          <w:rFonts w:eastAsia="Symbol" w:cs="Symbol" w:ascii="Symbol" w:hAnsi="Symbol"/>
        </w:rPr>
        <w:t>f</w:t>
      </w:r>
      <w:r>
        <w:rPr/>
        <w:t xml:space="preserve">) directions. In some cases a different sampling grid may be used to speed up the measurements (See Section 4.4). All the EIRP samples are taken with two orthogonal polarizations,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-polarisations.</w:t>
      </w:r>
    </w:p>
    <w:p>
      <w:pPr>
        <w:pStyle w:val="NO"/>
        <w:rPr/>
      </w:pPr>
      <w:r>
        <w:rPr/>
        <w:t>NOTE 2:</w:t>
        <w:tab/>
        <w:t>The noise floor of the measurement receiver shall not disturb the power measurement.</w:t>
      </w:r>
    </w:p>
    <w:p>
      <w:pPr>
        <w:pStyle w:val="NO"/>
        <w:rPr/>
      </w:pPr>
      <w:r>
        <w:rPr/>
        <w:t>NOTE 3:</w:t>
        <w:tab/>
        <w:t>Non Standard settings: To speed up sensitivity measurements, power measurements may be done with non standard modulation. However to obtain TRP result the measured EIRP figures shall be normalized by</w:t>
      </w:r>
    </w:p>
    <w:p>
      <w:pPr>
        <w:pStyle w:val="EQ"/>
        <w:jc w:val="center"/>
        <w:rPr>
          <w:lang w:val="en-GB" w:eastAsia="en-GB"/>
        </w:rPr>
      </w:pPr>
      <w:r>
        <w:rPr>
          <w:lang w:val="en-GB" w:eastAsia="en-GB"/>
        </w:rPr>
      </w:r>
      <m:oMathPara xmlns:m="http://schemas.openxmlformats.org/officeDocument/2006/math">
        <m:oMathParaPr>
          <m:jc m:val="center"/>
        </m:oMathParaPr>
        <m:oMath>
          <m:r>
            <w:rPr>
              <w:rFonts w:ascii="Cambria Math" w:hAnsi="Cambria Math"/>
            </w:rPr>
            <m:t xml:space="preserve">Δ</m:t>
          </m:r>
          <m:bar>
            <m:barPr>
              <m:pos m:val="top"/>
            </m:barPr>
            <m:e>
              <m:r>
                <m:rPr>
                  <m:lit/>
                  <m:nor/>
                </m:rPr>
                <w:rPr>
                  <w:rFonts w:ascii="Cambria Math" w:hAnsi="Cambria Math"/>
                </w:rPr>
                <m:t xml:space="preserve">EIRP</m:t>
              </m:r>
            </m:e>
          </m:ba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m:rPr>
                          <m:lit/>
                          <m:nor/>
                        </m:rPr>
                        <w:rPr>
                          <w:rFonts w:ascii="Cambria Math" w:hAnsi="Cambria Math"/>
                        </w:rPr>
                        <m:t xml:space="preserve">EIRPstd</m:t>
                      </m:r>
                    </m:e>
                    <m:sub>
                      <m:r>
                        <w:rPr>
                          <w:rFonts w:ascii="Cambria Math" w:hAnsi="Cambria Math"/>
                        </w:rPr>
                        <m:t xml:space="preserve">i</m:t>
                      </m:r>
                    </m:sub>
                  </m:sSub>
                  <m:r>
                    <w:rPr>
                      <w:rFonts w:ascii="Cambria Math" w:hAnsi="Cambria Math"/>
                    </w:rPr>
                    <m:t xml:space="preserve">−</m:t>
                  </m:r>
                  <m:sSub>
                    <m:e>
                      <m:r>
                        <m:rPr>
                          <m:lit/>
                          <m:nor/>
                        </m:rPr>
                        <w:rPr>
                          <w:rFonts w:ascii="Cambria Math" w:hAnsi="Cambria Math"/>
                        </w:rPr>
                        <m:t xml:space="preserve">EIRPnstd</m:t>
                      </m:r>
                    </m:e>
                    <m:sub>
                      <m:r>
                        <w:rPr>
                          <w:rFonts w:ascii="Cambria Math" w:hAnsi="Cambria Math"/>
                        </w:rPr>
                        <m:t xml:space="preserve">i</m:t>
                      </m:r>
                    </m:sub>
                  </m:sSub>
                </m:e>
              </m:d>
            </m:e>
          </m:nary>
        </m:oMath>
      </m:oMathPara>
    </w:p>
    <w:p>
      <w:pPr>
        <w:pStyle w:val="Normal"/>
        <w:rPr/>
      </w:pPr>
      <w:r>
        <w:rPr/>
        <w:t xml:space="preserve">where </w:t>
      </w:r>
      <w:r>
        <w:rPr/>
      </w:r>
      <m:oMath xmlns:m="http://schemas.openxmlformats.org/officeDocument/2006/math">
        <m:sSub>
          <m:e>
            <m:r>
              <m:rPr>
                <m:lit/>
                <m:nor/>
              </m:rPr>
              <w:rPr>
                <w:rFonts w:ascii="Cambria Math" w:hAnsi="Cambria Math"/>
              </w:rPr>
              <m:t xml:space="preserve">EIRPstd</m:t>
            </m:r>
          </m:e>
          <m:sub>
            <m:r>
              <w:rPr>
                <w:rFonts w:ascii="Cambria Math" w:hAnsi="Cambria Math"/>
              </w:rPr>
              <m:t xml:space="preserve">i</m:t>
            </m:r>
          </m:sub>
        </m:sSub>
      </m:oMath>
      <w:r>
        <w:rPr/>
        <w:t xml:space="preserve"> is power measurement done with standard setting. </w:t>
      </w:r>
      <w:r>
        <w:rPr/>
      </w:r>
      <m:oMath xmlns:m="http://schemas.openxmlformats.org/officeDocument/2006/math">
        <m:sSub>
          <m:e>
            <m:r>
              <m:rPr>
                <m:lit/>
                <m:nor/>
              </m:rPr>
              <w:rPr>
                <w:rFonts w:ascii="Cambria Math" w:hAnsi="Cambria Math"/>
              </w:rPr>
              <m:t xml:space="preserve">EIRPnstd</m:t>
            </m:r>
          </m:e>
          <m:sub>
            <m:r>
              <w:rPr>
                <w:rFonts w:ascii="Cambria Math" w:hAnsi="Cambria Math"/>
              </w:rPr>
              <m:t xml:space="preserve">i</m:t>
            </m:r>
          </m:sub>
        </m:sSub>
      </m:oMath>
      <w:r>
        <w:rPr/>
        <w:t xml:space="preserve"> is power measurement done with non standard modulation. </w:t>
      </w:r>
      <w:r>
        <w:rPr/>
      </w:r>
      <m:oMath xmlns:m="http://schemas.openxmlformats.org/officeDocument/2006/math">
        <m:r>
          <w:rPr>
            <w:rFonts w:ascii="Cambria Math" w:hAnsi="Cambria Math"/>
          </w:rPr>
          <m:t xml:space="preserve">n</m:t>
        </m:r>
      </m:oMath>
      <w:r>
        <w:rPr/>
        <w:t xml:space="preserve"> is amount of reference measurement points.</w:t>
      </w:r>
    </w:p>
    <w:p>
      <w:pPr>
        <w:pStyle w:val="Normal"/>
        <w:rPr/>
      </w:pPr>
      <w:r>
        <w:rPr/>
        <w:t>To ensure accuracy of TRP, the amount of reference points measured should be at least 4. It is recommended to spread the reference measurements equally during the measurement time.</w:t>
      </w:r>
    </w:p>
    <w:p>
      <w:pPr>
        <w:pStyle w:val="Heading5"/>
        <w:ind w:left="1701" w:hanging="1701"/>
        <w:rPr/>
      </w:pPr>
      <w:bookmarkStart w:id="155" w:name="__RefHeading___Toc68601091"/>
      <w:bookmarkEnd w:id="155"/>
      <w:r>
        <w:rPr/>
        <w:t>6.2.2.4.3</w:t>
      </w:r>
      <w:r>
        <w:rPr>
          <w:rFonts w:cs="Calibri" w:ascii="Calibri" w:hAnsi="Calibri"/>
          <w:szCs w:val="22"/>
        </w:rPr>
        <w:tab/>
      </w:r>
      <w:r>
        <w:rPr/>
        <w:t>Procedure, reverberation chamber method</w:t>
      </w:r>
    </w:p>
    <w:p>
      <w:pPr>
        <w:pStyle w:val="B1"/>
        <w:rPr/>
      </w:pPr>
      <w:r>
        <w:rPr/>
        <w:t>1)</w:t>
        <w:tab/>
        <w:t>Send continuously Up power control commands to the plug-in UE.</w:t>
      </w:r>
    </w:p>
    <w:p>
      <w:pPr>
        <w:pStyle w:val="B1"/>
        <w:rPr/>
      </w:pPr>
      <w:r>
        <w:rPr/>
        <w:t>2)</w:t>
        <w:tab/>
        <w:t>As the plug-in UE reaches maximum power, start sending PN15 data pattern.</w:t>
      </w:r>
    </w:p>
    <w:p>
      <w:pPr>
        <w:pStyle w:val="B1"/>
        <w:rPr/>
      </w:pPr>
      <w:r>
        <w:rPr/>
        <w:t>3)</w:t>
        <w:tab/>
        <w:t>Position the plug-in UE into the USB connector in accordance with the manufacturer recommended primary mechanical mode. In the absence of such a recommendation position the plug-in UE so that it is horizontally plugged into the horizontal USB connector.</w:t>
      </w:r>
    </w:p>
    <w:p>
      <w:pPr>
        <w:pStyle w:val="B1"/>
        <w:rPr/>
      </w:pPr>
      <w:r>
        <w:rPr/>
        <w:t>4)</w:t>
        <w:tab/>
        <w:t xml:space="preserve">Measure a sufficient number of independent samples (see section 4.5) of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oMath>
      <w:r>
        <w:rPr/>
        <w:t xml:space="preserve"> using a test system having characteristics as described in Annex A.</w:t>
      </w:r>
    </w:p>
    <w:p>
      <w:pPr>
        <w:pStyle w:val="B1"/>
        <w:rPr/>
      </w:pPr>
      <w:r>
        <w:rPr/>
        <w:t>5)</w:t>
        <w:tab/>
        <w:t xml:space="preserve">Calculate TRP using equations from clause </w:t>
      </w:r>
      <w:r>
        <w:rPr>
          <w:lang w:eastAsia="zh-CN"/>
        </w:rPr>
        <w:t>6.2.2.2.</w:t>
      </w:r>
    </w:p>
    <w:p>
      <w:pPr>
        <w:pStyle w:val="NO"/>
        <w:rPr/>
      </w:pPr>
      <w:r>
        <w:rPr/>
        <w:t>NOTE 1:</w:t>
        <w:tab/>
        <w:t>The measurement procedure is based on the measurement of the total power radiated from the UE/MS to a full 3 dimensional isotropic environment with uniform elevation and azimuth field distribution. The power transmitted by the DUT is undergoing Rayleigh fading and is sampled by the fixed measurement antennas. Moreover, it is important that the samples collected are independent, in order to get sufficient accuracy of the estimated TRP value.</w:t>
      </w:r>
    </w:p>
    <w:p>
      <w:pPr>
        <w:pStyle w:val="NO"/>
        <w:rPr/>
      </w:pPr>
      <w:r>
        <w:rPr/>
        <w:t>NOTE 2:</w:t>
        <w:tab/>
        <w:t>The noise floor of the measurement receiver shall not disturb the power measurement.</w:t>
      </w:r>
    </w:p>
    <w:p>
      <w:pPr>
        <w:pStyle w:val="Heading4"/>
        <w:ind w:left="1418" w:hanging="1418"/>
        <w:rPr/>
      </w:pPr>
      <w:bookmarkStart w:id="156" w:name="__RefHeading___Toc68601092"/>
      <w:bookmarkEnd w:id="156"/>
      <w:r>
        <w:rPr/>
        <w:t>6.2.2.5</w:t>
      </w:r>
      <w:r>
        <w:rPr>
          <w:rFonts w:cs="Calibri" w:ascii="Calibri" w:hAnsi="Calibri"/>
          <w:sz w:val="22"/>
          <w:szCs w:val="22"/>
        </w:rPr>
        <w:tab/>
      </w:r>
      <w:r>
        <w:rPr/>
        <w:t>Test requirements</w:t>
      </w:r>
    </w:p>
    <w:p>
      <w:pPr>
        <w:pStyle w:val="Normal"/>
        <w:jc w:val="both"/>
        <w:rPr/>
      </w:pPr>
      <w:r>
        <w:rPr/>
        <w:t>The average TRP of low, mid and high channel shall be higher than test performance requirements for roaming bands shown in Table 6.2.2.5-1. The averaging shall be done in linear scale for the TRP.</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num>
                <m:den>
                  <m:r>
                    <w:rPr>
                      <w:rFonts w:ascii="Cambria Math" w:hAnsi="Cambria Math"/>
                    </w:rPr>
                    <m:t xml:space="preserve">3</m:t>
                  </m:r>
                </m:den>
              </m:f>
            </m:e>
          </m:d>
        </m:oMath>
      </m:oMathPara>
    </w:p>
    <w:p>
      <w:pPr>
        <w:pStyle w:val="Normal"/>
        <w:rPr/>
      </w:pPr>
      <w:r>
        <w:rPr/>
        <w:t>In addition the minimum TRP of each measured channel shall be higher than minimum performance requirements shown in the columns “Min”.</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m:rPr>
                  <m:lit/>
                  <m:nor/>
                </m:rPr>
                <w:rPr>
                  <w:rFonts w:ascii="Cambria Math" w:hAnsi="Cambria Math"/>
                </w:rPr>
                <m:t xml:space="preserve">min</m:t>
              </m:r>
              <m:d>
                <m:dPr>
                  <m:begChr m:val="("/>
                  <m:endChr m:val=")"/>
                </m:dPr>
                <m:e>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e>
              </m:d>
            </m:e>
          </m:d>
        </m:oMath>
      </m:oMathPara>
    </w:p>
    <w:p>
      <w:pPr>
        <w:pStyle w:val="TH"/>
        <w:rPr/>
      </w:pPr>
      <w:r>
        <w:rPr/>
        <w:t>Table 6.2.2.5-1: TRP test requirement for UTRA LCR TDD using LME</w:t>
      </w:r>
    </w:p>
    <w:tbl>
      <w:tblPr>
        <w:tblW w:w="8175" w:type="dxa"/>
        <w:jc w:val="center"/>
        <w:tblInd w:w="0" w:type="dxa"/>
        <w:tblLayout w:type="fixed"/>
        <w:tblCellMar>
          <w:top w:w="0" w:type="dxa"/>
          <w:left w:w="108" w:type="dxa"/>
          <w:bottom w:w="0" w:type="dxa"/>
          <w:right w:w="108" w:type="dxa"/>
        </w:tblCellMar>
      </w:tblPr>
      <w:tblGrid>
        <w:gridCol w:w="1106"/>
        <w:gridCol w:w="954"/>
        <w:gridCol w:w="540"/>
        <w:gridCol w:w="1079"/>
        <w:gridCol w:w="989"/>
        <w:gridCol w:w="989"/>
        <w:gridCol w:w="809"/>
        <w:gridCol w:w="989"/>
        <w:gridCol w:w="720"/>
      </w:tblGrid>
      <w:tr>
        <w:trPr>
          <w:trHeight w:val="277" w:hRule="atLeast"/>
        </w:trPr>
        <w:tc>
          <w:tcPr>
            <w:tcW w:w="1106" w:type="dxa"/>
            <w:vMerge w:val="restart"/>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Operating band</w:t>
            </w:r>
          </w:p>
        </w:tc>
        <w:tc>
          <w:tcPr>
            <w:tcW w:w="1494"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Power Class 1</w:t>
            </w:r>
          </w:p>
        </w:tc>
        <w:tc>
          <w:tcPr>
            <w:tcW w:w="2068"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Power Class 2</w:t>
            </w:r>
          </w:p>
        </w:tc>
        <w:tc>
          <w:tcPr>
            <w:tcW w:w="1798"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Power Class 3</w:t>
            </w:r>
          </w:p>
        </w:tc>
        <w:tc>
          <w:tcPr>
            <w:tcW w:w="1709"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Power Class 4</w:t>
            </w:r>
          </w:p>
        </w:tc>
      </w:tr>
      <w:tr>
        <w:trPr>
          <w:trHeight w:val="316" w:hRule="atLeast"/>
        </w:trPr>
        <w:tc>
          <w:tcPr>
            <w:tcW w:w="1106" w:type="dxa"/>
            <w:vMerge w:val="continue"/>
            <w:tcBorders>
              <w:top w:val="single" w:sz="6" w:space="0" w:color="000000"/>
              <w:left w:val="single" w:sz="6" w:space="0" w:color="000000"/>
              <w:bottom w:val="single" w:sz="6" w:space="0" w:color="000000"/>
              <w:right w:val="single" w:sz="6" w:space="0" w:color="000000"/>
            </w:tcBorders>
          </w:tcPr>
          <w:p>
            <w:pPr>
              <w:pStyle w:val="Normal"/>
              <w:snapToGrid w:val="false"/>
              <w:spacing w:before="0" w:after="0"/>
              <w:rPr>
                <w:rFonts w:ascii="Arial" w:hAnsi="Arial" w:cs="Arial"/>
                <w:b/>
                <w:b/>
                <w:sz w:val="18"/>
                <w:lang w:eastAsia="zh-CN"/>
              </w:rPr>
            </w:pPr>
            <w:r>
              <w:rPr>
                <w:rFonts w:cs="Arial" w:ascii="Arial" w:hAnsi="Arial"/>
                <w:b/>
                <w:sz w:val="18"/>
                <w:lang w:eastAsia="zh-CN"/>
              </w:rPr>
            </w:r>
          </w:p>
        </w:tc>
        <w:tc>
          <w:tcPr>
            <w:tcW w:w="1494"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Power (dBm)</w:t>
            </w:r>
          </w:p>
        </w:tc>
        <w:tc>
          <w:tcPr>
            <w:tcW w:w="2068"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Power (dBm)</w:t>
            </w:r>
          </w:p>
        </w:tc>
        <w:tc>
          <w:tcPr>
            <w:tcW w:w="1798"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Power (dBm)</w:t>
            </w:r>
          </w:p>
        </w:tc>
        <w:tc>
          <w:tcPr>
            <w:tcW w:w="1709" w:type="dxa"/>
            <w:gridSpan w:val="2"/>
            <w:tcBorders>
              <w:top w:val="single" w:sz="6" w:space="0" w:color="000000"/>
              <w:left w:val="single" w:sz="6" w:space="0" w:color="000000"/>
              <w:bottom w:val="single" w:sz="6" w:space="0" w:color="000000"/>
              <w:right w:val="single" w:sz="6" w:space="0" w:color="000000"/>
            </w:tcBorders>
          </w:tcPr>
          <w:p>
            <w:pPr>
              <w:pStyle w:val="TAH"/>
              <w:rPr/>
            </w:pPr>
            <w:r>
              <w:rPr>
                <w:lang w:eastAsia="en-US"/>
              </w:rPr>
              <w:t>Power (dBm)</w:t>
            </w:r>
          </w:p>
        </w:tc>
      </w:tr>
      <w:tr>
        <w:trPr>
          <w:trHeight w:val="244" w:hRule="atLeast"/>
        </w:trPr>
        <w:tc>
          <w:tcPr>
            <w:tcW w:w="1106" w:type="dxa"/>
            <w:vMerge w:val="continue"/>
            <w:tcBorders>
              <w:top w:val="single" w:sz="6" w:space="0" w:color="000000"/>
              <w:left w:val="single" w:sz="6" w:space="0" w:color="000000"/>
              <w:bottom w:val="single" w:sz="6" w:space="0" w:color="000000"/>
              <w:right w:val="single" w:sz="6" w:space="0" w:color="000000"/>
            </w:tcBorders>
          </w:tcPr>
          <w:p>
            <w:pPr>
              <w:pStyle w:val="Normal"/>
              <w:snapToGrid w:val="false"/>
              <w:spacing w:before="0" w:after="0"/>
              <w:rPr>
                <w:rFonts w:ascii="Arial" w:hAnsi="Arial" w:cs="Arial"/>
                <w:b/>
                <w:b/>
                <w:sz w:val="18"/>
                <w:lang w:eastAsia="zh-CN"/>
              </w:rPr>
            </w:pPr>
            <w:r>
              <w:rPr>
                <w:rFonts w:cs="Arial" w:ascii="Arial" w:hAnsi="Arial"/>
                <w:b/>
                <w:sz w:val="18"/>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Average</w:t>
            </w:r>
          </w:p>
        </w:tc>
        <w:tc>
          <w:tcPr>
            <w:tcW w:w="54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Min</w:t>
            </w:r>
          </w:p>
        </w:tc>
        <w:tc>
          <w:tcPr>
            <w:tcW w:w="1079" w:type="dxa"/>
            <w:tcBorders>
              <w:top w:val="single" w:sz="6" w:space="0" w:color="000000"/>
              <w:left w:val="single" w:sz="6" w:space="0" w:color="000000"/>
              <w:bottom w:val="single" w:sz="6" w:space="0" w:color="000000"/>
              <w:right w:val="single" w:sz="4" w:space="0" w:color="000000"/>
            </w:tcBorders>
          </w:tcPr>
          <w:p>
            <w:pPr>
              <w:pStyle w:val="TAH"/>
              <w:rPr>
                <w:lang w:eastAsia="en-US"/>
              </w:rPr>
            </w:pPr>
            <w:r>
              <w:rPr>
                <w:lang w:eastAsia="en-US"/>
              </w:rPr>
              <w:t>Average</w:t>
            </w:r>
          </w:p>
        </w:tc>
        <w:tc>
          <w:tcPr>
            <w:tcW w:w="989"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Min</w:t>
            </w:r>
          </w:p>
        </w:tc>
        <w:tc>
          <w:tcPr>
            <w:tcW w:w="98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Average</w:t>
            </w:r>
          </w:p>
        </w:tc>
        <w:tc>
          <w:tcPr>
            <w:tcW w:w="80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Min</w:t>
            </w:r>
          </w:p>
        </w:tc>
        <w:tc>
          <w:tcPr>
            <w:tcW w:w="98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Average</w:t>
            </w:r>
          </w:p>
        </w:tc>
        <w:tc>
          <w:tcPr>
            <w:tcW w:w="72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Min</w:t>
            </w:r>
          </w:p>
        </w:tc>
      </w:tr>
      <w:tr>
        <w:trPr>
          <w:trHeight w:val="215" w:hRule="atLeast"/>
        </w:trPr>
        <w:tc>
          <w:tcPr>
            <w:tcW w:w="1106"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a</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540"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1079" w:type="dxa"/>
            <w:tcBorders>
              <w:top w:val="single" w:sz="6" w:space="0" w:color="000000"/>
              <w:left w:val="single" w:sz="6" w:space="0" w:color="000000"/>
              <w:bottom w:val="single" w:sz="6" w:space="0" w:color="000000"/>
              <w:right w:val="single" w:sz="4" w:space="0" w:color="000000"/>
            </w:tcBorders>
            <w:vAlign w:val="center"/>
          </w:tcPr>
          <w:p>
            <w:pPr>
              <w:pStyle w:val="TAC"/>
              <w:rPr>
                <w:lang w:eastAsia="en-US"/>
              </w:rPr>
            </w:pPr>
            <w:r>
              <w:rPr>
                <w:lang w:eastAsia="en-US"/>
              </w:rPr>
              <w:t>TBD + TT</w:t>
            </w:r>
          </w:p>
        </w:tc>
        <w:tc>
          <w:tcPr>
            <w:tcW w:w="989" w:type="dxa"/>
            <w:tcBorders>
              <w:top w:val="single" w:sz="6" w:space="0" w:color="000000"/>
              <w:left w:val="single" w:sz="4" w:space="0" w:color="000000"/>
              <w:bottom w:val="single" w:sz="6" w:space="0" w:color="000000"/>
              <w:right w:val="single" w:sz="6" w:space="0" w:color="000000"/>
            </w:tcBorders>
            <w:vAlign w:val="center"/>
          </w:tcPr>
          <w:p>
            <w:pPr>
              <w:pStyle w:val="TAC"/>
              <w:rPr>
                <w:lang w:eastAsia="en-US"/>
              </w:rPr>
            </w:pPr>
            <w:r>
              <w:rPr>
                <w:lang w:eastAsia="en-US"/>
              </w:rPr>
              <w:t xml:space="preserve">TBD + TT </w:t>
            </w:r>
          </w:p>
        </w:tc>
        <w:tc>
          <w:tcPr>
            <w:tcW w:w="989"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989"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720"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r>
      <w:tr>
        <w:trPr>
          <w:trHeight w:val="215" w:hRule="atLeast"/>
        </w:trPr>
        <w:tc>
          <w:tcPr>
            <w:tcW w:w="1106"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b</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540"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1079" w:type="dxa"/>
            <w:tcBorders>
              <w:top w:val="single" w:sz="6" w:space="0" w:color="000000"/>
              <w:left w:val="single" w:sz="6" w:space="0" w:color="000000"/>
              <w:bottom w:val="single" w:sz="6" w:space="0" w:color="000000"/>
              <w:right w:val="single" w:sz="4" w:space="0" w:color="000000"/>
            </w:tcBorders>
            <w:vAlign w:val="center"/>
          </w:tcPr>
          <w:p>
            <w:pPr>
              <w:pStyle w:val="TAC"/>
              <w:rPr>
                <w:lang w:eastAsia="en-US"/>
              </w:rPr>
            </w:pPr>
            <w:r>
              <w:rPr>
                <w:lang w:eastAsia="en-US"/>
              </w:rPr>
              <w:t>TBD + TT</w:t>
            </w:r>
          </w:p>
        </w:tc>
        <w:tc>
          <w:tcPr>
            <w:tcW w:w="989" w:type="dxa"/>
            <w:tcBorders>
              <w:top w:val="single" w:sz="6" w:space="0" w:color="000000"/>
              <w:left w:val="single" w:sz="4" w:space="0" w:color="000000"/>
              <w:bottom w:val="single" w:sz="6" w:space="0" w:color="000000"/>
              <w:right w:val="single" w:sz="6" w:space="0" w:color="000000"/>
            </w:tcBorders>
            <w:vAlign w:val="center"/>
          </w:tcPr>
          <w:p>
            <w:pPr>
              <w:pStyle w:val="TAC"/>
              <w:rPr>
                <w:lang w:eastAsia="en-US"/>
              </w:rPr>
            </w:pPr>
            <w:r>
              <w:rPr>
                <w:lang w:eastAsia="en-US"/>
              </w:rPr>
              <w:t>TBD + TT</w:t>
            </w:r>
          </w:p>
        </w:tc>
        <w:tc>
          <w:tcPr>
            <w:tcW w:w="989"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989"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720"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r>
      <w:tr>
        <w:trPr>
          <w:trHeight w:val="215" w:hRule="atLeast"/>
        </w:trPr>
        <w:tc>
          <w:tcPr>
            <w:tcW w:w="1106"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c</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540"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1079" w:type="dxa"/>
            <w:tcBorders>
              <w:top w:val="single" w:sz="6" w:space="0" w:color="000000"/>
              <w:left w:val="single" w:sz="6" w:space="0" w:color="000000"/>
              <w:bottom w:val="single" w:sz="6" w:space="0" w:color="000000"/>
              <w:right w:val="single" w:sz="4" w:space="0" w:color="000000"/>
            </w:tcBorders>
            <w:vAlign w:val="center"/>
          </w:tcPr>
          <w:p>
            <w:pPr>
              <w:pStyle w:val="TAC"/>
              <w:rPr>
                <w:lang w:eastAsia="en-US"/>
              </w:rPr>
            </w:pPr>
            <w:r>
              <w:rPr>
                <w:lang w:eastAsia="en-US"/>
              </w:rPr>
              <w:t>TBD + TT</w:t>
            </w:r>
          </w:p>
        </w:tc>
        <w:tc>
          <w:tcPr>
            <w:tcW w:w="989" w:type="dxa"/>
            <w:tcBorders>
              <w:top w:val="single" w:sz="6" w:space="0" w:color="000000"/>
              <w:left w:val="single" w:sz="4" w:space="0" w:color="000000"/>
              <w:bottom w:val="single" w:sz="6" w:space="0" w:color="000000"/>
              <w:right w:val="single" w:sz="6" w:space="0" w:color="000000"/>
            </w:tcBorders>
            <w:vAlign w:val="center"/>
          </w:tcPr>
          <w:p>
            <w:pPr>
              <w:pStyle w:val="TAC"/>
              <w:rPr>
                <w:lang w:eastAsia="en-US"/>
              </w:rPr>
            </w:pPr>
            <w:r>
              <w:rPr>
                <w:lang w:eastAsia="en-US"/>
              </w:rPr>
              <w:t>TBD + TT</w:t>
            </w:r>
          </w:p>
        </w:tc>
        <w:tc>
          <w:tcPr>
            <w:tcW w:w="989"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989"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720"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r>
      <w:tr>
        <w:trPr>
          <w:trHeight w:val="215" w:hRule="atLeast"/>
        </w:trPr>
        <w:tc>
          <w:tcPr>
            <w:tcW w:w="1106"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d</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540"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1079" w:type="dxa"/>
            <w:tcBorders>
              <w:top w:val="single" w:sz="6" w:space="0" w:color="000000"/>
              <w:left w:val="single" w:sz="6" w:space="0" w:color="000000"/>
              <w:bottom w:val="single" w:sz="6" w:space="0" w:color="000000"/>
              <w:right w:val="single" w:sz="4" w:space="0" w:color="000000"/>
            </w:tcBorders>
            <w:vAlign w:val="center"/>
          </w:tcPr>
          <w:p>
            <w:pPr>
              <w:pStyle w:val="TAC"/>
              <w:rPr>
                <w:lang w:eastAsia="en-US"/>
              </w:rPr>
            </w:pPr>
            <w:r>
              <w:rPr>
                <w:lang w:eastAsia="en-US"/>
              </w:rPr>
              <w:t>TBD + TT</w:t>
            </w:r>
          </w:p>
        </w:tc>
        <w:tc>
          <w:tcPr>
            <w:tcW w:w="989" w:type="dxa"/>
            <w:tcBorders>
              <w:top w:val="single" w:sz="6" w:space="0" w:color="000000"/>
              <w:left w:val="single" w:sz="4" w:space="0" w:color="000000"/>
              <w:bottom w:val="single" w:sz="6" w:space="0" w:color="000000"/>
              <w:right w:val="single" w:sz="6" w:space="0" w:color="000000"/>
            </w:tcBorders>
            <w:vAlign w:val="center"/>
          </w:tcPr>
          <w:p>
            <w:pPr>
              <w:pStyle w:val="TAC"/>
              <w:rPr>
                <w:lang w:eastAsia="en-US"/>
              </w:rPr>
            </w:pPr>
            <w:r>
              <w:rPr>
                <w:lang w:eastAsia="en-US"/>
              </w:rPr>
              <w:t>TBD + TT</w:t>
            </w:r>
          </w:p>
        </w:tc>
        <w:tc>
          <w:tcPr>
            <w:tcW w:w="989"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989"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720"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r>
      <w:tr>
        <w:trPr>
          <w:trHeight w:val="215" w:hRule="atLeast"/>
        </w:trPr>
        <w:tc>
          <w:tcPr>
            <w:tcW w:w="1106"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540" w:type="dxa"/>
            <w:tcBorders>
              <w:top w:val="single" w:sz="6" w:space="0" w:color="000000"/>
              <w:left w:val="single" w:sz="6" w:space="0" w:color="000000"/>
              <w:bottom w:val="single" w:sz="6" w:space="0" w:color="000000"/>
              <w:right w:val="single" w:sz="6" w:space="0" w:color="000000"/>
            </w:tcBorders>
            <w:vAlign w:val="center"/>
          </w:tcPr>
          <w:p>
            <w:pPr>
              <w:pStyle w:val="TAC"/>
              <w:rPr>
                <w:rFonts w:cs="Arial"/>
              </w:rPr>
            </w:pPr>
            <w:r>
              <w:rPr>
                <w:rFonts w:ascii="Arial Unicode MS" w:hAnsi="Arial Unicode MS" w:cs="Arial Unicode MS" w:eastAsia="Arial Unicode MS"/>
                <w:lang w:eastAsia="en-US"/>
              </w:rPr>
              <w:t>－</w:t>
            </w:r>
          </w:p>
        </w:tc>
        <w:tc>
          <w:tcPr>
            <w:tcW w:w="1079" w:type="dxa"/>
            <w:tcBorders>
              <w:top w:val="single" w:sz="6" w:space="0" w:color="000000"/>
              <w:left w:val="single" w:sz="6" w:space="0" w:color="000000"/>
              <w:bottom w:val="single" w:sz="6" w:space="0" w:color="000000"/>
              <w:right w:val="single" w:sz="4" w:space="0" w:color="000000"/>
            </w:tcBorders>
            <w:vAlign w:val="center"/>
          </w:tcPr>
          <w:p>
            <w:pPr>
              <w:pStyle w:val="TAC"/>
              <w:rPr>
                <w:lang w:eastAsia="en-US"/>
              </w:rPr>
            </w:pPr>
            <w:r>
              <w:rPr>
                <w:lang w:eastAsia="en-US"/>
              </w:rPr>
              <w:t>TBD + TT</w:t>
            </w:r>
          </w:p>
        </w:tc>
        <w:tc>
          <w:tcPr>
            <w:tcW w:w="989" w:type="dxa"/>
            <w:tcBorders>
              <w:top w:val="single" w:sz="6" w:space="0" w:color="000000"/>
              <w:left w:val="single" w:sz="4" w:space="0" w:color="000000"/>
              <w:bottom w:val="single" w:sz="6" w:space="0" w:color="000000"/>
              <w:right w:val="single" w:sz="6" w:space="0" w:color="000000"/>
            </w:tcBorders>
            <w:vAlign w:val="center"/>
          </w:tcPr>
          <w:p>
            <w:pPr>
              <w:pStyle w:val="TAC"/>
              <w:rPr>
                <w:lang w:eastAsia="en-US"/>
              </w:rPr>
            </w:pPr>
            <w:r>
              <w:rPr>
                <w:lang w:eastAsia="en-US"/>
              </w:rPr>
              <w:t xml:space="preserve">TBD + TT </w:t>
            </w:r>
          </w:p>
        </w:tc>
        <w:tc>
          <w:tcPr>
            <w:tcW w:w="989" w:type="dxa"/>
            <w:tcBorders>
              <w:top w:val="single" w:sz="6" w:space="0" w:color="000000"/>
              <w:left w:val="single" w:sz="6" w:space="0" w:color="000000"/>
              <w:bottom w:val="single" w:sz="6" w:space="0" w:color="000000"/>
              <w:right w:val="single" w:sz="6" w:space="0" w:color="000000"/>
            </w:tcBorders>
            <w:vAlign w:val="center"/>
          </w:tcPr>
          <w:p>
            <w:pPr>
              <w:pStyle w:val="TAC"/>
              <w:rPr>
                <w:rFonts w:cs="Arial"/>
              </w:rPr>
            </w:pPr>
            <w:r>
              <w:rPr>
                <w:rFonts w:ascii="Arial Unicode MS" w:hAnsi="Arial Unicode MS" w:cs="Arial Unicode MS" w:eastAsia="Arial Unicode MS"/>
                <w:lang w:eastAsia="en-US"/>
              </w:rPr>
              <w:t>－</w:t>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TAC"/>
              <w:rPr>
                <w:rFonts w:cs="Arial"/>
              </w:rPr>
            </w:pPr>
            <w:r>
              <w:rPr>
                <w:rFonts w:ascii="Arial Unicode MS" w:hAnsi="Arial Unicode MS" w:cs="Arial Unicode MS" w:eastAsia="Arial Unicode MS"/>
                <w:lang w:eastAsia="en-US"/>
              </w:rPr>
              <w:t>－</w:t>
            </w:r>
          </w:p>
        </w:tc>
        <w:tc>
          <w:tcPr>
            <w:tcW w:w="989" w:type="dxa"/>
            <w:tcBorders>
              <w:top w:val="single" w:sz="6" w:space="0" w:color="000000"/>
              <w:left w:val="single" w:sz="6" w:space="0" w:color="000000"/>
              <w:bottom w:val="single" w:sz="6" w:space="0" w:color="000000"/>
              <w:right w:val="single" w:sz="6" w:space="0" w:color="000000"/>
            </w:tcBorders>
            <w:vAlign w:val="center"/>
          </w:tcPr>
          <w:p>
            <w:pPr>
              <w:pStyle w:val="TAC"/>
              <w:rPr>
                <w:rFonts w:cs="Arial"/>
              </w:rPr>
            </w:pPr>
            <w:r>
              <w:rPr>
                <w:rFonts w:ascii="Arial Unicode MS" w:hAnsi="Arial Unicode MS" w:cs="Arial Unicode MS" w:eastAsia="Arial Unicode MS"/>
                <w:lang w:eastAsia="en-US"/>
              </w:rPr>
              <w:t>－</w:t>
            </w:r>
          </w:p>
        </w:tc>
        <w:tc>
          <w:tcPr>
            <w:tcW w:w="720"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r>
      <w:tr>
        <w:trPr>
          <w:trHeight w:val="215" w:hRule="atLeast"/>
        </w:trPr>
        <w:tc>
          <w:tcPr>
            <w:tcW w:w="1106"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f</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540" w:type="dxa"/>
            <w:tcBorders>
              <w:top w:val="single" w:sz="6" w:space="0" w:color="000000"/>
              <w:left w:val="single" w:sz="6" w:space="0" w:color="000000"/>
              <w:bottom w:val="single" w:sz="6" w:space="0" w:color="000000"/>
              <w:right w:val="single" w:sz="6" w:space="0" w:color="000000"/>
            </w:tcBorders>
            <w:vAlign w:val="center"/>
          </w:tcPr>
          <w:p>
            <w:pPr>
              <w:pStyle w:val="TAC"/>
              <w:rPr>
                <w:rFonts w:cs="Arial"/>
              </w:rPr>
            </w:pPr>
            <w:r>
              <w:rPr>
                <w:rFonts w:ascii="Arial Unicode MS" w:hAnsi="Arial Unicode MS" w:cs="Arial Unicode MS" w:eastAsia="Arial Unicode MS"/>
                <w:lang w:eastAsia="en-US"/>
              </w:rPr>
              <w:t>－</w:t>
            </w:r>
          </w:p>
        </w:tc>
        <w:tc>
          <w:tcPr>
            <w:tcW w:w="1079" w:type="dxa"/>
            <w:tcBorders>
              <w:top w:val="single" w:sz="6" w:space="0" w:color="000000"/>
              <w:left w:val="single" w:sz="6" w:space="0" w:color="000000"/>
              <w:bottom w:val="single" w:sz="6" w:space="0" w:color="000000"/>
              <w:right w:val="single" w:sz="4" w:space="0" w:color="000000"/>
            </w:tcBorders>
            <w:vAlign w:val="center"/>
          </w:tcPr>
          <w:p>
            <w:pPr>
              <w:pStyle w:val="TAC"/>
              <w:rPr>
                <w:lang w:eastAsia="en-US"/>
              </w:rPr>
            </w:pPr>
            <w:r>
              <w:rPr>
                <w:lang w:eastAsia="en-US"/>
              </w:rPr>
              <w:t>TBD + TT</w:t>
            </w:r>
          </w:p>
        </w:tc>
        <w:tc>
          <w:tcPr>
            <w:tcW w:w="989" w:type="dxa"/>
            <w:tcBorders>
              <w:top w:val="single" w:sz="6" w:space="0" w:color="000000"/>
              <w:left w:val="single" w:sz="4" w:space="0" w:color="000000"/>
              <w:bottom w:val="single" w:sz="6" w:space="0" w:color="000000"/>
              <w:right w:val="single" w:sz="6" w:space="0" w:color="000000"/>
            </w:tcBorders>
            <w:vAlign w:val="center"/>
          </w:tcPr>
          <w:p>
            <w:pPr>
              <w:pStyle w:val="TAC"/>
              <w:rPr>
                <w:lang w:eastAsia="en-US"/>
              </w:rPr>
            </w:pPr>
            <w:r>
              <w:rPr>
                <w:lang w:eastAsia="en-US"/>
              </w:rPr>
              <w:t xml:space="preserve">TBD + TT </w:t>
            </w:r>
          </w:p>
        </w:tc>
        <w:tc>
          <w:tcPr>
            <w:tcW w:w="989" w:type="dxa"/>
            <w:tcBorders>
              <w:top w:val="single" w:sz="6" w:space="0" w:color="000000"/>
              <w:left w:val="single" w:sz="6" w:space="0" w:color="000000"/>
              <w:bottom w:val="single" w:sz="6" w:space="0" w:color="000000"/>
              <w:right w:val="single" w:sz="6" w:space="0" w:color="000000"/>
            </w:tcBorders>
            <w:vAlign w:val="center"/>
          </w:tcPr>
          <w:p>
            <w:pPr>
              <w:pStyle w:val="TAC"/>
              <w:rPr>
                <w:rFonts w:cs="Arial"/>
              </w:rPr>
            </w:pPr>
            <w:r>
              <w:rPr>
                <w:rFonts w:ascii="Arial Unicode MS" w:hAnsi="Arial Unicode MS" w:cs="Arial Unicode MS" w:eastAsia="Arial Unicode MS"/>
                <w:lang w:eastAsia="en-US"/>
              </w:rPr>
              <w:t>－</w:t>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c>
          <w:tcPr>
            <w:tcW w:w="989" w:type="dxa"/>
            <w:tcBorders>
              <w:top w:val="single" w:sz="6" w:space="0" w:color="000000"/>
              <w:left w:val="single" w:sz="6" w:space="0" w:color="000000"/>
              <w:bottom w:val="single" w:sz="6" w:space="0" w:color="000000"/>
              <w:right w:val="single" w:sz="6" w:space="0" w:color="000000"/>
            </w:tcBorders>
            <w:vAlign w:val="center"/>
          </w:tcPr>
          <w:p>
            <w:pPr>
              <w:pStyle w:val="TAC"/>
              <w:rPr>
                <w:rFonts w:cs="Arial"/>
              </w:rPr>
            </w:pPr>
            <w:r>
              <w:rPr>
                <w:rFonts w:ascii="Arial Unicode MS" w:hAnsi="Arial Unicode MS" w:cs="Arial Unicode MS" w:eastAsia="Arial Unicode MS"/>
                <w:lang w:eastAsia="en-US"/>
              </w:rPr>
              <w:t>－</w:t>
            </w:r>
          </w:p>
        </w:tc>
        <w:tc>
          <w:tcPr>
            <w:tcW w:w="720" w:type="dxa"/>
            <w:tcBorders>
              <w:top w:val="single" w:sz="6" w:space="0" w:color="000000"/>
              <w:left w:val="single" w:sz="6" w:space="0" w:color="000000"/>
              <w:bottom w:val="single" w:sz="6" w:space="0" w:color="000000"/>
              <w:right w:val="single" w:sz="6" w:space="0" w:color="000000"/>
            </w:tcBorders>
            <w:vAlign w:val="center"/>
          </w:tcPr>
          <w:p>
            <w:pPr>
              <w:pStyle w:val="TAC"/>
              <w:rPr>
                <w:rFonts w:ascii="Arial Unicode MS" w:hAnsi="Arial Unicode MS" w:eastAsia="Arial Unicode MS" w:cs="Arial Unicode MS"/>
                <w:lang w:eastAsia="en-US"/>
              </w:rPr>
            </w:pPr>
            <w:r>
              <w:rPr>
                <w:rFonts w:ascii="Arial Unicode MS" w:hAnsi="Arial Unicode MS" w:cs="Arial Unicode MS" w:eastAsia="Arial Unicode MS"/>
                <w:lang w:eastAsia="en-US"/>
              </w:rPr>
              <w:t>－</w:t>
            </w:r>
          </w:p>
        </w:tc>
      </w:tr>
      <w:tr>
        <w:trPr>
          <w:trHeight w:val="215" w:hRule="atLeast"/>
        </w:trPr>
        <w:tc>
          <w:tcPr>
            <w:tcW w:w="8175" w:type="dxa"/>
            <w:gridSpan w:val="9"/>
            <w:tcBorders>
              <w:top w:val="single" w:sz="6" w:space="0" w:color="000000"/>
              <w:left w:val="single" w:sz="6" w:space="0" w:color="000000"/>
              <w:bottom w:val="single" w:sz="6" w:space="0" w:color="000000"/>
              <w:right w:val="single" w:sz="6" w:space="0" w:color="000000"/>
            </w:tcBorders>
            <w:vAlign w:val="center"/>
          </w:tcPr>
          <w:p>
            <w:pPr>
              <w:pStyle w:val="TAN"/>
              <w:rPr/>
            </w:pPr>
            <w:r>
              <w:rPr>
                <w:lang w:eastAsia="en-US"/>
              </w:rPr>
              <w:t>NOTE 1: Applicable for dual-mode GSM/UTRA LCR TDD.</w:t>
            </w:r>
          </w:p>
          <w:p>
            <w:pPr>
              <w:pStyle w:val="TAN"/>
              <w:rPr>
                <w:lang w:eastAsia="en-US"/>
              </w:rPr>
            </w:pPr>
            <w:r>
              <w:rPr>
                <w:lang w:eastAsia="en-US"/>
              </w:rPr>
              <w:t>NOTE 2: Applicable for USB plug-in devices.</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Heading4"/>
        <w:ind w:left="1418" w:hanging="1418"/>
        <w:rPr>
          <w:sz w:val="28"/>
          <w:szCs w:val="28"/>
          <w:lang w:eastAsia="zh-CN"/>
        </w:rPr>
      </w:pPr>
      <w:bookmarkStart w:id="157" w:name="__RefHeading___Toc68601093"/>
      <w:bookmarkEnd w:id="157"/>
      <w:r>
        <w:rPr>
          <w:sz w:val="28"/>
          <w:szCs w:val="28"/>
        </w:rPr>
        <w:t>6.</w:t>
      </w:r>
      <w:r>
        <w:rPr>
          <w:sz w:val="28"/>
          <w:szCs w:val="28"/>
          <w:lang w:eastAsia="zh-CN"/>
        </w:rPr>
        <w:t>2</w:t>
      </w:r>
      <w:r>
        <w:rPr>
          <w:sz w:val="28"/>
          <w:szCs w:val="28"/>
        </w:rPr>
        <w:t>.3</w:t>
        <w:tab/>
        <w:t>Total Radiated Power (TRP) for E-UTRA FDD LME</w:t>
      </w:r>
    </w:p>
    <w:p>
      <w:pPr>
        <w:pStyle w:val="EditorsNote"/>
        <w:rPr/>
      </w:pPr>
      <w:r>
        <w:rPr/>
        <w:t>Editor’s notes: This subclause is incomplete. The following items are missing or incomplete:</w:t>
      </w:r>
    </w:p>
    <w:p>
      <w:pPr>
        <w:pStyle w:val="EditorsNote"/>
        <w:rPr/>
      </w:pPr>
      <w:r>
        <w:rPr/>
        <w:t>- The requirements are not defined in RAN4 yet</w:t>
      </w:r>
    </w:p>
    <w:p>
      <w:pPr>
        <w:pStyle w:val="EditorsNote"/>
        <w:rPr/>
      </w:pPr>
      <w:r>
        <w:rPr/>
        <w:t>- Applicability</w:t>
      </w:r>
    </w:p>
    <w:p>
      <w:pPr>
        <w:pStyle w:val="EditorsNote"/>
        <w:rPr/>
      </w:pPr>
      <w:r>
        <w:rPr/>
        <w:t>- Procedure, reverberation chamber method to be determined</w:t>
      </w:r>
    </w:p>
    <w:p>
      <w:pPr>
        <w:pStyle w:val="EditorsNote"/>
        <w:rPr/>
      </w:pPr>
      <w:r>
        <w:rPr/>
        <w:t>- Test requirements are to be determined</w:t>
      </w:r>
    </w:p>
    <w:p>
      <w:pPr>
        <w:pStyle w:val="Heading4"/>
        <w:ind w:left="1418" w:hanging="1418"/>
        <w:rPr/>
      </w:pPr>
      <w:bookmarkStart w:id="158" w:name="__RefHeading___Toc68601094"/>
      <w:bookmarkEnd w:id="158"/>
      <w:r>
        <w:rPr/>
        <w:t>6.2.3.1</w:t>
      </w:r>
      <w:r>
        <w:rPr>
          <w:rFonts w:cs="Calibri" w:ascii="Calibri" w:hAnsi="Calibri"/>
          <w:sz w:val="22"/>
          <w:szCs w:val="22"/>
        </w:rPr>
        <w:tab/>
      </w:r>
      <w:r>
        <w:rPr/>
        <w:t>Definition and applicability</w:t>
      </w:r>
    </w:p>
    <w:p>
      <w:pPr>
        <w:pStyle w:val="Normal"/>
        <w:rPr/>
      </w:pPr>
      <w:r>
        <w:rPr/>
        <w:t>The Total Radiated Power (TRP) is a measure of how much power the antenna actually radiates, when non-idealities such as mismatch and losses in the antenna are taken into account. The TRP is defined as the integral of the power transmitted in different directions over the entire radiation sphere:</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m:rPr>
                  <m:lit/>
                  <m:nor/>
                </m:rPr>
                <w:rPr>
                  <w:rFonts w:ascii="Cambria Math" w:hAnsi="Cambria Math"/>
                </w:rPr>
                <m:t xml:space="preserve">TRP</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4</m:t>
              </m:r>
              <m:r>
                <w:rPr>
                  <w:rFonts w:ascii="Cambria Math" w:hAnsi="Cambria Math"/>
                </w:rPr>
                <m:t xml:space="preserve">π</m:t>
              </m:r>
            </m:den>
          </m:f>
          <m:nary>
            <m:naryPr>
              <m:chr m:val="∮"/>
              <m:subHide m:val="1"/>
              <m:supHide m:val="1"/>
            </m:naryPr>
            <m:sub/>
            <m:sup/>
            <m:e>
              <m:d>
                <m:dPr>
                  <m:begChr m:val="("/>
                  <m:endChr m:val=")"/>
                </m:dPr>
                <m:e>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e>
              </m:d>
            </m:e>
          </m:nary>
          <m:r>
            <w:rPr>
              <w:rFonts w:ascii="Cambria Math" w:hAnsi="Cambria Math"/>
            </w:rPr>
            <m:t xml:space="preserve">d</m:t>
          </m:r>
          <m:r>
            <w:rPr>
              <w:rFonts w:ascii="Cambria Math" w:hAnsi="Cambria Math"/>
            </w:rPr>
            <m:t xml:space="preserve">Ω</m:t>
          </m:r>
        </m:oMath>
      </m:oMathPara>
    </w:p>
    <w:p>
      <w:pPr>
        <w:pStyle w:val="Normal"/>
        <w:rPr/>
      </w:pPr>
      <w:r>
        <w:rPr/>
        <w:t xml:space="preserve">Using </w:t>
      </w:r>
      <w:r>
        <w:rPr/>
      </w:r>
      <m:oMath xmlns:m="http://schemas.openxmlformats.org/officeDocument/2006/math">
        <m:r>
          <w:rPr>
            <w:rFonts w:ascii="Cambria Math" w:hAnsi="Cambria Math"/>
          </w:rPr>
          <m:t xml:space="preserve">ψ</m:t>
        </m:r>
      </m:oMath>
      <w:r>
        <w:rPr/>
        <w:t xml:space="preserve"> to denote either </w:t>
      </w:r>
      <w:r>
        <w:rPr/>
      </w:r>
      <m:oMath xmlns:m="http://schemas.openxmlformats.org/officeDocument/2006/math">
        <m:r>
          <w:rPr>
            <w:rFonts w:ascii="Cambria Math" w:hAnsi="Cambria Math"/>
          </w:rPr>
          <m:t xml:space="preserve">θ</m:t>
        </m:r>
      </m:oMath>
      <w:r>
        <w:rPr/>
        <w:t xml:space="preserve"> or </w:t>
      </w:r>
      <w:r>
        <w:rPr/>
      </w:r>
      <m:oMath xmlns:m="http://schemas.openxmlformats.org/officeDocument/2006/math">
        <m:r>
          <w:rPr>
            <w:rFonts w:ascii="Cambria Math" w:hAnsi="Cambria Math"/>
          </w:rPr>
          <m:t xml:space="preserve">ϕ</m:t>
        </m:r>
      </m:oMath>
      <w:r>
        <w:rPr/>
        <w:t xml:space="preserve">, </w:t>
      </w:r>
      <w:r>
        <w:rPr/>
      </w:r>
      <m:oMath xmlns:m="http://schemas.openxmlformats.org/officeDocument/2006/math">
        <m:sSub>
          <m:e>
            <m:r>
              <w:rPr>
                <w:rFonts w:ascii="Cambria Math" w:hAnsi="Cambria Math"/>
              </w:rPr>
              <m:t xml:space="preserve">G</m:t>
            </m:r>
          </m:e>
          <m:sub>
            <m:r>
              <w:rPr>
                <w:rFonts w:ascii="Cambria Math" w:hAnsi="Cambria Math"/>
              </w:rPr>
              <m:t xml:space="preserve">ψ</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oMath>
      <w:r>
        <w:rPr/>
        <w:t xml:space="preserve">is the </w:t>
      </w:r>
      <w:r>
        <w:rPr/>
      </w:r>
      <m:oMath xmlns:m="http://schemas.openxmlformats.org/officeDocument/2006/math">
        <m:r>
          <w:rPr>
            <w:rFonts w:ascii="Cambria Math" w:hAnsi="Cambria Math"/>
          </w:rPr>
          <m:t xml:space="preserve">ψ</m:t>
        </m:r>
      </m:oMath>
      <w:r>
        <w:rPr/>
        <w:t xml:space="preserve">-polarization component of the gain pattern for the handset antenna measured at the frequency </w:t>
      </w:r>
      <w:r>
        <w:rPr/>
      </w:r>
      <m:oMath xmlns:m="http://schemas.openxmlformats.org/officeDocument/2006/math">
        <m:r>
          <w:rPr>
            <w:rFonts w:ascii="Cambria Math" w:hAnsi="Cambria Math"/>
          </w:rPr>
          <m:t xml:space="preserve">f</m:t>
        </m:r>
      </m:oMath>
      <w:r>
        <w:rPr/>
        <w:t xml:space="preserve">, where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oMath>
      <w:r>
        <w:rPr/>
        <w:t xml:space="preserve">is the transmit power level of the handset so that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ψ</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oMath>
      <w:r>
        <w:rPr/>
        <w:t xml:space="preserve">is the actually transmitted power-level, also known as EIRP, in the </w:t>
      </w:r>
      <w:r>
        <w:rPr/>
      </w:r>
      <m:oMath xmlns:m="http://schemas.openxmlformats.org/officeDocument/2006/math">
        <m:r>
          <w:rPr>
            <w:rFonts w:ascii="Cambria Math" w:hAnsi="Cambria Math"/>
          </w:rPr>
          <m:t xml:space="preserve">ψ</m:t>
        </m:r>
      </m:oMath>
      <w:r>
        <w:rPr/>
        <w:t xml:space="preserve">-polarization and in the direction </w:t>
      </w:r>
      <w:r>
        <w:rPr/>
      </w:r>
      <m:oMath xmlns:m="http://schemas.openxmlformats.org/officeDocument/2006/math">
        <m:r>
          <w:rPr>
            <w:rFonts w:ascii="Cambria Math" w:hAnsi="Cambria Math"/>
          </w:rPr>
          <m:t xml:space="preserve">Ω</m:t>
        </m:r>
      </m:oMath>
      <w:r>
        <w:rPr/>
        <w:t xml:space="preserve"> for frequency </w:t>
      </w:r>
      <w:r>
        <w:rPr/>
      </w:r>
      <m:oMath xmlns:m="http://schemas.openxmlformats.org/officeDocument/2006/math">
        <m:r>
          <w:rPr>
            <w:rFonts w:ascii="Cambria Math" w:hAnsi="Cambria Math"/>
          </w:rPr>
          <m:t xml:space="preserve">f</m:t>
        </m:r>
      </m:oMath>
      <w:r>
        <w:rPr/>
        <w:t>.</w:t>
      </w:r>
    </w:p>
    <w:p>
      <w:pPr>
        <w:pStyle w:val="Normal"/>
        <w:rPr/>
      </w:pPr>
      <w:r>
        <w:rPr/>
        <w:t>The above equation may be written in "gain" form, that is, the TRP given by P</w:t>
      </w:r>
      <w:r>
        <w:rPr>
          <w:vertAlign w:val="subscript"/>
        </w:rPr>
        <w:t>TRP</w:t>
      </w:r>
      <w:r>
        <w:rPr/>
        <w:t xml:space="preserve"> is normalized to the transmitted power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oMath>
      <w:r>
        <w:rPr/>
        <w:t>. This is the total radiation efficiency, which can also be denoted as Total Radiated Power Gain, TRPG,</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Γ</m:t>
              </m:r>
            </m:e>
            <m:sub>
              <m:r>
                <m:rPr>
                  <m:lit/>
                  <m:nor/>
                </m:rPr>
                <w:rPr>
                  <w:rFonts w:ascii="Cambria Math" w:hAnsi="Cambria Math"/>
                </w:rPr>
                <m:t xml:space="preserve">TRP</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4</m:t>
              </m:r>
              <m:r>
                <w:rPr>
                  <w:rFonts w:ascii="Cambria Math" w:hAnsi="Cambria Math"/>
                </w:rPr>
                <m:t xml:space="preserve">π</m:t>
              </m:r>
            </m:den>
          </m:f>
          <m:nary>
            <m:naryPr>
              <m:chr m:val="∮"/>
              <m:subHide m:val="1"/>
              <m:supHide m:val="1"/>
            </m:naryPr>
            <m:sub/>
            <m:sup/>
            <m:e>
              <m:d>
                <m:dPr>
                  <m:begChr m:val="("/>
                  <m:endChr m:val=")"/>
                </m:dPr>
                <m:e>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e>
              </m:d>
            </m:e>
          </m:nary>
          <m:r>
            <w:rPr>
              <w:rFonts w:ascii="Cambria Math" w:hAnsi="Cambria Math"/>
            </w:rPr>
            <m:t xml:space="preserve">d</m:t>
          </m:r>
          <m:r>
            <w:rPr>
              <w:rFonts w:ascii="Cambria Math" w:hAnsi="Cambria Math"/>
            </w:rPr>
            <m:t xml:space="preserve">Ω</m:t>
          </m:r>
        </m:oMath>
      </m:oMathPara>
    </w:p>
    <w:p>
      <w:pPr>
        <w:pStyle w:val="Normal"/>
        <w:rPr/>
      </w:pPr>
      <w:r>
        <w:rPr/>
        <w:t xml:space="preserve">In practice discrete samples of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ψ</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oMath>
      <w:r>
        <w:rPr/>
        <w:t xml:space="preserve"> are measured and used to approximate the integral so that the TRP is computed as</w:t>
      </w:r>
    </w:p>
    <w:p>
      <w:pPr>
        <w:pStyle w:val="EQ"/>
        <w:tabs>
          <w:tab w:val="clear" w:pos="9072"/>
          <w:tab w:val="center" w:pos="4536" w:leader="none"/>
          <w:tab w:val="right" w:pos="7938" w:leader="none"/>
        </w:tabs>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m:rPr>
                  <m:lit/>
                  <m:nor/>
                </m:rPr>
                <w:rPr>
                  <w:rFonts w:ascii="Cambria Math" w:hAnsi="Cambria Math"/>
                </w:rPr>
                <m:t xml:space="preserve">TRP</m:t>
              </m:r>
            </m:sub>
          </m:sSub>
          <m:r>
            <w:rPr>
              <w:rFonts w:ascii="Cambria Math" w:hAnsi="Cambria Math"/>
            </w:rPr>
            <m:t xml:space="preserve">≈</m:t>
          </m:r>
          <m:f>
            <m:num>
              <m:sSub>
                <m:e>
                  <m:r>
                    <w:rPr>
                      <w:rFonts w:ascii="Cambria Math" w:hAnsi="Cambria Math"/>
                    </w:rPr>
                    <m:t xml:space="preserve">Δ</m:t>
                  </m:r>
                </m:e>
                <m:sub>
                  <m:r>
                    <w:rPr>
                      <w:rFonts w:ascii="Cambria Math" w:hAnsi="Cambria Math"/>
                    </w:rPr>
                    <m:t xml:space="preserve">θ</m:t>
                  </m:r>
                </m:sub>
              </m:sSub>
              <m:sSub>
                <m:e>
                  <m:r>
                    <w:rPr>
                      <w:rFonts w:ascii="Cambria Math" w:hAnsi="Cambria Math"/>
                    </w:rPr>
                    <m:t xml:space="preserve">Δ</m:t>
                  </m:r>
                </m:e>
                <m:sub>
                  <m:r>
                    <w:rPr>
                      <w:rFonts w:ascii="Cambria Math" w:hAnsi="Cambria Math"/>
                    </w:rPr>
                    <m:t xml:space="preserve">ϕ</m:t>
                  </m:r>
                </m:sub>
              </m:sSub>
            </m:num>
            <m:den>
              <m:r>
                <w:rPr>
                  <w:rFonts w:ascii="Cambria Math" w:hAnsi="Cambria Math"/>
                </w:rPr>
                <m:t xml:space="preserve">4</m:t>
              </m:r>
              <m:r>
                <w:rPr>
                  <w:rFonts w:ascii="Cambria Math" w:hAnsi="Cambria Math"/>
                </w:rPr>
                <m:t xml:space="preserve">π</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rPr/>
      </w:pPr>
      <w:r>
        <w:rPr/>
        <w:t xml:space="preserve">Or, by using the relation </w:t>
      </w:r>
      <w:r>
        <w:rPr/>
      </w:r>
      <m:oMath xmlns:m="http://schemas.openxmlformats.org/officeDocument/2006/math">
        <m:r>
          <m:rPr>
            <m:lit/>
            <m:nor/>
          </m:rPr>
          <w:rPr>
            <w:rFonts w:ascii="Cambria Math" w:hAnsi="Cambria Math"/>
          </w:rPr>
          <m:t xml:space="preserve">EIRP</m:t>
        </m:r>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tx</m:t>
            </m:r>
          </m:sub>
        </m:sSub>
        <m:r>
          <w:rPr>
            <w:rFonts w:ascii="Cambria Math" w:hAnsi="Cambria Math"/>
          </w:rPr>
          <m:t xml:space="preserve">G</m:t>
        </m:r>
      </m:oMath>
      <w:r>
        <w:rPr/>
        <w:t>:</w:t>
      </w:r>
    </w:p>
    <w:p>
      <w:pPr>
        <w:pStyle w:val="EQ"/>
        <w:tabs>
          <w:tab w:val="clear" w:pos="9072"/>
          <w:tab w:val="center" w:pos="4536" w:leader="none"/>
          <w:tab w:val="right" w:pos="7938" w:leader="none"/>
        </w:tabs>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m:rPr>
                  <m:lit/>
                  <m:nor/>
                </m:rPr>
                <w:rPr>
                  <w:rFonts w:ascii="Cambria Math" w:hAnsi="Cambria Math"/>
                </w:rPr>
                <m:t xml:space="preserve">TRP</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f>
            <m:num>
              <m:sSub>
                <m:e>
                  <m:r>
                    <w:rPr>
                      <w:rFonts w:ascii="Cambria Math" w:hAnsi="Cambria Math"/>
                    </w:rPr>
                    <m:t xml:space="preserve">Δ</m:t>
                  </m:r>
                </m:e>
                <m:sub>
                  <m:r>
                    <w:rPr>
                      <w:rFonts w:ascii="Cambria Math" w:hAnsi="Cambria Math"/>
                    </w:rPr>
                    <m:t xml:space="preserve">θ</m:t>
                  </m:r>
                </m:sub>
              </m:sSub>
              <m:sSub>
                <m:e>
                  <m:r>
                    <w:rPr>
                      <w:rFonts w:ascii="Cambria Math" w:hAnsi="Cambria Math"/>
                    </w:rPr>
                    <m:t xml:space="preserve">Δ</m:t>
                  </m:r>
                </m:e>
                <m:sub>
                  <m:r>
                    <w:rPr>
                      <w:rFonts w:ascii="Cambria Math" w:hAnsi="Cambria Math"/>
                    </w:rPr>
                    <m:t xml:space="preserve">ϕ</m:t>
                  </m:r>
                </m:sub>
              </m:sSub>
            </m:num>
            <m:den>
              <m:r>
                <w:rPr>
                  <w:rFonts w:ascii="Cambria Math" w:hAnsi="Cambria Math"/>
                </w:rPr>
                <m:t xml:space="preserve">4</m:t>
              </m:r>
              <m:r>
                <w:rPr>
                  <w:rFonts w:ascii="Cambria Math" w:hAnsi="Cambria Math"/>
                </w:rPr>
                <m:t xml:space="preserve">π</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m:rPr>
                              <m:lit/>
                              <m:nor/>
                            </m:rPr>
                            <w:rPr>
                              <w:rFonts w:ascii="Cambria Math" w:hAnsi="Cambria Math"/>
                            </w:rPr>
                            <m:t xml:space="preserve">EIRP</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EIRP</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rPr/>
      </w:pPr>
      <w:r>
        <w:rPr/>
        <w:t>In gain form the TRP can be expressed as:</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Γ</m:t>
              </m:r>
            </m:e>
            <m:sub>
              <m:r>
                <m:rPr>
                  <m:lit/>
                  <m:nor/>
                </m:rPr>
                <w:rPr>
                  <w:rFonts w:ascii="Cambria Math" w:hAnsi="Cambria Math"/>
                </w:rPr>
                <m:t xml:space="preserve">TRP</m:t>
              </m:r>
            </m:sub>
          </m:sSub>
          <m:r>
            <w:rPr>
              <w:rFonts w:ascii="Cambria Math" w:hAnsi="Cambria Math"/>
            </w:rPr>
            <m:t xml:space="preserve">≈</m:t>
          </m:r>
          <m:f>
            <m:num>
              <m:sSub>
                <m:e>
                  <m:r>
                    <w:rPr>
                      <w:rFonts w:ascii="Cambria Math" w:hAnsi="Cambria Math"/>
                    </w:rPr>
                    <m:t xml:space="preserve">Δ</m:t>
                  </m:r>
                </m:e>
                <m:sub>
                  <m:r>
                    <w:rPr>
                      <w:rFonts w:ascii="Cambria Math" w:hAnsi="Cambria Math"/>
                    </w:rPr>
                    <m:t xml:space="preserve">θ</m:t>
                  </m:r>
                </m:sub>
              </m:sSub>
              <m:sSub>
                <m:e>
                  <m:r>
                    <w:rPr>
                      <w:rFonts w:ascii="Cambria Math" w:hAnsi="Cambria Math"/>
                    </w:rPr>
                    <m:t xml:space="preserve">Δ</m:t>
                  </m:r>
                </m:e>
                <m:sub>
                  <m:r>
                    <w:rPr>
                      <w:rFonts w:ascii="Cambria Math" w:hAnsi="Cambria Math"/>
                    </w:rPr>
                    <m:t xml:space="preserve">ϕ</m:t>
                  </m:r>
                </m:sub>
              </m:sSub>
            </m:num>
            <m:den>
              <m:r>
                <w:rPr>
                  <w:rFonts w:ascii="Cambria Math" w:hAnsi="Cambria Math"/>
                </w:rPr>
                <m:t xml:space="preserve">4</m:t>
              </m:r>
              <m:r>
                <w:rPr>
                  <w:rFonts w:ascii="Cambria Math" w:hAnsi="Cambria Math"/>
                </w:rPr>
                <m:t xml:space="preserve">π</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rPr/>
      </w:pPr>
      <w:r>
        <w:rPr/>
        <w:t xml:space="preserve">In these formulas </w:t>
      </w:r>
      <w:r>
        <w:rPr/>
      </w:r>
      <m:oMath xmlns:m="http://schemas.openxmlformats.org/officeDocument/2006/math">
        <m:sSub>
          <m:e>
            <m:r>
              <w:rPr>
                <w:rFonts w:ascii="Cambria Math" w:hAnsi="Cambria Math"/>
              </w:rPr>
              <m:t xml:space="preserve">Δ</m:t>
            </m:r>
          </m:e>
          <m:sub>
            <m:r>
              <w:rPr>
                <w:rFonts w:ascii="Cambria Math" w:hAnsi="Cambria Math"/>
              </w:rPr>
              <m:t xml:space="preserve">θ</m:t>
            </m:r>
          </m:sub>
        </m:sSub>
        <m:r>
          <w:rPr>
            <w:rFonts w:ascii="Cambria Math" w:hAnsi="Cambria Math"/>
          </w:rPr>
          <m:t xml:space="preserve">=</m:t>
        </m:r>
        <m:f>
          <m:fPr>
            <m:type m:val="lin"/>
          </m:fPr>
          <m:num>
            <m:r>
              <w:rPr>
                <w:rFonts w:ascii="Cambria Math" w:hAnsi="Cambria Math"/>
              </w:rPr>
              <m:t xml:space="preserve">π</m:t>
            </m:r>
          </m:num>
          <m:den>
            <m:r>
              <w:rPr>
                <w:rFonts w:ascii="Cambria Math" w:hAnsi="Cambria Math"/>
              </w:rPr>
              <m:t xml:space="preserve">(</m:t>
            </m:r>
          </m:den>
        </m:f>
        <m:r>
          <w:rPr>
            <w:rFonts w:ascii="Cambria Math" w:hAnsi="Cambria Math"/>
          </w:rPr>
          <m:t xml:space="preserve">N</m:t>
        </m:r>
        <m:r>
          <w:rPr>
            <w:rFonts w:ascii="Cambria Math" w:hAnsi="Cambria Math"/>
          </w:rPr>
          <m:t xml:space="preserve">)</m:t>
        </m:r>
      </m:oMath>
      <w:r>
        <w:rPr/>
        <w:t xml:space="preserve"> and </w:t>
      </w:r>
      <w:r>
        <w:rPr/>
      </w:r>
      <m:oMath xmlns:m="http://schemas.openxmlformats.org/officeDocument/2006/math">
        <m:sSub>
          <m:e>
            <m:r>
              <w:rPr>
                <w:rFonts w:ascii="Cambria Math" w:hAnsi="Cambria Math"/>
              </w:rPr>
              <m:t xml:space="preserve">Δ</m:t>
            </m:r>
          </m:e>
          <m:sub>
            <m:r>
              <w:rPr>
                <w:rFonts w:ascii="Cambria Math" w:hAnsi="Cambria Math"/>
              </w:rPr>
              <m:t xml:space="preserve">ϕ</m:t>
            </m:r>
          </m:sub>
        </m:sSub>
        <m:r>
          <w:rPr>
            <w:rFonts w:ascii="Cambria Math" w:hAnsi="Cambria Math"/>
          </w:rPr>
          <m:t xml:space="preserve">=</m:t>
        </m:r>
        <m:r>
          <w:rPr>
            <w:rFonts w:ascii="Cambria Math" w:hAnsi="Cambria Math"/>
          </w:rPr>
          <m:t xml:space="preserve">2</m:t>
        </m:r>
        <m:f>
          <m:fPr>
            <m:type m:val="lin"/>
          </m:fPr>
          <m:num>
            <m:r>
              <w:rPr>
                <w:rFonts w:ascii="Cambria Math" w:hAnsi="Cambria Math"/>
              </w:rPr>
              <m:t xml:space="preserve">π</m:t>
            </m:r>
          </m:num>
          <m:den>
            <m:r>
              <w:rPr>
                <w:rFonts w:ascii="Cambria Math" w:hAnsi="Cambria Math"/>
              </w:rPr>
              <m:t xml:space="preserve">M</m:t>
            </m:r>
          </m:den>
        </m:f>
      </m:oMath>
      <w:r>
        <w:rPr/>
        <w:t xml:space="preserve"> are the sampling intervals for the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-angles, respectively, and the number of samples in the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-angles are given by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respectively. The sampling points of the sphere are given by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nΔ</m:t>
            </m:r>
          </m:e>
          <m:sub>
            <m:r>
              <w:rPr>
                <w:rFonts w:ascii="Cambria Math" w:hAnsi="Cambria Math"/>
              </w:rPr>
              <m:t xml:space="preserve">θ</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sSub>
          <m:e>
            <m:r>
              <w:rPr>
                <w:rFonts w:ascii="Cambria Math" w:hAnsi="Cambria Math"/>
              </w:rPr>
              <m:t xml:space="preserve">mΔ</m:t>
            </m:r>
          </m:e>
          <m:sub>
            <m:r>
              <w:rPr>
                <w:rFonts w:ascii="Cambria Math" w:hAnsi="Cambria Math"/>
              </w:rPr>
              <m:t xml:space="preserve">ϕ</m:t>
            </m:r>
          </m:sub>
        </m:sSub>
      </m:oMath>
      <w:r>
        <w:rPr/>
        <w:t xml:space="preserve">. The sampling intervals are discussed further in Section 4.4. </w:t>
      </w:r>
    </w:p>
    <w:p>
      <w:pPr>
        <w:pStyle w:val="Normal"/>
        <w:rPr/>
      </w:pPr>
      <w:r>
        <w:rPr/>
        <w:t>When measuring power radiated by active devices, expressing the data in terms of EIRP is more appropriate. The upper form of the TRP formulas (which includes EIRP terms) will be used in the data processing.</w:t>
      </w:r>
    </w:p>
    <w:p>
      <w:pPr>
        <w:pStyle w:val="Normal"/>
        <w:rPr/>
      </w:pPr>
      <w:r>
        <w:rPr/>
        <w:t>[Applicability is TBD]</w:t>
      </w:r>
    </w:p>
    <w:p>
      <w:pPr>
        <w:pStyle w:val="Heading4"/>
        <w:ind w:left="1418" w:hanging="1418"/>
        <w:rPr/>
      </w:pPr>
      <w:bookmarkStart w:id="159" w:name="__RefHeading___Toc68601095"/>
      <w:bookmarkEnd w:id="159"/>
      <w:r>
        <w:rPr/>
        <w:t>6.2.3.2</w:t>
      </w:r>
      <w:r>
        <w:rPr>
          <w:rFonts w:cs="Calibri" w:ascii="Calibri" w:hAnsi="Calibri"/>
          <w:sz w:val="22"/>
          <w:szCs w:val="22"/>
        </w:rPr>
        <w:tab/>
      </w:r>
      <w:r>
        <w:rPr/>
        <w:t>Minimum Requirements</w:t>
      </w:r>
    </w:p>
    <w:p>
      <w:pPr>
        <w:pStyle w:val="Normal"/>
        <w:jc w:val="both"/>
        <w:rPr/>
      </w:pPr>
      <w:r>
        <w:rPr/>
        <w:t>The average TRP of low, mid and high channel shall be higher than minimum performance requirements for roaming bands shown in Table 6.2.3.2-1. The averaging shall be done in linear scale for the TRP results.</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num>
                <m:den>
                  <m:r>
                    <w:rPr>
                      <w:rFonts w:ascii="Cambria Math" w:hAnsi="Cambria Math"/>
                    </w:rPr>
                    <m:t xml:space="preserve">3</m:t>
                  </m:r>
                </m:den>
              </m:f>
            </m:e>
          </m:d>
        </m:oMath>
      </m:oMathPara>
    </w:p>
    <w:p>
      <w:pPr>
        <w:pStyle w:val="Normal"/>
        <w:rPr/>
      </w:pPr>
      <w:r>
        <w:rPr/>
        <w:t>In addition the minimum TRP of each measured channel shall be higher than minimum performance requirements shown in the columns “Min”.</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m:rPr>
                  <m:lit/>
                  <m:nor/>
                </m:rPr>
                <w:rPr>
                  <w:rFonts w:ascii="Cambria Math" w:hAnsi="Cambria Math"/>
                </w:rPr>
                <m:t xml:space="preserve">min</m:t>
              </m:r>
              <m:d>
                <m:dPr>
                  <m:begChr m:val="("/>
                  <m:endChr m:val=")"/>
                </m:dPr>
                <m:e>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e>
              </m:d>
            </m:e>
          </m:d>
        </m:oMath>
      </m:oMathPara>
    </w:p>
    <w:p>
      <w:pPr>
        <w:pStyle w:val="TH"/>
        <w:rPr/>
      </w:pPr>
      <w:r>
        <w:rPr/>
        <w:t>Table 6.2.3.2-1: TRP minimum performance requirement for E-UTRA FDD using LME</w:t>
      </w:r>
    </w:p>
    <w:p>
      <w:pPr>
        <w:pStyle w:val="Normal"/>
        <w:rPr>
          <w:b/>
          <w:b/>
        </w:rPr>
      </w:pPr>
      <w:r>
        <w:rPr/>
        <w:t>TBD</w:t>
      </w:r>
    </w:p>
    <w:p>
      <w:pPr>
        <w:pStyle w:val="Normal"/>
        <w:rPr>
          <w:b/>
          <w:b/>
        </w:rPr>
      </w:pPr>
      <w:r>
        <w:rPr>
          <w:b/>
        </w:rPr>
      </w:r>
    </w:p>
    <w:p>
      <w:pPr>
        <w:pStyle w:val="Normal"/>
        <w:rPr/>
      </w:pPr>
      <w:r>
        <w:rPr/>
        <w:t>The normative reference for this clause is TS37.144 [12] Subclause 6.2.3.</w:t>
      </w:r>
    </w:p>
    <w:p>
      <w:pPr>
        <w:pStyle w:val="Heading4"/>
        <w:ind w:left="1418" w:hanging="1418"/>
        <w:rPr/>
      </w:pPr>
      <w:bookmarkStart w:id="160" w:name="__RefHeading___Toc68601096"/>
      <w:bookmarkEnd w:id="160"/>
      <w:r>
        <w:rPr/>
        <w:t>6.2.3.3</w:t>
      </w:r>
      <w:r>
        <w:rPr>
          <w:rFonts w:cs="Calibri" w:ascii="Calibri" w:hAnsi="Calibri"/>
          <w:sz w:val="22"/>
          <w:szCs w:val="22"/>
        </w:rPr>
        <w:tab/>
      </w:r>
      <w:r>
        <w:rPr/>
        <w:t>Test purpose</w:t>
      </w:r>
    </w:p>
    <w:p>
      <w:pPr>
        <w:pStyle w:val="Normal"/>
        <w:rPr/>
      </w:pPr>
      <w:r>
        <w:rPr/>
        <w:t xml:space="preserve">The purpose of this test is to verify that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 xml:space="preserve">of the UE is not below specified values. A lower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decrease the coverage area.</w:t>
      </w:r>
    </w:p>
    <w:p>
      <w:pPr>
        <w:pStyle w:val="Heading4"/>
        <w:ind w:left="1418" w:hanging="1418"/>
        <w:rPr/>
      </w:pPr>
      <w:bookmarkStart w:id="161" w:name="__RefHeading___Toc68601097"/>
      <w:bookmarkEnd w:id="161"/>
      <w:r>
        <w:rPr/>
        <w:t>6.2.3.4</w:t>
      </w:r>
      <w:r>
        <w:rPr>
          <w:rFonts w:cs="Calibri" w:ascii="Calibri" w:hAnsi="Calibri"/>
          <w:sz w:val="22"/>
          <w:szCs w:val="22"/>
        </w:rPr>
        <w:tab/>
      </w:r>
      <w:r>
        <w:rPr/>
        <w:t>Method of test</w:t>
      </w:r>
    </w:p>
    <w:p>
      <w:pPr>
        <w:pStyle w:val="Heading5"/>
        <w:ind w:left="1701" w:hanging="1701"/>
        <w:rPr/>
      </w:pPr>
      <w:bookmarkStart w:id="162" w:name="__RefHeading___Toc68601098"/>
      <w:bookmarkEnd w:id="162"/>
      <w:r>
        <w:rPr/>
        <w:t>6.2.3.4.1</w:t>
      </w:r>
      <w:r>
        <w:rPr>
          <w:rFonts w:cs="Calibri" w:ascii="Calibri" w:hAnsi="Calibri"/>
          <w:szCs w:val="22"/>
        </w:rPr>
        <w:tab/>
      </w:r>
      <w:r>
        <w:rPr/>
        <w:t>Initial conditions</w:t>
      </w:r>
    </w:p>
    <w:p>
      <w:pPr>
        <w:pStyle w:val="Normal"/>
        <w:rPr/>
      </w:pPr>
      <w:r>
        <w:rPr/>
        <w:t xml:space="preserve">A radio communications tester or a corresponding device is used as a NB simulator to setup calls to the DUT. The NB/BS simulator may also measure the radiated power samples. Alternatively, a measurement receiver or spectrum analyzer may be used for that purpose. </w:t>
      </w:r>
    </w:p>
    <w:p>
      <w:pPr>
        <w:pStyle w:val="Normal"/>
        <w:rPr/>
      </w:pPr>
      <w:r>
        <w:rPr/>
        <w:t>The maximum output power for different UE power classes are defined in 3GPP TS 36.521-1 [11] Subclause 6.2.2 for any transmission bandwidth within the channel bandwidth. Also, care should be taken that the noise floor of the measurement receiver is not disturbing the power measurement.</w:t>
      </w:r>
    </w:p>
    <w:p>
      <w:pPr>
        <w:pStyle w:val="Normal"/>
        <w:rPr/>
      </w:pPr>
      <w:r>
        <w:rPr/>
        <w:t>Chamber environment constraints and coordinate system shall be the same as described in Subclause A.3.</w:t>
      </w:r>
    </w:p>
    <w:p>
      <w:pPr>
        <w:pStyle w:val="Normal"/>
        <w:rPr/>
      </w:pPr>
      <w:r>
        <w:rPr/>
        <w:t>Phantom Specifications shall be the same as described in Subclause A.2.3. Parameters required for laptop ground plane phantom are specified in Annex A.2.3.</w:t>
      </w:r>
    </w:p>
    <w:p>
      <w:pPr>
        <w:pStyle w:val="Normal"/>
        <w:rPr/>
      </w:pPr>
      <w:r>
        <w:rPr/>
        <w:t>Test environment: normal; see TS36.508 [10] Subclause 4.1.1.</w:t>
      </w:r>
    </w:p>
    <w:p>
      <w:pPr>
        <w:pStyle w:val="Normal"/>
        <w:rPr/>
      </w:pPr>
      <w:r>
        <w:rPr/>
        <w:t>Frequencies to be tested: low range, mid range, high range; see Table 5.3-1.</w:t>
      </w:r>
    </w:p>
    <w:p>
      <w:pPr>
        <w:pStyle w:val="Normal"/>
        <w:rPr/>
      </w:pPr>
      <w:r>
        <w:rPr/>
        <w:t>Positioning Requirements shall be the same as described in Subclause 4.3.</w:t>
      </w:r>
    </w:p>
    <w:p>
      <w:pPr>
        <w:pStyle w:val="B1"/>
        <w:rPr/>
      </w:pPr>
      <w:r>
        <w:rPr/>
        <w:t>1)</w:t>
        <w:tab/>
        <w:t>Position the UE according to the DUT positioning on laptop ground plane phantom specified in Subclause 4.3.2.</w:t>
      </w:r>
    </w:p>
    <w:p>
      <w:pPr>
        <w:pStyle w:val="B1"/>
        <w:rPr/>
      </w:pPr>
      <w:r>
        <w:rPr/>
        <w:t>2)</w:t>
        <w:tab/>
        <w:t>Power on the UE.</w:t>
      </w:r>
    </w:p>
    <w:p>
      <w:pPr>
        <w:pStyle w:val="B1"/>
        <w:rPr/>
      </w:pPr>
      <w:r>
        <w:rPr/>
        <w:t>3)</w:t>
        <w:tab/>
        <w:t>Set the initial conditions as per Subclause 6.2.2 of 3GPP TS 36.521-1 [11], with the following exception: set the carrier frequency, channel bandwidth, RB length and RB location as per Table 5.3-1 for FDD mode.</w:t>
      </w:r>
    </w:p>
    <w:p>
      <w:pPr>
        <w:pStyle w:val="Heading5"/>
        <w:ind w:left="1701" w:hanging="1701"/>
        <w:rPr/>
      </w:pPr>
      <w:bookmarkStart w:id="163" w:name="__RefHeading___Toc68601099"/>
      <w:bookmarkEnd w:id="163"/>
      <w:r>
        <w:rPr/>
        <w:t>6.2.3.4.2</w:t>
      </w:r>
      <w:r>
        <w:rPr>
          <w:rFonts w:cs="Calibri" w:ascii="Calibri" w:hAnsi="Calibri"/>
          <w:szCs w:val="22"/>
        </w:rPr>
        <w:tab/>
      </w:r>
      <w:r>
        <w:rPr/>
        <w:t>Procedure</w:t>
      </w:r>
    </w:p>
    <w:p>
      <w:pPr>
        <w:pStyle w:val="B1"/>
        <w:rPr/>
      </w:pPr>
      <w:r>
        <w:rPr/>
        <w:t>1)</w:t>
        <w:tab/>
        <w:t>Follow Steps 1 and 2 in section 6.2.2.4.2 of 3GPP TS 36.521-1 [11] and ensure that the DUT transmits with its maximum power.</w:t>
      </w:r>
    </w:p>
    <w:p>
      <w:pPr>
        <w:pStyle w:val="B1"/>
        <w:rPr/>
      </w:pPr>
      <w:r>
        <w:rPr/>
        <w:t>2)</w:t>
        <w:tab/>
        <w:t>For the anechoic chamber based methodologies, measure the spherical effective isotropic radiated power (EIRP) pattern following the sampling grid specified in Subclause 4.4. Calculate the TRP using the EIRP pattern data as per Subclause 6.2.3.1.</w:t>
      </w:r>
    </w:p>
    <w:p>
      <w:pPr>
        <w:pStyle w:val="B1"/>
        <w:rPr/>
      </w:pPr>
      <w:r>
        <w:rPr/>
        <w:t>3)</w:t>
        <w:tab/>
        <w:t>Repeat the measurement of the DUT for low, mid and high channels.</w:t>
      </w:r>
    </w:p>
    <w:p>
      <w:pPr>
        <w:pStyle w:val="B1"/>
        <w:rPr/>
      </w:pPr>
      <w:r>
        <w:rPr/>
        <w:t>4)</w:t>
        <w:tab/>
        <w:t>Calculate the average and minimum TRP as per Subclause 6.2.3.2.</w:t>
      </w:r>
    </w:p>
    <w:p>
      <w:pPr>
        <w:pStyle w:val="B1"/>
        <w:rPr/>
      </w:pPr>
      <w:r>
        <w:rPr/>
        <w:t>...</w:t>
      </w:r>
    </w:p>
    <w:p>
      <w:pPr>
        <w:pStyle w:val="Heading5"/>
        <w:ind w:left="1701" w:hanging="1701"/>
        <w:rPr/>
      </w:pPr>
      <w:bookmarkStart w:id="164" w:name="__RefHeading___Toc68601100"/>
      <w:bookmarkEnd w:id="164"/>
      <w:r>
        <w:rPr/>
        <w:t>6.2.3.4.3</w:t>
      </w:r>
      <w:r>
        <w:rPr>
          <w:rFonts w:cs="Calibri" w:ascii="Calibri" w:hAnsi="Calibri"/>
          <w:szCs w:val="22"/>
        </w:rPr>
        <w:tab/>
      </w:r>
      <w:r>
        <w:rPr/>
        <w:t>Procedure, reverberation chamber method</w:t>
      </w:r>
    </w:p>
    <w:p>
      <w:pPr>
        <w:pStyle w:val="Normal"/>
        <w:rPr>
          <w:rFonts w:ascii="Arial" w:hAnsi="Arial" w:cs="Arial"/>
          <w:sz w:val="24"/>
        </w:rPr>
      </w:pPr>
      <w:r>
        <w:rPr/>
        <w:t>TBD</w:t>
      </w:r>
    </w:p>
    <w:p>
      <w:pPr>
        <w:pStyle w:val="Heading4"/>
        <w:ind w:left="1418" w:hanging="1418"/>
        <w:rPr/>
      </w:pPr>
      <w:bookmarkStart w:id="165" w:name="__RefHeading___Toc68601101"/>
      <w:bookmarkEnd w:id="165"/>
      <w:r>
        <w:rPr/>
        <w:t>6.2.3.5</w:t>
      </w:r>
      <w:r>
        <w:rPr>
          <w:rFonts w:cs="Calibri" w:ascii="Calibri" w:hAnsi="Calibri"/>
          <w:sz w:val="22"/>
          <w:szCs w:val="22"/>
        </w:rPr>
        <w:tab/>
      </w:r>
      <w:r>
        <w:rPr/>
        <w:t>Test requirements</w:t>
      </w:r>
    </w:p>
    <w:p>
      <w:pPr>
        <w:pStyle w:val="Normal"/>
        <w:jc w:val="both"/>
        <w:rPr/>
      </w:pPr>
      <w:r>
        <w:rPr/>
        <w:t>The average TRP of low, mid and high channel shall be higher than test performance requirements for roaming bands shown in Table 6.2.3.5-1. The averaging shall be done in linear scale for the TRP.</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num>
                <m:den>
                  <m:r>
                    <w:rPr>
                      <w:rFonts w:ascii="Cambria Math" w:hAnsi="Cambria Math"/>
                    </w:rPr>
                    <m:t xml:space="preserve">3</m:t>
                  </m:r>
                </m:den>
              </m:f>
            </m:e>
          </m:d>
        </m:oMath>
      </m:oMathPara>
    </w:p>
    <w:p>
      <w:pPr>
        <w:pStyle w:val="Normal"/>
        <w:rPr/>
      </w:pPr>
      <w:r>
        <w:rPr/>
        <w:t>In addition the minimum TRP of each measured channel shall be higher than minimum performance requirements shown in the columns “Min”.</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m:rPr>
                  <m:lit/>
                  <m:nor/>
                </m:rPr>
                <w:rPr>
                  <w:rFonts w:ascii="Cambria Math" w:hAnsi="Cambria Math"/>
                </w:rPr>
                <m:t xml:space="preserve">min</m:t>
              </m:r>
              <m:d>
                <m:dPr>
                  <m:begChr m:val="("/>
                  <m:endChr m:val=")"/>
                </m:dPr>
                <m:e>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e>
              </m:d>
            </m:e>
          </m:d>
        </m:oMath>
      </m:oMathPara>
    </w:p>
    <w:p>
      <w:pPr>
        <w:pStyle w:val="TH"/>
        <w:rPr/>
      </w:pPr>
      <w:r>
        <w:rPr/>
        <w:t>Table 6.2.3.5-1: TRP test requirement for E-UTRA FDD using LME</w:t>
      </w:r>
    </w:p>
    <w:p>
      <w:pPr>
        <w:pStyle w:val="Normal"/>
        <w:rPr>
          <w:b/>
          <w:b/>
        </w:rPr>
      </w:pPr>
      <w:r>
        <w:rPr/>
        <w:t>TBD</w:t>
      </w:r>
    </w:p>
    <w:p>
      <w:pPr>
        <w:pStyle w:val="NO"/>
        <w:rPr>
          <w:b/>
          <w:b/>
        </w:rPr>
      </w:pPr>
      <w:r>
        <w:rPr>
          <w:b/>
        </w:rPr>
      </w:r>
    </w:p>
    <w:p>
      <w:pPr>
        <w:pStyle w:val="NO"/>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Heading3"/>
        <w:rPr/>
      </w:pPr>
      <w:bookmarkStart w:id="166" w:name="__RefHeading___Toc68601102"/>
      <w:bookmarkEnd w:id="166"/>
      <w:r>
        <w:rPr/>
        <w:t>6.</w:t>
      </w:r>
      <w:r>
        <w:rPr>
          <w:lang w:eastAsia="zh-CN"/>
        </w:rPr>
        <w:t>2</w:t>
      </w:r>
      <w:r>
        <w:rPr/>
        <w:t>.4</w:t>
        <w:tab/>
        <w:t>Total Radiated Power (TRP) for E-UTRA TDD LME</w:t>
      </w:r>
    </w:p>
    <w:p>
      <w:pPr>
        <w:pStyle w:val="EditorsNote"/>
        <w:rPr/>
      </w:pPr>
      <w:r>
        <w:rPr/>
        <w:t>Editor’s notes: This subclause is incomplete. The following items are missing or incomplete:</w:t>
      </w:r>
    </w:p>
    <w:p>
      <w:pPr>
        <w:pStyle w:val="EditorsNote"/>
        <w:rPr/>
      </w:pPr>
      <w:r>
        <w:rPr/>
        <w:t>- The requirements are not defined in RAN4 yet</w:t>
      </w:r>
    </w:p>
    <w:p>
      <w:pPr>
        <w:pStyle w:val="EditorsNote"/>
        <w:rPr/>
      </w:pPr>
      <w:r>
        <w:rPr/>
        <w:t>- Applicability</w:t>
      </w:r>
    </w:p>
    <w:p>
      <w:pPr>
        <w:pStyle w:val="EditorsNote"/>
        <w:rPr/>
      </w:pPr>
      <w:r>
        <w:rPr/>
        <w:t>- Procedure, reverberation chamber method to be determined</w:t>
      </w:r>
    </w:p>
    <w:p>
      <w:pPr>
        <w:pStyle w:val="EditorsNote"/>
        <w:rPr/>
      </w:pPr>
      <w:r>
        <w:rPr/>
        <w:t>- Test requirements are to be determined</w:t>
      </w:r>
    </w:p>
    <w:p>
      <w:pPr>
        <w:pStyle w:val="Heading4"/>
        <w:ind w:left="1418" w:hanging="1418"/>
        <w:rPr/>
      </w:pPr>
      <w:bookmarkStart w:id="167" w:name="__RefHeading___Toc68601103"/>
      <w:bookmarkEnd w:id="167"/>
      <w:r>
        <w:rPr/>
        <w:t>6.2.4.1</w:t>
      </w:r>
      <w:r>
        <w:rPr>
          <w:rFonts w:cs="Calibri" w:ascii="Calibri" w:hAnsi="Calibri"/>
          <w:sz w:val="22"/>
          <w:szCs w:val="22"/>
        </w:rPr>
        <w:tab/>
      </w:r>
      <w:r>
        <w:rPr/>
        <w:t>Definition and applicability</w:t>
      </w:r>
    </w:p>
    <w:p>
      <w:pPr>
        <w:pStyle w:val="Normal"/>
        <w:rPr/>
      </w:pPr>
      <w:r>
        <w:rPr/>
        <w:t>The Total Radiated Power (TRP) is a measure of how much power the antenna actually radiates, when non-idealities such as mismatch and losses in the antenna are taken into account. The TRP is defined as the integral of the power transmitted in different directions over the entire radiation sphere:</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m:rPr>
                  <m:lit/>
                  <m:nor/>
                </m:rPr>
                <w:rPr>
                  <w:rFonts w:ascii="Cambria Math" w:hAnsi="Cambria Math"/>
                </w:rPr>
                <m:t xml:space="preserve">TRP</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4</m:t>
              </m:r>
              <m:r>
                <w:rPr>
                  <w:rFonts w:ascii="Cambria Math" w:hAnsi="Cambria Math"/>
                </w:rPr>
                <m:t xml:space="preserve">π</m:t>
              </m:r>
            </m:den>
          </m:f>
          <m:nary>
            <m:naryPr>
              <m:chr m:val="∮"/>
              <m:subHide m:val="1"/>
              <m:supHide m:val="1"/>
            </m:naryPr>
            <m:sub/>
            <m:sup/>
            <m:e>
              <m:d>
                <m:dPr>
                  <m:begChr m:val="("/>
                  <m:endChr m:val=")"/>
                </m:dPr>
                <m:e>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e>
              </m:d>
            </m:e>
          </m:nary>
          <m:r>
            <w:rPr>
              <w:rFonts w:ascii="Cambria Math" w:hAnsi="Cambria Math"/>
            </w:rPr>
            <m:t xml:space="preserve">d</m:t>
          </m:r>
          <m:r>
            <w:rPr>
              <w:rFonts w:ascii="Cambria Math" w:hAnsi="Cambria Math"/>
            </w:rPr>
            <m:t xml:space="preserve">Ω</m:t>
          </m:r>
        </m:oMath>
      </m:oMathPara>
    </w:p>
    <w:p>
      <w:pPr>
        <w:pStyle w:val="Normal"/>
        <w:rPr/>
      </w:pPr>
      <w:r>
        <w:rPr/>
        <w:t xml:space="preserve">Using </w:t>
      </w:r>
      <w:r>
        <w:rPr/>
      </w:r>
      <m:oMath xmlns:m="http://schemas.openxmlformats.org/officeDocument/2006/math">
        <m:r>
          <w:rPr>
            <w:rFonts w:ascii="Cambria Math" w:hAnsi="Cambria Math"/>
          </w:rPr>
          <m:t xml:space="preserve">ψ</m:t>
        </m:r>
      </m:oMath>
      <w:r>
        <w:rPr/>
        <w:t xml:space="preserve"> to denote either </w:t>
      </w:r>
      <w:r>
        <w:rPr/>
      </w:r>
      <m:oMath xmlns:m="http://schemas.openxmlformats.org/officeDocument/2006/math">
        <m:r>
          <w:rPr>
            <w:rFonts w:ascii="Cambria Math" w:hAnsi="Cambria Math"/>
          </w:rPr>
          <m:t xml:space="preserve">θ</m:t>
        </m:r>
      </m:oMath>
      <w:r>
        <w:rPr/>
        <w:t xml:space="preserve"> or </w:t>
      </w:r>
      <w:r>
        <w:rPr/>
      </w:r>
      <m:oMath xmlns:m="http://schemas.openxmlformats.org/officeDocument/2006/math">
        <m:r>
          <w:rPr>
            <w:rFonts w:ascii="Cambria Math" w:hAnsi="Cambria Math"/>
          </w:rPr>
          <m:t xml:space="preserve">ϕ</m:t>
        </m:r>
      </m:oMath>
      <w:r>
        <w:rPr/>
        <w:t xml:space="preserve">, </w:t>
      </w:r>
      <w:r>
        <w:rPr/>
      </w:r>
      <m:oMath xmlns:m="http://schemas.openxmlformats.org/officeDocument/2006/math">
        <m:sSub>
          <m:e>
            <m:r>
              <w:rPr>
                <w:rFonts w:ascii="Cambria Math" w:hAnsi="Cambria Math"/>
              </w:rPr>
              <m:t xml:space="preserve">G</m:t>
            </m:r>
          </m:e>
          <m:sub>
            <m:r>
              <w:rPr>
                <w:rFonts w:ascii="Cambria Math" w:hAnsi="Cambria Math"/>
              </w:rPr>
              <m:t xml:space="preserve">ψ</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oMath>
      <w:r>
        <w:rPr/>
        <w:t xml:space="preserve">is the </w:t>
      </w:r>
      <w:r>
        <w:rPr/>
      </w:r>
      <m:oMath xmlns:m="http://schemas.openxmlformats.org/officeDocument/2006/math">
        <m:r>
          <w:rPr>
            <w:rFonts w:ascii="Cambria Math" w:hAnsi="Cambria Math"/>
          </w:rPr>
          <m:t xml:space="preserve">ψ</m:t>
        </m:r>
      </m:oMath>
      <w:r>
        <w:rPr/>
        <w:t xml:space="preserve">-polarization component of the gain pattern for the handset antenna measured at the frequency </w:t>
      </w:r>
      <w:r>
        <w:rPr/>
      </w:r>
      <m:oMath xmlns:m="http://schemas.openxmlformats.org/officeDocument/2006/math">
        <m:r>
          <w:rPr>
            <w:rFonts w:ascii="Cambria Math" w:hAnsi="Cambria Math"/>
          </w:rPr>
          <m:t xml:space="preserve">f</m:t>
        </m:r>
      </m:oMath>
      <w:r>
        <w:rPr/>
        <w:t xml:space="preserve">, where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oMath>
      <w:r>
        <w:rPr/>
        <w:t xml:space="preserve">is the transmit power level of the handset so that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ψ</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oMath>
      <w:r>
        <w:rPr/>
        <w:t xml:space="preserve">is the actually transmitted power-level, also known as EIRP, in the </w:t>
      </w:r>
      <w:r>
        <w:rPr/>
      </w:r>
      <m:oMath xmlns:m="http://schemas.openxmlformats.org/officeDocument/2006/math">
        <m:r>
          <w:rPr>
            <w:rFonts w:ascii="Cambria Math" w:hAnsi="Cambria Math"/>
          </w:rPr>
          <m:t xml:space="preserve">ψ</m:t>
        </m:r>
      </m:oMath>
      <w:r>
        <w:rPr/>
        <w:t xml:space="preserve">-polarization and in the direction </w:t>
      </w:r>
      <w:r>
        <w:rPr/>
      </w:r>
      <m:oMath xmlns:m="http://schemas.openxmlformats.org/officeDocument/2006/math">
        <m:r>
          <w:rPr>
            <w:rFonts w:ascii="Cambria Math" w:hAnsi="Cambria Math"/>
          </w:rPr>
          <m:t xml:space="preserve">Ω</m:t>
        </m:r>
      </m:oMath>
      <w:r>
        <w:rPr/>
        <w:t xml:space="preserve"> for frequency </w:t>
      </w:r>
      <w:r>
        <w:rPr/>
      </w:r>
      <m:oMath xmlns:m="http://schemas.openxmlformats.org/officeDocument/2006/math">
        <m:r>
          <w:rPr>
            <w:rFonts w:ascii="Cambria Math" w:hAnsi="Cambria Math"/>
          </w:rPr>
          <m:t xml:space="preserve">f</m:t>
        </m:r>
      </m:oMath>
      <w:r>
        <w:rPr/>
        <w:t>.</w:t>
      </w:r>
    </w:p>
    <w:p>
      <w:pPr>
        <w:pStyle w:val="Normal"/>
        <w:rPr/>
      </w:pPr>
      <w:r>
        <w:rPr/>
        <w:t>The above equation may be written in "gain" form, that is, the TRP given by P</w:t>
      </w:r>
      <w:r>
        <w:rPr>
          <w:vertAlign w:val="subscript"/>
        </w:rPr>
        <w:t>TRP</w:t>
      </w:r>
      <w:r>
        <w:rPr/>
        <w:t xml:space="preserve"> is normalized to the transmitted power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oMath>
      <w:r>
        <w:rPr/>
        <w:t>. This is the total radiation efficiency, which can also be denoted as Total Radiated Power Gain, TRPG,</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Γ</m:t>
              </m:r>
            </m:e>
            <m:sub>
              <m:r>
                <m:rPr>
                  <m:lit/>
                  <m:nor/>
                </m:rPr>
                <w:rPr>
                  <w:rFonts w:ascii="Cambria Math" w:hAnsi="Cambria Math"/>
                </w:rPr>
                <m:t xml:space="preserve">TRP</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4</m:t>
              </m:r>
              <m:r>
                <w:rPr>
                  <w:rFonts w:ascii="Cambria Math" w:hAnsi="Cambria Math"/>
                </w:rPr>
                <m:t xml:space="preserve">π</m:t>
              </m:r>
            </m:den>
          </m:f>
          <m:nary>
            <m:naryPr>
              <m:chr m:val="∮"/>
              <m:subHide m:val="1"/>
              <m:supHide m:val="1"/>
            </m:naryPr>
            <m:sub/>
            <m:sup/>
            <m:e>
              <m:d>
                <m:dPr>
                  <m:begChr m:val="("/>
                  <m:endChr m:val=")"/>
                </m:dPr>
                <m:e>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e>
              </m:d>
            </m:e>
          </m:nary>
          <m:r>
            <w:rPr>
              <w:rFonts w:ascii="Cambria Math" w:hAnsi="Cambria Math"/>
            </w:rPr>
            <m:t xml:space="preserve">d</m:t>
          </m:r>
          <m:r>
            <w:rPr>
              <w:rFonts w:ascii="Cambria Math" w:hAnsi="Cambria Math"/>
            </w:rPr>
            <m:t xml:space="preserve">Ω</m:t>
          </m:r>
        </m:oMath>
      </m:oMathPara>
    </w:p>
    <w:p>
      <w:pPr>
        <w:pStyle w:val="Normal"/>
        <w:rPr/>
      </w:pPr>
      <w:r>
        <w:rPr/>
        <w:t xml:space="preserve">In practice discrete samples of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ψ</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oMath>
      <w:r>
        <w:rPr/>
        <w:t xml:space="preserve"> are measured and used to approximate the integral so that the TRP is computed as</w:t>
      </w:r>
    </w:p>
    <w:p>
      <w:pPr>
        <w:pStyle w:val="EQ"/>
        <w:tabs>
          <w:tab w:val="clear" w:pos="9072"/>
          <w:tab w:val="center" w:pos="4536" w:leader="none"/>
          <w:tab w:val="right" w:pos="7938" w:leader="none"/>
        </w:tabs>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m:rPr>
                  <m:lit/>
                  <m:nor/>
                </m:rPr>
                <w:rPr>
                  <w:rFonts w:ascii="Cambria Math" w:hAnsi="Cambria Math"/>
                </w:rPr>
                <m:t xml:space="preserve">TRP</m:t>
              </m:r>
            </m:sub>
          </m:sSub>
          <m:r>
            <w:rPr>
              <w:rFonts w:ascii="Cambria Math" w:hAnsi="Cambria Math"/>
            </w:rPr>
            <m:t xml:space="preserve">≈</m:t>
          </m:r>
          <m:f>
            <m:num>
              <m:sSub>
                <m:e>
                  <m:r>
                    <w:rPr>
                      <w:rFonts w:ascii="Cambria Math" w:hAnsi="Cambria Math"/>
                    </w:rPr>
                    <m:t xml:space="preserve">Δ</m:t>
                  </m:r>
                </m:e>
                <m:sub>
                  <m:r>
                    <w:rPr>
                      <w:rFonts w:ascii="Cambria Math" w:hAnsi="Cambria Math"/>
                    </w:rPr>
                    <m:t xml:space="preserve">θ</m:t>
                  </m:r>
                </m:sub>
              </m:sSub>
              <m:sSub>
                <m:e>
                  <m:r>
                    <w:rPr>
                      <w:rFonts w:ascii="Cambria Math" w:hAnsi="Cambria Math"/>
                    </w:rPr>
                    <m:t xml:space="preserve">Δ</m:t>
                  </m:r>
                </m:e>
                <m:sub>
                  <m:r>
                    <w:rPr>
                      <w:rFonts w:ascii="Cambria Math" w:hAnsi="Cambria Math"/>
                    </w:rPr>
                    <m:t xml:space="preserve">ϕ</m:t>
                  </m:r>
                </m:sub>
              </m:sSub>
            </m:num>
            <m:den>
              <m:r>
                <w:rPr>
                  <w:rFonts w:ascii="Cambria Math" w:hAnsi="Cambria Math"/>
                </w:rPr>
                <m:t xml:space="preserve">4</m:t>
              </m:r>
              <m:r>
                <w:rPr>
                  <w:rFonts w:ascii="Cambria Math" w:hAnsi="Cambria Math"/>
                </w:rPr>
                <m:t xml:space="preserve">π</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rPr/>
      </w:pPr>
      <w:r>
        <w:rPr/>
        <w:t xml:space="preserve">Or, by using the relation </w:t>
      </w:r>
      <w:r>
        <w:rPr/>
      </w:r>
      <m:oMath xmlns:m="http://schemas.openxmlformats.org/officeDocument/2006/math">
        <m:r>
          <m:rPr>
            <m:lit/>
            <m:nor/>
          </m:rPr>
          <w:rPr>
            <w:rFonts w:ascii="Cambria Math" w:hAnsi="Cambria Math"/>
          </w:rPr>
          <m:t xml:space="preserve">EIRP</m:t>
        </m:r>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tx</m:t>
            </m:r>
          </m:sub>
        </m:sSub>
        <m:r>
          <w:rPr>
            <w:rFonts w:ascii="Cambria Math" w:hAnsi="Cambria Math"/>
          </w:rPr>
          <m:t xml:space="preserve">G</m:t>
        </m:r>
      </m:oMath>
      <w:r>
        <w:rPr/>
        <w:t>:</w:t>
      </w:r>
    </w:p>
    <w:p>
      <w:pPr>
        <w:pStyle w:val="EQ"/>
        <w:tabs>
          <w:tab w:val="clear" w:pos="9072"/>
          <w:tab w:val="center" w:pos="4536" w:leader="none"/>
          <w:tab w:val="right" w:pos="7938" w:leader="none"/>
        </w:tabs>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m:rPr>
                  <m:lit/>
                  <m:nor/>
                </m:rPr>
                <w:rPr>
                  <w:rFonts w:ascii="Cambria Math" w:hAnsi="Cambria Math"/>
                </w:rPr>
                <m:t xml:space="preserve">TRP</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f>
            <m:num>
              <m:sSub>
                <m:e>
                  <m:r>
                    <w:rPr>
                      <w:rFonts w:ascii="Cambria Math" w:hAnsi="Cambria Math"/>
                    </w:rPr>
                    <m:t xml:space="preserve">Δ</m:t>
                  </m:r>
                </m:e>
                <m:sub>
                  <m:r>
                    <w:rPr>
                      <w:rFonts w:ascii="Cambria Math" w:hAnsi="Cambria Math"/>
                    </w:rPr>
                    <m:t xml:space="preserve">θ</m:t>
                  </m:r>
                </m:sub>
              </m:sSub>
              <m:sSub>
                <m:e>
                  <m:r>
                    <w:rPr>
                      <w:rFonts w:ascii="Cambria Math" w:hAnsi="Cambria Math"/>
                    </w:rPr>
                    <m:t xml:space="preserve">Δ</m:t>
                  </m:r>
                </m:e>
                <m:sub>
                  <m:r>
                    <w:rPr>
                      <w:rFonts w:ascii="Cambria Math" w:hAnsi="Cambria Math"/>
                    </w:rPr>
                    <m:t xml:space="preserve">ϕ</m:t>
                  </m:r>
                </m:sub>
              </m:sSub>
            </m:num>
            <m:den>
              <m:r>
                <w:rPr>
                  <w:rFonts w:ascii="Cambria Math" w:hAnsi="Cambria Math"/>
                </w:rPr>
                <m:t xml:space="preserve">4</m:t>
              </m:r>
              <m:r>
                <w:rPr>
                  <w:rFonts w:ascii="Cambria Math" w:hAnsi="Cambria Math"/>
                </w:rPr>
                <m:t xml:space="preserve">π</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m:rPr>
                              <m:lit/>
                              <m:nor/>
                            </m:rPr>
                            <w:rPr>
                              <w:rFonts w:ascii="Cambria Math" w:hAnsi="Cambria Math"/>
                            </w:rPr>
                            <m:t xml:space="preserve">EIRP</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EIRP</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rPr/>
      </w:pPr>
      <w:r>
        <w:rPr/>
        <w:t>In gain form the TRP can be expressed as:</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Γ</m:t>
              </m:r>
            </m:e>
            <m:sub>
              <m:r>
                <m:rPr>
                  <m:lit/>
                  <m:nor/>
                </m:rPr>
                <w:rPr>
                  <w:rFonts w:ascii="Cambria Math" w:hAnsi="Cambria Math"/>
                </w:rPr>
                <m:t xml:space="preserve">TRP</m:t>
              </m:r>
            </m:sub>
          </m:sSub>
          <m:r>
            <w:rPr>
              <w:rFonts w:ascii="Cambria Math" w:hAnsi="Cambria Math"/>
            </w:rPr>
            <m:t xml:space="preserve">≈</m:t>
          </m:r>
          <m:f>
            <m:num>
              <m:sSub>
                <m:e>
                  <m:r>
                    <w:rPr>
                      <w:rFonts w:ascii="Cambria Math" w:hAnsi="Cambria Math"/>
                    </w:rPr>
                    <m:t xml:space="preserve">Δ</m:t>
                  </m:r>
                </m:e>
                <m:sub>
                  <m:r>
                    <w:rPr>
                      <w:rFonts w:ascii="Cambria Math" w:hAnsi="Cambria Math"/>
                    </w:rPr>
                    <m:t xml:space="preserve">θ</m:t>
                  </m:r>
                </m:sub>
              </m:sSub>
              <m:sSub>
                <m:e>
                  <m:r>
                    <w:rPr>
                      <w:rFonts w:ascii="Cambria Math" w:hAnsi="Cambria Math"/>
                    </w:rPr>
                    <m:t xml:space="preserve">Δ</m:t>
                  </m:r>
                </m:e>
                <m:sub>
                  <m:r>
                    <w:rPr>
                      <w:rFonts w:ascii="Cambria Math" w:hAnsi="Cambria Math"/>
                    </w:rPr>
                    <m:t xml:space="preserve">ϕ</m:t>
                  </m:r>
                </m:sub>
              </m:sSub>
            </m:num>
            <m:den>
              <m:r>
                <w:rPr>
                  <w:rFonts w:ascii="Cambria Math" w:hAnsi="Cambria Math"/>
                </w:rPr>
                <m:t xml:space="preserve">4</m:t>
              </m:r>
              <m:r>
                <w:rPr>
                  <w:rFonts w:ascii="Cambria Math" w:hAnsi="Cambria Math"/>
                </w:rPr>
                <m:t xml:space="preserve">π</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rPr/>
      </w:pPr>
      <w:r>
        <w:rPr/>
        <w:t xml:space="preserve">In these formulas </w:t>
      </w:r>
      <w:r>
        <w:rPr/>
      </w:r>
      <m:oMath xmlns:m="http://schemas.openxmlformats.org/officeDocument/2006/math">
        <m:sSub>
          <m:e>
            <m:r>
              <w:rPr>
                <w:rFonts w:ascii="Cambria Math" w:hAnsi="Cambria Math"/>
              </w:rPr>
              <m:t xml:space="preserve">Δ</m:t>
            </m:r>
          </m:e>
          <m:sub>
            <m:r>
              <w:rPr>
                <w:rFonts w:ascii="Cambria Math" w:hAnsi="Cambria Math"/>
              </w:rPr>
              <m:t xml:space="preserve">θ</m:t>
            </m:r>
          </m:sub>
        </m:sSub>
        <m:r>
          <w:rPr>
            <w:rFonts w:ascii="Cambria Math" w:hAnsi="Cambria Math"/>
          </w:rPr>
          <m:t xml:space="preserve">=</m:t>
        </m:r>
        <m:f>
          <m:fPr>
            <m:type m:val="lin"/>
          </m:fPr>
          <m:num>
            <m:r>
              <w:rPr>
                <w:rFonts w:ascii="Cambria Math" w:hAnsi="Cambria Math"/>
              </w:rPr>
              <m:t xml:space="preserve">π</m:t>
            </m:r>
          </m:num>
          <m:den>
            <m:r>
              <w:rPr>
                <w:rFonts w:ascii="Cambria Math" w:hAnsi="Cambria Math"/>
              </w:rPr>
              <m:t xml:space="preserve">(</m:t>
            </m:r>
          </m:den>
        </m:f>
        <m:r>
          <w:rPr>
            <w:rFonts w:ascii="Cambria Math" w:hAnsi="Cambria Math"/>
          </w:rPr>
          <m:t xml:space="preserve">N</m:t>
        </m:r>
        <m:r>
          <w:rPr>
            <w:rFonts w:ascii="Cambria Math" w:hAnsi="Cambria Math"/>
          </w:rPr>
          <m:t xml:space="preserve">)</m:t>
        </m:r>
      </m:oMath>
      <w:r>
        <w:rPr/>
        <w:t xml:space="preserve"> and </w:t>
      </w:r>
      <w:r>
        <w:rPr/>
      </w:r>
      <m:oMath xmlns:m="http://schemas.openxmlformats.org/officeDocument/2006/math">
        <m:sSub>
          <m:e>
            <m:r>
              <w:rPr>
                <w:rFonts w:ascii="Cambria Math" w:hAnsi="Cambria Math"/>
              </w:rPr>
              <m:t xml:space="preserve">Δ</m:t>
            </m:r>
          </m:e>
          <m:sub>
            <m:r>
              <w:rPr>
                <w:rFonts w:ascii="Cambria Math" w:hAnsi="Cambria Math"/>
              </w:rPr>
              <m:t xml:space="preserve">ϕ</m:t>
            </m:r>
          </m:sub>
        </m:sSub>
        <m:r>
          <w:rPr>
            <w:rFonts w:ascii="Cambria Math" w:hAnsi="Cambria Math"/>
          </w:rPr>
          <m:t xml:space="preserve">=</m:t>
        </m:r>
        <m:r>
          <w:rPr>
            <w:rFonts w:ascii="Cambria Math" w:hAnsi="Cambria Math"/>
          </w:rPr>
          <m:t xml:space="preserve">2</m:t>
        </m:r>
        <m:f>
          <m:fPr>
            <m:type m:val="lin"/>
          </m:fPr>
          <m:num>
            <m:r>
              <w:rPr>
                <w:rFonts w:ascii="Cambria Math" w:hAnsi="Cambria Math"/>
              </w:rPr>
              <m:t xml:space="preserve">π</m:t>
            </m:r>
          </m:num>
          <m:den>
            <m:r>
              <w:rPr>
                <w:rFonts w:ascii="Cambria Math" w:hAnsi="Cambria Math"/>
              </w:rPr>
              <m:t xml:space="preserve">M</m:t>
            </m:r>
          </m:den>
        </m:f>
      </m:oMath>
      <w:r>
        <w:rPr/>
        <w:t xml:space="preserve"> are the sampling intervals for the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-angles, respectively, and the number of samples in the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-angles are given by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respectively. The sampling points of the sphere are given by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nΔ</m:t>
            </m:r>
          </m:e>
          <m:sub>
            <m:r>
              <w:rPr>
                <w:rFonts w:ascii="Cambria Math" w:hAnsi="Cambria Math"/>
              </w:rPr>
              <m:t xml:space="preserve">θ</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sSub>
          <m:e>
            <m:r>
              <w:rPr>
                <w:rFonts w:ascii="Cambria Math" w:hAnsi="Cambria Math"/>
              </w:rPr>
              <m:t xml:space="preserve">mΔ</m:t>
            </m:r>
          </m:e>
          <m:sub>
            <m:r>
              <w:rPr>
                <w:rFonts w:ascii="Cambria Math" w:hAnsi="Cambria Math"/>
              </w:rPr>
              <m:t xml:space="preserve">ϕ</m:t>
            </m:r>
          </m:sub>
        </m:sSub>
      </m:oMath>
      <w:r>
        <w:rPr/>
        <w:t xml:space="preserve">. The sampling intervals are discussed further in Section 4.4. </w:t>
      </w:r>
    </w:p>
    <w:p>
      <w:pPr>
        <w:pStyle w:val="Normal"/>
        <w:rPr/>
      </w:pPr>
      <w:r>
        <w:rPr/>
        <w:t>When measuring power radiated by active devices, expressing the data in terms of EIRP is more appropriate. The upper form of the TRP formulas (which includes EIRP terms) will be used in the data processing.</w:t>
      </w:r>
    </w:p>
    <w:p>
      <w:pPr>
        <w:pStyle w:val="Normal"/>
        <w:rPr/>
      </w:pPr>
      <w:r>
        <w:rPr/>
        <w:t>[Applicability is TBD]</w:t>
      </w:r>
    </w:p>
    <w:p>
      <w:pPr>
        <w:pStyle w:val="Heading4"/>
        <w:ind w:left="1418" w:hanging="1418"/>
        <w:rPr/>
      </w:pPr>
      <w:bookmarkStart w:id="168" w:name="__RefHeading___Toc68601104"/>
      <w:bookmarkEnd w:id="168"/>
      <w:r>
        <w:rPr/>
        <w:t>6.2.4.2</w:t>
      </w:r>
      <w:r>
        <w:rPr>
          <w:rFonts w:cs="Calibri" w:ascii="Calibri" w:hAnsi="Calibri"/>
          <w:sz w:val="22"/>
          <w:szCs w:val="22"/>
        </w:rPr>
        <w:tab/>
      </w:r>
      <w:r>
        <w:rPr/>
        <w:t>Minimum Requirements</w:t>
      </w:r>
    </w:p>
    <w:p>
      <w:pPr>
        <w:pStyle w:val="Normal"/>
        <w:jc w:val="both"/>
        <w:rPr/>
      </w:pPr>
      <w:r>
        <w:rPr/>
        <w:t>The average TRP of low, mid and high channel shall be higher than minimum performance requirements for roaming bands shown in Table 6.2.4.2-1. The averaging shall be done in linear scale for the TRP results.</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num>
                <m:den>
                  <m:r>
                    <w:rPr>
                      <w:rFonts w:ascii="Cambria Math" w:hAnsi="Cambria Math"/>
                    </w:rPr>
                    <m:t xml:space="preserve">3</m:t>
                  </m:r>
                </m:den>
              </m:f>
            </m:e>
          </m:d>
        </m:oMath>
      </m:oMathPara>
    </w:p>
    <w:p>
      <w:pPr>
        <w:pStyle w:val="Normal"/>
        <w:rPr/>
      </w:pPr>
      <w:r>
        <w:rPr/>
        <w:t>In addition the minimum TRP of each measured channel shall be higher than minimum performance requirements shown in the columns “Min”.</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m:rPr>
                  <m:lit/>
                  <m:nor/>
                </m:rPr>
                <w:rPr>
                  <w:rFonts w:ascii="Cambria Math" w:hAnsi="Cambria Math"/>
                </w:rPr>
                <m:t xml:space="preserve">min</m:t>
              </m:r>
              <m:d>
                <m:dPr>
                  <m:begChr m:val="("/>
                  <m:endChr m:val=")"/>
                </m:dPr>
                <m:e>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e>
              </m:d>
            </m:e>
          </m:d>
        </m:oMath>
      </m:oMathPara>
    </w:p>
    <w:p>
      <w:pPr>
        <w:pStyle w:val="TH"/>
        <w:rPr/>
      </w:pPr>
      <w:r>
        <w:rPr/>
        <w:t>Table 6.2.4.2-1: TRP minimum performance requirement for E-UTRA TDD using LME</w:t>
      </w:r>
    </w:p>
    <w:p>
      <w:pPr>
        <w:pStyle w:val="Normal"/>
        <w:rPr>
          <w:b/>
          <w:b/>
        </w:rPr>
      </w:pPr>
      <w:r>
        <w:rPr/>
        <w:t>TBD</w:t>
      </w:r>
    </w:p>
    <w:p>
      <w:pPr>
        <w:pStyle w:val="Normal"/>
        <w:rPr>
          <w:b/>
          <w:b/>
        </w:rPr>
      </w:pPr>
      <w:r>
        <w:rPr>
          <w:b/>
        </w:rPr>
      </w:r>
    </w:p>
    <w:p>
      <w:pPr>
        <w:pStyle w:val="Normal"/>
        <w:rPr/>
      </w:pPr>
      <w:r>
        <w:rPr/>
        <w:t>The normative reference for this clause is TS37.144 [12] Subclause 6.2.4.</w:t>
      </w:r>
    </w:p>
    <w:p>
      <w:pPr>
        <w:pStyle w:val="Heading4"/>
        <w:ind w:left="1418" w:hanging="1418"/>
        <w:rPr/>
      </w:pPr>
      <w:bookmarkStart w:id="169" w:name="__RefHeading___Toc68601105"/>
      <w:bookmarkEnd w:id="169"/>
      <w:r>
        <w:rPr/>
        <w:t>6.2.4.3</w:t>
      </w:r>
      <w:r>
        <w:rPr>
          <w:rFonts w:cs="Calibri" w:ascii="Calibri" w:hAnsi="Calibri"/>
          <w:sz w:val="22"/>
          <w:szCs w:val="22"/>
        </w:rPr>
        <w:tab/>
      </w:r>
      <w:r>
        <w:rPr/>
        <w:t>Test purpose</w:t>
      </w:r>
    </w:p>
    <w:p>
      <w:pPr>
        <w:pStyle w:val="Normal"/>
        <w:rPr/>
      </w:pPr>
      <w:r>
        <w:rPr/>
        <w:t xml:space="preserve">The purpose of this test is to verify that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 xml:space="preserve">of the UE is not below specified values. A lower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decrease the coverage area.</w:t>
      </w:r>
    </w:p>
    <w:p>
      <w:pPr>
        <w:pStyle w:val="Heading4"/>
        <w:ind w:left="1418" w:hanging="1418"/>
        <w:rPr/>
      </w:pPr>
      <w:bookmarkStart w:id="170" w:name="__RefHeading___Toc68601106"/>
      <w:bookmarkEnd w:id="170"/>
      <w:r>
        <w:rPr/>
        <w:t>6.2.4.4</w:t>
      </w:r>
      <w:r>
        <w:rPr>
          <w:rFonts w:cs="Calibri" w:ascii="Calibri" w:hAnsi="Calibri"/>
          <w:sz w:val="22"/>
          <w:szCs w:val="22"/>
        </w:rPr>
        <w:tab/>
      </w:r>
      <w:r>
        <w:rPr/>
        <w:t>Method of test</w:t>
      </w:r>
    </w:p>
    <w:p>
      <w:pPr>
        <w:pStyle w:val="Heading5"/>
        <w:ind w:left="1701" w:hanging="1701"/>
        <w:rPr/>
      </w:pPr>
      <w:bookmarkStart w:id="171" w:name="__RefHeading___Toc68601107"/>
      <w:bookmarkEnd w:id="171"/>
      <w:r>
        <w:rPr/>
        <w:t>6.2.4.4.1</w:t>
      </w:r>
      <w:r>
        <w:rPr>
          <w:rFonts w:cs="Calibri" w:ascii="Calibri" w:hAnsi="Calibri"/>
          <w:szCs w:val="22"/>
        </w:rPr>
        <w:tab/>
      </w:r>
      <w:r>
        <w:rPr/>
        <w:t>Initial conditions</w:t>
      </w:r>
    </w:p>
    <w:p>
      <w:pPr>
        <w:pStyle w:val="Normal"/>
        <w:rPr/>
      </w:pPr>
      <w:r>
        <w:rPr/>
        <w:t xml:space="preserve">A radio communications tester or a corresponding device is used as a NB simulator to setup calls to the DUT. The NB/BS simulator may also measure the radiated power samples. Alternatively, a measurement receiver or spectrum analyzer may be used for that purpose. </w:t>
      </w:r>
    </w:p>
    <w:p>
      <w:pPr>
        <w:pStyle w:val="Normal"/>
        <w:rPr/>
      </w:pPr>
      <w:r>
        <w:rPr/>
        <w:t>The maximum output power for different UE power classes are defined in 3GPP TS 36.521-1 [11] Subclause 6.2.2 for any transmission bandwidth within the channel bandwidth. Also, care should be taken that the noise floor of the measurement receiver is not disturbing the power measurement.</w:t>
      </w:r>
    </w:p>
    <w:p>
      <w:pPr>
        <w:pStyle w:val="Normal"/>
        <w:rPr/>
      </w:pPr>
      <w:r>
        <w:rPr/>
        <w:t>Chamber environment constraints and coordinate system shall be the same as described in Subclause A.3.</w:t>
      </w:r>
    </w:p>
    <w:p>
      <w:pPr>
        <w:pStyle w:val="Normal"/>
        <w:rPr/>
      </w:pPr>
      <w:r>
        <w:rPr/>
        <w:t>Phantom Specifications shall be the same as described in Subclause A.2.3. Parameters required for laptop ground plane phantom are specified in Annex A.2.3.</w:t>
      </w:r>
    </w:p>
    <w:p>
      <w:pPr>
        <w:pStyle w:val="Normal"/>
        <w:rPr/>
      </w:pPr>
      <w:r>
        <w:rPr/>
        <w:t>Test environment: normal; see TS36.508 [10] Subclause 4.1.1.</w:t>
      </w:r>
    </w:p>
    <w:p>
      <w:pPr>
        <w:pStyle w:val="Normal"/>
        <w:rPr/>
      </w:pPr>
      <w:r>
        <w:rPr/>
        <w:t xml:space="preserve">Frequencies to be tested: low range, mid range, high range; see Table 5.4-1. </w:t>
      </w:r>
    </w:p>
    <w:p>
      <w:pPr>
        <w:pStyle w:val="Normal"/>
        <w:rPr/>
      </w:pPr>
      <w:r>
        <w:rPr/>
        <w:t>Positioning Requirements shall be the same as described in Subclause 4.3.</w:t>
      </w:r>
    </w:p>
    <w:p>
      <w:pPr>
        <w:pStyle w:val="Normal"/>
        <w:ind w:left="568" w:hanging="284"/>
        <w:rPr/>
      </w:pPr>
      <w:r>
        <w:rPr/>
        <w:t>1)</w:t>
        <w:tab/>
        <w:t>Position the UE according to the DUT positioning on laptop ground plane phantom specified in Subclause 4.3.2.</w:t>
      </w:r>
    </w:p>
    <w:p>
      <w:pPr>
        <w:pStyle w:val="Normal"/>
        <w:ind w:left="568" w:hanging="284"/>
        <w:rPr/>
      </w:pPr>
      <w:r>
        <w:rPr/>
        <w:t>2)</w:t>
        <w:tab/>
        <w:t>Power on the UE.</w:t>
      </w:r>
    </w:p>
    <w:p>
      <w:pPr>
        <w:pStyle w:val="Normal"/>
        <w:ind w:left="568" w:hanging="284"/>
        <w:rPr/>
      </w:pPr>
      <w:r>
        <w:rPr/>
        <w:t>3)</w:t>
        <w:tab/>
        <w:t>Set the initial conditions as per Subclause 6.2.2 of 3GPP TS 36.521-1 [11], with the following exception: set the carrier frequency, channel bandwidth, RB length and RB location as per Table 5.4-1 for TDD mode.</w:t>
      </w:r>
    </w:p>
    <w:p>
      <w:pPr>
        <w:pStyle w:val="Heading5"/>
        <w:ind w:left="1701" w:hanging="1701"/>
        <w:rPr/>
      </w:pPr>
      <w:bookmarkStart w:id="172" w:name="__RefHeading___Toc68601108"/>
      <w:bookmarkEnd w:id="172"/>
      <w:r>
        <w:rPr/>
        <w:t>6.2.4.4.2</w:t>
      </w:r>
      <w:r>
        <w:rPr>
          <w:rFonts w:cs="Calibri" w:ascii="Calibri" w:hAnsi="Calibri"/>
          <w:szCs w:val="22"/>
        </w:rPr>
        <w:tab/>
      </w:r>
      <w:r>
        <w:rPr/>
        <w:t>Procedure</w:t>
      </w:r>
    </w:p>
    <w:p>
      <w:pPr>
        <w:pStyle w:val="Normal"/>
        <w:ind w:left="568" w:hanging="284"/>
        <w:rPr/>
      </w:pPr>
      <w:r>
        <w:rPr/>
        <w:t>1)</w:t>
        <w:tab/>
        <w:t>Follow Steps 1 and 2 in section 6.2.2.4.2 of 3GPP TS 36.521-1 [11] and ensure that the DUT transmits with its maximum power.</w:t>
      </w:r>
    </w:p>
    <w:p>
      <w:pPr>
        <w:pStyle w:val="Normal"/>
        <w:ind w:left="568" w:hanging="284"/>
        <w:rPr/>
      </w:pPr>
      <w:r>
        <w:rPr/>
        <w:t>2)</w:t>
        <w:tab/>
        <w:t>For the anechoic chamber based methodologies, measure the spherical effective isotropic radiated power (EIRP) pattern following the sampling grid specified in Subclause 4.4. Slots with transient periods are not under test. The uplink downlink configuration and the special subframe configuration in TDD are set as per Table 8.2.2-1 of 3GPP TS 36.521-1 [11]. Calculate the TRP using the EIRP pattern data as per Subclause 6.2.4.1.</w:t>
      </w:r>
    </w:p>
    <w:p>
      <w:pPr>
        <w:pStyle w:val="Normal"/>
        <w:ind w:left="568" w:hanging="284"/>
        <w:rPr/>
      </w:pPr>
      <w:r>
        <w:rPr/>
        <w:t>3)</w:t>
        <w:tab/>
        <w:t>Repeat the measurement of the DUT for low, mid and high channels.</w:t>
      </w:r>
    </w:p>
    <w:p>
      <w:pPr>
        <w:pStyle w:val="Normal"/>
        <w:ind w:left="568" w:hanging="284"/>
        <w:rPr/>
      </w:pPr>
      <w:r>
        <w:rPr/>
        <w:t>4)</w:t>
        <w:tab/>
        <w:t>Calculate the average and minimum TRP as per Subclause 6.2.4.2.</w:t>
      </w:r>
    </w:p>
    <w:p>
      <w:pPr>
        <w:pStyle w:val="Heading5"/>
        <w:ind w:left="1701" w:hanging="1701"/>
        <w:rPr/>
      </w:pPr>
      <w:bookmarkStart w:id="173" w:name="__RefHeading___Toc68601109"/>
      <w:bookmarkEnd w:id="173"/>
      <w:r>
        <w:rPr/>
        <w:t>6.2.4.4.3</w:t>
      </w:r>
      <w:r>
        <w:rPr>
          <w:rFonts w:cs="Calibri" w:ascii="Calibri" w:hAnsi="Calibri"/>
          <w:szCs w:val="22"/>
        </w:rPr>
        <w:tab/>
      </w:r>
      <w:r>
        <w:rPr/>
        <w:t>Procedure, reverberation chamber method</w:t>
      </w:r>
    </w:p>
    <w:p>
      <w:pPr>
        <w:pStyle w:val="Normal"/>
        <w:rPr>
          <w:rFonts w:ascii="Arial" w:hAnsi="Arial" w:cs="Arial"/>
          <w:sz w:val="24"/>
        </w:rPr>
      </w:pPr>
      <w:r>
        <w:rPr/>
        <w:t>TBD</w:t>
      </w:r>
    </w:p>
    <w:p>
      <w:pPr>
        <w:pStyle w:val="Heading4"/>
        <w:ind w:left="1418" w:hanging="1418"/>
        <w:rPr/>
      </w:pPr>
      <w:bookmarkStart w:id="174" w:name="__RefHeading___Toc68601110"/>
      <w:bookmarkEnd w:id="174"/>
      <w:r>
        <w:rPr/>
        <w:t>6.2.4.5</w:t>
      </w:r>
      <w:r>
        <w:rPr>
          <w:rFonts w:cs="Calibri" w:ascii="Calibri" w:hAnsi="Calibri"/>
          <w:sz w:val="22"/>
          <w:szCs w:val="22"/>
        </w:rPr>
        <w:tab/>
      </w:r>
      <w:r>
        <w:rPr/>
        <w:t>Test requirements</w:t>
      </w:r>
    </w:p>
    <w:p>
      <w:pPr>
        <w:pStyle w:val="Normal"/>
        <w:jc w:val="both"/>
        <w:rPr/>
      </w:pPr>
      <w:r>
        <w:rPr/>
        <w:t>The average TRP of low, mid and high channel shall be higher than test performance requirements for roaming bands shown in Table 6.2.4.5-1. The averaging shall be done in linear scale for the TRP.</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num>
                <m:den>
                  <m:r>
                    <w:rPr>
                      <w:rFonts w:ascii="Cambria Math" w:hAnsi="Cambria Math"/>
                    </w:rPr>
                    <m:t xml:space="preserve">3</m:t>
                  </m:r>
                </m:den>
              </m:f>
            </m:e>
          </m:d>
        </m:oMath>
      </m:oMathPara>
    </w:p>
    <w:p>
      <w:pPr>
        <w:pStyle w:val="Normal"/>
        <w:rPr/>
      </w:pPr>
      <w:r>
        <w:rPr/>
        <w:t>In addition the minimum TRP of each measured channel shall be higher than minimum performance requirements shown in the columns “Min”.</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m:rPr>
                  <m:lit/>
                  <m:nor/>
                </m:rPr>
                <w:rPr>
                  <w:rFonts w:ascii="Cambria Math" w:hAnsi="Cambria Math"/>
                </w:rPr>
                <m:t xml:space="preserve">min</m:t>
              </m:r>
              <m:d>
                <m:dPr>
                  <m:begChr m:val="("/>
                  <m:endChr m:val=")"/>
                </m:dPr>
                <m:e>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e>
              </m:d>
            </m:e>
          </m:d>
        </m:oMath>
      </m:oMathPara>
    </w:p>
    <w:p>
      <w:pPr>
        <w:pStyle w:val="TH"/>
        <w:rPr/>
      </w:pPr>
      <w:r>
        <w:rPr/>
        <w:t>Table 6.2.4.5-1: TRP test requirement for E-UTRA TDD using LME</w:t>
      </w:r>
    </w:p>
    <w:p>
      <w:pPr>
        <w:pStyle w:val="Normal"/>
        <w:rPr/>
      </w:pPr>
      <w:r>
        <w:rPr/>
        <w:t>TBD</w:t>
      </w:r>
    </w:p>
    <w:p>
      <w:pPr>
        <w:pStyle w:val="Normal"/>
        <w:rPr>
          <w:b/>
          <w:b/>
        </w:rPr>
      </w:pPr>
      <w:r>
        <w:rPr>
          <w:b/>
        </w:rPr>
      </w:r>
    </w:p>
    <w:p>
      <w:pPr>
        <w:pStyle w:val="NO"/>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Heading2"/>
        <w:rPr/>
      </w:pPr>
      <w:bookmarkStart w:id="175" w:name="__RefHeading___Toc68601111"/>
      <w:bookmarkEnd w:id="175"/>
      <w:r>
        <w:rPr/>
        <w:t>6.3</w:t>
        <w:tab/>
        <w:t>Performance for LEE</w:t>
      </w:r>
    </w:p>
    <w:p>
      <w:pPr>
        <w:pStyle w:val="Heading3"/>
        <w:rPr>
          <w:szCs w:val="16"/>
          <w:lang w:eastAsia="zh-CN"/>
        </w:rPr>
      </w:pPr>
      <w:bookmarkStart w:id="176" w:name="__RefHeading___Toc68601112"/>
      <w:bookmarkEnd w:id="176"/>
      <w:r>
        <w:rPr/>
        <w:t>6.</w:t>
      </w:r>
      <w:r>
        <w:rPr>
          <w:lang w:eastAsia="zh-CN"/>
        </w:rPr>
        <w:t>3</w:t>
      </w:r>
      <w:r>
        <w:rPr/>
        <w:t>.1</w:t>
        <w:tab/>
      </w:r>
      <w:r>
        <w:rPr>
          <w:rFonts w:cs="Arial"/>
          <w:color w:val="000000"/>
          <w:szCs w:val="16"/>
        </w:rPr>
        <w:t>Total Radiated Power (TRP) for</w:t>
      </w:r>
      <w:r>
        <w:rPr>
          <w:szCs w:val="16"/>
        </w:rPr>
        <w:t xml:space="preserve"> UTRA FDD LEE</w:t>
      </w:r>
    </w:p>
    <w:p>
      <w:pPr>
        <w:pStyle w:val="EditorsNote"/>
        <w:rPr/>
      </w:pPr>
      <w:r>
        <w:rPr/>
        <w:t>Editor’s notes: This Subclause is incomplete. The following items are missing or incomplete:</w:t>
      </w:r>
    </w:p>
    <w:p>
      <w:pPr>
        <w:pStyle w:val="EditorsNote"/>
        <w:numPr>
          <w:ilvl w:val="0"/>
          <w:numId w:val="15"/>
        </w:numPr>
        <w:rPr/>
      </w:pPr>
      <w:r>
        <w:rPr/>
        <w:t>TBDs in Tables 6.3.1.2-1 and 6.3.1.5-2 as they are not specified in TS 37.144 yet</w:t>
      </w:r>
    </w:p>
    <w:p>
      <w:pPr>
        <w:pStyle w:val="Heading4"/>
        <w:ind w:left="1418" w:hanging="1418"/>
        <w:rPr/>
      </w:pPr>
      <w:bookmarkStart w:id="177" w:name="__RefHeading___Toc68601113"/>
      <w:bookmarkEnd w:id="177"/>
      <w:r>
        <w:rPr/>
        <w:t>6.3.1.1</w:t>
      </w:r>
      <w:r>
        <w:rPr>
          <w:rFonts w:cs="Calibri" w:ascii="Calibri" w:hAnsi="Calibri"/>
          <w:sz w:val="22"/>
          <w:szCs w:val="22"/>
        </w:rPr>
        <w:tab/>
      </w:r>
      <w:r>
        <w:rPr/>
        <w:t>Definition and applicability</w:t>
      </w:r>
    </w:p>
    <w:p>
      <w:pPr>
        <w:pStyle w:val="Normal"/>
        <w:rPr/>
      </w:pPr>
      <w:r>
        <w:rPr/>
        <w:t>The Total Radiated Power (TRP) is a measure of how much power the DUT actually radiates. The TRP is defined as the integral of the power transmitted in different directions over the entire radiation sphere:</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r>
            <m:rPr>
              <m:lit/>
              <m:nor/>
            </m:rPr>
            <w:rPr>
              <w:rFonts w:ascii="Cambria Math" w:hAnsi="Cambria Math"/>
            </w:rPr>
            <m:t xml:space="preserve">TRP</m:t>
          </m:r>
          <m:r>
            <w:rPr>
              <w:rFonts w:ascii="Cambria Math" w:hAnsi="Cambria Math"/>
            </w:rPr>
            <m:t xml:space="preserve">=</m:t>
          </m:r>
          <m:f>
            <m:num>
              <m:r>
                <w:rPr>
                  <w:rFonts w:ascii="Cambria Math" w:hAnsi="Cambria Math"/>
                </w:rPr>
                <m:t xml:space="preserve">1</m:t>
              </m:r>
            </m:num>
            <m:den>
              <m:r>
                <w:rPr>
                  <w:rFonts w:ascii="Cambria Math" w:hAnsi="Cambria Math"/>
                </w:rPr>
                <m:t xml:space="preserve">4</m:t>
              </m:r>
              <m:r>
                <w:rPr>
                  <w:rFonts w:ascii="Cambria Math" w:hAnsi="Cambria Math"/>
                </w:rPr>
                <m:t xml:space="preserve">π</m:t>
              </m:r>
            </m:den>
          </m:f>
          <m:nary>
            <m:naryPr>
              <m:chr m:val="∮"/>
              <m:subHide m:val="1"/>
              <m:supHide m:val="1"/>
            </m:naryPr>
            <m:sub/>
            <m:sup/>
            <m:e>
              <m:d>
                <m:dPr>
                  <m:begChr m:val="("/>
                  <m:endChr m:val=")"/>
                </m:dPr>
                <m:e>
                  <m:sSub>
                    <m:e>
                      <m:r>
                        <m:rPr>
                          <m:lit/>
                          <m:nor/>
                        </m:rPr>
                        <w:rPr>
                          <w:rFonts w:ascii="Cambria Math" w:hAnsi="Cambria Math"/>
                        </w:rPr>
                        <m:t xml:space="preserve">EIRP</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EIRP</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e>
              </m:d>
            </m:e>
          </m:nary>
          <m:r>
            <w:rPr>
              <w:rFonts w:ascii="Cambria Math" w:hAnsi="Cambria Math"/>
            </w:rPr>
            <m:t xml:space="preserve">d</m:t>
          </m:r>
          <m:r>
            <w:rPr>
              <w:rFonts w:ascii="Cambria Math" w:hAnsi="Cambria Math"/>
            </w:rPr>
            <m:t xml:space="preserve">Ω</m:t>
          </m:r>
        </m:oMath>
      </m:oMathPara>
    </w:p>
    <w:p>
      <w:pPr>
        <w:pStyle w:val="Normal"/>
        <w:rPr/>
      </w:pPr>
      <w:r>
        <w:rPr/>
        <w:t xml:space="preserve">Where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r>
          <w:rPr>
            <w:rFonts w:ascii="Cambria Math" w:hAnsi="Cambria Math"/>
          </w:rPr>
          <m:t xml:space="preserve">f</m:t>
        </m:r>
      </m:oMath>
      <w:r>
        <w:rPr/>
        <w:t xml:space="preserve"> is frequency.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 are the orthogonal polarizations.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θ</m:t>
            </m:r>
          </m:sub>
        </m:sSub>
      </m:oMath>
      <w:r>
        <w:rPr/>
        <w:t xml:space="preserve"> and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ϕ</m:t>
            </m:r>
          </m:sub>
        </m:sSub>
      </m:oMath>
      <w:r>
        <w:rPr/>
        <w:t xml:space="preserve"> are the actually transmitted power-levels in corresponding polarizations.</w:t>
      </w:r>
    </w:p>
    <w:p>
      <w:pPr>
        <w:pStyle w:val="Normal"/>
        <w:rPr/>
      </w:pPr>
      <w:r>
        <w:rPr/>
        <w:t>Thus</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r>
            <m:rPr>
              <m:lit/>
              <m:nor/>
            </m:rPr>
            <w:rPr>
              <w:rFonts w:ascii="Cambria Math" w:hAnsi="Cambria Math"/>
            </w:rPr>
            <m:t xml:space="preserve">TRP</m:t>
          </m:r>
          <m:r>
            <w:rPr>
              <w:rFonts w:ascii="Cambria Math" w:hAnsi="Cambria Math"/>
            </w:rPr>
            <m:t xml:space="preserve">≈</m:t>
          </m:r>
          <m:f>
            <m:num>
              <m:r>
                <w:rPr>
                  <w:rFonts w:ascii="Cambria Math" w:hAnsi="Cambria Math"/>
                </w:rPr>
                <m:t xml:space="preserve">π</m:t>
              </m:r>
            </m:num>
            <m:den>
              <m:r>
                <w:rPr>
                  <w:rFonts w:ascii="Cambria Math" w:hAnsi="Cambria Math"/>
                </w:rPr>
                <m:t xml:space="preserve">2</m:t>
              </m:r>
              <m:r>
                <m:rPr>
                  <m:lit/>
                  <m:nor/>
                </m:rPr>
                <w:rPr>
                  <w:rFonts w:ascii="Cambria Math" w:hAnsi="Cambria Math"/>
                </w:rPr>
                <m:t xml:space="preserve">NM</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m:rPr>
                              <m:lit/>
                              <m:nor/>
                            </m:rPr>
                            <w:rPr>
                              <w:rFonts w:ascii="Cambria Math" w:hAnsi="Cambria Math"/>
                            </w:rPr>
                            <m:t xml:space="preserve">EIRP</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EIRP</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rPr/>
      </w:pPr>
      <w:r>
        <w:rPr/>
        <w:t xml:space="preserve">In these formulas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are the number of sampling intervals for theta and phi.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oMath>
      <w:r>
        <w:rPr/>
        <w:t xml:space="preserve"> are the measurement angles. The sampling intervals are discussed further in Subclause 4.4.</w:t>
      </w:r>
    </w:p>
    <w:p>
      <w:pPr>
        <w:pStyle w:val="Normal"/>
        <w:rPr/>
      </w:pPr>
      <w:r>
        <w:rPr/>
        <w:t>The TRP can also be calculated from Rayleigh faded samples of the total power transmitted from the LEE. The measurement of transmitter performance in an isotropic Rayleigh fading environment is based on sampling the radiated power of the LEE for a discrete number of field combinations in the chamber. The average value of these statistically distributed samples is proportional to the TRP and by calibrating the average power transfer function, an absolute value of the TRP can be obtained. Thus</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r>
            <m:rPr>
              <m:lit/>
              <m:nor/>
            </m:rPr>
            <w:rPr>
              <w:rFonts w:ascii="Cambria Math" w:hAnsi="Cambria Math"/>
            </w:rPr>
            <m:t xml:space="preserve">TRP</m:t>
          </m:r>
          <m:r>
            <w:rPr>
              <w:rFonts w:ascii="Cambria Math" w:hAnsi="Cambria Math"/>
            </w:rPr>
            <m:t xml:space="preserve">≈</m:t>
          </m:r>
          <m:f>
            <m:num>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f>
                        <m:num>
                          <m:sSub>
                            <m:e>
                              <m:r>
                                <w:rPr>
                                  <w:rFonts w:ascii="Cambria Math" w:hAnsi="Cambria Math"/>
                                </w:rPr>
                                <m:t xml:space="preserve">P</m:t>
                              </m:r>
                            </m:e>
                            <m:sub>
                              <m:r>
                                <w:rPr>
                                  <w:rFonts w:ascii="Cambria Math" w:hAnsi="Cambria Math"/>
                                </w:rPr>
                                <m:t xml:space="preserve">n</m:t>
                              </m:r>
                            </m:sub>
                          </m:sSub>
                        </m:num>
                        <m:den>
                          <m:sSub>
                            <m:e>
                              <m:r>
                                <w:rPr>
                                  <w:rFonts w:ascii="Cambria Math" w:hAnsi="Cambria Math"/>
                                </w:rPr>
                                <m:t xml:space="preserve">C</m:t>
                              </m:r>
                            </m:e>
                            <m:sub>
                              <m:r>
                                <w:rPr>
                                  <w:rFonts w:ascii="Cambria Math" w:hAnsi="Cambria Math"/>
                                </w:rPr>
                                <m:t xml:space="preserve">n</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den>
                      </m:f>
                    </m:e>
                  </m:d>
                </m:e>
              </m:nary>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e>
              </m:nary>
            </m:den>
          </m:f>
        </m:oMath>
      </m:oMathPara>
    </w:p>
    <w:p>
      <w:pPr>
        <w:pStyle w:val="Normal"/>
        <w:rPr/>
      </w:pPr>
      <w:r>
        <w:rPr/>
        <w:t xml:space="preserve">where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oMath>
      <w:r>
        <w:rPr/>
        <w:t xml:space="preserve"> is the reference power transfer function for fixed measurement antenna n, </w:t>
      </w:r>
      <w:r>
        <w:rPr/>
      </w:r>
      <m:oMath xmlns:m="http://schemas.openxmlformats.org/officeDocument/2006/math">
        <m:sSub>
          <m:e>
            <m:r>
              <w:rPr>
                <w:rFonts w:ascii="Cambria Math" w:hAnsi="Cambria Math"/>
              </w:rPr>
              <m:t xml:space="preserve">R</m:t>
            </m:r>
          </m:e>
          <m:sub>
            <m:r>
              <w:rPr>
                <w:rFonts w:ascii="Cambria Math" w:hAnsi="Cambria Math"/>
              </w:rPr>
              <m:t xml:space="preserve">n</m:t>
            </m:r>
          </m:sub>
        </m:sSub>
      </m:oMath>
      <w:r>
        <w:rPr/>
        <w:t xml:space="preserve"> is the reflection coefficient for fixed measurement antenna n and </w:t>
      </w:r>
      <w:r>
        <w:rPr/>
      </w:r>
      <m:oMath xmlns:m="http://schemas.openxmlformats.org/officeDocument/2006/math">
        <m:sSub>
          <m:e>
            <m:r>
              <w:rPr>
                <w:rFonts w:ascii="Cambria Math" w:hAnsi="Cambria Math"/>
              </w:rPr>
              <m:t xml:space="preserve">C</m:t>
            </m:r>
          </m:e>
          <m:sub>
            <m:r>
              <w:rPr>
                <w:rFonts w:ascii="Cambria Math" w:hAnsi="Cambria Math"/>
              </w:rPr>
              <m:t xml:space="preserve">n</m:t>
            </m:r>
          </m:sub>
        </m:sSub>
      </m:oMath>
      <w:r>
        <w:rPr/>
        <w:t xml:space="preserve"> is the path loss in the cables connecting the measurement receiver to fixed measurement antenna n. These parameters are calculated from the calibration measurement and are further discussed in Annex B.2. </w:t>
      </w:r>
      <w:r>
        <w:rPr/>
      </w:r>
      <m:oMath xmlns:m="http://schemas.openxmlformats.org/officeDocument/2006/math">
        <m:sSub>
          <m:e>
            <m:r>
              <w:rPr>
                <w:rFonts w:ascii="Cambria Math" w:hAnsi="Cambria Math"/>
              </w:rPr>
              <m:t xml:space="preserve">P</m:t>
            </m:r>
          </m:e>
          <m:sub>
            <m:r>
              <w:rPr>
                <w:rFonts w:ascii="Cambria Math" w:hAnsi="Cambria Math"/>
              </w:rPr>
              <m:t xml:space="preserve">n</m:t>
            </m:r>
          </m:sub>
        </m:sSub>
      </m:oMath>
      <w:r>
        <w:rPr/>
        <w:t xml:space="preserve"> is the average power measured by fixed measurement antenna n and can be calculated using the following expression:</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w:rPr>
                  <w:rFonts w:ascii="Cambria Math" w:hAnsi="Cambria Math"/>
                </w:rPr>
                <m:t xml:space="preserve">P</m:t>
              </m:r>
            </m:e>
            <m:sub>
              <m:r>
                <w:rPr>
                  <w:rFonts w:ascii="Cambria Math" w:hAnsi="Cambria Math"/>
                </w:rPr>
                <m:t xml:space="preserve">n</m:t>
              </m:r>
            </m:sub>
          </m:sSub>
          <m:r>
            <w:rPr>
              <w:rFonts w:ascii="Cambria Math" w:hAnsi="Cambria Math"/>
            </w:rPr>
            <m:t xml:space="preserve">=</m:t>
          </m:r>
          <m:f>
            <m:num>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p>
                    <m:e>
                      <m:d>
                        <m:dPr>
                          <m:begChr m:val="|"/>
                          <m:endChr m:val="|"/>
                        </m:dPr>
                        <m:e>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e>
                      </m:d>
                    </m:e>
                    <m:sup>
                      <m:r>
                        <w:rPr>
                          <w:rFonts w:ascii="Cambria Math" w:hAnsi="Cambria Math"/>
                        </w:rPr>
                        <m:t xml:space="preserve">2</m:t>
                      </m:r>
                    </m:sup>
                  </m:sSup>
                </m:e>
              </m:nary>
            </m:num>
            <m:den>
              <m:r>
                <w:rPr>
                  <w:rFonts w:ascii="Cambria Math" w:hAnsi="Cambria Math"/>
                </w:rPr>
                <m:t xml:space="preserve">M</m:t>
              </m:r>
            </m:den>
          </m:f>
        </m:oMath>
      </m:oMathPara>
    </w:p>
    <w:p>
      <w:pPr>
        <w:pStyle w:val="Normal"/>
        <w:rPr/>
      </w:pPr>
      <w:r>
        <w:rPr/>
        <w:t xml:space="preserve">where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oMath>
      <w:r>
        <w:rPr/>
        <w:t xml:space="preserve"> is sample number m of the complex transfer function measured with fixed measurement antenna n and </w:t>
      </w:r>
      <w:r>
        <w:rPr/>
      </w:r>
      <m:oMath xmlns:m="http://schemas.openxmlformats.org/officeDocument/2006/math">
        <m:r>
          <w:rPr>
            <w:rFonts w:ascii="Cambria Math" w:hAnsi="Cambria Math"/>
          </w:rPr>
          <m:t xml:space="preserve">M</m:t>
        </m:r>
      </m:oMath>
      <w:r>
        <w:rPr/>
        <w:t xml:space="preserve"> is the total number of samples measured for each fixed measurement antenna.</w:t>
      </w:r>
    </w:p>
    <w:p>
      <w:pPr>
        <w:pStyle w:val="Normal"/>
        <w:rPr/>
      </w:pPr>
      <w:r>
        <w:rPr/>
        <w:t>Note that all averaging must be performed using linear power values (e.g. measurements in Watts).</w:t>
      </w:r>
    </w:p>
    <w:p>
      <w:pPr>
        <w:pStyle w:val="Normal"/>
        <w:rPr/>
      </w:pPr>
      <w:r>
        <w:rPr/>
        <w:t>The requirements and this test apply to all types of UTRA for the FDD UE for Release 11 and later releases that support LEE.</w:t>
      </w:r>
    </w:p>
    <w:p>
      <w:pPr>
        <w:pStyle w:val="Normal"/>
        <w:ind w:firstLine="284"/>
        <w:rPr/>
      </w:pPr>
      <w:r>
        <w:rPr/>
        <w:t>NOTE: This test case can be optionally executed for Release 7 and onward UE’s supporting LEE feature.</w:t>
      </w:r>
    </w:p>
    <w:p>
      <w:pPr>
        <w:pStyle w:val="Heading4"/>
        <w:ind w:left="1418" w:hanging="1418"/>
        <w:rPr/>
      </w:pPr>
      <w:bookmarkStart w:id="178" w:name="__RefHeading___Toc68601114"/>
      <w:bookmarkEnd w:id="178"/>
      <w:r>
        <w:rPr/>
        <w:t>6.3.1.2</w:t>
      </w:r>
      <w:r>
        <w:rPr>
          <w:rFonts w:cs="Calibri" w:ascii="Calibri" w:hAnsi="Calibri"/>
          <w:sz w:val="22"/>
          <w:szCs w:val="22"/>
        </w:rPr>
        <w:tab/>
      </w:r>
      <w:r>
        <w:rPr/>
        <w:t>Minimum Requirements</w:t>
      </w:r>
    </w:p>
    <w:p>
      <w:pPr>
        <w:pStyle w:val="Normal"/>
        <w:jc w:val="both"/>
        <w:rPr/>
      </w:pPr>
      <w:r>
        <w:rPr/>
        <w:t>The average TRP of low, mid and high channel of the LEE in the data transfers position shall be higher than minimum performance requirements for roaming bands shown in Table 6.3.1.2-1 for notebook devices and in 6.3.1.2-2 for tablet devices. The averaging shall be done in linear scale for the TRP results.</w:t>
      </w:r>
    </w:p>
    <w:p>
      <w:pPr>
        <w:pStyle w:val="Normal"/>
        <w:keepLines/>
        <w:tabs>
          <w:tab w:val="clear" w:pos="284"/>
          <w:tab w:val="center" w:pos="4536" w:leader="none"/>
          <w:tab w:val="right" w:pos="9072" w:leader="none"/>
        </w:tabs>
        <w:jc w:val="center"/>
        <w:rPr/>
      </w:pPr>
      <w:r>
        <w:rPr/>
        <w:drawing>
          <wp:inline distT="0" distB="0" distL="0" distR="0">
            <wp:extent cx="2895600" cy="508000"/>
            <wp:effectExtent l="0" t="0" r="0" b="0"/>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14"/>
                    <a:srcRect l="-12" t="-71" r="-12" b="-71"/>
                    <a:stretch>
                      <a:fillRect/>
                    </a:stretch>
                  </pic:blipFill>
                  <pic:spPr bwMode="auto">
                    <a:xfrm>
                      <a:off x="0" y="0"/>
                      <a:ext cx="2895600" cy="508000"/>
                    </a:xfrm>
                    <a:prstGeom prst="rect">
                      <a:avLst/>
                    </a:prstGeom>
                  </pic:spPr>
                </pic:pic>
              </a:graphicData>
            </a:graphic>
          </wp:inline>
        </w:drawing>
      </w:r>
    </w:p>
    <w:p>
      <w:pPr>
        <w:pStyle w:val="Normal"/>
        <w:rPr/>
      </w:pPr>
      <w:r>
        <w:rPr/>
        <w:t>In addition the minimum TRP of each measured channel in the data transfers position shall be higher than minimum performance requirements shown in the columns “Min”.</w:t>
      </w:r>
    </w:p>
    <w:p>
      <w:pPr>
        <w:pStyle w:val="Normal"/>
        <w:keepLines/>
        <w:tabs>
          <w:tab w:val="clear" w:pos="284"/>
          <w:tab w:val="center" w:pos="4536" w:leader="none"/>
          <w:tab w:val="right" w:pos="9072" w:leader="none"/>
        </w:tabs>
        <w:jc w:val="center"/>
        <w:rPr/>
      </w:pPr>
      <w:r>
        <w:rPr/>
        <w:drawing>
          <wp:inline distT="0" distB="0" distL="0" distR="0">
            <wp:extent cx="1752600" cy="241300"/>
            <wp:effectExtent l="0" t="0" r="0" b="0"/>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15"/>
                    <a:srcRect l="-21" t="-149" r="-21" b="-149"/>
                    <a:stretch>
                      <a:fillRect/>
                    </a:stretch>
                  </pic:blipFill>
                  <pic:spPr bwMode="auto">
                    <a:xfrm>
                      <a:off x="0" y="0"/>
                      <a:ext cx="1752600" cy="241300"/>
                    </a:xfrm>
                    <a:prstGeom prst="rect">
                      <a:avLst/>
                    </a:prstGeom>
                  </pic:spPr>
                </pic:pic>
              </a:graphicData>
            </a:graphic>
          </wp:inline>
        </w:drawing>
      </w:r>
    </w:p>
    <w:p>
      <w:pPr>
        <w:pStyle w:val="TH"/>
        <w:rPr/>
      </w:pPr>
      <w:r>
        <w:rPr/>
        <w:t>Table 6.3.1.2-1: TRP minimum performance requirement for UTRA FDD notebook devices in the data transfers position</w:t>
      </w:r>
    </w:p>
    <w:tbl>
      <w:tblPr>
        <w:tblW w:w="9639" w:type="dxa"/>
        <w:jc w:val="left"/>
        <w:tblInd w:w="421" w:type="dxa"/>
        <w:tblLayout w:type="fixed"/>
        <w:tblCellMar>
          <w:top w:w="0" w:type="dxa"/>
          <w:left w:w="108" w:type="dxa"/>
          <w:bottom w:w="0" w:type="dxa"/>
          <w:right w:w="108" w:type="dxa"/>
        </w:tblCellMar>
      </w:tblPr>
      <w:tblGrid>
        <w:gridCol w:w="1096"/>
        <w:gridCol w:w="1455"/>
        <w:gridCol w:w="1559"/>
        <w:gridCol w:w="993"/>
        <w:gridCol w:w="850"/>
        <w:gridCol w:w="992"/>
        <w:gridCol w:w="851"/>
        <w:gridCol w:w="992"/>
        <w:gridCol w:w="851"/>
      </w:tblGrid>
      <w:tr>
        <w:trPr/>
        <w:tc>
          <w:tcPr>
            <w:tcW w:w="1096" w:type="dxa"/>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Operating band</w:t>
            </w:r>
          </w:p>
        </w:tc>
        <w:tc>
          <w:tcPr>
            <w:tcW w:w="145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Power Class 1</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Power Class 2</w:t>
            </w:r>
          </w:p>
        </w:tc>
        <w:tc>
          <w:tcPr>
            <w:tcW w:w="1843" w:type="dxa"/>
            <w:gridSpan w:val="2"/>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Power Class 3</w:t>
            </w:r>
          </w:p>
        </w:tc>
        <w:tc>
          <w:tcPr>
            <w:tcW w:w="1843" w:type="dxa"/>
            <w:gridSpan w:val="2"/>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Power Class 3bis</w:t>
            </w:r>
          </w:p>
        </w:tc>
        <w:tc>
          <w:tcPr>
            <w:tcW w:w="1843" w:type="dxa"/>
            <w:gridSpan w:val="2"/>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Power Class 4</w:t>
            </w:r>
          </w:p>
        </w:tc>
      </w:tr>
      <w:tr>
        <w:trPr/>
        <w:tc>
          <w:tcPr>
            <w:tcW w:w="1096"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jc w:val="center"/>
              <w:rPr>
                <w:rFonts w:ascii="Arial" w:hAnsi="Arial" w:cs="Arial"/>
                <w:b/>
                <w:b/>
                <w:bCs/>
                <w:sz w:val="18"/>
              </w:rPr>
            </w:pPr>
            <w:r>
              <w:rPr>
                <w:rFonts w:cs="Arial" w:ascii="Arial" w:hAnsi="Arial"/>
                <w:b/>
                <w:bCs/>
                <w:sz w:val="18"/>
              </w:rPr>
            </w:r>
          </w:p>
        </w:tc>
        <w:tc>
          <w:tcPr>
            <w:tcW w:w="145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Power (dBm)</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Power (dBm)</w:t>
            </w:r>
          </w:p>
        </w:tc>
        <w:tc>
          <w:tcPr>
            <w:tcW w:w="1843" w:type="dxa"/>
            <w:gridSpan w:val="2"/>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Power (dBm)</w:t>
            </w:r>
          </w:p>
        </w:tc>
        <w:tc>
          <w:tcPr>
            <w:tcW w:w="1843" w:type="dxa"/>
            <w:gridSpan w:val="2"/>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Power (dBm)</w:t>
            </w:r>
          </w:p>
        </w:tc>
        <w:tc>
          <w:tcPr>
            <w:tcW w:w="1843" w:type="dxa"/>
            <w:gridSpan w:val="2"/>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Power (dBm)</w:t>
            </w:r>
          </w:p>
        </w:tc>
      </w:tr>
      <w:tr>
        <w:trPr/>
        <w:tc>
          <w:tcPr>
            <w:tcW w:w="1096"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jc w:val="center"/>
              <w:rPr>
                <w:rFonts w:ascii="Arial" w:hAnsi="Arial" w:cs="Arial"/>
                <w:b/>
                <w:b/>
                <w:bCs/>
                <w:sz w:val="18"/>
              </w:rPr>
            </w:pPr>
            <w:r>
              <w:rPr>
                <w:rFonts w:cs="Arial" w:ascii="Arial" w:hAnsi="Arial"/>
                <w:b/>
                <w:bCs/>
                <w:sz w:val="18"/>
              </w:rPr>
            </w:r>
          </w:p>
        </w:tc>
        <w:tc>
          <w:tcPr>
            <w:tcW w:w="1455"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jc w:val="center"/>
              <w:rPr>
                <w:rFonts w:ascii="Arial" w:hAnsi="Arial" w:cs="Arial"/>
                <w:b/>
                <w:b/>
                <w:bCs/>
                <w:sz w:val="18"/>
              </w:rPr>
            </w:pPr>
            <w:r>
              <w:rPr>
                <w:rFonts w:cs="Arial" w:ascii="Arial" w:hAnsi="Arial"/>
                <w:b/>
                <w:bCs/>
                <w:sz w:val="18"/>
              </w:rPr>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jc w:val="center"/>
              <w:rPr>
                <w:rFonts w:ascii="Arial" w:hAnsi="Arial" w:cs="Arial"/>
                <w:b/>
                <w:b/>
                <w:sz w:val="18"/>
              </w:rPr>
            </w:pPr>
            <w:r>
              <w:rPr>
                <w:rFonts w:cs="Arial" w:ascii="Arial" w:hAnsi="Arial"/>
                <w:b/>
                <w:sz w:val="18"/>
              </w:rPr>
            </w:r>
          </w:p>
        </w:tc>
        <w:tc>
          <w:tcPr>
            <w:tcW w:w="9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
                <w:sz w:val="18"/>
              </w:rPr>
              <w:t>Average</w:t>
            </w:r>
          </w:p>
        </w:tc>
        <w:tc>
          <w:tcPr>
            <w:tcW w:w="85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Min</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Average</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Min</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Average</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Min</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I</w:t>
            </w:r>
          </w:p>
        </w:tc>
        <w:tc>
          <w:tcPr>
            <w:tcW w:w="145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9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19.0</w:t>
            </w:r>
          </w:p>
        </w:tc>
        <w:tc>
          <w:tcPr>
            <w:tcW w:w="85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17.5</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II</w:t>
            </w:r>
          </w:p>
        </w:tc>
        <w:tc>
          <w:tcPr>
            <w:tcW w:w="145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9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III</w:t>
            </w:r>
          </w:p>
        </w:tc>
        <w:tc>
          <w:tcPr>
            <w:tcW w:w="145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9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IV</w:t>
            </w:r>
          </w:p>
        </w:tc>
        <w:tc>
          <w:tcPr>
            <w:tcW w:w="145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9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V</w:t>
            </w:r>
          </w:p>
        </w:tc>
        <w:tc>
          <w:tcPr>
            <w:tcW w:w="145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9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VI</w:t>
            </w:r>
          </w:p>
        </w:tc>
        <w:tc>
          <w:tcPr>
            <w:tcW w:w="145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9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rPr>
              <w:t>18.5</w:t>
            </w:r>
          </w:p>
        </w:tc>
        <w:tc>
          <w:tcPr>
            <w:tcW w:w="85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rPr>
              <w:t xml:space="preserve">16.5 </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VII</w:t>
            </w:r>
          </w:p>
        </w:tc>
        <w:tc>
          <w:tcPr>
            <w:tcW w:w="145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9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sz w:val="18"/>
              </w:rPr>
              <w:t>TBD</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VIII</w:t>
            </w:r>
          </w:p>
        </w:tc>
        <w:tc>
          <w:tcPr>
            <w:tcW w:w="145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9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18.5</w:t>
            </w:r>
          </w:p>
        </w:tc>
        <w:tc>
          <w:tcPr>
            <w:tcW w:w="85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16.5</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IX</w:t>
            </w:r>
          </w:p>
        </w:tc>
        <w:tc>
          <w:tcPr>
            <w:tcW w:w="145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9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XIX</w:t>
            </w:r>
          </w:p>
        </w:tc>
        <w:tc>
          <w:tcPr>
            <w:tcW w:w="145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9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18.5</w:t>
            </w:r>
          </w:p>
        </w:tc>
        <w:tc>
          <w:tcPr>
            <w:tcW w:w="85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 xml:space="preserve">16.5 </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r>
      <w:tr>
        <w:trPr/>
        <w:tc>
          <w:tcPr>
            <w:tcW w:w="9639" w:type="dxa"/>
            <w:gridSpan w:val="9"/>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851" w:hanging="851"/>
              <w:rPr>
                <w:rFonts w:ascii="Arial" w:hAnsi="Arial" w:cs="Arial"/>
                <w:sz w:val="18"/>
              </w:rPr>
            </w:pPr>
            <w:r>
              <w:rPr>
                <w:rFonts w:cs="Arial" w:ascii="Arial" w:hAnsi="Arial"/>
                <w:sz w:val="18"/>
              </w:rPr>
              <w:t>NOTE 1: Applicable for dual-mode GSM/UMTS.</w:t>
            </w:r>
          </w:p>
          <w:p>
            <w:pPr>
              <w:pStyle w:val="Normal"/>
              <w:keepNext w:val="true"/>
              <w:keepLines/>
              <w:spacing w:before="0" w:after="0"/>
              <w:ind w:left="851" w:hanging="851"/>
              <w:rPr>
                <w:rFonts w:ascii="Arial" w:hAnsi="Arial" w:cs="Arial"/>
                <w:b/>
                <w:b/>
                <w:bCs/>
                <w:sz w:val="18"/>
              </w:rPr>
            </w:pPr>
            <w:r>
              <w:rPr>
                <w:rFonts w:cs="Arial" w:ascii="Arial" w:hAnsi="Arial"/>
                <w:sz w:val="18"/>
              </w:rPr>
              <w:t>NOTE 2: Applicable for notebook devices.</w:t>
            </w:r>
          </w:p>
        </w:tc>
      </w:tr>
    </w:tbl>
    <w:p>
      <w:pPr>
        <w:pStyle w:val="Normal"/>
        <w:rPr/>
      </w:pPr>
      <w:r>
        <w:rPr/>
      </w:r>
    </w:p>
    <w:p>
      <w:pPr>
        <w:pStyle w:val="NO"/>
        <w:rPr/>
      </w:pPr>
      <w:r>
        <w:rPr/>
        <w:t>NOTE: TRP minimum performance requirements in Table 6.3.1.2-1 apply to HSPA and LTE UEs supporting only single carrier operation. Their applicability to multi-carrier operation is FFS. This is because it has not been verified whether the UEs measured to derive the requirements supported carrier aggregation or not.</w:t>
      </w:r>
    </w:p>
    <w:p>
      <w:pPr>
        <w:pStyle w:val="TH"/>
        <w:rPr/>
      </w:pPr>
      <w:r>
        <w:rPr/>
        <w:t>Table 6.3.1.2-2: TRP minimum performance requirement for UTRA FDD tablet devices in the data transfers position</w:t>
      </w:r>
    </w:p>
    <w:tbl>
      <w:tblPr>
        <w:tblW w:w="9639" w:type="dxa"/>
        <w:jc w:val="left"/>
        <w:tblInd w:w="421" w:type="dxa"/>
        <w:tblLayout w:type="fixed"/>
        <w:tblCellMar>
          <w:top w:w="0" w:type="dxa"/>
          <w:left w:w="108" w:type="dxa"/>
          <w:bottom w:w="0" w:type="dxa"/>
          <w:right w:w="108" w:type="dxa"/>
        </w:tblCellMar>
      </w:tblPr>
      <w:tblGrid>
        <w:gridCol w:w="1096"/>
        <w:gridCol w:w="1455"/>
        <w:gridCol w:w="1559"/>
        <w:gridCol w:w="993"/>
        <w:gridCol w:w="850"/>
        <w:gridCol w:w="992"/>
        <w:gridCol w:w="851"/>
        <w:gridCol w:w="992"/>
        <w:gridCol w:w="851"/>
      </w:tblGrid>
      <w:tr>
        <w:trPr/>
        <w:tc>
          <w:tcPr>
            <w:tcW w:w="1096" w:type="dxa"/>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Operating band</w:t>
            </w:r>
          </w:p>
        </w:tc>
        <w:tc>
          <w:tcPr>
            <w:tcW w:w="145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Power Class 1</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Power Class 2</w:t>
            </w:r>
          </w:p>
        </w:tc>
        <w:tc>
          <w:tcPr>
            <w:tcW w:w="1843" w:type="dxa"/>
            <w:gridSpan w:val="2"/>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Power Class 3</w:t>
            </w:r>
          </w:p>
        </w:tc>
        <w:tc>
          <w:tcPr>
            <w:tcW w:w="1843" w:type="dxa"/>
            <w:gridSpan w:val="2"/>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Power Class 3bis</w:t>
            </w:r>
          </w:p>
        </w:tc>
        <w:tc>
          <w:tcPr>
            <w:tcW w:w="1843" w:type="dxa"/>
            <w:gridSpan w:val="2"/>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Power Class 4</w:t>
            </w:r>
          </w:p>
        </w:tc>
      </w:tr>
      <w:tr>
        <w:trPr/>
        <w:tc>
          <w:tcPr>
            <w:tcW w:w="1096"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jc w:val="center"/>
              <w:rPr>
                <w:rFonts w:ascii="Arial" w:hAnsi="Arial" w:cs="Arial"/>
                <w:b/>
                <w:b/>
                <w:bCs/>
                <w:sz w:val="18"/>
              </w:rPr>
            </w:pPr>
            <w:r>
              <w:rPr>
                <w:rFonts w:cs="Arial" w:ascii="Arial" w:hAnsi="Arial"/>
                <w:b/>
                <w:bCs/>
                <w:sz w:val="18"/>
              </w:rPr>
            </w:r>
          </w:p>
        </w:tc>
        <w:tc>
          <w:tcPr>
            <w:tcW w:w="145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Power (dBm)</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Power (dBm)</w:t>
            </w:r>
          </w:p>
        </w:tc>
        <w:tc>
          <w:tcPr>
            <w:tcW w:w="1843" w:type="dxa"/>
            <w:gridSpan w:val="2"/>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Power (dBm)</w:t>
            </w:r>
          </w:p>
        </w:tc>
        <w:tc>
          <w:tcPr>
            <w:tcW w:w="1843" w:type="dxa"/>
            <w:gridSpan w:val="2"/>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Power (dBm)</w:t>
            </w:r>
          </w:p>
        </w:tc>
        <w:tc>
          <w:tcPr>
            <w:tcW w:w="1843" w:type="dxa"/>
            <w:gridSpan w:val="2"/>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
                <w:sz w:val="18"/>
              </w:rPr>
              <w:t>Power (dBm)</w:t>
            </w:r>
          </w:p>
        </w:tc>
      </w:tr>
      <w:tr>
        <w:trPr/>
        <w:tc>
          <w:tcPr>
            <w:tcW w:w="1096"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jc w:val="center"/>
              <w:rPr>
                <w:rFonts w:ascii="Arial" w:hAnsi="Arial" w:cs="Arial"/>
                <w:b/>
                <w:b/>
                <w:bCs/>
                <w:sz w:val="18"/>
              </w:rPr>
            </w:pPr>
            <w:r>
              <w:rPr>
                <w:rFonts w:cs="Arial" w:ascii="Arial" w:hAnsi="Arial"/>
                <w:b/>
                <w:bCs/>
                <w:sz w:val="18"/>
              </w:rPr>
            </w:r>
          </w:p>
        </w:tc>
        <w:tc>
          <w:tcPr>
            <w:tcW w:w="1455"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jc w:val="center"/>
              <w:rPr>
                <w:rFonts w:ascii="Arial" w:hAnsi="Arial" w:cs="Arial"/>
                <w:b/>
                <w:b/>
                <w:bCs/>
                <w:sz w:val="18"/>
              </w:rPr>
            </w:pPr>
            <w:r>
              <w:rPr>
                <w:rFonts w:cs="Arial" w:ascii="Arial" w:hAnsi="Arial"/>
                <w:b/>
                <w:bCs/>
                <w:sz w:val="18"/>
              </w:rPr>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jc w:val="center"/>
              <w:rPr>
                <w:rFonts w:ascii="Arial" w:hAnsi="Arial" w:cs="Arial"/>
                <w:b/>
                <w:b/>
                <w:sz w:val="18"/>
              </w:rPr>
            </w:pPr>
            <w:r>
              <w:rPr>
                <w:rFonts w:cs="Arial" w:ascii="Arial" w:hAnsi="Arial"/>
                <w:b/>
                <w:sz w:val="18"/>
              </w:rPr>
            </w:r>
          </w:p>
        </w:tc>
        <w:tc>
          <w:tcPr>
            <w:tcW w:w="9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Average</w:t>
            </w:r>
          </w:p>
        </w:tc>
        <w:tc>
          <w:tcPr>
            <w:tcW w:w="85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Min</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Average</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Min</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Average</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Min</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I</w:t>
            </w:r>
          </w:p>
        </w:tc>
        <w:tc>
          <w:tcPr>
            <w:tcW w:w="145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9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19.0</w:t>
            </w:r>
          </w:p>
        </w:tc>
        <w:tc>
          <w:tcPr>
            <w:tcW w:w="85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17.5</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II</w:t>
            </w:r>
          </w:p>
        </w:tc>
        <w:tc>
          <w:tcPr>
            <w:tcW w:w="145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9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III</w:t>
            </w:r>
          </w:p>
        </w:tc>
        <w:tc>
          <w:tcPr>
            <w:tcW w:w="145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9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IV</w:t>
            </w:r>
          </w:p>
        </w:tc>
        <w:tc>
          <w:tcPr>
            <w:tcW w:w="145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9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V</w:t>
            </w:r>
          </w:p>
        </w:tc>
        <w:tc>
          <w:tcPr>
            <w:tcW w:w="145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9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17.0</w:t>
            </w:r>
          </w:p>
        </w:tc>
        <w:tc>
          <w:tcPr>
            <w:tcW w:w="85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15.0</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VI</w:t>
            </w:r>
          </w:p>
        </w:tc>
        <w:tc>
          <w:tcPr>
            <w:tcW w:w="145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9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VII</w:t>
            </w:r>
          </w:p>
        </w:tc>
        <w:tc>
          <w:tcPr>
            <w:tcW w:w="145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9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VIII</w:t>
            </w:r>
          </w:p>
        </w:tc>
        <w:tc>
          <w:tcPr>
            <w:tcW w:w="145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9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IX</w:t>
            </w:r>
          </w:p>
        </w:tc>
        <w:tc>
          <w:tcPr>
            <w:tcW w:w="145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9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XIX</w:t>
            </w:r>
          </w:p>
        </w:tc>
        <w:tc>
          <w:tcPr>
            <w:tcW w:w="145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9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17.0</w:t>
            </w:r>
          </w:p>
        </w:tc>
        <w:tc>
          <w:tcPr>
            <w:tcW w:w="85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15.0</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99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c>
          <w:tcPr>
            <w:tcW w:w="8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TBD</w:t>
            </w:r>
          </w:p>
        </w:tc>
      </w:tr>
      <w:tr>
        <w:trPr/>
        <w:tc>
          <w:tcPr>
            <w:tcW w:w="9639" w:type="dxa"/>
            <w:gridSpan w:val="9"/>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851" w:hanging="851"/>
              <w:rPr>
                <w:rFonts w:ascii="Arial" w:hAnsi="Arial" w:cs="Arial"/>
                <w:sz w:val="18"/>
              </w:rPr>
            </w:pPr>
            <w:r>
              <w:rPr>
                <w:rFonts w:cs="Arial" w:ascii="Arial" w:hAnsi="Arial"/>
                <w:sz w:val="18"/>
              </w:rPr>
              <w:t>NOTE 1: Applicable for dual-mode GSM/UMTS.</w:t>
            </w:r>
          </w:p>
          <w:p>
            <w:pPr>
              <w:pStyle w:val="Normal"/>
              <w:keepNext w:val="true"/>
              <w:keepLines/>
              <w:spacing w:before="0" w:after="0"/>
              <w:ind w:left="851" w:hanging="851"/>
              <w:rPr>
                <w:rFonts w:ascii="Arial" w:hAnsi="Arial" w:cs="Arial"/>
                <w:b/>
                <w:b/>
                <w:bCs/>
                <w:sz w:val="18"/>
              </w:rPr>
            </w:pPr>
            <w:r>
              <w:rPr>
                <w:rFonts w:cs="Arial" w:ascii="Arial" w:hAnsi="Arial"/>
                <w:sz w:val="18"/>
              </w:rPr>
              <w:t>NOTE 2: Applicable for tablet devices with two antennas.</w:t>
            </w:r>
          </w:p>
        </w:tc>
      </w:tr>
    </w:tbl>
    <w:p>
      <w:pPr>
        <w:pStyle w:val="Normal"/>
        <w:rPr/>
      </w:pPr>
      <w:r>
        <w:rPr/>
      </w:r>
    </w:p>
    <w:p>
      <w:pPr>
        <w:pStyle w:val="Normal"/>
        <w:rPr/>
      </w:pPr>
      <w:r>
        <w:rPr/>
        <w:t>The normative reference for this clause is TS37.144 [12] Subclause 6.3.2.</w:t>
      </w:r>
    </w:p>
    <w:p>
      <w:pPr>
        <w:pStyle w:val="Heading4"/>
        <w:ind w:left="1418" w:hanging="1418"/>
        <w:rPr/>
      </w:pPr>
      <w:bookmarkStart w:id="179" w:name="__RefHeading___Toc68601115"/>
      <w:bookmarkEnd w:id="179"/>
      <w:r>
        <w:rPr/>
        <w:t>6.3.1.3</w:t>
      </w:r>
      <w:r>
        <w:rPr>
          <w:rFonts w:cs="Calibri" w:ascii="Calibri" w:hAnsi="Calibri"/>
          <w:sz w:val="22"/>
          <w:szCs w:val="22"/>
        </w:rPr>
        <w:tab/>
      </w:r>
      <w:r>
        <w:rPr/>
        <w:t>Test purpose</w:t>
      </w:r>
    </w:p>
    <w:p>
      <w:pPr>
        <w:pStyle w:val="Normal"/>
        <w:rPr/>
      </w:pPr>
      <w:r>
        <w:rPr/>
        <w:t xml:space="preserve">The purpose of this test is to verify that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 xml:space="preserve">of the UE is not below specified values. A lower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decrease the coverage area.</w:t>
      </w:r>
    </w:p>
    <w:p>
      <w:pPr>
        <w:pStyle w:val="Heading4"/>
        <w:ind w:left="1418" w:hanging="1418"/>
        <w:rPr/>
      </w:pPr>
      <w:bookmarkStart w:id="180" w:name="__RefHeading___Toc68601116"/>
      <w:bookmarkEnd w:id="180"/>
      <w:r>
        <w:rPr/>
        <w:t>6.3.1.4</w:t>
      </w:r>
      <w:r>
        <w:rPr>
          <w:rFonts w:cs="Calibri" w:ascii="Calibri" w:hAnsi="Calibri"/>
          <w:sz w:val="22"/>
          <w:szCs w:val="22"/>
        </w:rPr>
        <w:tab/>
      </w:r>
      <w:r>
        <w:rPr/>
        <w:t>Method of test</w:t>
      </w:r>
    </w:p>
    <w:p>
      <w:pPr>
        <w:pStyle w:val="Heading4"/>
        <w:ind w:left="1418" w:hanging="1418"/>
        <w:rPr/>
      </w:pPr>
      <w:bookmarkStart w:id="181" w:name="__RefHeading___Toc68601117"/>
      <w:bookmarkEnd w:id="181"/>
      <w:r>
        <w:rPr/>
        <w:t>6.3.1.4.1</w:t>
      </w:r>
      <w:r>
        <w:rPr>
          <w:rFonts w:cs="Calibri" w:ascii="Calibri" w:hAnsi="Calibri"/>
          <w:sz w:val="22"/>
          <w:szCs w:val="22"/>
        </w:rPr>
        <w:tab/>
      </w:r>
      <w:r>
        <w:rPr/>
        <w:t>Initial conditions</w:t>
      </w:r>
    </w:p>
    <w:p>
      <w:pPr>
        <w:pStyle w:val="Normal"/>
        <w:rPr/>
      </w:pPr>
      <w:r>
        <w:rPr/>
        <w:t xml:space="preserve">The output power is a measure of the maximum power the UE can transmit in a bandwidth of at least (1+ </w:t>
      </w:r>
      <w:r>
        <w:rPr>
          <w:rFonts w:cs="Symbol" w:ascii="Symbol" w:hAnsi="Symbol"/>
        </w:rPr>
        <w:t></w:t>
      </w:r>
      <w:r>
        <w:rPr/>
        <w:t xml:space="preserve"> times the chip rate of the radio access mode, for more information see 3GPP TS 34.121-1 [7] Subclause 5.2. The period of measurement shall be at least one timeslot. Also care should be taken that the noise floor of the measurement receiver is not disturbing the power measurement.</w:t>
      </w:r>
    </w:p>
    <w:p>
      <w:pPr>
        <w:pStyle w:val="Normal"/>
        <w:rPr/>
      </w:pPr>
      <w:r>
        <w:rPr/>
        <w:t>The LEE shall be tested according</w:t>
      </w:r>
      <w:r>
        <w:rPr>
          <w:lang w:eastAsia="zh-CN"/>
        </w:rPr>
        <w:t xml:space="preserve"> to DUT positioning described in Subclause 4.3.5.</w:t>
      </w:r>
    </w:p>
    <w:p>
      <w:pPr>
        <w:pStyle w:val="Normal"/>
        <w:rPr/>
      </w:pPr>
      <w:r>
        <w:rPr/>
        <w:t>Test environment: normal; see TS34.121-1 [7] Subclause G.2.1.</w:t>
      </w:r>
    </w:p>
    <w:p>
      <w:pPr>
        <w:pStyle w:val="Normal"/>
        <w:rPr/>
      </w:pPr>
      <w:r>
        <w:rPr/>
        <w:t>Frequencies to be tested: low range, mid range, high range; see Table 5.1-2.</w:t>
      </w:r>
    </w:p>
    <w:p>
      <w:pPr>
        <w:pStyle w:val="Normal"/>
        <w:ind w:left="568" w:hanging="284"/>
        <w:rPr/>
      </w:pPr>
      <w:r>
        <w:rPr/>
        <w:t>1)</w:t>
        <w:tab/>
        <w:t>Set the SS downlink physical channels according to settings in Table 6.3.1.4.1-1. Set the DPCH power such that there will not be transmission gaps due to too low signal strength throughout the measurement.</w:t>
      </w:r>
    </w:p>
    <w:p>
      <w:pPr>
        <w:pStyle w:val="Normal"/>
        <w:ind w:left="568" w:hanging="284"/>
        <w:rPr/>
      </w:pPr>
      <w:r>
        <w:rPr/>
        <w:t>2)</w:t>
        <w:tab/>
        <w:t>Power on the UE.</w:t>
      </w:r>
    </w:p>
    <w:p>
      <w:pPr>
        <w:pStyle w:val="Normal"/>
        <w:ind w:left="568" w:hanging="284"/>
        <w:rPr/>
      </w:pPr>
      <w:r>
        <w:rPr/>
        <w:t>3)</w:t>
        <w:tab/>
        <w:t>A call is set up according to the Generic call setup procedure. The power control algorithm shall be set to Power Control Algorithm 2. Compressed mode shall be set to OFF.</w:t>
      </w:r>
    </w:p>
    <w:p>
      <w:pPr>
        <w:pStyle w:val="Normal"/>
        <w:ind w:left="568" w:hanging="284"/>
        <w:rPr/>
      </w:pPr>
      <w:r>
        <w:rPr/>
        <w:t>4)</w:t>
        <w:tab/>
        <w:t>Enter the UE into loopback test mode 2 and start the loopback test.</w:t>
      </w:r>
    </w:p>
    <w:p>
      <w:pPr>
        <w:pStyle w:val="Normal"/>
        <w:rPr/>
      </w:pPr>
      <w:r>
        <w:rPr/>
        <w:t>See TS 34.108 [4] and TS 34.109 [5] for details regarding generic call setup procedure and loopback test.</w:t>
      </w:r>
    </w:p>
    <w:p>
      <w:pPr>
        <w:pStyle w:val="TH"/>
        <w:rPr/>
      </w:pPr>
      <w:r>
        <w:rPr/>
        <w:t>Table 6.3.1.4.1-1: Downlink Physical Channels transmitted during a connection</w:t>
      </w:r>
    </w:p>
    <w:tbl>
      <w:tblPr>
        <w:tblW w:w="6612" w:type="dxa"/>
        <w:jc w:val="left"/>
        <w:tblInd w:w="1553" w:type="dxa"/>
        <w:tblLayout w:type="fixed"/>
        <w:tblCellMar>
          <w:top w:w="0" w:type="dxa"/>
          <w:left w:w="108" w:type="dxa"/>
          <w:bottom w:w="0" w:type="dxa"/>
          <w:right w:w="108" w:type="dxa"/>
        </w:tblCellMar>
      </w:tblPr>
      <w:tblGrid>
        <w:gridCol w:w="2301"/>
        <w:gridCol w:w="4311"/>
      </w:tblGrid>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Physical Channel</w:t>
            </w:r>
          </w:p>
        </w:tc>
        <w:tc>
          <w:tcPr>
            <w:tcW w:w="4311"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Power</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cs="Arial"/>
                <w:sz w:val="18"/>
              </w:rPr>
            </w:pPr>
            <w:r>
              <w:rPr>
                <w:rFonts w:cs="Arial" w:ascii="Arial" w:hAnsi="Arial"/>
                <w:sz w:val="18"/>
              </w:rPr>
              <w:t>CPICH</w:t>
            </w:r>
          </w:p>
        </w:tc>
        <w:tc>
          <w:tcPr>
            <w:tcW w:w="4311"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cs="Arial"/>
                <w:sz w:val="18"/>
              </w:rPr>
            </w:pPr>
            <w:r>
              <w:rPr>
                <w:rFonts w:cs="Arial" w:ascii="Arial" w:hAnsi="Arial"/>
                <w:sz w:val="18"/>
              </w:rPr>
              <w:t>CPICH_Ec / DPCH_Ec</w:t>
              <w:tab/>
              <w:tab/>
              <w:t>= 7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cs="Arial"/>
                <w:sz w:val="18"/>
              </w:rPr>
            </w:pPr>
            <w:r>
              <w:rPr>
                <w:rFonts w:cs="Arial" w:ascii="Arial" w:hAnsi="Arial"/>
                <w:sz w:val="18"/>
              </w:rPr>
              <w:t>P-CCPCH</w:t>
            </w:r>
          </w:p>
        </w:tc>
        <w:tc>
          <w:tcPr>
            <w:tcW w:w="4311"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cs="Arial"/>
                <w:sz w:val="18"/>
              </w:rPr>
            </w:pPr>
            <w:r>
              <w:rPr>
                <w:rFonts w:cs="Arial" w:ascii="Arial" w:hAnsi="Arial"/>
                <w:sz w:val="18"/>
              </w:rPr>
              <w:t>P-CCPCH_Ec / DPCH_Ec</w:t>
              <w:tab/>
              <w:t>= 5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cs="Arial"/>
                <w:sz w:val="18"/>
              </w:rPr>
            </w:pPr>
            <w:r>
              <w:rPr>
                <w:rFonts w:cs="Arial" w:ascii="Arial" w:hAnsi="Arial"/>
                <w:sz w:val="18"/>
              </w:rPr>
              <w:t>SCH</w:t>
            </w:r>
          </w:p>
        </w:tc>
        <w:tc>
          <w:tcPr>
            <w:tcW w:w="4311"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cs="Arial"/>
                <w:sz w:val="18"/>
              </w:rPr>
            </w:pPr>
            <w:r>
              <w:rPr>
                <w:rFonts w:cs="Arial" w:ascii="Arial" w:hAnsi="Arial"/>
                <w:sz w:val="18"/>
              </w:rPr>
              <w:t>SCH_Ec / DPCH_Ec</w:t>
              <w:tab/>
              <w:tab/>
              <w:tab/>
              <w:t>= 5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cs="Arial"/>
                <w:sz w:val="18"/>
              </w:rPr>
            </w:pPr>
            <w:r>
              <w:rPr>
                <w:rFonts w:cs="Arial" w:ascii="Arial" w:hAnsi="Arial"/>
                <w:sz w:val="18"/>
              </w:rPr>
              <w:t>PICH</w:t>
            </w:r>
          </w:p>
        </w:tc>
        <w:tc>
          <w:tcPr>
            <w:tcW w:w="4311"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cs="Arial"/>
                <w:sz w:val="18"/>
              </w:rPr>
            </w:pPr>
            <w:r>
              <w:rPr>
                <w:rFonts w:cs="Arial" w:ascii="Arial" w:hAnsi="Arial"/>
                <w:sz w:val="18"/>
              </w:rPr>
              <w:t>PICH_Ec / DPCH_Ec</w:t>
              <w:tab/>
              <w:tab/>
              <w:t>= 2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cs="Arial"/>
                <w:sz w:val="18"/>
              </w:rPr>
            </w:pPr>
            <w:r>
              <w:rPr>
                <w:rFonts w:cs="Arial" w:ascii="Arial" w:hAnsi="Arial"/>
                <w:sz w:val="18"/>
              </w:rPr>
              <w:t>DPCH</w:t>
            </w:r>
          </w:p>
        </w:tc>
        <w:tc>
          <w:tcPr>
            <w:tcW w:w="4311"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cs="Arial"/>
                <w:sz w:val="18"/>
              </w:rPr>
            </w:pPr>
            <w:r>
              <w:rPr>
                <w:rFonts w:cs="Arial" w:ascii="Arial" w:hAnsi="Arial"/>
                <w:sz w:val="18"/>
              </w:rPr>
              <w:t>Test dependent power</w:t>
            </w:r>
          </w:p>
        </w:tc>
      </w:tr>
    </w:tbl>
    <w:p>
      <w:pPr>
        <w:pStyle w:val="Normal"/>
        <w:rPr/>
      </w:pPr>
      <w:r>
        <w:rPr/>
      </w:r>
    </w:p>
    <w:p>
      <w:pPr>
        <w:pStyle w:val="Heading4"/>
        <w:ind w:left="1418" w:hanging="1418"/>
        <w:rPr/>
      </w:pPr>
      <w:bookmarkStart w:id="182" w:name="__RefHeading___Toc68601118"/>
      <w:bookmarkEnd w:id="182"/>
      <w:r>
        <w:rPr/>
        <w:t>6.3.1.4.2</w:t>
      </w:r>
      <w:r>
        <w:rPr>
          <w:rFonts w:cs="Calibri" w:ascii="Calibri" w:hAnsi="Calibri"/>
          <w:sz w:val="22"/>
          <w:szCs w:val="22"/>
        </w:rPr>
        <w:tab/>
      </w:r>
      <w:r>
        <w:rPr/>
        <w:t>Procedure</w:t>
      </w:r>
    </w:p>
    <w:p>
      <w:pPr>
        <w:pStyle w:val="B1"/>
        <w:rPr/>
      </w:pPr>
      <w:r>
        <w:rPr/>
        <w:t>1)</w:t>
        <w:tab/>
        <w:t>Send continuously Up power control commands to the UE.</w:t>
      </w:r>
    </w:p>
    <w:p>
      <w:pPr>
        <w:pStyle w:val="B1"/>
        <w:rPr/>
      </w:pPr>
      <w:r>
        <w:rPr/>
        <w:t>2)</w:t>
        <w:tab/>
        <w:t>As the UE reaches maximum power, start sending PN15 data pattern.</w:t>
      </w:r>
    </w:p>
    <w:p>
      <w:pPr>
        <w:pStyle w:val="B1"/>
        <w:rPr/>
      </w:pPr>
      <w:r>
        <w:rPr/>
        <w:t>3)</w:t>
        <w:tab/>
        <w:t xml:space="preserve">Position and configure the LEE according to </w:t>
      </w:r>
      <w:r>
        <w:rPr>
          <w:lang w:eastAsia="zh-CN"/>
        </w:rPr>
        <w:t>Subclause 4.3.5.</w:t>
      </w:r>
    </w:p>
    <w:p>
      <w:pPr>
        <w:pStyle w:val="B1"/>
        <w:rPr/>
      </w:pPr>
      <w:r>
        <w:rPr/>
        <w:t>4)</w:t>
        <w:tab/>
        <w:t xml:space="preserve">Measure the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θ</m:t>
            </m:r>
          </m:sub>
        </m:sSub>
      </m:oMath>
      <w:r>
        <w:rPr/>
        <w:t xml:space="preserve"> and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ϕ</m:t>
            </m:r>
          </m:sub>
        </m:sSub>
      </m:oMath>
      <w:r>
        <w:rPr/>
        <w:t xml:space="preserve"> with a sample step of 15° in theta (</w:t>
      </w:r>
      <w:r>
        <w:rPr>
          <w:rFonts w:eastAsia="Symbol" w:cs="Symbol" w:ascii="Symbol" w:hAnsi="Symbol"/>
        </w:rPr>
        <w:t></w:t>
      </w:r>
      <w:r>
        <w:rPr/>
        <w:t>) and phi (</w:t>
      </w:r>
      <w:r>
        <w:rPr>
          <w:rFonts w:eastAsia="Symbol" w:cs="Symbol" w:ascii="Symbol" w:hAnsi="Symbol"/>
        </w:rPr>
        <w:t></w:t>
      </w:r>
      <w:r>
        <w:rPr/>
        <w:t>) directions using a test system having characteristics as described in Annex A.</w:t>
      </w:r>
    </w:p>
    <w:p>
      <w:pPr>
        <w:pStyle w:val="B1"/>
        <w:rPr/>
      </w:pPr>
      <w:r>
        <w:rPr/>
        <w:t>5)</w:t>
        <w:tab/>
        <w:t xml:space="preserve">Calculate TRP using equations from </w:t>
      </w:r>
      <w:r>
        <w:rPr>
          <w:lang w:eastAsia="zh-CN"/>
        </w:rPr>
        <w:t>Subclause 6.3.1.2.</w:t>
      </w:r>
    </w:p>
    <w:p>
      <w:pPr>
        <w:pStyle w:val="NO"/>
        <w:rPr/>
      </w:pPr>
      <w:r>
        <w:rPr/>
        <w:t>NOTE 1:</w:t>
        <w:tab/>
        <w:t>The measurement procedure is based on the measurement of the spherical radiation pattern of the DUT. The power radiated by the DUT is sampled in far field in a group of points located on a spherical surface enclosing the DUT. The EIRP samples are taken using a constant sample step of 15° both in theta (</w:t>
      </w:r>
      <w:r>
        <w:rPr>
          <w:rFonts w:eastAsia="Symbol" w:cs="Symbol" w:ascii="Symbol" w:hAnsi="Symbol"/>
        </w:rPr>
        <w:t></w:t>
      </w:r>
      <w:r>
        <w:rPr/>
        <w:t>) and phi (</w:t>
      </w:r>
      <w:r>
        <w:rPr>
          <w:rFonts w:eastAsia="Symbol" w:cs="Symbol" w:ascii="Symbol" w:hAnsi="Symbol"/>
        </w:rPr>
        <w:t></w:t>
      </w:r>
      <w:r>
        <w:rPr/>
        <w:t xml:space="preserve">) directions. In some cases a different sampling grid may be used to speed up the measurements (See Subclause 4.4). All the EIRP samples are taken with two orthogonal polarizations,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-polarisations.</w:t>
      </w:r>
    </w:p>
    <w:p>
      <w:pPr>
        <w:pStyle w:val="NO"/>
        <w:rPr/>
      </w:pPr>
      <w:r>
        <w:rPr/>
        <w:t>NOTE 2:</w:t>
        <w:tab/>
        <w:t>The noise floor of the measurement receiver shall not disturb the power measurement.</w:t>
      </w:r>
    </w:p>
    <w:p>
      <w:pPr>
        <w:pStyle w:val="NO"/>
        <w:rPr/>
      </w:pPr>
      <w:r>
        <w:rPr/>
        <w:t>NOTE 3:</w:t>
        <w:tab/>
        <w:t>Non Standard settings: To speed up sensitivity measurements, power measurements may be done with non standard modulation. However to obtain TRP result the measured EIRP figures shall be normalized by</w:t>
      </w:r>
    </w:p>
    <w:p>
      <w:pPr>
        <w:pStyle w:val="EQ"/>
        <w:ind w:left="284" w:hanging="0"/>
        <w:jc w:val="center"/>
        <w:rPr>
          <w:lang w:val="en-GB" w:eastAsia="en-GB"/>
        </w:rPr>
      </w:pPr>
      <w:r>
        <w:rPr>
          <w:lang w:val="en-GB" w:eastAsia="en-GB"/>
        </w:rPr>
      </w:r>
      <m:oMathPara xmlns:m="http://schemas.openxmlformats.org/officeDocument/2006/math">
        <m:oMathParaPr>
          <m:jc m:val="center"/>
        </m:oMathParaPr>
        <m:oMath>
          <m:r>
            <w:rPr>
              <w:rFonts w:ascii="Cambria Math" w:hAnsi="Cambria Math"/>
            </w:rPr>
            <m:t xml:space="preserve">Δ</m:t>
          </m:r>
          <m:bar>
            <m:barPr>
              <m:pos m:val="top"/>
            </m:barPr>
            <m:e>
              <m:r>
                <m:rPr>
                  <m:lit/>
                  <m:nor/>
                </m:rPr>
                <w:rPr>
                  <w:rFonts w:ascii="Cambria Math" w:hAnsi="Cambria Math"/>
                </w:rPr>
                <m:t xml:space="preserve">EIRP</m:t>
              </m:r>
            </m:e>
          </m:ba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m:rPr>
                          <m:lit/>
                          <m:nor/>
                        </m:rPr>
                        <w:rPr>
                          <w:rFonts w:ascii="Cambria Math" w:hAnsi="Cambria Math"/>
                        </w:rPr>
                        <m:t xml:space="preserve">EIRPstd</m:t>
                      </m:r>
                    </m:e>
                    <m:sub>
                      <m:r>
                        <w:rPr>
                          <w:rFonts w:ascii="Cambria Math" w:hAnsi="Cambria Math"/>
                        </w:rPr>
                        <m:t xml:space="preserve">i</m:t>
                      </m:r>
                    </m:sub>
                  </m:sSub>
                  <m:r>
                    <w:rPr>
                      <w:rFonts w:ascii="Cambria Math" w:hAnsi="Cambria Math"/>
                    </w:rPr>
                    <m:t xml:space="preserve">−</m:t>
                  </m:r>
                  <m:sSub>
                    <m:e>
                      <m:r>
                        <m:rPr>
                          <m:lit/>
                          <m:nor/>
                        </m:rPr>
                        <w:rPr>
                          <w:rFonts w:ascii="Cambria Math" w:hAnsi="Cambria Math"/>
                        </w:rPr>
                        <m:t xml:space="preserve">EIRPnstd</m:t>
                      </m:r>
                    </m:e>
                    <m:sub>
                      <m:r>
                        <w:rPr>
                          <w:rFonts w:ascii="Cambria Math" w:hAnsi="Cambria Math"/>
                        </w:rPr>
                        <m:t xml:space="preserve">i</m:t>
                      </m:r>
                    </m:sub>
                  </m:sSub>
                </m:e>
              </m:d>
            </m:e>
          </m:nary>
        </m:oMath>
      </m:oMathPara>
    </w:p>
    <w:p>
      <w:pPr>
        <w:pStyle w:val="Normal"/>
        <w:ind w:left="284" w:hanging="0"/>
        <w:rPr/>
      </w:pPr>
      <w:r>
        <w:rPr/>
        <w:t xml:space="preserve">where </w:t>
      </w:r>
      <w:r>
        <w:rPr/>
      </w:r>
      <m:oMath xmlns:m="http://schemas.openxmlformats.org/officeDocument/2006/math">
        <m:sSub>
          <m:e>
            <m:r>
              <m:rPr>
                <m:lit/>
                <m:nor/>
              </m:rPr>
              <w:rPr>
                <w:rFonts w:ascii="Cambria Math" w:hAnsi="Cambria Math"/>
              </w:rPr>
              <m:t xml:space="preserve">EIRPstd</m:t>
            </m:r>
          </m:e>
          <m:sub>
            <m:r>
              <w:rPr>
                <w:rFonts w:ascii="Cambria Math" w:hAnsi="Cambria Math"/>
              </w:rPr>
              <m:t xml:space="preserve">i</m:t>
            </m:r>
          </m:sub>
        </m:sSub>
      </m:oMath>
      <w:r>
        <w:rPr/>
        <w:t xml:space="preserve"> is power measurement done with standard setting. </w:t>
      </w:r>
      <w:r>
        <w:rPr/>
      </w:r>
      <m:oMath xmlns:m="http://schemas.openxmlformats.org/officeDocument/2006/math">
        <m:sSub>
          <m:e>
            <m:r>
              <m:rPr>
                <m:lit/>
                <m:nor/>
              </m:rPr>
              <w:rPr>
                <w:rFonts w:ascii="Cambria Math" w:hAnsi="Cambria Math"/>
              </w:rPr>
              <m:t xml:space="preserve">EIRPnstd</m:t>
            </m:r>
          </m:e>
          <m:sub>
            <m:r>
              <w:rPr>
                <w:rFonts w:ascii="Cambria Math" w:hAnsi="Cambria Math"/>
              </w:rPr>
              <m:t xml:space="preserve">i</m:t>
            </m:r>
          </m:sub>
        </m:sSub>
      </m:oMath>
      <w:r>
        <w:rPr/>
        <w:t xml:space="preserve"> is power measurement done with non standard modulation. </w:t>
      </w:r>
      <w:r>
        <w:rPr/>
      </w:r>
      <m:oMath xmlns:m="http://schemas.openxmlformats.org/officeDocument/2006/math">
        <m:r>
          <w:rPr>
            <w:rFonts w:ascii="Cambria Math" w:hAnsi="Cambria Math"/>
          </w:rPr>
          <m:t xml:space="preserve">n</m:t>
        </m:r>
      </m:oMath>
      <w:r>
        <w:rPr/>
        <w:t xml:space="preserve"> is amount of reference measurement points.</w:t>
      </w:r>
    </w:p>
    <w:p>
      <w:pPr>
        <w:pStyle w:val="Normal"/>
        <w:rPr/>
      </w:pPr>
      <w:r>
        <w:rPr/>
        <w:t>To ensure accuracy of TRP, the amount of reference points measured should be at least 4. It is recommended to spread the reference measurements equally during the measurement time.</w:t>
      </w:r>
    </w:p>
    <w:p>
      <w:pPr>
        <w:pStyle w:val="Heading4"/>
        <w:ind w:left="1418" w:hanging="1418"/>
        <w:rPr/>
      </w:pPr>
      <w:bookmarkStart w:id="183" w:name="__RefHeading___Toc68601119"/>
      <w:bookmarkEnd w:id="183"/>
      <w:r>
        <w:rPr/>
        <w:t>6.3.1.4.3</w:t>
      </w:r>
      <w:r>
        <w:rPr>
          <w:rFonts w:cs="Calibri" w:ascii="Calibri" w:hAnsi="Calibri"/>
          <w:sz w:val="22"/>
          <w:szCs w:val="22"/>
        </w:rPr>
        <w:tab/>
      </w:r>
      <w:r>
        <w:rPr/>
        <w:t>Procedure, reverberation chamber method</w:t>
      </w:r>
    </w:p>
    <w:p>
      <w:pPr>
        <w:pStyle w:val="B1"/>
        <w:rPr/>
      </w:pPr>
      <w:r>
        <w:rPr/>
        <w:t>1)</w:t>
        <w:tab/>
        <w:t>Send continuously Up power control commands to the UE.</w:t>
      </w:r>
    </w:p>
    <w:p>
      <w:pPr>
        <w:pStyle w:val="B1"/>
        <w:rPr/>
      </w:pPr>
      <w:r>
        <w:rPr/>
        <w:t>2)</w:t>
        <w:tab/>
        <w:t>As the UE reaches maximum power, start sending PN15 data pattern.</w:t>
      </w:r>
    </w:p>
    <w:p>
      <w:pPr>
        <w:pStyle w:val="B1"/>
        <w:rPr/>
      </w:pPr>
      <w:r>
        <w:rPr/>
        <w:t>3)</w:t>
        <w:tab/>
        <w:t xml:space="preserve">Position and configure the LEE according to </w:t>
      </w:r>
      <w:r>
        <w:rPr>
          <w:lang w:eastAsia="zh-CN"/>
        </w:rPr>
        <w:t>Subclause 4.3.5.</w:t>
      </w:r>
    </w:p>
    <w:p>
      <w:pPr>
        <w:pStyle w:val="B1"/>
        <w:rPr/>
      </w:pPr>
      <w:r>
        <w:rPr/>
        <w:t>4)</w:t>
        <w:tab/>
        <w:t xml:space="preserve">Measure a sufficient number of independent samples (see </w:t>
      </w:r>
      <w:r>
        <w:rPr>
          <w:lang w:eastAsia="zh-TW"/>
        </w:rPr>
        <w:t>Subclause 4.5</w:t>
      </w:r>
      <w:r>
        <w:rPr/>
        <w:t xml:space="preserve">) of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oMath>
      <w:r>
        <w:rPr/>
        <w:t xml:space="preserve"> using a test system having characteristics as described in Annex A.</w:t>
      </w:r>
    </w:p>
    <w:p>
      <w:pPr>
        <w:pStyle w:val="B1"/>
        <w:rPr/>
      </w:pPr>
      <w:r>
        <w:rPr/>
        <w:t>5)</w:t>
        <w:tab/>
        <w:t xml:space="preserve">Calculate TRP using equations from </w:t>
      </w:r>
      <w:r>
        <w:rPr>
          <w:lang w:eastAsia="zh-TW"/>
        </w:rPr>
        <w:t>Subclause 6.3.1.1</w:t>
      </w:r>
      <w:r>
        <w:rPr/>
        <w:t>.</w:t>
      </w:r>
    </w:p>
    <w:p>
      <w:pPr>
        <w:pStyle w:val="NO"/>
        <w:rPr/>
      </w:pPr>
      <w:r>
        <w:rPr/>
        <w:t>NOTE 1:</w:t>
        <w:tab/>
        <w:t xml:space="preserve">The measurement procedure is based on the measurement of the total power radiated from the UE to a full 3 dimensional isotropic environment with uniform elevation and azimuth field distribution. The power transmitted by the DUT is undergoing Rayleigh fading and is sampled by the fixed measurement antennas. Moreover, it is important that the samples collected are independent, in order to get sufficient accuracy of the estimated TRP value. </w:t>
      </w:r>
    </w:p>
    <w:p>
      <w:pPr>
        <w:pStyle w:val="NO"/>
        <w:rPr/>
      </w:pPr>
      <w:r>
        <w:rPr/>
        <w:t>NOTE 2:</w:t>
        <w:tab/>
        <w:t>The noise floor of the measurement receiver shall not disturb the power measurement.</w:t>
      </w:r>
    </w:p>
    <w:p>
      <w:pPr>
        <w:pStyle w:val="Heading4"/>
        <w:ind w:left="1418" w:hanging="1418"/>
        <w:rPr/>
      </w:pPr>
      <w:bookmarkStart w:id="184" w:name="__RefHeading___Toc68601120"/>
      <w:bookmarkEnd w:id="184"/>
      <w:r>
        <w:rPr/>
        <w:t>6.3.1.5</w:t>
      </w:r>
      <w:r>
        <w:rPr>
          <w:rFonts w:cs="Calibri" w:ascii="Calibri" w:hAnsi="Calibri"/>
          <w:sz w:val="22"/>
          <w:szCs w:val="22"/>
        </w:rPr>
        <w:tab/>
      </w:r>
      <w:r>
        <w:rPr/>
        <w:t>Test requirements</w:t>
      </w:r>
    </w:p>
    <w:p>
      <w:pPr>
        <w:pStyle w:val="Normal"/>
        <w:jc w:val="both"/>
        <w:rPr/>
      </w:pPr>
      <w:r>
        <w:rPr/>
        <w:t>The average TRP of low, mid and high channel in the data transfers position shall be higher than test performance requirements for roaming bands shown in Table 6.3.1.5-1 for notebook devices and in Table 6.3.1.5-2 for tablet devices. The averaging shall be done in linear scale for the TRP results.</w:t>
      </w:r>
    </w:p>
    <w:p>
      <w:pPr>
        <w:pStyle w:val="Normal"/>
        <w:keepLines/>
        <w:tabs>
          <w:tab w:val="clear" w:pos="284"/>
          <w:tab w:val="center" w:pos="4536" w:leader="none"/>
          <w:tab w:val="right" w:pos="9072" w:leader="none"/>
        </w:tabs>
        <w:jc w:val="center"/>
        <w:rPr/>
      </w:pPr>
      <w:r>
        <w:rPr/>
        <w:drawing>
          <wp:inline distT="0" distB="0" distL="0" distR="0">
            <wp:extent cx="2895600" cy="508000"/>
            <wp:effectExtent l="0" t="0" r="0" b="0"/>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16"/>
                    <a:srcRect l="-12" t="-71" r="-12" b="-71"/>
                    <a:stretch>
                      <a:fillRect/>
                    </a:stretch>
                  </pic:blipFill>
                  <pic:spPr bwMode="auto">
                    <a:xfrm>
                      <a:off x="0" y="0"/>
                      <a:ext cx="2895600" cy="508000"/>
                    </a:xfrm>
                    <a:prstGeom prst="rect">
                      <a:avLst/>
                    </a:prstGeom>
                  </pic:spPr>
                </pic:pic>
              </a:graphicData>
            </a:graphic>
          </wp:inline>
        </w:drawing>
      </w:r>
    </w:p>
    <w:p>
      <w:pPr>
        <w:pStyle w:val="Normal"/>
        <w:rPr/>
      </w:pPr>
      <w:r>
        <w:rPr/>
        <w:t>In addition the minimum TRP of each measured channel in the data transfers position shall be higher than minimum performance requirements shown in the columns “Min”.</w:t>
      </w:r>
    </w:p>
    <w:p>
      <w:pPr>
        <w:pStyle w:val="Normal"/>
        <w:keepLines/>
        <w:tabs>
          <w:tab w:val="clear" w:pos="284"/>
          <w:tab w:val="center" w:pos="4536" w:leader="none"/>
          <w:tab w:val="right" w:pos="9072" w:leader="none"/>
        </w:tabs>
        <w:jc w:val="center"/>
        <w:rPr/>
      </w:pPr>
      <w:r>
        <w:rPr/>
        <w:drawing>
          <wp:inline distT="0" distB="0" distL="0" distR="0">
            <wp:extent cx="1752600" cy="241300"/>
            <wp:effectExtent l="0" t="0" r="0" b="0"/>
            <wp:docPr id="2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 descr=""/>
                    <pic:cNvPicPr>
                      <a:picLocks noChangeAspect="1" noChangeArrowheads="1"/>
                    </pic:cNvPicPr>
                  </pic:nvPicPr>
                  <pic:blipFill>
                    <a:blip r:embed="rId17"/>
                    <a:srcRect l="-21" t="-149" r="-21" b="-149"/>
                    <a:stretch>
                      <a:fillRect/>
                    </a:stretch>
                  </pic:blipFill>
                  <pic:spPr bwMode="auto">
                    <a:xfrm>
                      <a:off x="0" y="0"/>
                      <a:ext cx="1752600" cy="241300"/>
                    </a:xfrm>
                    <a:prstGeom prst="rect">
                      <a:avLst/>
                    </a:prstGeom>
                  </pic:spPr>
                </pic:pic>
              </a:graphicData>
            </a:graphic>
          </wp:inline>
        </w:drawing>
      </w:r>
    </w:p>
    <w:p>
      <w:pPr>
        <w:pStyle w:val="TH"/>
        <w:rPr/>
      </w:pPr>
      <w:r>
        <w:rPr/>
        <w:t>Table 6.3.1.5-1: TRP test requirement for UTRA FDD notebook devices in the data transfers position</w:t>
      </w:r>
    </w:p>
    <w:tbl>
      <w:tblPr>
        <w:tblW w:w="9654" w:type="dxa"/>
        <w:jc w:val="left"/>
        <w:tblInd w:w="421" w:type="dxa"/>
        <w:tblLayout w:type="fixed"/>
        <w:tblCellMar>
          <w:top w:w="0" w:type="dxa"/>
          <w:left w:w="108" w:type="dxa"/>
          <w:bottom w:w="0" w:type="dxa"/>
          <w:right w:w="108" w:type="dxa"/>
        </w:tblCellMar>
      </w:tblPr>
      <w:tblGrid>
        <w:gridCol w:w="1096"/>
        <w:gridCol w:w="1455"/>
        <w:gridCol w:w="1559"/>
        <w:gridCol w:w="993"/>
        <w:gridCol w:w="861"/>
        <w:gridCol w:w="981"/>
        <w:gridCol w:w="851"/>
        <w:gridCol w:w="11"/>
        <w:gridCol w:w="981"/>
        <w:gridCol w:w="866"/>
      </w:tblGrid>
      <w:tr>
        <w:trPr/>
        <w:tc>
          <w:tcPr>
            <w:tcW w:w="1096" w:type="dxa"/>
            <w:vMerge w:val="restart"/>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Operating band</w:t>
            </w:r>
          </w:p>
        </w:tc>
        <w:tc>
          <w:tcPr>
            <w:tcW w:w="145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1</w:t>
            </w:r>
          </w:p>
        </w:tc>
        <w:tc>
          <w:tcPr>
            <w:tcW w:w="155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2</w:t>
            </w:r>
          </w:p>
        </w:tc>
        <w:tc>
          <w:tcPr>
            <w:tcW w:w="1854"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3</w:t>
            </w:r>
          </w:p>
        </w:tc>
        <w:tc>
          <w:tcPr>
            <w:tcW w:w="1843" w:type="dxa"/>
            <w:gridSpan w:val="3"/>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3bis</w:t>
            </w:r>
          </w:p>
        </w:tc>
        <w:tc>
          <w:tcPr>
            <w:tcW w:w="1847"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4</w:t>
            </w:r>
          </w:p>
        </w:tc>
      </w:tr>
      <w:tr>
        <w:trPr/>
        <w:tc>
          <w:tcPr>
            <w:tcW w:w="109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bCs/>
                <w:lang w:eastAsia="en-US"/>
              </w:rPr>
            </w:pPr>
            <w:r>
              <w:rPr>
                <w:bCs/>
                <w:lang w:eastAsia="en-US"/>
              </w:rPr>
            </w:r>
          </w:p>
        </w:tc>
        <w:tc>
          <w:tcPr>
            <w:tcW w:w="145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55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854"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83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858" w:type="dxa"/>
            <w:gridSpan w:val="3"/>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r>
      <w:tr>
        <w:trPr/>
        <w:tc>
          <w:tcPr>
            <w:tcW w:w="109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bCs/>
                <w:lang w:eastAsia="en-US"/>
              </w:rPr>
            </w:pPr>
            <w:r>
              <w:rPr>
                <w:bCs/>
                <w:lang w:eastAsia="en-US"/>
              </w:rPr>
            </w:r>
          </w:p>
        </w:tc>
        <w:tc>
          <w:tcPr>
            <w:tcW w:w="1455" w:type="dxa"/>
            <w:tcBorders>
              <w:top w:val="single" w:sz="4" w:space="0" w:color="000000"/>
              <w:left w:val="single" w:sz="4" w:space="0" w:color="000000"/>
              <w:bottom w:val="single" w:sz="4" w:space="0" w:color="000000"/>
              <w:right w:val="single" w:sz="4" w:space="0" w:color="000000"/>
            </w:tcBorders>
          </w:tcPr>
          <w:p>
            <w:pPr>
              <w:pStyle w:val="TAH"/>
              <w:snapToGrid w:val="false"/>
              <w:rPr>
                <w:bCs/>
                <w:lang w:eastAsia="en-US"/>
              </w:rPr>
            </w:pPr>
            <w:r>
              <w:rPr>
                <w:bCs/>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993"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86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81"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Average</w:t>
            </w:r>
          </w:p>
        </w:tc>
        <w:tc>
          <w:tcPr>
            <w:tcW w:w="85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86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w:t>
            </w:r>
          </w:p>
        </w:tc>
        <w:tc>
          <w:tcPr>
            <w:tcW w:w="145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18.3</w:t>
            </w:r>
          </w:p>
        </w:tc>
        <w:tc>
          <w:tcPr>
            <w:tcW w:w="861"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16.5</w:t>
            </w:r>
          </w:p>
        </w:tc>
        <w:tc>
          <w:tcPr>
            <w:tcW w:w="98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6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w:t>
            </w:r>
          </w:p>
        </w:tc>
        <w:tc>
          <w:tcPr>
            <w:tcW w:w="145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6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8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6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III</w:t>
            </w:r>
          </w:p>
        </w:tc>
        <w:tc>
          <w:tcPr>
            <w:tcW w:w="145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6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8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6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IV</w:t>
            </w:r>
          </w:p>
        </w:tc>
        <w:tc>
          <w:tcPr>
            <w:tcW w:w="145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6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8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6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w:t>
            </w:r>
          </w:p>
        </w:tc>
        <w:tc>
          <w:tcPr>
            <w:tcW w:w="145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6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8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6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w:t>
            </w:r>
          </w:p>
        </w:tc>
        <w:tc>
          <w:tcPr>
            <w:tcW w:w="145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17.8</w:t>
            </w:r>
          </w:p>
        </w:tc>
        <w:tc>
          <w:tcPr>
            <w:tcW w:w="861"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15.5</w:t>
            </w:r>
          </w:p>
        </w:tc>
        <w:tc>
          <w:tcPr>
            <w:tcW w:w="98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6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w:t>
            </w:r>
          </w:p>
        </w:tc>
        <w:tc>
          <w:tcPr>
            <w:tcW w:w="145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6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8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6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VIII</w:t>
            </w:r>
          </w:p>
        </w:tc>
        <w:tc>
          <w:tcPr>
            <w:tcW w:w="145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17.8</w:t>
            </w:r>
          </w:p>
        </w:tc>
        <w:tc>
          <w:tcPr>
            <w:tcW w:w="86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15.5</w:t>
            </w:r>
          </w:p>
        </w:tc>
        <w:tc>
          <w:tcPr>
            <w:tcW w:w="98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6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IX</w:t>
            </w:r>
          </w:p>
        </w:tc>
        <w:tc>
          <w:tcPr>
            <w:tcW w:w="145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6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8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6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XIX</w:t>
            </w:r>
          </w:p>
        </w:tc>
        <w:tc>
          <w:tcPr>
            <w:tcW w:w="145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18.5+TT</w:t>
            </w:r>
          </w:p>
        </w:tc>
        <w:tc>
          <w:tcPr>
            <w:tcW w:w="86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16.5+TT</w:t>
            </w:r>
          </w:p>
        </w:tc>
        <w:tc>
          <w:tcPr>
            <w:tcW w:w="98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6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9654" w:type="dxa"/>
            <w:gridSpan w:val="10"/>
            <w:tcBorders>
              <w:top w:val="single" w:sz="4" w:space="0" w:color="000000"/>
              <w:left w:val="single" w:sz="4" w:space="0" w:color="000000"/>
              <w:bottom w:val="single" w:sz="4" w:space="0" w:color="000000"/>
              <w:right w:val="single" w:sz="4" w:space="0" w:color="000000"/>
            </w:tcBorders>
          </w:tcPr>
          <w:p>
            <w:pPr>
              <w:pStyle w:val="TAN"/>
              <w:rPr>
                <w:lang w:eastAsia="en-US"/>
              </w:rPr>
            </w:pPr>
            <w:r>
              <w:rPr>
                <w:lang w:eastAsia="en-US"/>
              </w:rPr>
              <w:t>NOTE 1: Applicable for dual-mode GSM/UMTS.</w:t>
            </w:r>
          </w:p>
          <w:p>
            <w:pPr>
              <w:pStyle w:val="TAN"/>
              <w:rPr>
                <w:b/>
                <w:b/>
                <w:bCs/>
                <w:lang w:eastAsia="en-US"/>
              </w:rPr>
            </w:pPr>
            <w:r>
              <w:rPr>
                <w:lang w:eastAsia="en-US"/>
              </w:rPr>
              <w:t>NOTE 2: Applicable for notebook devices.</w:t>
            </w:r>
          </w:p>
        </w:tc>
      </w:tr>
    </w:tbl>
    <w:p>
      <w:pPr>
        <w:pStyle w:val="Normal"/>
        <w:rPr/>
      </w:pPr>
      <w:r>
        <w:rPr/>
      </w:r>
    </w:p>
    <w:p>
      <w:pPr>
        <w:pStyle w:val="Normal"/>
        <w:keepLines/>
        <w:ind w:left="1135" w:hanging="851"/>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TH"/>
        <w:rPr/>
      </w:pPr>
      <w:r>
        <w:rPr/>
        <w:t>Table 6.3.1.5-2: TRP test requirement for UTRA FDD tablet devices in the data transfers position</w:t>
      </w:r>
    </w:p>
    <w:tbl>
      <w:tblPr>
        <w:tblW w:w="9639" w:type="dxa"/>
        <w:jc w:val="left"/>
        <w:tblInd w:w="421" w:type="dxa"/>
        <w:tblLayout w:type="fixed"/>
        <w:tblCellMar>
          <w:top w:w="0" w:type="dxa"/>
          <w:left w:w="108" w:type="dxa"/>
          <w:bottom w:w="0" w:type="dxa"/>
          <w:right w:w="108" w:type="dxa"/>
        </w:tblCellMar>
      </w:tblPr>
      <w:tblGrid>
        <w:gridCol w:w="1096"/>
        <w:gridCol w:w="1455"/>
        <w:gridCol w:w="1559"/>
        <w:gridCol w:w="993"/>
        <w:gridCol w:w="850"/>
        <w:gridCol w:w="992"/>
        <w:gridCol w:w="851"/>
        <w:gridCol w:w="992"/>
        <w:gridCol w:w="851"/>
      </w:tblGrid>
      <w:tr>
        <w:trPr/>
        <w:tc>
          <w:tcPr>
            <w:tcW w:w="1096" w:type="dxa"/>
            <w:vMerge w:val="restart"/>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Operating band</w:t>
            </w:r>
          </w:p>
        </w:tc>
        <w:tc>
          <w:tcPr>
            <w:tcW w:w="145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1</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Power Class 2</w:t>
            </w:r>
          </w:p>
        </w:tc>
        <w:tc>
          <w:tcPr>
            <w:tcW w:w="1843"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3</w:t>
            </w:r>
          </w:p>
        </w:tc>
        <w:tc>
          <w:tcPr>
            <w:tcW w:w="1843"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3bis</w:t>
            </w:r>
          </w:p>
        </w:tc>
        <w:tc>
          <w:tcPr>
            <w:tcW w:w="1843"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4</w:t>
            </w:r>
          </w:p>
        </w:tc>
      </w:tr>
      <w:tr>
        <w:trPr/>
        <w:tc>
          <w:tcPr>
            <w:tcW w:w="109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bCs/>
                <w:lang w:eastAsia="en-US"/>
              </w:rPr>
            </w:pPr>
            <w:r>
              <w:rPr>
                <w:bCs/>
                <w:lang w:eastAsia="en-US"/>
              </w:rPr>
            </w:r>
          </w:p>
        </w:tc>
        <w:tc>
          <w:tcPr>
            <w:tcW w:w="145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55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843"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843"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843"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r>
      <w:tr>
        <w:trPr/>
        <w:tc>
          <w:tcPr>
            <w:tcW w:w="109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bCs/>
                <w:lang w:eastAsia="en-US"/>
              </w:rPr>
            </w:pPr>
            <w:r>
              <w:rPr>
                <w:bCs/>
                <w:lang w:eastAsia="en-US"/>
              </w:rPr>
            </w:r>
          </w:p>
        </w:tc>
        <w:tc>
          <w:tcPr>
            <w:tcW w:w="1455" w:type="dxa"/>
            <w:tcBorders>
              <w:top w:val="single" w:sz="4" w:space="0" w:color="000000"/>
              <w:left w:val="single" w:sz="4" w:space="0" w:color="000000"/>
              <w:bottom w:val="single" w:sz="4" w:space="0" w:color="000000"/>
              <w:right w:val="single" w:sz="4" w:space="0" w:color="000000"/>
            </w:tcBorders>
          </w:tcPr>
          <w:p>
            <w:pPr>
              <w:pStyle w:val="TAH"/>
              <w:snapToGrid w:val="false"/>
              <w:rPr>
                <w:bCs/>
                <w:lang w:eastAsia="en-US"/>
              </w:rPr>
            </w:pPr>
            <w:r>
              <w:rPr>
                <w:bCs/>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993"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85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85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85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w:t>
            </w:r>
          </w:p>
        </w:tc>
        <w:tc>
          <w:tcPr>
            <w:tcW w:w="145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18.3</w:t>
            </w:r>
          </w:p>
        </w:tc>
        <w:tc>
          <w:tcPr>
            <w:tcW w:w="85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16.5</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w:t>
            </w:r>
          </w:p>
        </w:tc>
        <w:tc>
          <w:tcPr>
            <w:tcW w:w="145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III</w:t>
            </w:r>
          </w:p>
        </w:tc>
        <w:tc>
          <w:tcPr>
            <w:tcW w:w="145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IV</w:t>
            </w:r>
          </w:p>
        </w:tc>
        <w:tc>
          <w:tcPr>
            <w:tcW w:w="145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w:t>
            </w:r>
          </w:p>
        </w:tc>
        <w:tc>
          <w:tcPr>
            <w:tcW w:w="145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16.3</w:t>
            </w:r>
          </w:p>
        </w:tc>
        <w:tc>
          <w:tcPr>
            <w:tcW w:w="85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14.0</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w:t>
            </w:r>
          </w:p>
        </w:tc>
        <w:tc>
          <w:tcPr>
            <w:tcW w:w="145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w:t>
            </w:r>
          </w:p>
        </w:tc>
        <w:tc>
          <w:tcPr>
            <w:tcW w:w="145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VIII</w:t>
            </w:r>
          </w:p>
        </w:tc>
        <w:tc>
          <w:tcPr>
            <w:tcW w:w="145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IX</w:t>
            </w:r>
          </w:p>
        </w:tc>
        <w:tc>
          <w:tcPr>
            <w:tcW w:w="145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XIX</w:t>
            </w:r>
          </w:p>
        </w:tc>
        <w:tc>
          <w:tcPr>
            <w:tcW w:w="145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99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17.0+TT</w:t>
            </w:r>
          </w:p>
        </w:tc>
        <w:tc>
          <w:tcPr>
            <w:tcW w:w="85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15.0+TT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c>
          <w:tcPr>
            <w:tcW w:w="9639" w:type="dxa"/>
            <w:gridSpan w:val="9"/>
            <w:tcBorders>
              <w:top w:val="single" w:sz="4" w:space="0" w:color="000000"/>
              <w:left w:val="single" w:sz="4" w:space="0" w:color="000000"/>
              <w:bottom w:val="single" w:sz="4" w:space="0" w:color="000000"/>
              <w:right w:val="single" w:sz="4" w:space="0" w:color="000000"/>
            </w:tcBorders>
          </w:tcPr>
          <w:p>
            <w:pPr>
              <w:pStyle w:val="TAN"/>
              <w:rPr>
                <w:lang w:eastAsia="en-US"/>
              </w:rPr>
            </w:pPr>
            <w:r>
              <w:rPr>
                <w:lang w:eastAsia="en-US"/>
              </w:rPr>
              <w:t>NOTE 1: Applicable for dual-mode GSM/UMTS.</w:t>
            </w:r>
          </w:p>
          <w:p>
            <w:pPr>
              <w:pStyle w:val="TAN"/>
              <w:rPr>
                <w:b/>
                <w:b/>
                <w:bCs/>
                <w:lang w:eastAsia="en-US"/>
              </w:rPr>
            </w:pPr>
            <w:r>
              <w:rPr>
                <w:lang w:eastAsia="en-US"/>
              </w:rPr>
              <w:t>NOTE 2: Applicable for tablet devices with two antennas.</w:t>
            </w:r>
          </w:p>
        </w:tc>
      </w:tr>
    </w:tbl>
    <w:p>
      <w:pPr>
        <w:pStyle w:val="Normal"/>
        <w:rPr/>
      </w:pPr>
      <w:r>
        <w:rPr/>
      </w:r>
    </w:p>
    <w:p>
      <w:pPr>
        <w:pStyle w:val="Normal"/>
        <w:keepLines/>
        <w:ind w:left="1135" w:hanging="851"/>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Heading3"/>
        <w:rPr>
          <w:szCs w:val="16"/>
          <w:lang w:eastAsia="zh-CN"/>
        </w:rPr>
      </w:pPr>
      <w:bookmarkStart w:id="185" w:name="__RefHeading___Toc68601121"/>
      <w:bookmarkEnd w:id="185"/>
      <w:r>
        <w:rPr/>
        <w:t>6.</w:t>
      </w:r>
      <w:r>
        <w:rPr>
          <w:lang w:eastAsia="zh-CN"/>
        </w:rPr>
        <w:t>3</w:t>
      </w:r>
      <w:r>
        <w:rPr/>
        <w:t>.2</w:t>
        <w:tab/>
      </w:r>
      <w:r>
        <w:rPr>
          <w:rFonts w:cs="Arial"/>
          <w:color w:val="000000"/>
          <w:szCs w:val="16"/>
        </w:rPr>
        <w:t>Total Radiated Power (TRP) for</w:t>
      </w:r>
      <w:r>
        <w:rPr>
          <w:szCs w:val="16"/>
        </w:rPr>
        <w:t xml:space="preserve"> UTRA LCR TDD LEE</w:t>
      </w:r>
    </w:p>
    <w:p>
      <w:pPr>
        <w:pStyle w:val="EditorsNote"/>
        <w:rPr/>
      </w:pPr>
      <w:r>
        <w:rPr/>
        <w:t>Editor’s notes: This Subclause is incomplete. The following items are missing or incomplete:</w:t>
      </w:r>
    </w:p>
    <w:p>
      <w:pPr>
        <w:pStyle w:val="EditorsNote"/>
        <w:numPr>
          <w:ilvl w:val="0"/>
          <w:numId w:val="15"/>
        </w:numPr>
        <w:rPr/>
      </w:pPr>
      <w:r>
        <w:rPr/>
        <w:t>TBDs in Tables 6.3.2.2-1 and 6.3.2.5-2 as they are not specified in TS 37.144 yet</w:t>
      </w:r>
    </w:p>
    <w:p>
      <w:pPr>
        <w:pStyle w:val="Heading4"/>
        <w:ind w:left="1418" w:hanging="1418"/>
        <w:rPr/>
      </w:pPr>
      <w:bookmarkStart w:id="186" w:name="__RefHeading___Toc68601122"/>
      <w:bookmarkEnd w:id="186"/>
      <w:r>
        <w:rPr/>
        <w:t>6.3.2.1</w:t>
      </w:r>
      <w:r>
        <w:rPr>
          <w:rFonts w:cs="Calibri" w:ascii="Calibri" w:hAnsi="Calibri"/>
          <w:sz w:val="22"/>
          <w:szCs w:val="22"/>
        </w:rPr>
        <w:tab/>
      </w:r>
      <w:r>
        <w:rPr/>
        <w:t>Definition and applicability</w:t>
      </w:r>
    </w:p>
    <w:p>
      <w:pPr>
        <w:pStyle w:val="Normal"/>
        <w:rPr/>
      </w:pPr>
      <w:r>
        <w:rPr/>
        <w:t>The Total Radiated Power (TRP) is a measure of how much power the DUT actually radiates. The TRP is defined as the integral of the power transmitted in different directions over the entire radiation sphere:</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TRP</m:t>
          </m:r>
          <m:r>
            <w:rPr>
              <w:rFonts w:ascii="Cambria Math" w:hAnsi="Cambria Math"/>
            </w:rPr>
            <m:t xml:space="preserve">=</m:t>
          </m:r>
          <m:f>
            <m:num>
              <m:r>
                <w:rPr>
                  <w:rFonts w:ascii="Cambria Math" w:hAnsi="Cambria Math"/>
                </w:rPr>
                <m:t xml:space="preserve">1</m:t>
              </m:r>
            </m:num>
            <m:den>
              <m:r>
                <w:rPr>
                  <w:rFonts w:ascii="Cambria Math" w:hAnsi="Cambria Math"/>
                </w:rPr>
                <m:t xml:space="preserve">4</m:t>
              </m:r>
              <m:r>
                <w:rPr>
                  <w:rFonts w:ascii="Cambria Math" w:hAnsi="Cambria Math"/>
                </w:rPr>
                <m:t xml:space="preserve">π</m:t>
              </m:r>
            </m:den>
          </m:f>
          <m:nary>
            <m:naryPr>
              <m:chr m:val="∮"/>
              <m:subHide m:val="1"/>
              <m:supHide m:val="1"/>
            </m:naryPr>
            <m:sub/>
            <m:sup/>
            <m:e>
              <m:d>
                <m:dPr>
                  <m:begChr m:val="("/>
                  <m:endChr m:val=")"/>
                </m:dPr>
                <m:e>
                  <m:sSub>
                    <m:e>
                      <m:r>
                        <m:rPr>
                          <m:lit/>
                          <m:nor/>
                        </m:rPr>
                        <w:rPr>
                          <w:rFonts w:ascii="Cambria Math" w:hAnsi="Cambria Math"/>
                        </w:rPr>
                        <m:t xml:space="preserve">EIRP</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EIRP</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e>
              </m:d>
            </m:e>
          </m:nary>
          <m:r>
            <w:rPr>
              <w:rFonts w:ascii="Cambria Math" w:hAnsi="Cambria Math"/>
            </w:rPr>
            <m:t xml:space="preserve">d</m:t>
          </m:r>
          <m:r>
            <w:rPr>
              <w:rFonts w:ascii="Cambria Math" w:hAnsi="Cambria Math"/>
            </w:rPr>
            <m:t xml:space="preserve">Ω</m:t>
          </m:r>
        </m:oMath>
      </m:oMathPara>
    </w:p>
    <w:p>
      <w:pPr>
        <w:pStyle w:val="Normal"/>
        <w:rPr/>
      </w:pPr>
      <w:r>
        <w:rPr/>
        <w:t xml:space="preserve">Where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r>
          <w:rPr>
            <w:rFonts w:ascii="Cambria Math" w:hAnsi="Cambria Math"/>
          </w:rPr>
          <m:t xml:space="preserve">f</m:t>
        </m:r>
      </m:oMath>
      <w:r>
        <w:rPr/>
        <w:t xml:space="preserve"> is frequency.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 are the orthogonal polarizations.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θ</m:t>
            </m:r>
          </m:sub>
        </m:sSub>
      </m:oMath>
      <w:r>
        <w:rPr/>
        <w:t xml:space="preserve"> and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ϕ</m:t>
            </m:r>
          </m:sub>
        </m:sSub>
      </m:oMath>
      <w:r>
        <w:rPr/>
        <w:t xml:space="preserve"> are the actually transmitted power-levels in corresponding polarizations.</w:t>
      </w:r>
    </w:p>
    <w:p>
      <w:pPr>
        <w:pStyle w:val="Normal"/>
        <w:rPr/>
      </w:pPr>
      <w:r>
        <w:rPr/>
        <w:t>Thus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TRP</m:t>
          </m:r>
          <m:r>
            <w:rPr>
              <w:rFonts w:ascii="Cambria Math" w:hAnsi="Cambria Math"/>
            </w:rPr>
            <m:t xml:space="preserve">≈</m:t>
          </m:r>
          <m:f>
            <m:num>
              <m:r>
                <w:rPr>
                  <w:rFonts w:ascii="Cambria Math" w:hAnsi="Cambria Math"/>
                </w:rPr>
                <m:t xml:space="preserve">π</m:t>
              </m:r>
            </m:num>
            <m:den>
              <m:r>
                <w:rPr>
                  <w:rFonts w:ascii="Cambria Math" w:hAnsi="Cambria Math"/>
                </w:rPr>
                <m:t xml:space="preserve">2</m:t>
              </m:r>
              <m:r>
                <m:rPr>
                  <m:lit/>
                  <m:nor/>
                </m:rPr>
                <w:rPr>
                  <w:rFonts w:ascii="Cambria Math" w:hAnsi="Cambria Math"/>
                </w:rPr>
                <m:t xml:space="preserve">NM</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m:rPr>
                              <m:lit/>
                              <m:nor/>
                            </m:rPr>
                            <w:rPr>
                              <w:rFonts w:ascii="Cambria Math" w:hAnsi="Cambria Math"/>
                            </w:rPr>
                            <m:t xml:space="preserve">EIRP</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EIRP</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rPr/>
      </w:pPr>
      <w:r>
        <w:rPr/>
        <w:t xml:space="preserve">In these formulas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are the number of sampling intervals for theta and phi.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oMath>
      <w:r>
        <w:rPr/>
        <w:t xml:space="preserve"> are the measurement angles. The sampling intervals are discussed further in Subclause 4.4.</w:t>
      </w:r>
    </w:p>
    <w:p>
      <w:pPr>
        <w:pStyle w:val="Normal"/>
        <w:rPr/>
      </w:pPr>
      <w:r>
        <w:rPr/>
        <w:t>The TRP can also be calculated from Rayleigh faded samples of the total power transmitted from the LEE. The measurement of transmitter performance in an isotropic Rayleigh fading environment is based on sampling the radiated power of the LEE for a discrete number of field combinations in the chamber. The average value of these statistically distributed samples is proportional to the TRP and by calibrating the average power transfer function, an absolute value of the TRP can be obtained. Thus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TRP</m:t>
          </m:r>
          <m:r>
            <w:rPr>
              <w:rFonts w:ascii="Cambria Math" w:hAnsi="Cambria Math"/>
            </w:rPr>
            <m:t xml:space="preserve">≈</m:t>
          </m:r>
          <m:f>
            <m:num>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f>
                        <m:num>
                          <m:sSub>
                            <m:e>
                              <m:r>
                                <w:rPr>
                                  <w:rFonts w:ascii="Cambria Math" w:hAnsi="Cambria Math"/>
                                </w:rPr>
                                <m:t xml:space="preserve">P</m:t>
                              </m:r>
                            </m:e>
                            <m:sub>
                              <m:r>
                                <w:rPr>
                                  <w:rFonts w:ascii="Cambria Math" w:hAnsi="Cambria Math"/>
                                </w:rPr>
                                <m:t xml:space="preserve">n</m:t>
                              </m:r>
                            </m:sub>
                          </m:sSub>
                        </m:num>
                        <m:den>
                          <m:sSub>
                            <m:e>
                              <m:r>
                                <w:rPr>
                                  <w:rFonts w:ascii="Cambria Math" w:hAnsi="Cambria Math"/>
                                </w:rPr>
                                <m:t xml:space="preserve">C</m:t>
                              </m:r>
                            </m:e>
                            <m:sub>
                              <m:r>
                                <w:rPr>
                                  <w:rFonts w:ascii="Cambria Math" w:hAnsi="Cambria Math"/>
                                </w:rPr>
                                <m:t xml:space="preserve">n</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den>
                      </m:f>
                    </m:e>
                  </m:d>
                </m:e>
              </m:nary>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e>
              </m:nary>
            </m:den>
          </m:f>
        </m:oMath>
      </m:oMathPara>
    </w:p>
    <w:p>
      <w:pPr>
        <w:pStyle w:val="Normal"/>
        <w:rPr/>
      </w:pPr>
      <w:r>
        <w:rPr/>
        <w:t xml:space="preserve">where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oMath>
      <w:r>
        <w:rPr/>
        <w:t xml:space="preserve"> is the reference power transfer function for fixed measurement antenna n, </w:t>
      </w:r>
      <w:r>
        <w:rPr/>
      </w:r>
      <m:oMath xmlns:m="http://schemas.openxmlformats.org/officeDocument/2006/math">
        <m:sSub>
          <m:e>
            <m:r>
              <w:rPr>
                <w:rFonts w:ascii="Cambria Math" w:hAnsi="Cambria Math"/>
              </w:rPr>
              <m:t xml:space="preserve">R</m:t>
            </m:r>
          </m:e>
          <m:sub>
            <m:r>
              <w:rPr>
                <w:rFonts w:ascii="Cambria Math" w:hAnsi="Cambria Math"/>
              </w:rPr>
              <m:t xml:space="preserve">n</m:t>
            </m:r>
          </m:sub>
        </m:sSub>
      </m:oMath>
      <w:r>
        <w:rPr/>
        <w:t xml:space="preserve"> is the reflection coefficient for fixed measurement antenna n and </w:t>
      </w:r>
      <w:r>
        <w:rPr/>
      </w:r>
      <m:oMath xmlns:m="http://schemas.openxmlformats.org/officeDocument/2006/math">
        <m:sSub>
          <m:e>
            <m:r>
              <w:rPr>
                <w:rFonts w:ascii="Cambria Math" w:hAnsi="Cambria Math"/>
              </w:rPr>
              <m:t xml:space="preserve">C</m:t>
            </m:r>
          </m:e>
          <m:sub>
            <m:r>
              <w:rPr>
                <w:rFonts w:ascii="Cambria Math" w:hAnsi="Cambria Math"/>
              </w:rPr>
              <m:t xml:space="preserve">n</m:t>
            </m:r>
          </m:sub>
        </m:sSub>
      </m:oMath>
      <w:r>
        <w:rPr/>
        <w:t xml:space="preserve"> is the path loss in the cables connecting the measurement receiver to fixed measurement antenna n. These parameters are calculated from the calibration measurement and are further discussed in Annex B.2. </w:t>
      </w:r>
      <w:r>
        <w:rPr/>
      </w:r>
      <m:oMath xmlns:m="http://schemas.openxmlformats.org/officeDocument/2006/math">
        <m:sSub>
          <m:e>
            <m:r>
              <w:rPr>
                <w:rFonts w:ascii="Cambria Math" w:hAnsi="Cambria Math"/>
              </w:rPr>
              <m:t xml:space="preserve">P</m:t>
            </m:r>
          </m:e>
          <m:sub>
            <m:r>
              <w:rPr>
                <w:rFonts w:ascii="Cambria Math" w:hAnsi="Cambria Math"/>
              </w:rPr>
              <m:t xml:space="preserve">n</m:t>
            </m:r>
          </m:sub>
        </m:sSub>
      </m:oMath>
      <w:r>
        <w:rPr/>
        <w:t xml:space="preserve"> is the average power measured by fixed measurement antenna n and can be calculated using the following expression:</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w:rPr>
                  <w:rFonts w:ascii="Cambria Math" w:hAnsi="Cambria Math"/>
                </w:rPr>
                <m:t xml:space="preserve">n</m:t>
              </m:r>
            </m:sub>
          </m:sSub>
          <m:r>
            <w:rPr>
              <w:rFonts w:ascii="Cambria Math" w:hAnsi="Cambria Math"/>
            </w:rPr>
            <m:t xml:space="preserve">=</m:t>
          </m:r>
          <m:f>
            <m:num>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p>
                    <m:e>
                      <m:d>
                        <m:dPr>
                          <m:begChr m:val="|"/>
                          <m:endChr m:val="|"/>
                        </m:dPr>
                        <m:e>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e>
                      </m:d>
                    </m:e>
                    <m:sup>
                      <m:r>
                        <w:rPr>
                          <w:rFonts w:ascii="Cambria Math" w:hAnsi="Cambria Math"/>
                        </w:rPr>
                        <m:t xml:space="preserve">2</m:t>
                      </m:r>
                    </m:sup>
                  </m:sSup>
                </m:e>
              </m:nary>
            </m:num>
            <m:den>
              <m:r>
                <w:rPr>
                  <w:rFonts w:ascii="Cambria Math" w:hAnsi="Cambria Math"/>
                </w:rPr>
                <m:t xml:space="preserve">M</m:t>
              </m:r>
            </m:den>
          </m:f>
        </m:oMath>
      </m:oMathPara>
    </w:p>
    <w:p>
      <w:pPr>
        <w:pStyle w:val="Normal"/>
        <w:rPr/>
      </w:pPr>
      <w:r>
        <w:rPr/>
        <w:t xml:space="preserve">where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oMath>
      <w:r>
        <w:rPr/>
        <w:t xml:space="preserve"> is sample number m of the complex transfer function measured with fixed measurement antenna n and </w:t>
      </w:r>
      <w:r>
        <w:rPr/>
      </w:r>
      <m:oMath xmlns:m="http://schemas.openxmlformats.org/officeDocument/2006/math">
        <m:r>
          <w:rPr>
            <w:rFonts w:ascii="Cambria Math" w:hAnsi="Cambria Math"/>
          </w:rPr>
          <m:t xml:space="preserve">M</m:t>
        </m:r>
      </m:oMath>
      <w:r>
        <w:rPr/>
        <w:t xml:space="preserve"> is the total number of samples measured for each fixed measurement antenna.</w:t>
      </w:r>
    </w:p>
    <w:p>
      <w:pPr>
        <w:pStyle w:val="Normal"/>
        <w:rPr/>
      </w:pPr>
      <w:r>
        <w:rPr/>
        <w:t>Note that all averaging must be performed using linear power values (e.g. measurements in Watts).</w:t>
      </w:r>
    </w:p>
    <w:p>
      <w:pPr>
        <w:pStyle w:val="Normal"/>
        <w:rPr/>
      </w:pPr>
      <w:r>
        <w:rPr/>
        <w:t>The requirements and this test apply to all types of UTRA for the TDD UE for Release 11 and later releases that support LEE.</w:t>
      </w:r>
    </w:p>
    <w:p>
      <w:pPr>
        <w:pStyle w:val="NO"/>
        <w:rPr/>
      </w:pPr>
      <w:r>
        <w:rPr/>
        <w:t>Note: This test case can be optionally executed for Release 8 and onward UE’s supporting LEE feature.</w:t>
      </w:r>
    </w:p>
    <w:p>
      <w:pPr>
        <w:pStyle w:val="Heading4"/>
        <w:ind w:left="1418" w:hanging="1418"/>
        <w:rPr/>
      </w:pPr>
      <w:bookmarkStart w:id="187" w:name="__RefHeading___Toc68601123"/>
      <w:bookmarkEnd w:id="187"/>
      <w:r>
        <w:rPr/>
        <w:t>6.3.2.2</w:t>
      </w:r>
      <w:r>
        <w:rPr>
          <w:rFonts w:cs="Calibri" w:ascii="Calibri" w:hAnsi="Calibri"/>
          <w:sz w:val="22"/>
          <w:szCs w:val="22"/>
        </w:rPr>
        <w:tab/>
      </w:r>
      <w:r>
        <w:rPr/>
        <w:t>Minimum Requirements</w:t>
      </w:r>
    </w:p>
    <w:p>
      <w:pPr>
        <w:pStyle w:val="Normal"/>
        <w:jc w:val="both"/>
        <w:rPr/>
      </w:pPr>
      <w:r>
        <w:rPr/>
        <w:t>The average TRP of low, mid and high channel shall be higher than minimum performance requirements for roaming bands shown in Table 6.3.2.2-1 for notebook devices and in Table 6.3.2.2-2 for tablet devices. The averaging shall be done in linear scale for the TRP results.</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num>
                <m:den>
                  <m:r>
                    <w:rPr>
                      <w:rFonts w:ascii="Cambria Math" w:hAnsi="Cambria Math"/>
                    </w:rPr>
                    <m:t xml:space="preserve">3</m:t>
                  </m:r>
                </m:den>
              </m:f>
            </m:e>
          </m:d>
        </m:oMath>
      </m:oMathPara>
    </w:p>
    <w:p>
      <w:pPr>
        <w:pStyle w:val="Normal"/>
        <w:rPr/>
      </w:pPr>
      <w:r>
        <w:rPr/>
        <w:t>In addition the minimum TRP of each measured channel shall be higher than minimum performance requirements shown in the columns “Min”.</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m:rPr>
                  <m:lit/>
                  <m:nor/>
                </m:rPr>
                <w:rPr>
                  <w:rFonts w:ascii="Cambria Math" w:hAnsi="Cambria Math"/>
                </w:rPr>
                <m:t xml:space="preserve">min</m:t>
              </m:r>
              <m:d>
                <m:dPr>
                  <m:begChr m:val="("/>
                  <m:endChr m:val=")"/>
                </m:dPr>
                <m:e>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e>
              </m:d>
            </m:e>
          </m:d>
        </m:oMath>
      </m:oMathPara>
    </w:p>
    <w:p>
      <w:pPr>
        <w:pStyle w:val="TH"/>
        <w:rPr/>
      </w:pPr>
      <w:r>
        <w:rPr/>
        <w:t>Table 6.3.2.2-1: TRP minimum performance requirement for UTRA TDD notebook devices in the data transfers position</w:t>
      </w:r>
    </w:p>
    <w:tbl>
      <w:tblPr>
        <w:tblW w:w="7530" w:type="dxa"/>
        <w:jc w:val="center"/>
        <w:tblInd w:w="0" w:type="dxa"/>
        <w:tblLayout w:type="fixed"/>
        <w:tblCellMar>
          <w:top w:w="0" w:type="dxa"/>
          <w:left w:w="108" w:type="dxa"/>
          <w:bottom w:w="0" w:type="dxa"/>
          <w:right w:w="108" w:type="dxa"/>
        </w:tblCellMar>
      </w:tblPr>
      <w:tblGrid>
        <w:gridCol w:w="959"/>
        <w:gridCol w:w="992"/>
        <w:gridCol w:w="567"/>
        <w:gridCol w:w="992"/>
        <w:gridCol w:w="709"/>
        <w:gridCol w:w="992"/>
        <w:gridCol w:w="567"/>
        <w:gridCol w:w="992"/>
        <w:gridCol w:w="760"/>
      </w:tblGrid>
      <w:tr>
        <w:trPr>
          <w:trHeight w:val="277" w:hRule="atLeast"/>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Operating band</w:t>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1</w:t>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2</w:t>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3</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4</w:t>
            </w:r>
          </w:p>
        </w:tc>
      </w:tr>
      <w:tr>
        <w:trPr>
          <w:trHeight w:val="316" w:hRule="atLeast"/>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r>
      <w:tr>
        <w:trPr>
          <w:trHeight w:val="244" w:hRule="atLeast"/>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56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Average </w:t>
            </w:r>
          </w:p>
        </w:tc>
        <w:tc>
          <w:tcPr>
            <w:tcW w:w="70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56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Average </w:t>
            </w:r>
          </w:p>
        </w:tc>
        <w:tc>
          <w:tcPr>
            <w:tcW w:w="76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r>
      <w:tr>
        <w:trPr>
          <w:trHeight w:val="215" w:hRule="atLeast"/>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a</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b</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c</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e</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f</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7530" w:type="dxa"/>
            <w:gridSpan w:val="9"/>
            <w:tcBorders>
              <w:top w:val="single" w:sz="4" w:space="0" w:color="000000"/>
              <w:left w:val="single" w:sz="4" w:space="0" w:color="000000"/>
              <w:bottom w:val="single" w:sz="4" w:space="0" w:color="000000"/>
              <w:right w:val="single" w:sz="4" w:space="0" w:color="000000"/>
            </w:tcBorders>
            <w:vAlign w:val="center"/>
          </w:tcPr>
          <w:p>
            <w:pPr>
              <w:pStyle w:val="TAN"/>
              <w:rPr>
                <w:lang w:eastAsia="en-US"/>
              </w:rPr>
            </w:pPr>
            <w:r>
              <w:rPr>
                <w:lang w:eastAsia="en-US"/>
              </w:rPr>
              <w:t>NOTE 1: Applicable for dual-mode GSM/UTRA LCR TDD.</w:t>
            </w:r>
          </w:p>
          <w:p>
            <w:pPr>
              <w:pStyle w:val="TAN"/>
              <w:rPr>
                <w:lang w:eastAsia="en-US"/>
              </w:rPr>
            </w:pPr>
            <w:r>
              <w:rPr>
                <w:lang w:eastAsia="en-US"/>
              </w:rPr>
              <w:t>NOTE 2: Applicable for notebook devices.</w:t>
            </w:r>
          </w:p>
        </w:tc>
      </w:tr>
    </w:tbl>
    <w:p>
      <w:pPr>
        <w:pStyle w:val="Normal"/>
        <w:rPr/>
      </w:pPr>
      <w:r>
        <w:rPr/>
      </w:r>
    </w:p>
    <w:p>
      <w:pPr>
        <w:pStyle w:val="TH"/>
        <w:rPr/>
      </w:pPr>
      <w:r>
        <w:rPr/>
        <w:t>Table 6.3.2.2-2: TRP minimum performance requirement for UTRA TDD tablet devices in the data transfers position</w:t>
      </w:r>
    </w:p>
    <w:tbl>
      <w:tblPr>
        <w:tblW w:w="7530" w:type="dxa"/>
        <w:jc w:val="center"/>
        <w:tblInd w:w="0" w:type="dxa"/>
        <w:tblLayout w:type="fixed"/>
        <w:tblCellMar>
          <w:top w:w="0" w:type="dxa"/>
          <w:left w:w="108" w:type="dxa"/>
          <w:bottom w:w="0" w:type="dxa"/>
          <w:right w:w="108" w:type="dxa"/>
        </w:tblCellMar>
      </w:tblPr>
      <w:tblGrid>
        <w:gridCol w:w="959"/>
        <w:gridCol w:w="992"/>
        <w:gridCol w:w="567"/>
        <w:gridCol w:w="992"/>
        <w:gridCol w:w="709"/>
        <w:gridCol w:w="992"/>
        <w:gridCol w:w="567"/>
        <w:gridCol w:w="992"/>
        <w:gridCol w:w="760"/>
      </w:tblGrid>
      <w:tr>
        <w:trPr>
          <w:trHeight w:val="277" w:hRule="atLeast"/>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Operating band</w:t>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1</w:t>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2</w:t>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3</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4</w:t>
            </w:r>
          </w:p>
        </w:tc>
      </w:tr>
      <w:tr>
        <w:trPr>
          <w:trHeight w:val="316" w:hRule="atLeast"/>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r>
      <w:tr>
        <w:trPr>
          <w:trHeight w:val="244" w:hRule="atLeast"/>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56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Average </w:t>
            </w:r>
          </w:p>
        </w:tc>
        <w:tc>
          <w:tcPr>
            <w:tcW w:w="70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56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Average </w:t>
            </w:r>
          </w:p>
        </w:tc>
        <w:tc>
          <w:tcPr>
            <w:tcW w:w="76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r>
      <w:tr>
        <w:trPr>
          <w:trHeight w:val="215" w:hRule="atLeast"/>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a</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b</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c</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e</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f</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7530" w:type="dxa"/>
            <w:gridSpan w:val="9"/>
            <w:tcBorders>
              <w:top w:val="single" w:sz="4" w:space="0" w:color="000000"/>
              <w:left w:val="single" w:sz="4" w:space="0" w:color="000000"/>
              <w:bottom w:val="single" w:sz="4" w:space="0" w:color="000000"/>
              <w:right w:val="single" w:sz="4" w:space="0" w:color="000000"/>
            </w:tcBorders>
            <w:vAlign w:val="center"/>
          </w:tcPr>
          <w:p>
            <w:pPr>
              <w:pStyle w:val="TAN"/>
              <w:rPr>
                <w:lang w:eastAsia="en-US"/>
              </w:rPr>
            </w:pPr>
            <w:r>
              <w:rPr>
                <w:lang w:eastAsia="en-US"/>
              </w:rPr>
              <w:t>NOTE 1: Applicable for dual-mode GSM/UTRA LCR TDD.</w:t>
            </w:r>
          </w:p>
          <w:p>
            <w:pPr>
              <w:pStyle w:val="TAN"/>
              <w:rPr>
                <w:lang w:eastAsia="en-US"/>
              </w:rPr>
            </w:pPr>
            <w:r>
              <w:rPr>
                <w:lang w:eastAsia="en-US"/>
              </w:rPr>
              <w:t>NOTE 2: Applicable for tablet devices.</w:t>
            </w:r>
          </w:p>
        </w:tc>
      </w:tr>
    </w:tbl>
    <w:p>
      <w:pPr>
        <w:pStyle w:val="Normal"/>
        <w:rPr/>
      </w:pPr>
      <w:r>
        <w:rPr/>
      </w:r>
    </w:p>
    <w:p>
      <w:pPr>
        <w:pStyle w:val="Normal"/>
        <w:rPr/>
      </w:pPr>
      <w:r>
        <w:rPr/>
        <w:t>The normative reference for this clause is TS37.144 [12] Subclause 6.3.3.</w:t>
      </w:r>
    </w:p>
    <w:p>
      <w:pPr>
        <w:pStyle w:val="Heading4"/>
        <w:ind w:left="1418" w:hanging="1418"/>
        <w:rPr/>
      </w:pPr>
      <w:bookmarkStart w:id="188" w:name="__RefHeading___Toc68601124"/>
      <w:bookmarkEnd w:id="188"/>
      <w:r>
        <w:rPr/>
        <w:t>6.3.2.3</w:t>
      </w:r>
      <w:r>
        <w:rPr>
          <w:rFonts w:cs="Calibri" w:ascii="Calibri" w:hAnsi="Calibri"/>
          <w:sz w:val="22"/>
          <w:szCs w:val="22"/>
        </w:rPr>
        <w:tab/>
      </w:r>
      <w:r>
        <w:rPr/>
        <w:t>Test purpose</w:t>
      </w:r>
    </w:p>
    <w:p>
      <w:pPr>
        <w:pStyle w:val="Normal"/>
        <w:rPr/>
      </w:pPr>
      <w:r>
        <w:rPr/>
        <w:t xml:space="preserve">The purpose of this test is to verify that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 xml:space="preserve">of the UE is not below specified values. A lower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decrease the coverage area.</w:t>
      </w:r>
    </w:p>
    <w:p>
      <w:pPr>
        <w:pStyle w:val="Heading4"/>
        <w:ind w:left="1418" w:hanging="1418"/>
        <w:rPr/>
      </w:pPr>
      <w:bookmarkStart w:id="189" w:name="__RefHeading___Toc68601125"/>
      <w:bookmarkEnd w:id="189"/>
      <w:r>
        <w:rPr/>
        <w:t>6.3.2.4</w:t>
      </w:r>
      <w:r>
        <w:rPr>
          <w:rFonts w:cs="Calibri" w:ascii="Calibri" w:hAnsi="Calibri"/>
          <w:sz w:val="22"/>
          <w:szCs w:val="22"/>
        </w:rPr>
        <w:tab/>
      </w:r>
      <w:r>
        <w:rPr/>
        <w:t>Method of test</w:t>
      </w:r>
    </w:p>
    <w:p>
      <w:pPr>
        <w:pStyle w:val="Heading4"/>
        <w:ind w:left="1418" w:hanging="1418"/>
        <w:rPr/>
      </w:pPr>
      <w:bookmarkStart w:id="190" w:name="__RefHeading___Toc68601126"/>
      <w:bookmarkEnd w:id="190"/>
      <w:r>
        <w:rPr/>
        <w:t>6.3.2.4.1</w:t>
      </w:r>
      <w:r>
        <w:rPr>
          <w:rFonts w:cs="Calibri" w:ascii="Calibri" w:hAnsi="Calibri"/>
          <w:sz w:val="22"/>
          <w:szCs w:val="22"/>
        </w:rPr>
        <w:tab/>
      </w:r>
      <w:r>
        <w:rPr/>
        <w:t>Initial conditions</w:t>
      </w:r>
    </w:p>
    <w:p>
      <w:pPr>
        <w:pStyle w:val="Normal"/>
        <w:rPr/>
      </w:pPr>
      <w:r>
        <w:rPr/>
        <w:t xml:space="preserve">The output power is a measure of the maximum power the UE can transmit in a bandwidth of at least (1+ </w:t>
      </w:r>
      <w:r>
        <w:rPr>
          <w:rFonts w:cs="Symbol" w:ascii="Symbol" w:hAnsi="Symbol"/>
        </w:rPr>
        <w:t></w:t>
      </w:r>
      <w:r>
        <w:rPr/>
        <w:t xml:space="preserve"> times the chip rate of the radio access mode, for more information see TS 34.122 [8] Subclause 5.2. The period of measurement shall be at least one timeslot. Also care should be taken that the noise floor of the measurement receiver is not disturbing the power measurement. Normally, the receiving device should be set accordingly so that the receiving signal will be at least 30 dB higher than the system noise floor.</w:t>
      </w:r>
    </w:p>
    <w:p>
      <w:pPr>
        <w:pStyle w:val="Normal"/>
        <w:rPr/>
      </w:pPr>
      <w:r>
        <w:rPr/>
        <w:t>The LEE shall be tested according</w:t>
      </w:r>
      <w:r>
        <w:rPr>
          <w:lang w:eastAsia="zh-CN"/>
        </w:rPr>
        <w:t xml:space="preserve"> to DUT positioning described in Subclause 4.3.5.</w:t>
      </w:r>
    </w:p>
    <w:p>
      <w:pPr>
        <w:pStyle w:val="Normal"/>
        <w:rPr/>
      </w:pPr>
      <w:r>
        <w:rPr/>
        <w:t>Test environment: normal; see TS 34.122 [8] Subclause G.2.1.</w:t>
      </w:r>
    </w:p>
    <w:p>
      <w:pPr>
        <w:pStyle w:val="Normal"/>
        <w:rPr/>
      </w:pPr>
      <w:r>
        <w:rPr/>
        <w:t>Frequencies to be tested: low range, mid range, high range; see Table 5.2-2.</w:t>
      </w:r>
    </w:p>
    <w:p>
      <w:pPr>
        <w:pStyle w:val="B1"/>
        <w:rPr/>
      </w:pPr>
      <w:r>
        <w:rPr/>
        <w:t>1)</w:t>
        <w:tab/>
        <w:t>Set the SS downlink physical channels according to settings in Table 6.3.2.4.1-1. Set the DPCH power such that there will not be transmission gaps due to too low signal strength throughout the measurement.</w:t>
      </w:r>
    </w:p>
    <w:p>
      <w:pPr>
        <w:pStyle w:val="B1"/>
        <w:rPr/>
      </w:pPr>
      <w:r>
        <w:rPr/>
        <w:t>2)</w:t>
        <w:tab/>
        <w:t>Power on the LEE UE</w:t>
      </w:r>
    </w:p>
    <w:p>
      <w:pPr>
        <w:pStyle w:val="B1"/>
        <w:rPr/>
      </w:pPr>
      <w:r>
        <w:rPr/>
        <w:t>3)</w:t>
        <w:tab/>
        <w:t>A call is set up according to the Generic call setup procedure. The power control algorithm shall be set to Power Control Algorithm 2.</w:t>
      </w:r>
    </w:p>
    <w:p>
      <w:pPr>
        <w:pStyle w:val="B1"/>
        <w:rPr/>
      </w:pPr>
      <w:r>
        <w:rPr/>
        <w:t>4)</w:t>
        <w:tab/>
        <w:t>Enter the UE into loopback test mode and start the loopback test.</w:t>
      </w:r>
    </w:p>
    <w:p>
      <w:pPr>
        <w:pStyle w:val="B1"/>
        <w:rPr/>
      </w:pPr>
      <w:r>
        <w:rPr/>
        <w:t>5)</w:t>
        <w:tab/>
        <w:t xml:space="preserve">The measurement receiver shall be set to: zero span, video trigger and RMS detector. The RBW shall be at least (1+ </w:t>
      </w:r>
      <w:r>
        <w:rPr>
          <w:rFonts w:cs="Symbol" w:ascii="Symbol" w:hAnsi="Symbol"/>
        </w:rPr>
        <w:t></w:t>
      </w:r>
      <w:r>
        <w:rPr/>
        <w:t>times the chip rate of the radio access mode and the VBW at least 3 times bigger than the RBW. For 1.28Mcps TDD UE, the RBW shall be set to 3MHz, and VBW shall be set to 10MHz.</w:t>
      </w:r>
    </w:p>
    <w:p>
      <w:pPr>
        <w:pStyle w:val="Normal"/>
        <w:rPr>
          <w:lang w:eastAsia="zh-CN"/>
        </w:rPr>
      </w:pPr>
      <w:r>
        <w:rPr>
          <w:lang w:eastAsia="zh-CN"/>
        </w:rPr>
        <w:t>See TS 34.108 [4] and TS 34.109 [5] for details regarding generic call setup procedure and loopback test.</w:t>
      </w:r>
    </w:p>
    <w:p>
      <w:pPr>
        <w:pStyle w:val="TH"/>
        <w:rPr/>
      </w:pPr>
      <w:r>
        <w:rPr/>
        <w:t>Table 6.3.2.4.1-1: Downlink Physical Channels transmitted during a connection</w:t>
      </w:r>
    </w:p>
    <w:tbl>
      <w:tblPr>
        <w:tblW w:w="5811" w:type="dxa"/>
        <w:jc w:val="left"/>
        <w:tblInd w:w="1553" w:type="dxa"/>
        <w:tblLayout w:type="fixed"/>
        <w:tblCellMar>
          <w:top w:w="0" w:type="dxa"/>
          <w:left w:w="108" w:type="dxa"/>
          <w:bottom w:w="0" w:type="dxa"/>
          <w:right w:w="108" w:type="dxa"/>
        </w:tblCellMar>
      </w:tblPr>
      <w:tblGrid>
        <w:gridCol w:w="2301"/>
        <w:gridCol w:w="2093"/>
        <w:gridCol w:w="1417"/>
      </w:tblGrid>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Physical Channel</w:t>
            </w:r>
          </w:p>
        </w:tc>
        <w:tc>
          <w:tcPr>
            <w:tcW w:w="2093" w:type="dxa"/>
            <w:tcBorders>
              <w:top w:val="single" w:sz="6" w:space="0" w:color="000000"/>
              <w:left w:val="single" w:sz="6" w:space="0" w:color="000000"/>
              <w:bottom w:val="single" w:sz="6" w:space="0" w:color="000000"/>
              <w:right w:val="single" w:sz="6" w:space="0" w:color="000000"/>
            </w:tcBorders>
          </w:tcPr>
          <w:p>
            <w:pPr>
              <w:pStyle w:val="TAH"/>
              <w:snapToGrid w:val="false"/>
              <w:rPr>
                <w:lang w:eastAsia="en-US"/>
              </w:rPr>
            </w:pPr>
            <w:r>
              <w:rPr>
                <w:lang w:eastAsia="en-US"/>
              </w:rPr>
            </w:r>
          </w:p>
        </w:tc>
        <w:tc>
          <w:tcPr>
            <w:tcW w:w="141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Power</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Ior</w:t>
            </w:r>
          </w:p>
        </w:tc>
        <w:tc>
          <w:tcPr>
            <w:tcW w:w="2093"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-75 dBm</w:t>
            </w:r>
          </w:p>
        </w:tc>
        <w:tc>
          <w:tcPr>
            <w:tcW w:w="1417"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DwPCH</w:t>
            </w:r>
          </w:p>
        </w:tc>
        <w:tc>
          <w:tcPr>
            <w:tcW w:w="2093"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DwPCH_Ec / Ior</w:t>
            </w:r>
          </w:p>
        </w:tc>
        <w:tc>
          <w:tcPr>
            <w:tcW w:w="1417"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0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PCCPCH</w:t>
            </w:r>
          </w:p>
        </w:tc>
        <w:tc>
          <w:tcPr>
            <w:tcW w:w="2093"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rFonts w:cs="Arial"/>
                <w:lang w:eastAsia="en-US"/>
              </w:rPr>
              <w:t>∑</w:t>
            </w:r>
            <w:r>
              <w:rPr>
                <w:rFonts w:cs="Arial"/>
                <w:lang w:eastAsia="en-US"/>
              </w:rPr>
              <w:t>P-CCPCH_Ec / Ior</w:t>
            </w:r>
          </w:p>
        </w:tc>
        <w:tc>
          <w:tcPr>
            <w:tcW w:w="1417" w:type="dxa"/>
            <w:tcBorders>
              <w:top w:val="single" w:sz="6" w:space="0" w:color="000000"/>
              <w:left w:val="single" w:sz="6" w:space="0" w:color="000000"/>
              <w:bottom w:val="single" w:sz="6" w:space="0" w:color="000000"/>
              <w:right w:val="single" w:sz="6" w:space="0" w:color="000000"/>
            </w:tcBorders>
          </w:tcPr>
          <w:p>
            <w:pPr>
              <w:pStyle w:val="TAL1"/>
              <w:rPr>
                <w:rFonts w:cs="Arial"/>
                <w:lang w:eastAsia="en-US"/>
              </w:rPr>
            </w:pPr>
            <w:r>
              <w:rPr>
                <w:rFonts w:cs="Arial"/>
                <w:lang w:eastAsia="en-US"/>
              </w:rPr>
              <w:t>-3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SCCPCH</w:t>
            </w:r>
          </w:p>
        </w:tc>
        <w:tc>
          <w:tcPr>
            <w:tcW w:w="2093"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rFonts w:cs="Arial"/>
                <w:lang w:eastAsia="en-US"/>
              </w:rPr>
              <w:t>∑</w:t>
            </w:r>
            <w:r>
              <w:rPr>
                <w:rFonts w:cs="Arial"/>
                <w:lang w:eastAsia="en-US"/>
              </w:rPr>
              <w:t>S-CCPCH_Ec / Ior</w:t>
            </w:r>
          </w:p>
        </w:tc>
        <w:tc>
          <w:tcPr>
            <w:tcW w:w="1417" w:type="dxa"/>
            <w:tcBorders>
              <w:top w:val="single" w:sz="6" w:space="0" w:color="000000"/>
              <w:left w:val="single" w:sz="6" w:space="0" w:color="000000"/>
              <w:bottom w:val="single" w:sz="6" w:space="0" w:color="000000"/>
              <w:right w:val="single" w:sz="6" w:space="0" w:color="000000"/>
            </w:tcBorders>
          </w:tcPr>
          <w:p>
            <w:pPr>
              <w:pStyle w:val="TAL1"/>
              <w:rPr>
                <w:rFonts w:cs="Arial"/>
                <w:lang w:eastAsia="en-US"/>
              </w:rPr>
            </w:pPr>
            <w:r>
              <w:rPr>
                <w:rFonts w:cs="Arial"/>
                <w:lang w:eastAsia="en-US"/>
              </w:rPr>
              <w:t>-6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PICH</w:t>
            </w:r>
          </w:p>
        </w:tc>
        <w:tc>
          <w:tcPr>
            <w:tcW w:w="2093"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rFonts w:cs="Arial"/>
                <w:lang w:eastAsia="en-US"/>
              </w:rPr>
              <w:t>∑</w:t>
            </w:r>
            <w:r>
              <w:rPr>
                <w:rFonts w:cs="Arial"/>
                <w:lang w:eastAsia="en-US"/>
              </w:rPr>
              <w:t>PICH_Ec / Ior</w:t>
            </w:r>
          </w:p>
        </w:tc>
        <w:tc>
          <w:tcPr>
            <w:tcW w:w="1417" w:type="dxa"/>
            <w:tcBorders>
              <w:top w:val="single" w:sz="6" w:space="0" w:color="000000"/>
              <w:left w:val="single" w:sz="6" w:space="0" w:color="000000"/>
              <w:bottom w:val="single" w:sz="6" w:space="0" w:color="000000"/>
              <w:right w:val="single" w:sz="6" w:space="0" w:color="000000"/>
            </w:tcBorders>
          </w:tcPr>
          <w:p>
            <w:pPr>
              <w:pStyle w:val="TAL1"/>
              <w:rPr>
                <w:rFonts w:cs="Arial"/>
                <w:lang w:eastAsia="en-US"/>
              </w:rPr>
            </w:pPr>
            <w:r>
              <w:rPr>
                <w:rFonts w:cs="Arial"/>
                <w:lang w:eastAsia="en-US"/>
              </w:rPr>
              <w:t>-6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FPACH</w:t>
            </w:r>
          </w:p>
        </w:tc>
        <w:tc>
          <w:tcPr>
            <w:tcW w:w="2093"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rFonts w:cs="Arial"/>
                <w:lang w:eastAsia="en-US"/>
              </w:rPr>
              <w:t>FPACH_Ec / Ior</w:t>
            </w:r>
          </w:p>
        </w:tc>
        <w:tc>
          <w:tcPr>
            <w:tcW w:w="1417" w:type="dxa"/>
            <w:tcBorders>
              <w:top w:val="single" w:sz="6" w:space="0" w:color="000000"/>
              <w:left w:val="single" w:sz="6" w:space="0" w:color="000000"/>
              <w:bottom w:val="single" w:sz="6" w:space="0" w:color="000000"/>
              <w:right w:val="single" w:sz="6" w:space="0" w:color="000000"/>
            </w:tcBorders>
          </w:tcPr>
          <w:p>
            <w:pPr>
              <w:pStyle w:val="TAL1"/>
              <w:rPr>
                <w:rFonts w:cs="Arial"/>
                <w:lang w:eastAsia="en-US"/>
              </w:rPr>
            </w:pPr>
            <w:r>
              <w:rPr>
                <w:rFonts w:cs="Arial"/>
                <w:lang w:eastAsia="en-US"/>
              </w:rPr>
              <w:t>-6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DL DPCH</w:t>
            </w:r>
          </w:p>
        </w:tc>
        <w:tc>
          <w:tcPr>
            <w:tcW w:w="2093"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rFonts w:cs="Arial"/>
                <w:lang w:eastAsia="en-US"/>
              </w:rPr>
              <w:t>∑</w:t>
            </w:r>
            <w:r>
              <w:rPr>
                <w:rFonts w:cs="Arial"/>
                <w:lang w:eastAsia="en-US"/>
              </w:rPr>
              <w:t>DPCH_Ec / Ior</w:t>
            </w:r>
          </w:p>
        </w:tc>
        <w:tc>
          <w:tcPr>
            <w:tcW w:w="1417" w:type="dxa"/>
            <w:tcBorders>
              <w:top w:val="single" w:sz="6" w:space="0" w:color="000000"/>
              <w:left w:val="single" w:sz="6" w:space="0" w:color="000000"/>
              <w:bottom w:val="single" w:sz="6" w:space="0" w:color="000000"/>
              <w:right w:val="single" w:sz="6" w:space="0" w:color="000000"/>
            </w:tcBorders>
          </w:tcPr>
          <w:p>
            <w:pPr>
              <w:pStyle w:val="TAL1"/>
              <w:rPr>
                <w:rFonts w:cs="Arial"/>
                <w:lang w:eastAsia="en-US"/>
              </w:rPr>
            </w:pPr>
            <w:r>
              <w:rPr>
                <w:rFonts w:cs="Arial"/>
                <w:lang w:eastAsia="en-US"/>
              </w:rPr>
              <w:t>0 dB</w:t>
            </w:r>
          </w:p>
        </w:tc>
      </w:tr>
    </w:tbl>
    <w:p>
      <w:pPr>
        <w:pStyle w:val="Normal"/>
        <w:rPr/>
      </w:pPr>
      <w:r>
        <w:rPr/>
      </w:r>
    </w:p>
    <w:p>
      <w:pPr>
        <w:pStyle w:val="Heading4"/>
        <w:ind w:left="1418" w:hanging="1418"/>
        <w:rPr/>
      </w:pPr>
      <w:bookmarkStart w:id="191" w:name="__RefHeading___Toc68601127"/>
      <w:bookmarkEnd w:id="191"/>
      <w:r>
        <w:rPr/>
        <w:t>6.3.2.4.2</w:t>
      </w:r>
      <w:r>
        <w:rPr>
          <w:rFonts w:cs="Calibri" w:ascii="Calibri" w:hAnsi="Calibri"/>
          <w:sz w:val="22"/>
          <w:szCs w:val="22"/>
        </w:rPr>
        <w:tab/>
      </w:r>
      <w:r>
        <w:rPr/>
        <w:t>Procedure</w:t>
      </w:r>
    </w:p>
    <w:p>
      <w:pPr>
        <w:pStyle w:val="B1"/>
        <w:rPr/>
      </w:pPr>
      <w:r>
        <w:rPr/>
        <w:t>1)</w:t>
        <w:tab/>
        <w:t>Send continuously Up power control commands to the LEE UE.</w:t>
      </w:r>
    </w:p>
    <w:p>
      <w:pPr>
        <w:pStyle w:val="B1"/>
        <w:rPr/>
      </w:pPr>
      <w:r>
        <w:rPr/>
        <w:t>2)</w:t>
        <w:tab/>
        <w:t>As the LEE UE reaches maximum power, start sending PN15 data pattern.</w:t>
      </w:r>
    </w:p>
    <w:p>
      <w:pPr>
        <w:pStyle w:val="B1"/>
        <w:rPr/>
      </w:pPr>
      <w:r>
        <w:rPr/>
        <w:t>3)</w:t>
        <w:tab/>
        <w:t>Position and configure the LEE according to Subclause 4.3.5.</w:t>
      </w:r>
    </w:p>
    <w:p>
      <w:pPr>
        <w:pStyle w:val="B1"/>
        <w:rPr/>
      </w:pPr>
      <w:r>
        <w:rPr/>
        <w:t>4)</w:t>
        <w:tab/>
        <w:t xml:space="preserve">Measure the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θ</m:t>
            </m:r>
          </m:sub>
        </m:sSub>
      </m:oMath>
      <w:r>
        <w:rPr/>
        <w:t xml:space="preserve"> and </w:t>
      </w:r>
      <w:r>
        <w:rPr/>
      </w:r>
      <m:oMath xmlns:m="http://schemas.openxmlformats.org/officeDocument/2006/math">
        <m:sSub>
          <m:e>
            <m:r>
              <m:rPr>
                <m:lit/>
                <m:nor/>
              </m:rPr>
              <w:rPr>
                <w:rFonts w:ascii="Cambria Math" w:hAnsi="Cambria Math"/>
              </w:rPr>
              <m:t xml:space="preserve">EIRP</m:t>
            </m:r>
          </m:e>
          <m:sub>
            <m:r>
              <w:rPr>
                <w:rFonts w:ascii="Cambria Math" w:hAnsi="Cambria Math"/>
              </w:rPr>
              <m:t xml:space="preserve">ϕ</m:t>
            </m:r>
          </m:sub>
        </m:sSub>
      </m:oMath>
      <w:r>
        <w:rPr/>
        <w:t xml:space="preserve"> with a sample step of 15° in theta (</w:t>
      </w:r>
      <w:r>
        <w:rPr>
          <w:rFonts w:eastAsia="Symbol" w:cs="Symbol" w:ascii="Symbol" w:hAnsi="Symbol"/>
        </w:rPr>
        <w:t></w:t>
      </w:r>
      <w:r>
        <w:rPr/>
        <w:t>) and phi (</w:t>
      </w:r>
      <w:r>
        <w:rPr>
          <w:rFonts w:eastAsia="Symbol" w:cs="Symbol" w:ascii="Symbol" w:hAnsi="Symbol"/>
        </w:rPr>
        <w:t></w:t>
      </w:r>
      <w:r>
        <w:rPr/>
        <w:t>) directions using a test system having characteristics as described in Annex A.</w:t>
      </w:r>
    </w:p>
    <w:p>
      <w:pPr>
        <w:pStyle w:val="B1"/>
        <w:rPr/>
      </w:pPr>
      <w:r>
        <w:rPr/>
        <w:t>5)</w:t>
        <w:tab/>
        <w:t>Calculate TRP using equations from Subclause 6.3.2.2.</w:t>
      </w:r>
    </w:p>
    <w:p>
      <w:pPr>
        <w:pStyle w:val="NO"/>
        <w:rPr/>
      </w:pPr>
      <w:r>
        <w:rPr/>
        <w:t>NOTE 1:</w:t>
        <w:tab/>
        <w:t>The measurement procedure is based on the measurement of the spherical radiation pattern of the DUT. The power radiated by the DUT is sampled in far field in a group of points located on a spherical surface enclosing the DUT. The EIRP samples are taken using a constant sample step of 15° both in theta (</w:t>
      </w:r>
      <w:r>
        <w:rPr>
          <w:rFonts w:eastAsia="Symbol" w:cs="Symbol" w:ascii="Symbol" w:hAnsi="Symbol"/>
        </w:rPr>
        <w:t></w:t>
      </w:r>
      <w:r>
        <w:rPr/>
        <w:t>) and phi (</w:t>
      </w:r>
      <w:r>
        <w:rPr>
          <w:rFonts w:eastAsia="Symbol" w:cs="Symbol" w:ascii="Symbol" w:hAnsi="Symbol"/>
        </w:rPr>
        <w:t></w:t>
      </w:r>
      <w:r>
        <w:rPr/>
        <w:t xml:space="preserve">) directions. In some cases a different sampling grid may be used to speed up the measurements (See Subclause 4.4). All the EIRP samples are taken with two orthogonal polarizations,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-polarisations.</w:t>
      </w:r>
    </w:p>
    <w:p>
      <w:pPr>
        <w:pStyle w:val="NO"/>
        <w:rPr/>
      </w:pPr>
      <w:r>
        <w:rPr/>
        <w:t>NOTE 2:</w:t>
        <w:tab/>
        <w:t>The noise floor of the measurement receiver shall not disturb the power measurement.</w:t>
      </w:r>
    </w:p>
    <w:p>
      <w:pPr>
        <w:pStyle w:val="NO"/>
        <w:rPr/>
      </w:pPr>
      <w:r>
        <w:rPr/>
        <w:t>NOTE 3:</w:t>
        <w:tab/>
        <w:t>Non Standard settings: To speed up sensitivity measurements, power measurements may be done with non standard modulation. However to obtain TRP result the measured EIRP figures shall be normalized by</w:t>
      </w:r>
    </w:p>
    <w:p>
      <w:pPr>
        <w:pStyle w:val="EQ"/>
        <w:ind w:left="284" w:hanging="0"/>
        <w:jc w:val="center"/>
        <w:rPr>
          <w:lang w:val="en-GB" w:eastAsia="en-GB"/>
        </w:rPr>
      </w:pPr>
      <w:r>
        <w:rPr>
          <w:lang w:val="en-GB" w:eastAsia="en-GB"/>
        </w:rPr>
      </w:r>
      <m:oMathPara xmlns:m="http://schemas.openxmlformats.org/officeDocument/2006/math">
        <m:oMathParaPr>
          <m:jc m:val="center"/>
        </m:oMathParaPr>
        <m:oMath>
          <m:r>
            <w:rPr>
              <w:rFonts w:ascii="Cambria Math" w:hAnsi="Cambria Math"/>
            </w:rPr>
            <m:t xml:space="preserve">Δ</m:t>
          </m:r>
          <m:bar>
            <m:barPr>
              <m:pos m:val="top"/>
            </m:barPr>
            <m:e>
              <m:r>
                <m:rPr>
                  <m:lit/>
                  <m:nor/>
                </m:rPr>
                <w:rPr>
                  <w:rFonts w:ascii="Cambria Math" w:hAnsi="Cambria Math"/>
                </w:rPr>
                <m:t xml:space="preserve">EIRP</m:t>
              </m:r>
            </m:e>
          </m:ba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m:rPr>
                          <m:lit/>
                          <m:nor/>
                        </m:rPr>
                        <w:rPr>
                          <w:rFonts w:ascii="Cambria Math" w:hAnsi="Cambria Math"/>
                        </w:rPr>
                        <m:t xml:space="preserve">EIRPstd</m:t>
                      </m:r>
                    </m:e>
                    <m:sub>
                      <m:r>
                        <w:rPr>
                          <w:rFonts w:ascii="Cambria Math" w:hAnsi="Cambria Math"/>
                        </w:rPr>
                        <m:t xml:space="preserve">i</m:t>
                      </m:r>
                    </m:sub>
                  </m:sSub>
                  <m:r>
                    <w:rPr>
                      <w:rFonts w:ascii="Cambria Math" w:hAnsi="Cambria Math"/>
                    </w:rPr>
                    <m:t xml:space="preserve">−</m:t>
                  </m:r>
                  <m:sSub>
                    <m:e>
                      <m:r>
                        <m:rPr>
                          <m:lit/>
                          <m:nor/>
                        </m:rPr>
                        <w:rPr>
                          <w:rFonts w:ascii="Cambria Math" w:hAnsi="Cambria Math"/>
                        </w:rPr>
                        <m:t xml:space="preserve">EIRPnstd</m:t>
                      </m:r>
                    </m:e>
                    <m:sub>
                      <m:r>
                        <w:rPr>
                          <w:rFonts w:ascii="Cambria Math" w:hAnsi="Cambria Math"/>
                        </w:rPr>
                        <m:t xml:space="preserve">i</m:t>
                      </m:r>
                    </m:sub>
                  </m:sSub>
                </m:e>
              </m:d>
            </m:e>
          </m:nary>
        </m:oMath>
      </m:oMathPara>
    </w:p>
    <w:p>
      <w:pPr>
        <w:pStyle w:val="Normal"/>
        <w:ind w:left="284" w:hanging="0"/>
        <w:rPr/>
      </w:pPr>
      <w:r>
        <w:rPr/>
        <w:t xml:space="preserve">where </w:t>
      </w:r>
      <w:r>
        <w:rPr/>
      </w:r>
      <m:oMath xmlns:m="http://schemas.openxmlformats.org/officeDocument/2006/math">
        <m:sSub>
          <m:e>
            <m:r>
              <m:rPr>
                <m:lit/>
                <m:nor/>
              </m:rPr>
              <w:rPr>
                <w:rFonts w:ascii="Cambria Math" w:hAnsi="Cambria Math"/>
              </w:rPr>
              <m:t xml:space="preserve">EIRPstd</m:t>
            </m:r>
          </m:e>
          <m:sub>
            <m:r>
              <w:rPr>
                <w:rFonts w:ascii="Cambria Math" w:hAnsi="Cambria Math"/>
              </w:rPr>
              <m:t xml:space="preserve">i</m:t>
            </m:r>
          </m:sub>
        </m:sSub>
      </m:oMath>
      <w:r>
        <w:rPr/>
        <w:t xml:space="preserve"> is power measurement done with standard setting. </w:t>
      </w:r>
      <w:r>
        <w:rPr/>
      </w:r>
      <m:oMath xmlns:m="http://schemas.openxmlformats.org/officeDocument/2006/math">
        <m:sSub>
          <m:e>
            <m:r>
              <m:rPr>
                <m:lit/>
                <m:nor/>
              </m:rPr>
              <w:rPr>
                <w:rFonts w:ascii="Cambria Math" w:hAnsi="Cambria Math"/>
              </w:rPr>
              <m:t xml:space="preserve">EIRPnstd</m:t>
            </m:r>
          </m:e>
          <m:sub>
            <m:r>
              <w:rPr>
                <w:rFonts w:ascii="Cambria Math" w:hAnsi="Cambria Math"/>
              </w:rPr>
              <m:t xml:space="preserve">i</m:t>
            </m:r>
          </m:sub>
        </m:sSub>
      </m:oMath>
      <w:r>
        <w:rPr/>
        <w:t xml:space="preserve"> is power measurement done with non standard modulation. </w:t>
      </w:r>
      <w:r>
        <w:rPr/>
      </w:r>
      <m:oMath xmlns:m="http://schemas.openxmlformats.org/officeDocument/2006/math">
        <m:r>
          <w:rPr>
            <w:rFonts w:ascii="Cambria Math" w:hAnsi="Cambria Math"/>
          </w:rPr>
          <m:t xml:space="preserve">n</m:t>
        </m:r>
      </m:oMath>
      <w:r>
        <w:rPr/>
        <w:t xml:space="preserve"> is amount of reference measurement points.</w:t>
      </w:r>
    </w:p>
    <w:p>
      <w:pPr>
        <w:pStyle w:val="Normal"/>
        <w:rPr/>
      </w:pPr>
      <w:r>
        <w:rPr/>
        <w:t>To ensure accuracy of TRP, the amount of reference points measured should be at least 4. It is recommended to spread the reference measurements equally during the measurement time.</w:t>
      </w:r>
    </w:p>
    <w:p>
      <w:pPr>
        <w:pStyle w:val="Heading4"/>
        <w:ind w:left="1418" w:hanging="1418"/>
        <w:rPr/>
      </w:pPr>
      <w:bookmarkStart w:id="192" w:name="__RefHeading___Toc68601128"/>
      <w:bookmarkEnd w:id="192"/>
      <w:r>
        <w:rPr/>
        <w:t>6.3.2.4.3</w:t>
      </w:r>
      <w:r>
        <w:rPr>
          <w:rFonts w:cs="Calibri" w:ascii="Calibri" w:hAnsi="Calibri"/>
          <w:sz w:val="22"/>
          <w:szCs w:val="22"/>
        </w:rPr>
        <w:tab/>
      </w:r>
      <w:r>
        <w:rPr/>
        <w:t>Procedure, reverberation chamber method</w:t>
      </w:r>
    </w:p>
    <w:p>
      <w:pPr>
        <w:pStyle w:val="B1"/>
        <w:rPr/>
      </w:pPr>
      <w:r>
        <w:rPr/>
        <w:t>1)</w:t>
        <w:tab/>
        <w:t>Send continuously Up power control commands to the LEE UE.</w:t>
      </w:r>
    </w:p>
    <w:p>
      <w:pPr>
        <w:pStyle w:val="B1"/>
        <w:rPr/>
      </w:pPr>
      <w:r>
        <w:rPr/>
        <w:t>2)</w:t>
        <w:tab/>
        <w:t>As the LEE UE reaches maximum power, start sending PN15 data pattern.</w:t>
      </w:r>
    </w:p>
    <w:p>
      <w:pPr>
        <w:pStyle w:val="B1"/>
        <w:rPr/>
      </w:pPr>
      <w:r>
        <w:rPr/>
        <w:t>3)</w:t>
        <w:tab/>
        <w:t>Position and configure the LEE according to Subclause 4.3.5.</w:t>
      </w:r>
    </w:p>
    <w:p>
      <w:pPr>
        <w:pStyle w:val="B1"/>
        <w:rPr/>
      </w:pPr>
      <w:r>
        <w:rPr/>
        <w:t>4)</w:t>
        <w:tab/>
        <w:t xml:space="preserve">Measure a sufficient number of independent samples (see </w:t>
      </w:r>
      <w:r>
        <w:rPr>
          <w:lang w:eastAsia="zh-TW"/>
        </w:rPr>
        <w:t>Subclause 4.5</w:t>
      </w:r>
      <w:r>
        <w:rPr/>
        <w:t xml:space="preserve">) of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oMath>
      <w:r>
        <w:rPr/>
        <w:t xml:space="preserve"> using a test system having characteristics as described in Annex A.</w:t>
      </w:r>
    </w:p>
    <w:p>
      <w:pPr>
        <w:pStyle w:val="B1"/>
        <w:rPr/>
      </w:pPr>
      <w:r>
        <w:rPr/>
        <w:t>5)</w:t>
        <w:tab/>
        <w:t xml:space="preserve">Calculate TRP using equations from </w:t>
      </w:r>
      <w:r>
        <w:rPr>
          <w:lang w:eastAsia="zh-TW"/>
        </w:rPr>
        <w:t>Subclause 6.3.2.1</w:t>
      </w:r>
      <w:r>
        <w:rPr/>
        <w:t>.</w:t>
      </w:r>
    </w:p>
    <w:p>
      <w:pPr>
        <w:pStyle w:val="NO"/>
        <w:rPr/>
      </w:pPr>
      <w:r>
        <w:rPr/>
        <w:t>NOTE 1:</w:t>
        <w:tab/>
        <w:t>The measurement procedure is based on the measurement of the total power radiated from the UE to a full 3 dimensional isotropic environment with uniform elevation and azimuth field distribution. The power transmitted by the DUT is undergoing Rayleigh fading and is sampled by the fixed measurement antennas. Moreover, it is important that the samples collected are independent, in order to get sufficient accuracy of the estimated TRP value.</w:t>
      </w:r>
    </w:p>
    <w:p>
      <w:pPr>
        <w:pStyle w:val="NO"/>
        <w:rPr/>
      </w:pPr>
      <w:r>
        <w:rPr/>
        <w:t>NOTE 2:</w:t>
        <w:tab/>
        <w:t>The noise floor of the measurement receiver shall not disturb the power measurement.</w:t>
      </w:r>
    </w:p>
    <w:p>
      <w:pPr>
        <w:pStyle w:val="Heading4"/>
        <w:ind w:left="1418" w:hanging="1418"/>
        <w:rPr/>
      </w:pPr>
      <w:bookmarkStart w:id="193" w:name="__RefHeading___Toc68601129"/>
      <w:bookmarkEnd w:id="193"/>
      <w:r>
        <w:rPr/>
        <w:t>6.3.2.5</w:t>
      </w:r>
      <w:r>
        <w:rPr>
          <w:rFonts w:cs="Calibri" w:ascii="Calibri" w:hAnsi="Calibri"/>
          <w:sz w:val="22"/>
          <w:szCs w:val="22"/>
        </w:rPr>
        <w:tab/>
      </w:r>
      <w:r>
        <w:rPr/>
        <w:t>Test requirements</w:t>
      </w:r>
    </w:p>
    <w:p>
      <w:pPr>
        <w:pStyle w:val="Normal"/>
        <w:jc w:val="both"/>
        <w:rPr/>
      </w:pPr>
      <w:r>
        <w:rPr/>
        <w:t>The average TRP of low, mid and high channel shall be higher than test performance requirements for roaming bands shown in Table 6.3.2.5-1 for notebook devices and in Table 6.3.2.5-2 for tablet devices. The averaging shall be done in linear scale for the TRP.</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num>
                <m:den>
                  <m:r>
                    <w:rPr>
                      <w:rFonts w:ascii="Cambria Math" w:hAnsi="Cambria Math"/>
                    </w:rPr>
                    <m:t xml:space="preserve">3</m:t>
                  </m:r>
                </m:den>
              </m:f>
            </m:e>
          </m:d>
        </m:oMath>
      </m:oMathPara>
    </w:p>
    <w:p>
      <w:pPr>
        <w:pStyle w:val="Normal"/>
        <w:rPr/>
      </w:pPr>
      <w:r>
        <w:rPr/>
        <w:t>In addition the minimum TRP of each measured channel shall be higher than minimum performance requirements shown in the columns “Min”.</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m:rPr>
                  <m:lit/>
                  <m:nor/>
                </m:rPr>
                <w:rPr>
                  <w:rFonts w:ascii="Cambria Math" w:hAnsi="Cambria Math"/>
                </w:rPr>
                <m:t xml:space="preserve">min</m:t>
              </m:r>
              <m:d>
                <m:dPr>
                  <m:begChr m:val="("/>
                  <m:endChr m:val=")"/>
                </m:dPr>
                <m:e>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e>
              </m:d>
            </m:e>
          </m:d>
        </m:oMath>
      </m:oMathPara>
    </w:p>
    <w:p>
      <w:pPr>
        <w:pStyle w:val="TH"/>
        <w:rPr/>
      </w:pPr>
      <w:r>
        <w:rPr/>
        <w:t>Table 6.3.2.5-1: TRP test requirement for UTRA TDD notebook devices in the data transfers position</w:t>
      </w:r>
    </w:p>
    <w:tbl>
      <w:tblPr>
        <w:tblW w:w="7530" w:type="dxa"/>
        <w:jc w:val="center"/>
        <w:tblInd w:w="0" w:type="dxa"/>
        <w:tblLayout w:type="fixed"/>
        <w:tblCellMar>
          <w:top w:w="0" w:type="dxa"/>
          <w:left w:w="108" w:type="dxa"/>
          <w:bottom w:w="0" w:type="dxa"/>
          <w:right w:w="108" w:type="dxa"/>
        </w:tblCellMar>
      </w:tblPr>
      <w:tblGrid>
        <w:gridCol w:w="959"/>
        <w:gridCol w:w="992"/>
        <w:gridCol w:w="567"/>
        <w:gridCol w:w="992"/>
        <w:gridCol w:w="709"/>
        <w:gridCol w:w="992"/>
        <w:gridCol w:w="567"/>
        <w:gridCol w:w="992"/>
        <w:gridCol w:w="760"/>
      </w:tblGrid>
      <w:tr>
        <w:trPr>
          <w:trHeight w:val="277" w:hRule="atLeast"/>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Operating band</w:t>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1</w:t>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2</w:t>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3</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4</w:t>
            </w:r>
          </w:p>
        </w:tc>
      </w:tr>
      <w:tr>
        <w:trPr>
          <w:trHeight w:val="316" w:hRule="atLeast"/>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r>
      <w:tr>
        <w:trPr>
          <w:trHeight w:val="244" w:hRule="atLeast"/>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56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70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Average</w:t>
            </w:r>
          </w:p>
        </w:tc>
        <w:tc>
          <w:tcPr>
            <w:tcW w:w="56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76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r>
      <w:tr>
        <w:trPr>
          <w:trHeight w:val="215" w:hRule="atLeast"/>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a</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+TT</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+TT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b</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+TT</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+TT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c</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+TT</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+TT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+TT</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+TT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e</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+TT</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+TT +TT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f</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+TT</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+TT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7530" w:type="dxa"/>
            <w:gridSpan w:val="9"/>
            <w:tcBorders>
              <w:top w:val="single" w:sz="4" w:space="0" w:color="000000"/>
              <w:left w:val="single" w:sz="4" w:space="0" w:color="000000"/>
              <w:bottom w:val="single" w:sz="4" w:space="0" w:color="000000"/>
              <w:right w:val="single" w:sz="4" w:space="0" w:color="000000"/>
            </w:tcBorders>
            <w:vAlign w:val="center"/>
          </w:tcPr>
          <w:p>
            <w:pPr>
              <w:pStyle w:val="TAN"/>
              <w:rPr/>
            </w:pPr>
            <w:r>
              <w:rPr>
                <w:lang w:eastAsia="en-US"/>
              </w:rPr>
              <w:t>NOTE 1: Applicable for dual-mode GSM/UTRA LCR TDD.</w:t>
            </w:r>
          </w:p>
          <w:p>
            <w:pPr>
              <w:pStyle w:val="TAN"/>
              <w:rPr>
                <w:lang w:eastAsia="en-US"/>
              </w:rPr>
            </w:pPr>
            <w:r>
              <w:rPr>
                <w:lang w:eastAsia="en-US"/>
              </w:rPr>
              <w:t>NOTE 2: Applicable for notebook devices.</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TH"/>
        <w:rPr/>
      </w:pPr>
      <w:r>
        <w:rPr/>
        <w:t>Table 6.3.2.5-2: TRP test requirement for UTRA TDD tablet devices in the data transfers position</w:t>
      </w:r>
    </w:p>
    <w:tbl>
      <w:tblPr>
        <w:tblW w:w="7530" w:type="dxa"/>
        <w:jc w:val="center"/>
        <w:tblInd w:w="0" w:type="dxa"/>
        <w:tblLayout w:type="fixed"/>
        <w:tblCellMar>
          <w:top w:w="0" w:type="dxa"/>
          <w:left w:w="108" w:type="dxa"/>
          <w:bottom w:w="0" w:type="dxa"/>
          <w:right w:w="108" w:type="dxa"/>
        </w:tblCellMar>
      </w:tblPr>
      <w:tblGrid>
        <w:gridCol w:w="959"/>
        <w:gridCol w:w="992"/>
        <w:gridCol w:w="567"/>
        <w:gridCol w:w="992"/>
        <w:gridCol w:w="709"/>
        <w:gridCol w:w="992"/>
        <w:gridCol w:w="567"/>
        <w:gridCol w:w="992"/>
        <w:gridCol w:w="760"/>
      </w:tblGrid>
      <w:tr>
        <w:trPr>
          <w:trHeight w:val="277" w:hRule="atLeast"/>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Operating band</w:t>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1</w:t>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2</w:t>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3</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Class 4</w:t>
            </w:r>
          </w:p>
        </w:tc>
      </w:tr>
      <w:tr>
        <w:trPr>
          <w:trHeight w:val="316" w:hRule="atLeast"/>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H"/>
              <w:rPr/>
            </w:pPr>
            <w:r>
              <w:rPr>
                <w:lang w:eastAsia="en-US"/>
              </w:rPr>
              <w:t>Power (dBm)</w:t>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r>
      <w:tr>
        <w:trPr>
          <w:trHeight w:val="244" w:hRule="atLeast"/>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56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70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56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76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Min</w:t>
            </w:r>
          </w:p>
        </w:tc>
      </w:tr>
      <w:tr>
        <w:trPr>
          <w:trHeight w:val="215" w:hRule="atLeast"/>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a</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+TT</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+TT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b</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+TT</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+TT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c</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+TT</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+TT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+TT</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+TT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e</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+TT</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+TT +TT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f</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+TT</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+TT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lang w:eastAsia="en-US"/>
              </w:rPr>
              <w:t>-</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lang w:eastAsia="en-US"/>
              </w:rPr>
              <w:t>-</w:t>
            </w:r>
          </w:p>
        </w:tc>
        <w:tc>
          <w:tcPr>
            <w:tcW w:w="76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7530" w:type="dxa"/>
            <w:gridSpan w:val="9"/>
            <w:tcBorders>
              <w:top w:val="single" w:sz="4" w:space="0" w:color="000000"/>
              <w:left w:val="single" w:sz="4" w:space="0" w:color="000000"/>
              <w:bottom w:val="single" w:sz="4" w:space="0" w:color="000000"/>
              <w:right w:val="single" w:sz="4" w:space="0" w:color="000000"/>
            </w:tcBorders>
            <w:vAlign w:val="center"/>
          </w:tcPr>
          <w:p>
            <w:pPr>
              <w:pStyle w:val="TAN"/>
              <w:rPr>
                <w:lang w:eastAsia="en-US"/>
              </w:rPr>
            </w:pPr>
            <w:r>
              <w:rPr>
                <w:lang w:eastAsia="en-US"/>
              </w:rPr>
              <w:t>NOTE 1: Applicable for dual-mode GSM/UTRA LCR TDD.</w:t>
            </w:r>
          </w:p>
          <w:p>
            <w:pPr>
              <w:pStyle w:val="TAN"/>
              <w:rPr>
                <w:lang w:eastAsia="en-US"/>
              </w:rPr>
            </w:pPr>
            <w:r>
              <w:rPr>
                <w:lang w:eastAsia="en-US"/>
              </w:rPr>
              <w:t>NOTE 2: Applicable for tablet devices.</w:t>
            </w:r>
          </w:p>
        </w:tc>
      </w:tr>
    </w:tbl>
    <w:p>
      <w:pPr>
        <w:pStyle w:val="Normal"/>
        <w:rPr/>
      </w:pPr>
      <w:r>
        <w:rPr/>
      </w:r>
    </w:p>
    <w:p>
      <w:pPr>
        <w:pStyle w:val="Normal"/>
        <w:rPr/>
      </w:pPr>
      <w:r>
        <w:rPr/>
        <w:t>NOTE:</w:t>
        <w:tab/>
        <w:t xml:space="preserve">If the above Test Requirement differs from the Minimum Requirement then the Test Tolerance applied for this test is non-zero. The Test Tolerance for this test is defined and the explanation of how the Minimum Requirement has been relaxed by the Test Tolerance is given in Annex D. </w:t>
      </w:r>
    </w:p>
    <w:p>
      <w:pPr>
        <w:pStyle w:val="Heading3"/>
        <w:rPr>
          <w:lang w:eastAsia="zh-CN"/>
        </w:rPr>
      </w:pPr>
      <w:bookmarkStart w:id="194" w:name="__RefHeading___Toc68601130"/>
      <w:bookmarkEnd w:id="194"/>
      <w:r>
        <w:rPr/>
        <w:t>6.</w:t>
      </w:r>
      <w:r>
        <w:rPr>
          <w:lang w:eastAsia="zh-CN"/>
        </w:rPr>
        <w:t>3</w:t>
      </w:r>
      <w:r>
        <w:rPr/>
        <w:t>.3</w:t>
        <w:tab/>
        <w:t>Total Radiated Power (TRP) for E-UTRA FDD LEE</w:t>
      </w:r>
    </w:p>
    <w:p>
      <w:pPr>
        <w:pStyle w:val="EditorsNote"/>
        <w:rPr/>
      </w:pPr>
      <w:r>
        <w:rPr/>
        <w:t>Editor’s notes: This subclause is incomplete. The following items are missing or incomplete:</w:t>
      </w:r>
    </w:p>
    <w:p>
      <w:pPr>
        <w:pStyle w:val="EditorsNote"/>
        <w:rPr/>
      </w:pPr>
      <w:r>
        <w:rPr/>
        <w:t>-</w:t>
        <w:tab/>
        <w:t>Table 6.3.3.2-1 and 6.3.3.5-1 as they are not specified in TS 37.144 yet</w:t>
      </w:r>
    </w:p>
    <w:p>
      <w:pPr>
        <w:pStyle w:val="EditorsNote"/>
        <w:rPr/>
      </w:pPr>
      <w:r>
        <w:rPr/>
        <w:t>-</w:t>
        <w:tab/>
        <w:t>Applicability</w:t>
      </w:r>
    </w:p>
    <w:p>
      <w:pPr>
        <w:pStyle w:val="Heading4"/>
        <w:ind w:left="1418" w:hanging="1418"/>
        <w:rPr/>
      </w:pPr>
      <w:bookmarkStart w:id="195" w:name="__RefHeading___Toc68601131"/>
      <w:bookmarkEnd w:id="195"/>
      <w:r>
        <w:rPr/>
        <w:t>6.3.3.1</w:t>
      </w:r>
      <w:r>
        <w:rPr>
          <w:rFonts w:cs="Calibri" w:ascii="Calibri" w:hAnsi="Calibri"/>
          <w:sz w:val="22"/>
          <w:szCs w:val="22"/>
        </w:rPr>
        <w:tab/>
      </w:r>
      <w:r>
        <w:rPr/>
        <w:t>Definition and applicability</w:t>
      </w:r>
    </w:p>
    <w:p>
      <w:pPr>
        <w:pStyle w:val="Normal"/>
        <w:rPr/>
      </w:pPr>
      <w:r>
        <w:rPr/>
        <w:t>The Total Radiated Power (TRP) is a measure of how much power the antenna actually radiates, when non-idealities such as mismatch and losses in the antenna are taken into account. The TRP is defined as the integral of the power transmitted in different directions over the entire radiation sphere:</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m:rPr>
                  <m:lit/>
                  <m:nor/>
                </m:rPr>
                <w:rPr>
                  <w:rFonts w:ascii="Cambria Math" w:hAnsi="Cambria Math"/>
                </w:rPr>
                <m:t xml:space="preserve">TRP</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4</m:t>
              </m:r>
              <m:r>
                <w:rPr>
                  <w:rFonts w:ascii="Cambria Math" w:hAnsi="Cambria Math"/>
                </w:rPr>
                <m:t xml:space="preserve">π</m:t>
              </m:r>
            </m:den>
          </m:f>
          <m:nary>
            <m:naryPr>
              <m:chr m:val="∮"/>
              <m:subHide m:val="1"/>
              <m:supHide m:val="1"/>
            </m:naryPr>
            <m:sub/>
            <m:sup/>
            <m:e>
              <m:d>
                <m:dPr>
                  <m:begChr m:val="("/>
                  <m:endChr m:val=")"/>
                </m:dPr>
                <m:e>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e>
              </m:d>
            </m:e>
          </m:nary>
          <m:r>
            <w:rPr>
              <w:rFonts w:ascii="Cambria Math" w:hAnsi="Cambria Math"/>
            </w:rPr>
            <m:t xml:space="preserve">d</m:t>
          </m:r>
          <m:r>
            <w:rPr>
              <w:rFonts w:ascii="Cambria Math" w:hAnsi="Cambria Math"/>
            </w:rPr>
            <m:t xml:space="preserve">Ω</m:t>
          </m:r>
        </m:oMath>
      </m:oMathPara>
    </w:p>
    <w:p>
      <w:pPr>
        <w:pStyle w:val="Normal"/>
        <w:rPr/>
      </w:pPr>
      <w:r>
        <w:rPr/>
        <w:t xml:space="preserve">Using </w:t>
      </w:r>
      <w:r>
        <w:rPr/>
      </w:r>
      <m:oMath xmlns:m="http://schemas.openxmlformats.org/officeDocument/2006/math">
        <m:r>
          <w:rPr>
            <w:rFonts w:ascii="Cambria Math" w:hAnsi="Cambria Math"/>
          </w:rPr>
          <m:t xml:space="preserve">ψ</m:t>
        </m:r>
      </m:oMath>
      <w:r>
        <w:rPr/>
        <w:t xml:space="preserve"> to denote either </w:t>
      </w:r>
      <w:r>
        <w:rPr/>
      </w:r>
      <m:oMath xmlns:m="http://schemas.openxmlformats.org/officeDocument/2006/math">
        <m:r>
          <w:rPr>
            <w:rFonts w:ascii="Cambria Math" w:hAnsi="Cambria Math"/>
          </w:rPr>
          <m:t xml:space="preserve">θ</m:t>
        </m:r>
      </m:oMath>
      <w:r>
        <w:rPr/>
        <w:t xml:space="preserve"> or </w:t>
      </w:r>
      <w:r>
        <w:rPr/>
      </w:r>
      <m:oMath xmlns:m="http://schemas.openxmlformats.org/officeDocument/2006/math">
        <m:r>
          <w:rPr>
            <w:rFonts w:ascii="Cambria Math" w:hAnsi="Cambria Math"/>
          </w:rPr>
          <m:t xml:space="preserve">ϕ</m:t>
        </m:r>
      </m:oMath>
      <w:r>
        <w:rPr/>
        <w:t xml:space="preserve">, </w:t>
      </w:r>
      <w:r>
        <w:rPr/>
      </w:r>
      <m:oMath xmlns:m="http://schemas.openxmlformats.org/officeDocument/2006/math">
        <m:sSub>
          <m:e>
            <m:r>
              <w:rPr>
                <w:rFonts w:ascii="Cambria Math" w:hAnsi="Cambria Math"/>
              </w:rPr>
              <m:t xml:space="preserve">G</m:t>
            </m:r>
          </m:e>
          <m:sub>
            <m:r>
              <w:rPr>
                <w:rFonts w:ascii="Cambria Math" w:hAnsi="Cambria Math"/>
              </w:rPr>
              <m:t xml:space="preserve">ψ</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oMath>
      <w:r>
        <w:rPr/>
        <w:t xml:space="preserve">is the </w:t>
      </w:r>
      <w:r>
        <w:rPr/>
      </w:r>
      <m:oMath xmlns:m="http://schemas.openxmlformats.org/officeDocument/2006/math">
        <m:r>
          <w:rPr>
            <w:rFonts w:ascii="Cambria Math" w:hAnsi="Cambria Math"/>
          </w:rPr>
          <m:t xml:space="preserve">ψ</m:t>
        </m:r>
      </m:oMath>
      <w:r>
        <w:rPr/>
        <w:t xml:space="preserve">-polarization component of the gain pattern for the handset antenna measured at the frequency </w:t>
      </w:r>
      <w:r>
        <w:rPr/>
      </w:r>
      <m:oMath xmlns:m="http://schemas.openxmlformats.org/officeDocument/2006/math">
        <m:r>
          <w:rPr>
            <w:rFonts w:ascii="Cambria Math" w:hAnsi="Cambria Math"/>
          </w:rPr>
          <m:t xml:space="preserve">f</m:t>
        </m:r>
      </m:oMath>
      <w:r>
        <w:rPr/>
        <w:t xml:space="preserve">, where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oMath>
      <w:r>
        <w:rPr/>
        <w:t xml:space="preserve">is the transmit power level of the handset so that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ψ</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oMath>
      <w:r>
        <w:rPr/>
        <w:t xml:space="preserve">is the actually transmitted power-level, also known as EIRP, in the </w:t>
      </w:r>
      <w:r>
        <w:rPr/>
      </w:r>
      <m:oMath xmlns:m="http://schemas.openxmlformats.org/officeDocument/2006/math">
        <m:r>
          <w:rPr>
            <w:rFonts w:ascii="Cambria Math" w:hAnsi="Cambria Math"/>
          </w:rPr>
          <m:t xml:space="preserve">ψ</m:t>
        </m:r>
      </m:oMath>
      <w:r>
        <w:rPr/>
        <w:t xml:space="preserve">-polarization and in the direction </w:t>
      </w:r>
      <w:r>
        <w:rPr/>
      </w:r>
      <m:oMath xmlns:m="http://schemas.openxmlformats.org/officeDocument/2006/math">
        <m:r>
          <w:rPr>
            <w:rFonts w:ascii="Cambria Math" w:hAnsi="Cambria Math"/>
          </w:rPr>
          <m:t xml:space="preserve">Ω</m:t>
        </m:r>
      </m:oMath>
      <w:r>
        <w:rPr/>
        <w:t xml:space="preserve"> for frequency </w:t>
      </w:r>
      <w:r>
        <w:rPr/>
      </w:r>
      <m:oMath xmlns:m="http://schemas.openxmlformats.org/officeDocument/2006/math">
        <m:r>
          <w:rPr>
            <w:rFonts w:ascii="Cambria Math" w:hAnsi="Cambria Math"/>
          </w:rPr>
          <m:t xml:space="preserve">f</m:t>
        </m:r>
      </m:oMath>
      <w:r>
        <w:rPr/>
        <w:t>.</w:t>
      </w:r>
    </w:p>
    <w:p>
      <w:pPr>
        <w:pStyle w:val="Normal"/>
        <w:rPr/>
      </w:pPr>
      <w:r>
        <w:rPr/>
        <w:t>The above equation may be written in "gain" form, that is, the TRP given by P</w:t>
      </w:r>
      <w:r>
        <w:rPr>
          <w:vertAlign w:val="subscript"/>
        </w:rPr>
        <w:t>TRP</w:t>
      </w:r>
      <w:r>
        <w:rPr/>
        <w:t xml:space="preserve"> is normalized to the transmitted power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oMath>
      <w:r>
        <w:rPr/>
        <w:t>. This is the total radiation efficiency, which can also be denoted as Total Radiated Power Gain, TRPG,</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Γ</m:t>
              </m:r>
            </m:e>
            <m:sub>
              <m:r>
                <m:rPr>
                  <m:lit/>
                  <m:nor/>
                </m:rPr>
                <w:rPr>
                  <w:rFonts w:ascii="Cambria Math" w:hAnsi="Cambria Math"/>
                </w:rPr>
                <m:t xml:space="preserve">TRP</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4</m:t>
              </m:r>
              <m:r>
                <w:rPr>
                  <w:rFonts w:ascii="Cambria Math" w:hAnsi="Cambria Math"/>
                </w:rPr>
                <m:t xml:space="preserve">π</m:t>
              </m:r>
            </m:den>
          </m:f>
          <m:nary>
            <m:naryPr>
              <m:chr m:val="∮"/>
              <m:subHide m:val="1"/>
              <m:supHide m:val="1"/>
            </m:naryPr>
            <m:sub/>
            <m:sup/>
            <m:e>
              <m:d>
                <m:dPr>
                  <m:begChr m:val="("/>
                  <m:endChr m:val=")"/>
                </m:dPr>
                <m:e>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e>
              </m:d>
            </m:e>
          </m:nary>
          <m:r>
            <w:rPr>
              <w:rFonts w:ascii="Cambria Math" w:hAnsi="Cambria Math"/>
            </w:rPr>
            <m:t xml:space="preserve">d</m:t>
          </m:r>
          <m:r>
            <w:rPr>
              <w:rFonts w:ascii="Cambria Math" w:hAnsi="Cambria Math"/>
            </w:rPr>
            <m:t xml:space="preserve">Ω</m:t>
          </m:r>
        </m:oMath>
      </m:oMathPara>
    </w:p>
    <w:p>
      <w:pPr>
        <w:pStyle w:val="Normal"/>
        <w:rPr/>
      </w:pPr>
      <w:r>
        <w:rPr/>
        <w:t xml:space="preserve">In practice discrete samples of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ψ</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oMath>
      <w:r>
        <w:rPr/>
        <w:t xml:space="preserve"> are measured and used to approximate the integral so that the TRP is computed as</w:t>
      </w:r>
    </w:p>
    <w:p>
      <w:pPr>
        <w:pStyle w:val="EQ"/>
        <w:tabs>
          <w:tab w:val="clear" w:pos="9072"/>
          <w:tab w:val="center" w:pos="4536" w:leader="none"/>
          <w:tab w:val="right" w:pos="7938" w:leader="none"/>
        </w:tabs>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m:rPr>
                  <m:lit/>
                  <m:nor/>
                </m:rPr>
                <w:rPr>
                  <w:rFonts w:ascii="Cambria Math" w:hAnsi="Cambria Math"/>
                </w:rPr>
                <m:t xml:space="preserve">TRP</m:t>
              </m:r>
            </m:sub>
          </m:sSub>
          <m:r>
            <w:rPr>
              <w:rFonts w:ascii="Cambria Math" w:hAnsi="Cambria Math"/>
            </w:rPr>
            <m:t xml:space="preserve">≈</m:t>
          </m:r>
          <m:f>
            <m:num>
              <m:sSub>
                <m:e>
                  <m:r>
                    <w:rPr>
                      <w:rFonts w:ascii="Cambria Math" w:hAnsi="Cambria Math"/>
                    </w:rPr>
                    <m:t xml:space="preserve">Δ</m:t>
                  </m:r>
                </m:e>
                <m:sub>
                  <m:r>
                    <w:rPr>
                      <w:rFonts w:ascii="Cambria Math" w:hAnsi="Cambria Math"/>
                    </w:rPr>
                    <m:t xml:space="preserve">θ</m:t>
                  </m:r>
                </m:sub>
              </m:sSub>
              <m:sSub>
                <m:e>
                  <m:r>
                    <w:rPr>
                      <w:rFonts w:ascii="Cambria Math" w:hAnsi="Cambria Math"/>
                    </w:rPr>
                    <m:t xml:space="preserve">Δ</m:t>
                  </m:r>
                </m:e>
                <m:sub>
                  <m:r>
                    <w:rPr>
                      <w:rFonts w:ascii="Cambria Math" w:hAnsi="Cambria Math"/>
                    </w:rPr>
                    <m:t xml:space="preserve">ϕ</m:t>
                  </m:r>
                </m:sub>
              </m:sSub>
            </m:num>
            <m:den>
              <m:r>
                <w:rPr>
                  <w:rFonts w:ascii="Cambria Math" w:hAnsi="Cambria Math"/>
                </w:rPr>
                <m:t xml:space="preserve">4</m:t>
              </m:r>
              <m:r>
                <w:rPr>
                  <w:rFonts w:ascii="Cambria Math" w:hAnsi="Cambria Math"/>
                </w:rPr>
                <m:t xml:space="preserve">π</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rPr/>
      </w:pPr>
      <w:r>
        <w:rPr/>
        <w:t xml:space="preserve">Or, by using the relation </w:t>
      </w:r>
      <w:r>
        <w:rPr/>
      </w:r>
      <m:oMath xmlns:m="http://schemas.openxmlformats.org/officeDocument/2006/math">
        <m:r>
          <m:rPr>
            <m:lit/>
            <m:nor/>
          </m:rPr>
          <w:rPr>
            <w:rFonts w:ascii="Cambria Math" w:hAnsi="Cambria Math"/>
          </w:rPr>
          <m:t xml:space="preserve">EIRP</m:t>
        </m:r>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tx</m:t>
            </m:r>
          </m:sub>
        </m:sSub>
        <m:r>
          <w:rPr>
            <w:rFonts w:ascii="Cambria Math" w:hAnsi="Cambria Math"/>
          </w:rPr>
          <m:t xml:space="preserve">G</m:t>
        </m:r>
      </m:oMath>
      <w:r>
        <w:rPr/>
        <w:t>:</w:t>
      </w:r>
    </w:p>
    <w:p>
      <w:pPr>
        <w:pStyle w:val="EQ"/>
        <w:tabs>
          <w:tab w:val="clear" w:pos="9072"/>
          <w:tab w:val="center" w:pos="4536" w:leader="none"/>
          <w:tab w:val="right" w:pos="7938" w:leader="none"/>
        </w:tabs>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m:rPr>
                  <m:lit/>
                  <m:nor/>
                </m:rPr>
                <w:rPr>
                  <w:rFonts w:ascii="Cambria Math" w:hAnsi="Cambria Math"/>
                </w:rPr>
                <m:t xml:space="preserve">TRP</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f>
            <m:num>
              <m:sSub>
                <m:e>
                  <m:r>
                    <w:rPr>
                      <w:rFonts w:ascii="Cambria Math" w:hAnsi="Cambria Math"/>
                    </w:rPr>
                    <m:t xml:space="preserve">Δ</m:t>
                  </m:r>
                </m:e>
                <m:sub>
                  <m:r>
                    <w:rPr>
                      <w:rFonts w:ascii="Cambria Math" w:hAnsi="Cambria Math"/>
                    </w:rPr>
                    <m:t xml:space="preserve">θ</m:t>
                  </m:r>
                </m:sub>
              </m:sSub>
              <m:sSub>
                <m:e>
                  <m:r>
                    <w:rPr>
                      <w:rFonts w:ascii="Cambria Math" w:hAnsi="Cambria Math"/>
                    </w:rPr>
                    <m:t xml:space="preserve">Δ</m:t>
                  </m:r>
                </m:e>
                <m:sub>
                  <m:r>
                    <w:rPr>
                      <w:rFonts w:ascii="Cambria Math" w:hAnsi="Cambria Math"/>
                    </w:rPr>
                    <m:t xml:space="preserve">ϕ</m:t>
                  </m:r>
                </m:sub>
              </m:sSub>
            </m:num>
            <m:den>
              <m:r>
                <w:rPr>
                  <w:rFonts w:ascii="Cambria Math" w:hAnsi="Cambria Math"/>
                </w:rPr>
                <m:t xml:space="preserve">4</m:t>
              </m:r>
              <m:r>
                <w:rPr>
                  <w:rFonts w:ascii="Cambria Math" w:hAnsi="Cambria Math"/>
                </w:rPr>
                <m:t xml:space="preserve">π</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m:rPr>
                              <m:lit/>
                              <m:nor/>
                            </m:rPr>
                            <w:rPr>
                              <w:rFonts w:ascii="Cambria Math" w:hAnsi="Cambria Math"/>
                            </w:rPr>
                            <m:t xml:space="preserve">EIRP</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EIRP</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rPr/>
      </w:pPr>
      <w:r>
        <w:rPr/>
        <w:t>In gain form the TRP can be expressed as:</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Γ</m:t>
              </m:r>
            </m:e>
            <m:sub>
              <m:r>
                <m:rPr>
                  <m:lit/>
                  <m:nor/>
                </m:rPr>
                <w:rPr>
                  <w:rFonts w:ascii="Cambria Math" w:hAnsi="Cambria Math"/>
                </w:rPr>
                <m:t xml:space="preserve">TRP</m:t>
              </m:r>
            </m:sub>
          </m:sSub>
          <m:r>
            <w:rPr>
              <w:rFonts w:ascii="Cambria Math" w:hAnsi="Cambria Math"/>
            </w:rPr>
            <m:t xml:space="preserve">≈</m:t>
          </m:r>
          <m:f>
            <m:num>
              <m:sSub>
                <m:e>
                  <m:r>
                    <w:rPr>
                      <w:rFonts w:ascii="Cambria Math" w:hAnsi="Cambria Math"/>
                    </w:rPr>
                    <m:t xml:space="preserve">Δ</m:t>
                  </m:r>
                </m:e>
                <m:sub>
                  <m:r>
                    <w:rPr>
                      <w:rFonts w:ascii="Cambria Math" w:hAnsi="Cambria Math"/>
                    </w:rPr>
                    <m:t xml:space="preserve">θ</m:t>
                  </m:r>
                </m:sub>
              </m:sSub>
              <m:sSub>
                <m:e>
                  <m:r>
                    <w:rPr>
                      <w:rFonts w:ascii="Cambria Math" w:hAnsi="Cambria Math"/>
                    </w:rPr>
                    <m:t xml:space="preserve">Δ</m:t>
                  </m:r>
                </m:e>
                <m:sub>
                  <m:r>
                    <w:rPr>
                      <w:rFonts w:ascii="Cambria Math" w:hAnsi="Cambria Math"/>
                    </w:rPr>
                    <m:t xml:space="preserve">ϕ</m:t>
                  </m:r>
                </m:sub>
              </m:sSub>
            </m:num>
            <m:den>
              <m:r>
                <w:rPr>
                  <w:rFonts w:ascii="Cambria Math" w:hAnsi="Cambria Math"/>
                </w:rPr>
                <m:t xml:space="preserve">4</m:t>
              </m:r>
              <m:r>
                <w:rPr>
                  <w:rFonts w:ascii="Cambria Math" w:hAnsi="Cambria Math"/>
                </w:rPr>
                <m:t xml:space="preserve">π</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rPr/>
      </w:pPr>
      <w:r>
        <w:rPr/>
        <w:t xml:space="preserve">In these formulas </w:t>
      </w:r>
      <w:r>
        <w:rPr/>
      </w:r>
      <m:oMath xmlns:m="http://schemas.openxmlformats.org/officeDocument/2006/math">
        <m:sSub>
          <m:e>
            <m:r>
              <w:rPr>
                <w:rFonts w:ascii="Cambria Math" w:hAnsi="Cambria Math"/>
              </w:rPr>
              <m:t xml:space="preserve">Δ</m:t>
            </m:r>
          </m:e>
          <m:sub>
            <m:r>
              <w:rPr>
                <w:rFonts w:ascii="Cambria Math" w:hAnsi="Cambria Math"/>
              </w:rPr>
              <m:t xml:space="preserve">θ</m:t>
            </m:r>
          </m:sub>
        </m:sSub>
        <m:r>
          <w:rPr>
            <w:rFonts w:ascii="Cambria Math" w:hAnsi="Cambria Math"/>
          </w:rPr>
          <m:t xml:space="preserve">=</m:t>
        </m:r>
        <m:f>
          <m:fPr>
            <m:type m:val="lin"/>
          </m:fPr>
          <m:num>
            <m:r>
              <w:rPr>
                <w:rFonts w:ascii="Cambria Math" w:hAnsi="Cambria Math"/>
              </w:rPr>
              <m:t xml:space="preserve">π</m:t>
            </m:r>
          </m:num>
          <m:den>
            <m:r>
              <w:rPr>
                <w:rFonts w:ascii="Cambria Math" w:hAnsi="Cambria Math"/>
              </w:rPr>
              <m:t xml:space="preserve">(</m:t>
            </m:r>
          </m:den>
        </m:f>
        <m:r>
          <w:rPr>
            <w:rFonts w:ascii="Cambria Math" w:hAnsi="Cambria Math"/>
          </w:rPr>
          <m:t xml:space="preserve">N</m:t>
        </m:r>
        <m:r>
          <w:rPr>
            <w:rFonts w:ascii="Cambria Math" w:hAnsi="Cambria Math"/>
          </w:rPr>
          <m:t xml:space="preserve">)</m:t>
        </m:r>
      </m:oMath>
      <w:r>
        <w:rPr/>
        <w:t xml:space="preserve"> and </w:t>
      </w:r>
      <w:r>
        <w:rPr/>
      </w:r>
      <m:oMath xmlns:m="http://schemas.openxmlformats.org/officeDocument/2006/math">
        <m:sSub>
          <m:e>
            <m:r>
              <w:rPr>
                <w:rFonts w:ascii="Cambria Math" w:hAnsi="Cambria Math"/>
              </w:rPr>
              <m:t xml:space="preserve">Δ</m:t>
            </m:r>
          </m:e>
          <m:sub>
            <m:r>
              <w:rPr>
                <w:rFonts w:ascii="Cambria Math" w:hAnsi="Cambria Math"/>
              </w:rPr>
              <m:t xml:space="preserve">ϕ</m:t>
            </m:r>
          </m:sub>
        </m:sSub>
        <m:r>
          <w:rPr>
            <w:rFonts w:ascii="Cambria Math" w:hAnsi="Cambria Math"/>
          </w:rPr>
          <m:t xml:space="preserve">=</m:t>
        </m:r>
        <m:r>
          <w:rPr>
            <w:rFonts w:ascii="Cambria Math" w:hAnsi="Cambria Math"/>
          </w:rPr>
          <m:t xml:space="preserve">2</m:t>
        </m:r>
        <m:f>
          <m:fPr>
            <m:type m:val="lin"/>
          </m:fPr>
          <m:num>
            <m:r>
              <w:rPr>
                <w:rFonts w:ascii="Cambria Math" w:hAnsi="Cambria Math"/>
              </w:rPr>
              <m:t xml:space="preserve">π</m:t>
            </m:r>
          </m:num>
          <m:den>
            <m:r>
              <w:rPr>
                <w:rFonts w:ascii="Cambria Math" w:hAnsi="Cambria Math"/>
              </w:rPr>
              <m:t xml:space="preserve">M</m:t>
            </m:r>
          </m:den>
        </m:f>
      </m:oMath>
      <w:r>
        <w:rPr/>
        <w:t xml:space="preserve"> are the sampling intervals for the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-angles, respectively, and the number of samples in the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-angles are given by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respectively. The sampling points of the sphere are given by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nΔ</m:t>
            </m:r>
          </m:e>
          <m:sub>
            <m:r>
              <w:rPr>
                <w:rFonts w:ascii="Cambria Math" w:hAnsi="Cambria Math"/>
              </w:rPr>
              <m:t xml:space="preserve">θ</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sSub>
          <m:e>
            <m:r>
              <w:rPr>
                <w:rFonts w:ascii="Cambria Math" w:hAnsi="Cambria Math"/>
              </w:rPr>
              <m:t xml:space="preserve">mΔ</m:t>
            </m:r>
          </m:e>
          <m:sub>
            <m:r>
              <w:rPr>
                <w:rFonts w:ascii="Cambria Math" w:hAnsi="Cambria Math"/>
              </w:rPr>
              <m:t xml:space="preserve">ϕ</m:t>
            </m:r>
          </m:sub>
        </m:sSub>
      </m:oMath>
      <w:r>
        <w:rPr/>
        <w:t xml:space="preserve">. The sampling intervals are discussed further in Section 4.4. </w:t>
      </w:r>
    </w:p>
    <w:p>
      <w:pPr>
        <w:pStyle w:val="Normal"/>
        <w:rPr/>
      </w:pPr>
      <w:r>
        <w:rPr/>
        <w:t>When measuring power radiated by active devices, expressing the data in terms of EIRP is more appropriate. The upper form of the TRP formulas (which includes EIRP terms) will be used in the data processing.</w:t>
      </w:r>
    </w:p>
    <w:p>
      <w:pPr>
        <w:pStyle w:val="Normal"/>
        <w:rPr/>
      </w:pPr>
      <w:r>
        <w:rPr/>
        <w:t>The TRP can also be calculated from Rayleigh faded samples of the total power transmitted from the UE. The measurement of transmitter performance in an isotropic Rayleigh fading environment is based on sampling the radiated power of the UE for a discrete number of field combinations in the chamber. The average value of these statistically distributed samples is proportional to the TRP and by calibrating the average power transfer function, an absolute value of the TRP can be obtained. Thus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TRP</m:t>
          </m:r>
          <m:r>
            <w:rPr>
              <w:rFonts w:ascii="Cambria Math" w:hAnsi="Cambria Math"/>
            </w:rPr>
            <m:t xml:space="preserve">≈</m:t>
          </m:r>
          <m:f>
            <m:num>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f>
                        <m:num>
                          <m:sSub>
                            <m:e>
                              <m:r>
                                <w:rPr>
                                  <w:rFonts w:ascii="Cambria Math" w:hAnsi="Cambria Math"/>
                                </w:rPr>
                                <m:t xml:space="preserve">P</m:t>
                              </m:r>
                            </m:e>
                            <m:sub>
                              <m:r>
                                <w:rPr>
                                  <w:rFonts w:ascii="Cambria Math" w:hAnsi="Cambria Math"/>
                                </w:rPr>
                                <m:t xml:space="preserve">n</m:t>
                              </m:r>
                            </m:sub>
                          </m:sSub>
                        </m:num>
                        <m:den>
                          <m:sSub>
                            <m:e>
                              <m:r>
                                <w:rPr>
                                  <w:rFonts w:ascii="Cambria Math" w:hAnsi="Cambria Math"/>
                                </w:rPr>
                                <m:t xml:space="preserve">C</m:t>
                              </m:r>
                            </m:e>
                            <m:sub>
                              <m:r>
                                <w:rPr>
                                  <w:rFonts w:ascii="Cambria Math" w:hAnsi="Cambria Math"/>
                                </w:rPr>
                                <m:t xml:space="preserve">n</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den>
                      </m:f>
                    </m:e>
                  </m:d>
                </m:e>
              </m:nary>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e>
              </m:nary>
            </m:den>
          </m:f>
        </m:oMath>
      </m:oMathPara>
    </w:p>
    <w:p>
      <w:pPr>
        <w:pStyle w:val="Normal"/>
        <w:rPr/>
      </w:pPr>
      <w:r>
        <w:rPr/>
        <w:t xml:space="preserve">where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oMath>
      <w:r>
        <w:rPr/>
        <w:t xml:space="preserve"> is the reference power transfer function for fixed measurement antenna n, </w:t>
      </w:r>
      <w:r>
        <w:rPr/>
      </w:r>
      <m:oMath xmlns:m="http://schemas.openxmlformats.org/officeDocument/2006/math">
        <m:sSub>
          <m:e>
            <m:r>
              <w:rPr>
                <w:rFonts w:ascii="Cambria Math" w:hAnsi="Cambria Math"/>
              </w:rPr>
              <m:t xml:space="preserve">R</m:t>
            </m:r>
          </m:e>
          <m:sub>
            <m:r>
              <w:rPr>
                <w:rFonts w:ascii="Cambria Math" w:hAnsi="Cambria Math"/>
              </w:rPr>
              <m:t xml:space="preserve">n</m:t>
            </m:r>
          </m:sub>
        </m:sSub>
      </m:oMath>
      <w:r>
        <w:rPr/>
        <w:t xml:space="preserve"> is the reflection coefficient for fixed measurement antenna n and </w:t>
      </w:r>
      <w:r>
        <w:rPr/>
      </w:r>
      <m:oMath xmlns:m="http://schemas.openxmlformats.org/officeDocument/2006/math">
        <m:sSub>
          <m:e>
            <m:r>
              <w:rPr>
                <w:rFonts w:ascii="Cambria Math" w:hAnsi="Cambria Math"/>
              </w:rPr>
              <m:t xml:space="preserve">C</m:t>
            </m:r>
          </m:e>
          <m:sub>
            <m:r>
              <w:rPr>
                <w:rFonts w:ascii="Cambria Math" w:hAnsi="Cambria Math"/>
              </w:rPr>
              <m:t xml:space="preserve">n</m:t>
            </m:r>
          </m:sub>
        </m:sSub>
      </m:oMath>
      <w:r>
        <w:rPr/>
        <w:t xml:space="preserve"> is the path loss in the cables connecting the measurement receiver to fixed measurement antenna n. These parameters are calculated from the calibration measurement and are further discussed in Annex B.2. </w:t>
      </w:r>
      <w:r>
        <w:rPr/>
      </w:r>
      <m:oMath xmlns:m="http://schemas.openxmlformats.org/officeDocument/2006/math">
        <m:sSub>
          <m:e>
            <m:r>
              <w:rPr>
                <w:rFonts w:ascii="Cambria Math" w:hAnsi="Cambria Math"/>
              </w:rPr>
              <m:t xml:space="preserve">P</m:t>
            </m:r>
          </m:e>
          <m:sub>
            <m:r>
              <w:rPr>
                <w:rFonts w:ascii="Cambria Math" w:hAnsi="Cambria Math"/>
              </w:rPr>
              <m:t xml:space="preserve">n</m:t>
            </m:r>
          </m:sub>
        </m:sSub>
      </m:oMath>
      <w:r>
        <w:rPr/>
        <w:t xml:space="preserve"> is the average power measured by fixed measurement antenna n and can be calculated using the following expression:</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w:rPr>
                  <w:rFonts w:ascii="Cambria Math" w:hAnsi="Cambria Math"/>
                </w:rPr>
                <m:t xml:space="preserve">n</m:t>
              </m:r>
            </m:sub>
          </m:sSub>
          <m:r>
            <w:rPr>
              <w:rFonts w:ascii="Cambria Math" w:hAnsi="Cambria Math"/>
            </w:rPr>
            <m:t xml:space="preserve">=</m:t>
          </m:r>
          <m:f>
            <m:num>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p>
                    <m:e>
                      <m:d>
                        <m:dPr>
                          <m:begChr m:val="|"/>
                          <m:endChr m:val="|"/>
                        </m:dPr>
                        <m:e>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e>
                      </m:d>
                    </m:e>
                    <m:sup>
                      <m:r>
                        <w:rPr>
                          <w:rFonts w:ascii="Cambria Math" w:hAnsi="Cambria Math"/>
                        </w:rPr>
                        <m:t xml:space="preserve">2</m:t>
                      </m:r>
                    </m:sup>
                  </m:sSup>
                </m:e>
              </m:nary>
            </m:num>
            <m:den>
              <m:r>
                <w:rPr>
                  <w:rFonts w:ascii="Cambria Math" w:hAnsi="Cambria Math"/>
                </w:rPr>
                <m:t xml:space="preserve">M</m:t>
              </m:r>
            </m:den>
          </m:f>
        </m:oMath>
      </m:oMathPara>
    </w:p>
    <w:p>
      <w:pPr>
        <w:pStyle w:val="Normal"/>
        <w:rPr/>
      </w:pPr>
      <w:r>
        <w:rPr/>
        <w:t xml:space="preserve">where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oMath>
      <w:r>
        <w:rPr/>
        <w:t xml:space="preserve"> is sample number m of the complex transfer function measured with fixed measurement antenna n and </w:t>
      </w:r>
      <w:r>
        <w:rPr/>
      </w:r>
      <m:oMath xmlns:m="http://schemas.openxmlformats.org/officeDocument/2006/math">
        <m:r>
          <w:rPr>
            <w:rFonts w:ascii="Cambria Math" w:hAnsi="Cambria Math"/>
          </w:rPr>
          <m:t xml:space="preserve">M</m:t>
        </m:r>
      </m:oMath>
      <w:r>
        <w:rPr/>
        <w:t xml:space="preserve"> is the total number of samples measured for each fixed measurement antenna.</w:t>
      </w:r>
    </w:p>
    <w:p>
      <w:pPr>
        <w:pStyle w:val="Normal"/>
        <w:rPr/>
      </w:pPr>
      <w:r>
        <w:rPr/>
        <w:t>Note that all averaging must be performed using linear power values (e.g. measurements in Watts).</w:t>
      </w:r>
    </w:p>
    <w:p>
      <w:pPr>
        <w:pStyle w:val="Heading4"/>
        <w:ind w:left="1418" w:hanging="1418"/>
        <w:rPr/>
      </w:pPr>
      <w:bookmarkStart w:id="196" w:name="__RefHeading___Toc68601132"/>
      <w:bookmarkEnd w:id="196"/>
      <w:r>
        <w:rPr/>
        <w:t>6.3.3.2</w:t>
      </w:r>
      <w:r>
        <w:rPr>
          <w:rFonts w:cs="Calibri" w:ascii="Calibri" w:hAnsi="Calibri"/>
          <w:sz w:val="22"/>
          <w:szCs w:val="22"/>
        </w:rPr>
        <w:tab/>
      </w:r>
      <w:r>
        <w:rPr/>
        <w:t>Minimum Requirements</w:t>
      </w:r>
    </w:p>
    <w:p>
      <w:pPr>
        <w:pStyle w:val="Normal"/>
        <w:rPr/>
      </w:pPr>
      <w:r>
        <w:rPr/>
        <w:t>The average measured TRP of low, mid and high channel for laptop embedded equipment shall be higher than the average TRP requirement specified in Table 6.3.3.2-1 for notebook devices and in Table 6.3.3.2-2 for tablet devices. The averaging shall be done in linear scale for the TRP results. Average TRP requirement is shown in the column “Average” on the requirement tables.</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num>
                <m:den>
                  <m:r>
                    <w:rPr>
                      <w:rFonts w:ascii="Cambria Math" w:hAnsi="Cambria Math"/>
                    </w:rPr>
                    <m:t xml:space="preserve">3</m:t>
                  </m:r>
                </m:den>
              </m:f>
            </m:e>
          </m:d>
        </m:oMath>
      </m:oMathPara>
    </w:p>
    <w:p>
      <w:pPr>
        <w:pStyle w:val="Normal"/>
        <w:rPr/>
      </w:pPr>
      <w:r>
        <w:rPr/>
        <w:t>In addition the lowest TRP of each measured channel shall be higher than minimum TRP requirement specified in the column “Min” on the requirement tables.</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m:rPr>
                  <m:lit/>
                  <m:nor/>
                </m:rPr>
                <w:rPr>
                  <w:rFonts w:ascii="Cambria Math" w:hAnsi="Cambria Math"/>
                </w:rPr>
                <m:t xml:space="preserve">min</m:t>
              </m:r>
              <m:d>
                <m:dPr>
                  <m:begChr m:val="("/>
                  <m:endChr m:val=")"/>
                </m:dPr>
                <m:e>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e>
              </m:d>
            </m:e>
          </m:d>
        </m:oMath>
      </m:oMathPara>
    </w:p>
    <w:p>
      <w:pPr>
        <w:pStyle w:val="TH"/>
        <w:rPr/>
      </w:pPr>
      <w:r>
        <w:rPr/>
        <w:t>Table 6.3.3.2-1: TRP minimum performance requirement for E-UTRA FDD roaming mode for notebook devices in the data transfers position and the primary mechanical mode</w:t>
      </w:r>
    </w:p>
    <w:p>
      <w:pPr>
        <w:pStyle w:val="Normal"/>
        <w:rPr>
          <w:b/>
          <w:b/>
        </w:rPr>
      </w:pPr>
      <w:r>
        <w:rPr/>
        <w:t>TBD</w:t>
      </w:r>
    </w:p>
    <w:p>
      <w:pPr>
        <w:pStyle w:val="Normal"/>
        <w:rPr>
          <w:b/>
          <w:b/>
        </w:rPr>
      </w:pPr>
      <w:r>
        <w:rPr>
          <w:b/>
        </w:rPr>
      </w:r>
    </w:p>
    <w:p>
      <w:pPr>
        <w:pStyle w:val="TH"/>
        <w:rPr/>
      </w:pPr>
      <w:r>
        <w:rPr/>
        <w:t>Table 6.3.3.2-2: TRP minimum performance requirement for E-UTRA FDD roaming mode for tablet devices in the data transfers position and the primary mechanical mode</w:t>
      </w:r>
    </w:p>
    <w:tbl>
      <w:tblPr>
        <w:tblW w:w="7584" w:type="dxa"/>
        <w:jc w:val="center"/>
        <w:tblInd w:w="0" w:type="dxa"/>
        <w:tblLayout w:type="fixed"/>
        <w:tblCellMar>
          <w:top w:w="0" w:type="dxa"/>
          <w:left w:w="108" w:type="dxa"/>
          <w:bottom w:w="0" w:type="dxa"/>
          <w:right w:w="108" w:type="dxa"/>
        </w:tblCellMar>
      </w:tblPr>
      <w:tblGrid>
        <w:gridCol w:w="1096"/>
        <w:gridCol w:w="1455"/>
        <w:gridCol w:w="1559"/>
        <w:gridCol w:w="993"/>
        <w:gridCol w:w="850"/>
        <w:gridCol w:w="1631"/>
      </w:tblGrid>
      <w:tr>
        <w:trPr/>
        <w:tc>
          <w:tcPr>
            <w:tcW w:w="1096" w:type="dxa"/>
            <w:vMerge w:val="restart"/>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Operating band</w:t>
            </w:r>
          </w:p>
        </w:tc>
        <w:tc>
          <w:tcPr>
            <w:tcW w:w="1455"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Power Class 1</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Power Class 2</w:t>
            </w:r>
          </w:p>
        </w:tc>
        <w:tc>
          <w:tcPr>
            <w:tcW w:w="1843" w:type="dxa"/>
            <w:gridSpan w:val="2"/>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Power Class 3</w:t>
            </w:r>
          </w:p>
        </w:tc>
        <w:tc>
          <w:tcPr>
            <w:tcW w:w="1631" w:type="dxa"/>
            <w:tcBorders>
              <w:top w:val="single" w:sz="4" w:space="0" w:color="000000"/>
              <w:left w:val="single" w:sz="4" w:space="0" w:color="000000"/>
              <w:bottom w:val="single" w:sz="4" w:space="0" w:color="000000"/>
              <w:right w:val="single" w:sz="4" w:space="0" w:color="000000"/>
            </w:tcBorders>
          </w:tcPr>
          <w:p>
            <w:pPr>
              <w:pStyle w:val="TAH"/>
              <w:rPr/>
            </w:pPr>
            <w:r>
              <w:rPr>
                <w:rFonts w:cs="Arial"/>
              </w:rPr>
              <w:t>Power Class 4</w:t>
            </w:r>
          </w:p>
        </w:tc>
      </w:tr>
      <w:tr>
        <w:trPr/>
        <w:tc>
          <w:tcPr>
            <w:tcW w:w="109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cs="Arial"/>
                <w:bCs/>
              </w:rPr>
            </w:pPr>
            <w:r>
              <w:rPr>
                <w:rFonts w:cs="Arial"/>
                <w:bCs/>
              </w:rPr>
            </w:r>
          </w:p>
        </w:tc>
        <w:tc>
          <w:tcPr>
            <w:tcW w:w="1455"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Power (dBm)</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Power (dBm)</w:t>
            </w:r>
          </w:p>
        </w:tc>
        <w:tc>
          <w:tcPr>
            <w:tcW w:w="1843" w:type="dxa"/>
            <w:gridSpan w:val="2"/>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Power (dBm)</w:t>
            </w:r>
          </w:p>
        </w:tc>
        <w:tc>
          <w:tcPr>
            <w:tcW w:w="1631"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Power (dBm)</w:t>
            </w:r>
          </w:p>
        </w:tc>
      </w:tr>
      <w:tr>
        <w:trPr/>
        <w:tc>
          <w:tcPr>
            <w:tcW w:w="109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cs="Arial"/>
                <w:bCs/>
              </w:rPr>
            </w:pPr>
            <w:r>
              <w:rPr>
                <w:rFonts w:cs="Arial"/>
                <w:bCs/>
              </w:rPr>
            </w:r>
          </w:p>
        </w:tc>
        <w:tc>
          <w:tcPr>
            <w:tcW w:w="1455" w:type="dxa"/>
            <w:tcBorders>
              <w:top w:val="single" w:sz="4" w:space="0" w:color="000000"/>
              <w:left w:val="single" w:sz="4" w:space="0" w:color="000000"/>
              <w:bottom w:val="single" w:sz="4" w:space="0" w:color="000000"/>
              <w:right w:val="single" w:sz="4" w:space="0" w:color="000000"/>
            </w:tcBorders>
          </w:tcPr>
          <w:p>
            <w:pPr>
              <w:pStyle w:val="TAH"/>
              <w:snapToGrid w:val="false"/>
              <w:rPr>
                <w:rFonts w:cs="Arial"/>
                <w:bCs/>
              </w:rPr>
            </w:pPr>
            <w:r>
              <w:rPr>
                <w:rFonts w:cs="Arial"/>
                <w:bCs/>
              </w:rPr>
            </w:r>
          </w:p>
        </w:tc>
        <w:tc>
          <w:tcPr>
            <w:tcW w:w="1559" w:type="dxa"/>
            <w:tcBorders>
              <w:top w:val="single" w:sz="4" w:space="0" w:color="000000"/>
              <w:left w:val="single" w:sz="4" w:space="0" w:color="000000"/>
              <w:bottom w:val="single" w:sz="4" w:space="0" w:color="000000"/>
              <w:right w:val="single" w:sz="4" w:space="0" w:color="000000"/>
            </w:tcBorders>
          </w:tcPr>
          <w:p>
            <w:pPr>
              <w:pStyle w:val="TAH"/>
              <w:snapToGrid w:val="false"/>
              <w:rPr>
                <w:rFonts w:cs="Arial"/>
              </w:rPr>
            </w:pPr>
            <w:r>
              <w:rPr>
                <w:rFonts w:cs="Arial"/>
              </w:rPr>
            </w:r>
          </w:p>
        </w:tc>
        <w:tc>
          <w:tcPr>
            <w:tcW w:w="993"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Average</w:t>
            </w:r>
          </w:p>
        </w:tc>
        <w:tc>
          <w:tcPr>
            <w:tcW w:w="850"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Min</w:t>
            </w:r>
          </w:p>
        </w:tc>
        <w:tc>
          <w:tcPr>
            <w:tcW w:w="1631" w:type="dxa"/>
            <w:tcBorders>
              <w:top w:val="single" w:sz="4" w:space="0" w:color="000000"/>
              <w:left w:val="single" w:sz="4" w:space="0" w:color="000000"/>
              <w:bottom w:val="single" w:sz="4" w:space="0" w:color="000000"/>
              <w:right w:val="single" w:sz="4" w:space="0" w:color="000000"/>
            </w:tcBorders>
          </w:tcPr>
          <w:p>
            <w:pPr>
              <w:pStyle w:val="TAH"/>
              <w:snapToGrid w:val="false"/>
              <w:rPr>
                <w:rFonts w:cs="Arial"/>
              </w:rPr>
            </w:pPr>
            <w:r>
              <w:rPr>
                <w:rFonts w:cs="Arial"/>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993"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18.5</w:t>
            </w:r>
          </w:p>
        </w:tc>
        <w:tc>
          <w:tcPr>
            <w:tcW w:w="850"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17.0</w:t>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2</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993"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85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3</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993"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18.5</w:t>
            </w:r>
          </w:p>
        </w:tc>
        <w:tc>
          <w:tcPr>
            <w:tcW w:w="850"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17.0</w:t>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4</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993"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85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5</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993"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85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7</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993"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18.0</w:t>
            </w:r>
          </w:p>
        </w:tc>
        <w:tc>
          <w:tcPr>
            <w:tcW w:w="850"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16.5</w:t>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8</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993"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85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12</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993"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85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13</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993"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85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19</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993"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17.5</w:t>
            </w:r>
          </w:p>
        </w:tc>
        <w:tc>
          <w:tcPr>
            <w:tcW w:w="85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15.5</w:t>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20</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993"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17.5</w:t>
            </w:r>
          </w:p>
        </w:tc>
        <w:tc>
          <w:tcPr>
            <w:tcW w:w="850"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rFonts w:cs="Arial"/>
                <w:lang w:eastAsia="ja-JP"/>
              </w:rPr>
              <w:t>15.5</w:t>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21</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993"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17.5</w:t>
            </w:r>
          </w:p>
        </w:tc>
        <w:tc>
          <w:tcPr>
            <w:tcW w:w="850"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rFonts w:cs="Arial"/>
                <w:lang w:eastAsia="ja-JP"/>
              </w:rPr>
              <w:t>16.0</w:t>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28</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993"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85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ja-JP"/>
              </w:rPr>
            </w:pPr>
            <w:r>
              <w:rPr>
                <w:rFonts w:cs="Arial"/>
                <w:lang w:eastAsia="ja-JP"/>
              </w:rPr>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r>
      <w:tr>
        <w:trPr/>
        <w:tc>
          <w:tcPr>
            <w:tcW w:w="7584" w:type="dxa"/>
            <w:gridSpan w:val="6"/>
            <w:tcBorders>
              <w:top w:val="single" w:sz="4" w:space="0" w:color="000000"/>
              <w:left w:val="single" w:sz="4" w:space="0" w:color="000000"/>
              <w:bottom w:val="single" w:sz="4" w:space="0" w:color="000000"/>
              <w:right w:val="single" w:sz="4" w:space="0" w:color="000000"/>
            </w:tcBorders>
            <w:vAlign w:val="center"/>
          </w:tcPr>
          <w:p>
            <w:pPr>
              <w:pStyle w:val="TAN"/>
              <w:rPr/>
            </w:pPr>
            <w:r>
              <w:rPr/>
              <w:t>NOTE 1: Applicable for multi-mode GSM/UMTS/LTE.</w:t>
            </w:r>
          </w:p>
          <w:p>
            <w:pPr>
              <w:pStyle w:val="TAN"/>
              <w:rPr>
                <w:lang w:eastAsia="en-US"/>
              </w:rPr>
            </w:pPr>
            <w:r>
              <w:rPr/>
              <w:t>NOTE 2: Applicability for devices supporting CDMA or aggregated carriers (e.g. multi-carrier HSPA, LTE Carrier Aggregation) is FFS.</w:t>
            </w:r>
          </w:p>
        </w:tc>
      </w:tr>
    </w:tbl>
    <w:p>
      <w:pPr>
        <w:pStyle w:val="Normal"/>
        <w:rPr/>
      </w:pPr>
      <w:r>
        <w:rPr/>
      </w:r>
    </w:p>
    <w:p>
      <w:pPr>
        <w:pStyle w:val="Normal"/>
        <w:rPr/>
      </w:pPr>
      <w:r>
        <w:rPr/>
        <w:t>The normative reference for this clause is TS37.144 [12] Subclause 6.3.4.</w:t>
      </w:r>
    </w:p>
    <w:p>
      <w:pPr>
        <w:pStyle w:val="Heading4"/>
        <w:ind w:left="1418" w:hanging="1418"/>
        <w:rPr/>
      </w:pPr>
      <w:bookmarkStart w:id="197" w:name="__RefHeading___Toc68601133"/>
      <w:bookmarkEnd w:id="197"/>
      <w:r>
        <w:rPr/>
        <w:t>6.3.3.3</w:t>
      </w:r>
      <w:r>
        <w:rPr>
          <w:rFonts w:cs="Calibri" w:ascii="Calibri" w:hAnsi="Calibri"/>
          <w:sz w:val="22"/>
          <w:szCs w:val="22"/>
        </w:rPr>
        <w:tab/>
      </w:r>
      <w:r>
        <w:rPr/>
        <w:t>Test purpose</w:t>
      </w:r>
    </w:p>
    <w:p>
      <w:pPr>
        <w:pStyle w:val="Normal"/>
        <w:rPr/>
      </w:pPr>
      <w:r>
        <w:rPr/>
        <w:t xml:space="preserve">The purpose of this test is to verify that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 xml:space="preserve">of the UE is not below specified values. A lower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decrease the coverage area.</w:t>
      </w:r>
    </w:p>
    <w:p>
      <w:pPr>
        <w:pStyle w:val="Heading4"/>
        <w:ind w:left="1418" w:hanging="1418"/>
        <w:rPr/>
      </w:pPr>
      <w:bookmarkStart w:id="198" w:name="__RefHeading___Toc68601134"/>
      <w:bookmarkEnd w:id="198"/>
      <w:r>
        <w:rPr/>
        <w:t>6.3.3.4</w:t>
      </w:r>
      <w:r>
        <w:rPr>
          <w:rFonts w:cs="Calibri" w:ascii="Calibri" w:hAnsi="Calibri"/>
          <w:sz w:val="22"/>
          <w:szCs w:val="22"/>
        </w:rPr>
        <w:tab/>
      </w:r>
      <w:r>
        <w:rPr/>
        <w:t>Method of test</w:t>
      </w:r>
    </w:p>
    <w:p>
      <w:pPr>
        <w:pStyle w:val="Heading5"/>
        <w:ind w:left="1701" w:hanging="1701"/>
        <w:rPr/>
      </w:pPr>
      <w:bookmarkStart w:id="199" w:name="__RefHeading___Toc68601135"/>
      <w:bookmarkEnd w:id="199"/>
      <w:r>
        <w:rPr/>
        <w:t>6.3.3.4.1</w:t>
      </w:r>
      <w:r>
        <w:rPr>
          <w:rFonts w:cs="Calibri" w:ascii="Calibri" w:hAnsi="Calibri"/>
          <w:szCs w:val="22"/>
        </w:rPr>
        <w:tab/>
      </w:r>
      <w:r>
        <w:rPr/>
        <w:t>Initial conditions</w:t>
      </w:r>
    </w:p>
    <w:p>
      <w:pPr>
        <w:pStyle w:val="Normal"/>
        <w:rPr/>
      </w:pPr>
      <w:r>
        <w:rPr/>
        <w:t xml:space="preserve">A radio communications tester or a corresponding device is used as a NB simulator to setup calls to the DUT. The NB/BS simulator may also measure the radiated power samples. Alternatively, a measurement receiver or spectrum analyzer may be used for that purpose. </w:t>
      </w:r>
    </w:p>
    <w:p>
      <w:pPr>
        <w:pStyle w:val="Normal"/>
        <w:rPr/>
      </w:pPr>
      <w:r>
        <w:rPr/>
        <w:t>The maximum output power for different UE power classes are defined in 3GPP TS 36.521-1 [11] Subclause 6.2.2 for any transmission bandwidth within the channel bandwidth. Also care should be taken that the noise floor of the measurement receiver is not disturbing the power measurement.</w:t>
      </w:r>
    </w:p>
    <w:p>
      <w:pPr>
        <w:pStyle w:val="Normal"/>
        <w:rPr/>
      </w:pPr>
      <w:r>
        <w:rPr/>
        <w:t>Chamber environment constraints and coordinate system shall be the same as described in Subclause A.3.</w:t>
      </w:r>
    </w:p>
    <w:p>
      <w:pPr>
        <w:pStyle w:val="Normal"/>
        <w:rPr>
          <w:lang w:eastAsia="zh-CN"/>
        </w:rPr>
      </w:pPr>
      <w:r>
        <w:rPr/>
        <w:t>Phantom Specifications shall be the same as described in Subclause A.2.4. Parameters required for Notebooks are specified in Annex A.2.4.2 and those for Tablets are specified in Annex A.2.4.3.</w:t>
      </w:r>
    </w:p>
    <w:p>
      <w:pPr>
        <w:pStyle w:val="Normal"/>
        <w:rPr/>
      </w:pPr>
      <w:r>
        <w:rPr/>
        <w:t>Test environment: normal; see TS36.508 [10] Subclause 4.1.1.</w:t>
      </w:r>
    </w:p>
    <w:p>
      <w:pPr>
        <w:pStyle w:val="Normal"/>
        <w:rPr/>
      </w:pPr>
      <w:r>
        <w:rPr/>
        <w:t xml:space="preserve">Frequencies to be tested: low range, mid range, high range; see Table 5.3-1. </w:t>
      </w:r>
    </w:p>
    <w:p>
      <w:pPr>
        <w:pStyle w:val="Normal"/>
        <w:rPr/>
      </w:pPr>
      <w:r>
        <w:rPr/>
        <w:t>Positioning Requirements shall be the same as described in Subclause 4.3.</w:t>
      </w:r>
    </w:p>
    <w:p>
      <w:pPr>
        <w:pStyle w:val="Normal"/>
        <w:ind w:left="568" w:hanging="284"/>
        <w:rPr/>
      </w:pPr>
      <w:r>
        <w:rPr/>
        <w:t>1)</w:t>
        <w:tab/>
        <w:t xml:space="preserve">Position the UE according to the DUT positioning for devices with embedded modules specified in Subclause 4.3.5. </w:t>
      </w:r>
    </w:p>
    <w:p>
      <w:pPr>
        <w:pStyle w:val="Normal"/>
        <w:ind w:left="568" w:hanging="284"/>
        <w:rPr/>
      </w:pPr>
      <w:r>
        <w:rPr/>
        <w:t>2)</w:t>
        <w:tab/>
        <w:t>Power on the UE.</w:t>
      </w:r>
    </w:p>
    <w:p>
      <w:pPr>
        <w:pStyle w:val="Normal"/>
        <w:ind w:left="568" w:hanging="284"/>
        <w:rPr/>
      </w:pPr>
      <w:r>
        <w:rPr/>
        <w:t>3)</w:t>
        <w:tab/>
        <w:t>Set the initial conditions as per Subclause 6.2.2 of 3GPP TS 36.521-1 [11], with the following exception: set the carrier frequency, channel bandwidth, RB length and RB location as per Table 5.3-1 for FDD mode.</w:t>
      </w:r>
    </w:p>
    <w:p>
      <w:pPr>
        <w:pStyle w:val="Heading5"/>
        <w:ind w:left="1701" w:hanging="1701"/>
        <w:rPr/>
      </w:pPr>
      <w:bookmarkStart w:id="200" w:name="__RefHeading___Toc68601136"/>
      <w:bookmarkEnd w:id="200"/>
      <w:r>
        <w:rPr/>
        <w:t>6.3.3.4.2</w:t>
      </w:r>
      <w:r>
        <w:rPr>
          <w:rFonts w:cs="Calibri" w:ascii="Calibri" w:hAnsi="Calibri"/>
          <w:szCs w:val="22"/>
        </w:rPr>
        <w:tab/>
      </w:r>
      <w:r>
        <w:rPr/>
        <w:t>Procedure</w:t>
      </w:r>
    </w:p>
    <w:p>
      <w:pPr>
        <w:pStyle w:val="Normal"/>
        <w:ind w:left="568" w:hanging="284"/>
        <w:rPr/>
      </w:pPr>
      <w:r>
        <w:rPr/>
        <w:t>1)</w:t>
        <w:tab/>
        <w:t>Follow Steps 1 and 2 in section 6.2.2.4.2 of 3GPP TS 36.521-1 [11] and ensure that the DUT transmits with its maximum power.</w:t>
      </w:r>
    </w:p>
    <w:p>
      <w:pPr>
        <w:pStyle w:val="Normal"/>
        <w:ind w:left="568" w:hanging="284"/>
        <w:rPr/>
      </w:pPr>
      <w:r>
        <w:rPr/>
        <w:t>2)</w:t>
        <w:tab/>
        <w:t>For the anechoic chamber based methodologies, measure the spherical effective isotropic radiated power (EIRP) pattern following the sampling grid specified in Subclause 4.4. Calculate the TRP using the EIRP pattern data as per Subclause 6.3.3.1.</w:t>
      </w:r>
    </w:p>
    <w:p>
      <w:pPr>
        <w:pStyle w:val="Normal"/>
        <w:ind w:left="568" w:hanging="284"/>
        <w:rPr/>
      </w:pPr>
      <w:r>
        <w:rPr/>
        <w:t>3)</w:t>
        <w:tab/>
        <w:t>Repeat the measurement of the DUT for low, mid and high channels.</w:t>
      </w:r>
    </w:p>
    <w:p>
      <w:pPr>
        <w:pStyle w:val="Normal"/>
        <w:ind w:left="568" w:hanging="284"/>
        <w:rPr/>
      </w:pPr>
      <w:r>
        <w:rPr/>
        <w:t>4)</w:t>
        <w:tab/>
        <w:t>Calculate the average and minimum TRP as per Subclause 6.3.3.2.</w:t>
      </w:r>
    </w:p>
    <w:p>
      <w:pPr>
        <w:pStyle w:val="Heading5"/>
        <w:ind w:left="1701" w:hanging="1701"/>
        <w:rPr/>
      </w:pPr>
      <w:bookmarkStart w:id="201" w:name="__RefHeading___Toc68601137"/>
      <w:bookmarkEnd w:id="201"/>
      <w:r>
        <w:rPr/>
        <w:t>6.3.3.4.3</w:t>
      </w:r>
      <w:r>
        <w:rPr>
          <w:rFonts w:cs="Calibri" w:ascii="Calibri" w:hAnsi="Calibri"/>
          <w:szCs w:val="22"/>
        </w:rPr>
        <w:tab/>
      </w:r>
      <w:r>
        <w:rPr/>
        <w:t>Procedure, reverberation chamber method</w:t>
      </w:r>
    </w:p>
    <w:p>
      <w:pPr>
        <w:pStyle w:val="Normal"/>
        <w:ind w:left="568" w:hanging="284"/>
        <w:rPr/>
      </w:pPr>
      <w:r>
        <w:rPr/>
        <w:t>1)</w:t>
        <w:tab/>
        <w:t>Follow Steps 1 and 2 in section 6.2.2.4.2 of 3GPP TS 36.521-1 [11] and ensure that the DUT transmits with its maximum power.</w:t>
      </w:r>
    </w:p>
    <w:p>
      <w:pPr>
        <w:pStyle w:val="B1"/>
        <w:rPr/>
      </w:pPr>
      <w:r>
        <w:rPr/>
        <w:t>2)</w:t>
        <w:tab/>
        <w:t xml:space="preserve">Measure a sufficient number of independent samples (see </w:t>
      </w:r>
      <w:r>
        <w:rPr>
          <w:lang w:eastAsia="zh-TW"/>
        </w:rPr>
        <w:t>Subclause 4.5</w:t>
      </w:r>
      <w:r>
        <w:rPr/>
        <w:t xml:space="preserve">) of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oMath>
      <w:r>
        <w:rPr/>
        <w:t xml:space="preserve"> using a test system having characteristics as described in Annex A. Calculate TRP using equations from </w:t>
      </w:r>
      <w:r>
        <w:rPr>
          <w:lang w:eastAsia="zh-TW"/>
        </w:rPr>
        <w:t>Subclause 6.3.3.1</w:t>
      </w:r>
      <w:r>
        <w:rPr/>
        <w:t>.</w:t>
      </w:r>
    </w:p>
    <w:p>
      <w:pPr>
        <w:pStyle w:val="Normal"/>
        <w:ind w:left="568" w:hanging="284"/>
        <w:rPr/>
      </w:pPr>
      <w:r>
        <w:rPr/>
        <w:t>3)</w:t>
        <w:tab/>
        <w:t>Repeat the measurement of the DUT for low, mid and high channels.</w:t>
      </w:r>
    </w:p>
    <w:p>
      <w:pPr>
        <w:pStyle w:val="Normal"/>
        <w:ind w:firstLine="284"/>
        <w:rPr>
          <w:lang w:eastAsia="zh-TW"/>
        </w:rPr>
      </w:pPr>
      <w:r>
        <w:rPr/>
        <w:t>4)</w:t>
        <w:tab/>
        <w:t>Calculate the average and minimum TRP as per Subclause 6.3.3.2.</w:t>
      </w:r>
    </w:p>
    <w:p>
      <w:pPr>
        <w:pStyle w:val="Heading4"/>
        <w:ind w:left="1418" w:hanging="1418"/>
        <w:rPr/>
      </w:pPr>
      <w:bookmarkStart w:id="202" w:name="__RefHeading___Toc68601138"/>
      <w:bookmarkEnd w:id="202"/>
      <w:r>
        <w:rPr/>
        <w:t>6.3.3.5</w:t>
      </w:r>
      <w:r>
        <w:rPr>
          <w:rFonts w:cs="Calibri" w:ascii="Calibri" w:hAnsi="Calibri"/>
          <w:sz w:val="22"/>
          <w:szCs w:val="22"/>
        </w:rPr>
        <w:tab/>
      </w:r>
      <w:r>
        <w:rPr/>
        <w:t>Test requirements</w:t>
      </w:r>
    </w:p>
    <w:p>
      <w:pPr>
        <w:pStyle w:val="Normal"/>
        <w:rPr/>
      </w:pPr>
      <w:r>
        <w:rPr/>
        <w:t>The average measured TRP of low, mid and high channel for laptop embedded equipment shall be higher than the average TRP requirement specified in Table 6.3.3.5-1 for notebook devices and in Table 6.3.3.5-2 for tablet devices. The averaging shall be done in linear scale for the TRP results. Average TRP requirement is shown in the column “Average” on the requirement tables.</w:t>
      </w:r>
    </w:p>
    <w:p>
      <w:pPr>
        <w:pStyle w:val="EQ"/>
        <w:rPr>
          <w:lang w:val="en-GB" w:eastAsia="en-GB"/>
        </w:rPr>
      </w:pPr>
      <w:r>
        <w:rPr>
          <w:lang w:val="en-GB" w:eastAsia="en-GB"/>
        </w:rPr>
      </w:r>
      <m:oMathPara xmlns:m="http://schemas.openxmlformats.org/officeDocument/2006/math">
        <m:oMathParaPr>
          <m:jc m:val="left"/>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num>
                <m:den>
                  <m:r>
                    <w:rPr>
                      <w:rFonts w:ascii="Cambria Math" w:hAnsi="Cambria Math"/>
                    </w:rPr>
                    <m:t xml:space="preserve">3</m:t>
                  </m:r>
                </m:den>
              </m:f>
            </m:e>
          </m:d>
        </m:oMath>
      </m:oMathPara>
    </w:p>
    <w:p>
      <w:pPr>
        <w:pStyle w:val="Normal"/>
        <w:rPr/>
      </w:pPr>
      <w:r>
        <w:rPr/>
        <w:t>In addition the lowest TRP of each measured channel shall be higher than minimum TRP requirement specified in the column “Min” on the requirement tables.</w:t>
      </w:r>
    </w:p>
    <w:p>
      <w:pPr>
        <w:pStyle w:val="EQ"/>
        <w:rPr>
          <w:lang w:val="en-GB" w:eastAsia="en-GB"/>
        </w:rPr>
      </w:pPr>
      <w:r>
        <w:rPr>
          <w:lang w:val="en-GB" w:eastAsia="en-GB"/>
        </w:rPr>
      </w:r>
      <m:oMathPara xmlns:m="http://schemas.openxmlformats.org/officeDocument/2006/math">
        <m:oMathParaPr>
          <m:jc m:val="left"/>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m:rPr>
                  <m:lit/>
                  <m:nor/>
                </m:rPr>
                <w:rPr>
                  <w:rFonts w:ascii="Cambria Math" w:hAnsi="Cambria Math"/>
                </w:rPr>
                <m:t xml:space="preserve">min</m:t>
              </m:r>
              <m:d>
                <m:dPr>
                  <m:begChr m:val="("/>
                  <m:endChr m:val=")"/>
                </m:dPr>
                <m:e>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e>
              </m:d>
            </m:e>
          </m:d>
        </m:oMath>
      </m:oMathPara>
    </w:p>
    <w:p>
      <w:pPr>
        <w:pStyle w:val="Normal"/>
        <w:keepNext w:val="true"/>
        <w:keepLines/>
        <w:spacing w:before="60" w:after="180"/>
        <w:jc w:val="center"/>
        <w:rPr/>
      </w:pPr>
      <w:r>
        <w:rPr>
          <w:rFonts w:cs="Arial" w:ascii="Arial" w:hAnsi="Arial"/>
          <w:b/>
        </w:rPr>
        <w:t>Table 6.3.3.5-1: TRP test requirement for E-UTRA FDD roaming bands for notebook devices in the data transfers position and the primary mechanical mode</w:t>
      </w:r>
    </w:p>
    <w:p>
      <w:pPr>
        <w:pStyle w:val="Normal"/>
        <w:rPr>
          <w:b/>
          <w:b/>
        </w:rPr>
      </w:pPr>
      <w:r>
        <w:rPr/>
        <w:t>TBD</w:t>
      </w:r>
    </w:p>
    <w:p>
      <w:pPr>
        <w:pStyle w:val="Normal"/>
        <w:rPr>
          <w:b/>
          <w:b/>
        </w:rPr>
      </w:pPr>
      <w:r>
        <w:rPr>
          <w:b/>
        </w:rPr>
      </w:r>
    </w:p>
    <w:p>
      <w:pPr>
        <w:pStyle w:val="Normal"/>
        <w:keepLines/>
        <w:ind w:left="1135" w:hanging="851"/>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TH"/>
        <w:rPr/>
      </w:pPr>
      <w:r>
        <w:rPr/>
        <w:t>Table 6.3.3.5-2: TRP test requirement for E-UTRA FDD roaming bands for tablet devices in the data transfers position and the primary mechanical mode</w:t>
      </w:r>
    </w:p>
    <w:tbl>
      <w:tblPr>
        <w:tblW w:w="7584" w:type="dxa"/>
        <w:jc w:val="center"/>
        <w:tblInd w:w="0" w:type="dxa"/>
        <w:tblLayout w:type="fixed"/>
        <w:tblCellMar>
          <w:top w:w="0" w:type="dxa"/>
          <w:left w:w="108" w:type="dxa"/>
          <w:bottom w:w="0" w:type="dxa"/>
          <w:right w:w="108" w:type="dxa"/>
        </w:tblCellMar>
      </w:tblPr>
      <w:tblGrid>
        <w:gridCol w:w="1096"/>
        <w:gridCol w:w="1455"/>
        <w:gridCol w:w="1559"/>
        <w:gridCol w:w="993"/>
        <w:gridCol w:w="850"/>
        <w:gridCol w:w="1631"/>
      </w:tblGrid>
      <w:tr>
        <w:trPr/>
        <w:tc>
          <w:tcPr>
            <w:tcW w:w="1096" w:type="dxa"/>
            <w:vMerge w:val="restart"/>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Operating band</w:t>
            </w:r>
          </w:p>
        </w:tc>
        <w:tc>
          <w:tcPr>
            <w:tcW w:w="1455"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Power Class 1</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Power Class 2</w:t>
            </w:r>
          </w:p>
        </w:tc>
        <w:tc>
          <w:tcPr>
            <w:tcW w:w="1843" w:type="dxa"/>
            <w:gridSpan w:val="2"/>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Power Class 3</w:t>
            </w:r>
          </w:p>
        </w:tc>
        <w:tc>
          <w:tcPr>
            <w:tcW w:w="1631"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Power Class 4</w:t>
            </w:r>
          </w:p>
        </w:tc>
      </w:tr>
      <w:tr>
        <w:trPr/>
        <w:tc>
          <w:tcPr>
            <w:tcW w:w="109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cs="Arial"/>
                <w:bCs/>
              </w:rPr>
            </w:pPr>
            <w:r>
              <w:rPr>
                <w:rFonts w:cs="Arial"/>
                <w:bCs/>
              </w:rPr>
            </w:r>
          </w:p>
        </w:tc>
        <w:tc>
          <w:tcPr>
            <w:tcW w:w="1455"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Power (dBm)</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Power (dBm)</w:t>
            </w:r>
          </w:p>
        </w:tc>
        <w:tc>
          <w:tcPr>
            <w:tcW w:w="1843" w:type="dxa"/>
            <w:gridSpan w:val="2"/>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Power (dBm)</w:t>
            </w:r>
          </w:p>
        </w:tc>
        <w:tc>
          <w:tcPr>
            <w:tcW w:w="1631"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Power (dBm)</w:t>
            </w:r>
          </w:p>
        </w:tc>
      </w:tr>
      <w:tr>
        <w:trPr/>
        <w:tc>
          <w:tcPr>
            <w:tcW w:w="109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cs="Arial"/>
                <w:bCs/>
              </w:rPr>
            </w:pPr>
            <w:r>
              <w:rPr>
                <w:rFonts w:cs="Arial"/>
                <w:bCs/>
              </w:rPr>
            </w:r>
          </w:p>
        </w:tc>
        <w:tc>
          <w:tcPr>
            <w:tcW w:w="1455" w:type="dxa"/>
            <w:tcBorders>
              <w:top w:val="single" w:sz="4" w:space="0" w:color="000000"/>
              <w:left w:val="single" w:sz="4" w:space="0" w:color="000000"/>
              <w:bottom w:val="single" w:sz="4" w:space="0" w:color="000000"/>
              <w:right w:val="single" w:sz="4" w:space="0" w:color="000000"/>
            </w:tcBorders>
          </w:tcPr>
          <w:p>
            <w:pPr>
              <w:pStyle w:val="TAH"/>
              <w:snapToGrid w:val="false"/>
              <w:rPr>
                <w:rFonts w:cs="Arial"/>
                <w:bCs/>
              </w:rPr>
            </w:pPr>
            <w:r>
              <w:rPr>
                <w:rFonts w:cs="Arial"/>
                <w:bCs/>
              </w:rPr>
            </w:r>
          </w:p>
        </w:tc>
        <w:tc>
          <w:tcPr>
            <w:tcW w:w="1559" w:type="dxa"/>
            <w:tcBorders>
              <w:top w:val="single" w:sz="4" w:space="0" w:color="000000"/>
              <w:left w:val="single" w:sz="4" w:space="0" w:color="000000"/>
              <w:bottom w:val="single" w:sz="4" w:space="0" w:color="000000"/>
              <w:right w:val="single" w:sz="4" w:space="0" w:color="000000"/>
            </w:tcBorders>
          </w:tcPr>
          <w:p>
            <w:pPr>
              <w:pStyle w:val="TAH"/>
              <w:snapToGrid w:val="false"/>
              <w:rPr>
                <w:rFonts w:cs="Arial"/>
              </w:rPr>
            </w:pPr>
            <w:r>
              <w:rPr>
                <w:rFonts w:cs="Arial"/>
              </w:rPr>
            </w:r>
          </w:p>
        </w:tc>
        <w:tc>
          <w:tcPr>
            <w:tcW w:w="993"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Average</w:t>
            </w:r>
          </w:p>
        </w:tc>
        <w:tc>
          <w:tcPr>
            <w:tcW w:w="850"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Min</w:t>
            </w:r>
          </w:p>
        </w:tc>
        <w:tc>
          <w:tcPr>
            <w:tcW w:w="1631" w:type="dxa"/>
            <w:tcBorders>
              <w:top w:val="single" w:sz="4" w:space="0" w:color="000000"/>
              <w:left w:val="single" w:sz="4" w:space="0" w:color="000000"/>
              <w:bottom w:val="single" w:sz="4" w:space="0" w:color="000000"/>
              <w:right w:val="single" w:sz="4" w:space="0" w:color="000000"/>
            </w:tcBorders>
          </w:tcPr>
          <w:p>
            <w:pPr>
              <w:pStyle w:val="TAH"/>
              <w:snapToGrid w:val="false"/>
              <w:rPr>
                <w:rFonts w:cs="Arial"/>
              </w:rPr>
            </w:pPr>
            <w:r>
              <w:rPr>
                <w:rFonts w:cs="Arial"/>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993" w:type="dxa"/>
            <w:tcBorders>
              <w:top w:val="single" w:sz="4" w:space="0" w:color="000000"/>
              <w:left w:val="single" w:sz="4" w:space="0" w:color="000000"/>
              <w:bottom w:val="single" w:sz="4" w:space="0" w:color="000000"/>
              <w:right w:val="single" w:sz="4" w:space="0" w:color="000000"/>
            </w:tcBorders>
          </w:tcPr>
          <w:p>
            <w:pPr>
              <w:pStyle w:val="TAC"/>
              <w:rPr/>
            </w:pPr>
            <w:r>
              <w:rPr>
                <w:rFonts w:cs="Arial"/>
              </w:rPr>
              <w:t>17.8</w:t>
            </w:r>
          </w:p>
        </w:tc>
        <w:tc>
          <w:tcPr>
            <w:tcW w:w="850"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16.0</w:t>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2</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993"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85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3</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993"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17.8</w:t>
            </w:r>
          </w:p>
        </w:tc>
        <w:tc>
          <w:tcPr>
            <w:tcW w:w="850"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16.0</w:t>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4</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993"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85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5</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993"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85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7</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993"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17.3</w:t>
            </w:r>
          </w:p>
        </w:tc>
        <w:tc>
          <w:tcPr>
            <w:tcW w:w="850"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15.5</w:t>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8</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993"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85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12</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993"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85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13</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993"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85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19</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993"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16.8</w:t>
            </w:r>
          </w:p>
        </w:tc>
        <w:tc>
          <w:tcPr>
            <w:tcW w:w="85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14.5</w:t>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20</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993"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16.8</w:t>
            </w:r>
          </w:p>
        </w:tc>
        <w:tc>
          <w:tcPr>
            <w:tcW w:w="850"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rFonts w:cs="Arial"/>
                <w:lang w:eastAsia="ja-JP"/>
              </w:rPr>
              <w:t>14.5</w:t>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21</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993"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16.8</w:t>
            </w:r>
          </w:p>
        </w:tc>
        <w:tc>
          <w:tcPr>
            <w:tcW w:w="850"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rFonts w:cs="Arial"/>
                <w:lang w:eastAsia="ja-JP"/>
              </w:rPr>
              <w:t>15.0</w:t>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28</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993"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85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ja-JP"/>
              </w:rPr>
            </w:pPr>
            <w:r>
              <w:rPr>
                <w:rFonts w:cs="Arial"/>
                <w:lang w:eastAsia="ja-JP"/>
              </w:rPr>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r>
      <w:tr>
        <w:trPr/>
        <w:tc>
          <w:tcPr>
            <w:tcW w:w="7584" w:type="dxa"/>
            <w:gridSpan w:val="6"/>
            <w:tcBorders>
              <w:top w:val="single" w:sz="4" w:space="0" w:color="000000"/>
              <w:left w:val="single" w:sz="4" w:space="0" w:color="000000"/>
              <w:bottom w:val="single" w:sz="4" w:space="0" w:color="000000"/>
              <w:right w:val="single" w:sz="4" w:space="0" w:color="000000"/>
            </w:tcBorders>
            <w:vAlign w:val="center"/>
          </w:tcPr>
          <w:p>
            <w:pPr>
              <w:pStyle w:val="TAN"/>
              <w:rPr/>
            </w:pPr>
            <w:r>
              <w:rPr/>
              <w:t>NOTE 1: Applicable for multi-mode GSM/UMTS/LTE.</w:t>
            </w:r>
          </w:p>
          <w:p>
            <w:pPr>
              <w:pStyle w:val="TAN"/>
              <w:rPr>
                <w:lang w:eastAsia="en-US"/>
              </w:rPr>
            </w:pPr>
            <w:r>
              <w:rPr/>
              <w:t>NOTE 2: Applicability for devices supporting CDMA or aggregated carriers (e.g. multi-carrier HSPA, LTE Carrier Aggregation) is FFS.</w:t>
            </w:r>
          </w:p>
        </w:tc>
      </w:tr>
    </w:tbl>
    <w:p>
      <w:pPr>
        <w:pStyle w:val="Normal"/>
        <w:rPr/>
      </w:pPr>
      <w:r>
        <w:rPr/>
      </w:r>
    </w:p>
    <w:p>
      <w:pPr>
        <w:pStyle w:val="Normal"/>
        <w:keepLines/>
        <w:ind w:left="1135" w:hanging="851"/>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Heading3"/>
        <w:rPr/>
      </w:pPr>
      <w:bookmarkStart w:id="203" w:name="__RefHeading___Toc68601139"/>
      <w:bookmarkEnd w:id="203"/>
      <w:r>
        <w:rPr/>
        <w:t>6.</w:t>
      </w:r>
      <w:r>
        <w:rPr>
          <w:lang w:eastAsia="zh-CN"/>
        </w:rPr>
        <w:t>3</w:t>
      </w:r>
      <w:r>
        <w:rPr/>
        <w:t>.4</w:t>
        <w:tab/>
      </w:r>
      <w:r>
        <w:rPr>
          <w:rFonts w:cs="Arial"/>
          <w:color w:val="000000"/>
          <w:szCs w:val="16"/>
        </w:rPr>
        <w:t>Total Radiated Power (TRP) for</w:t>
      </w:r>
      <w:r>
        <w:rPr>
          <w:szCs w:val="16"/>
        </w:rPr>
        <w:t xml:space="preserve"> E-UTRA TDD LEE</w:t>
      </w:r>
    </w:p>
    <w:p>
      <w:pPr>
        <w:pStyle w:val="EditorsNote"/>
        <w:rPr/>
      </w:pPr>
      <w:r>
        <w:rPr/>
        <w:t>Editor’s notes: This subclause is incomplete. The following items are missing or incomplete:</w:t>
      </w:r>
    </w:p>
    <w:p>
      <w:pPr>
        <w:pStyle w:val="EditorsNote"/>
        <w:rPr/>
      </w:pPr>
      <w:r>
        <w:rPr/>
        <w:t>-</w:t>
        <w:tab/>
        <w:t>Table 6.3.4.2-1 and 6.3.4.5-1 as they are not specified in TS 37.144 yet</w:t>
      </w:r>
    </w:p>
    <w:p>
      <w:pPr>
        <w:pStyle w:val="EditorsNote"/>
        <w:rPr/>
      </w:pPr>
      <w:r>
        <w:rPr/>
        <w:t>-</w:t>
        <w:tab/>
        <w:t>Applicability</w:t>
      </w:r>
    </w:p>
    <w:p>
      <w:pPr>
        <w:pStyle w:val="Heading4"/>
        <w:ind w:left="1418" w:hanging="1418"/>
        <w:rPr/>
      </w:pPr>
      <w:bookmarkStart w:id="204" w:name="__RefHeading___Toc68601140"/>
      <w:bookmarkEnd w:id="204"/>
      <w:r>
        <w:rPr/>
        <w:t>6.3.4.1</w:t>
      </w:r>
      <w:r>
        <w:rPr>
          <w:rFonts w:cs="Calibri" w:ascii="Calibri" w:hAnsi="Calibri"/>
          <w:sz w:val="22"/>
          <w:szCs w:val="22"/>
        </w:rPr>
        <w:tab/>
      </w:r>
      <w:r>
        <w:rPr/>
        <w:t>Definition and applicability</w:t>
      </w:r>
    </w:p>
    <w:p>
      <w:pPr>
        <w:pStyle w:val="Normal"/>
        <w:rPr/>
      </w:pPr>
      <w:r>
        <w:rPr/>
        <w:t>The Total Radiated Power (TRP) is a measure of how much power the antenna actually radiates, when non-idealities such as mismatch and losses in the antenna are taken into account. The TRP is defined as the integral of the power transmitted in different directions over the entire radiation sphere:</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m:rPr>
                  <m:lit/>
                  <m:nor/>
                </m:rPr>
                <w:rPr>
                  <w:rFonts w:ascii="Cambria Math" w:hAnsi="Cambria Math"/>
                </w:rPr>
                <m:t xml:space="preserve">TRP</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4</m:t>
              </m:r>
              <m:r>
                <w:rPr>
                  <w:rFonts w:ascii="Cambria Math" w:hAnsi="Cambria Math"/>
                </w:rPr>
                <m:t xml:space="preserve">π</m:t>
              </m:r>
            </m:den>
          </m:f>
          <m:nary>
            <m:naryPr>
              <m:chr m:val="∮"/>
              <m:subHide m:val="1"/>
              <m:supHide m:val="1"/>
            </m:naryPr>
            <m:sub/>
            <m:sup/>
            <m:e>
              <m:d>
                <m:dPr>
                  <m:begChr m:val="("/>
                  <m:endChr m:val=")"/>
                </m:dPr>
                <m:e>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e>
              </m:d>
            </m:e>
          </m:nary>
          <m:r>
            <w:rPr>
              <w:rFonts w:ascii="Cambria Math" w:hAnsi="Cambria Math"/>
            </w:rPr>
            <m:t xml:space="preserve">d</m:t>
          </m:r>
          <m:r>
            <w:rPr>
              <w:rFonts w:ascii="Cambria Math" w:hAnsi="Cambria Math"/>
            </w:rPr>
            <m:t xml:space="preserve">Ω</m:t>
          </m:r>
        </m:oMath>
      </m:oMathPara>
    </w:p>
    <w:p>
      <w:pPr>
        <w:pStyle w:val="Normal"/>
        <w:rPr/>
      </w:pPr>
      <w:r>
        <w:rPr/>
        <w:t xml:space="preserve">Using </w:t>
      </w:r>
      <w:r>
        <w:rPr/>
      </w:r>
      <m:oMath xmlns:m="http://schemas.openxmlformats.org/officeDocument/2006/math">
        <m:r>
          <w:rPr>
            <w:rFonts w:ascii="Cambria Math" w:hAnsi="Cambria Math"/>
          </w:rPr>
          <m:t xml:space="preserve">ψ</m:t>
        </m:r>
      </m:oMath>
      <w:r>
        <w:rPr/>
        <w:t xml:space="preserve"> to denote either </w:t>
      </w:r>
      <w:r>
        <w:rPr/>
      </w:r>
      <m:oMath xmlns:m="http://schemas.openxmlformats.org/officeDocument/2006/math">
        <m:r>
          <w:rPr>
            <w:rFonts w:ascii="Cambria Math" w:hAnsi="Cambria Math"/>
          </w:rPr>
          <m:t xml:space="preserve">θ</m:t>
        </m:r>
      </m:oMath>
      <w:r>
        <w:rPr/>
        <w:t xml:space="preserve"> or </w:t>
      </w:r>
      <w:r>
        <w:rPr/>
      </w:r>
      <m:oMath xmlns:m="http://schemas.openxmlformats.org/officeDocument/2006/math">
        <m:r>
          <w:rPr>
            <w:rFonts w:ascii="Cambria Math" w:hAnsi="Cambria Math"/>
          </w:rPr>
          <m:t xml:space="preserve">ϕ</m:t>
        </m:r>
      </m:oMath>
      <w:r>
        <w:rPr/>
        <w:t xml:space="preserve">, </w:t>
      </w:r>
      <w:r>
        <w:rPr/>
      </w:r>
      <m:oMath xmlns:m="http://schemas.openxmlformats.org/officeDocument/2006/math">
        <m:sSub>
          <m:e>
            <m:r>
              <w:rPr>
                <w:rFonts w:ascii="Cambria Math" w:hAnsi="Cambria Math"/>
              </w:rPr>
              <m:t xml:space="preserve">G</m:t>
            </m:r>
          </m:e>
          <m:sub>
            <m:r>
              <w:rPr>
                <w:rFonts w:ascii="Cambria Math" w:hAnsi="Cambria Math"/>
              </w:rPr>
              <m:t xml:space="preserve">ψ</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oMath>
      <w:r>
        <w:rPr/>
        <w:t xml:space="preserve">is the </w:t>
      </w:r>
      <w:r>
        <w:rPr/>
      </w:r>
      <m:oMath xmlns:m="http://schemas.openxmlformats.org/officeDocument/2006/math">
        <m:r>
          <w:rPr>
            <w:rFonts w:ascii="Cambria Math" w:hAnsi="Cambria Math"/>
          </w:rPr>
          <m:t xml:space="preserve">ψ</m:t>
        </m:r>
      </m:oMath>
      <w:r>
        <w:rPr/>
        <w:t xml:space="preserve">-polarization component of the gain pattern for the handset antenna measured at the frequency </w:t>
      </w:r>
      <w:r>
        <w:rPr/>
      </w:r>
      <m:oMath xmlns:m="http://schemas.openxmlformats.org/officeDocument/2006/math">
        <m:r>
          <w:rPr>
            <w:rFonts w:ascii="Cambria Math" w:hAnsi="Cambria Math"/>
          </w:rPr>
          <m:t xml:space="preserve">f</m:t>
        </m:r>
      </m:oMath>
      <w:r>
        <w:rPr/>
        <w:t xml:space="preserve">, where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oMath>
      <w:r>
        <w:rPr/>
        <w:t xml:space="preserve">is the transmit power level of the handset so that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ψ</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oMath>
      <w:r>
        <w:rPr/>
        <w:t xml:space="preserve">is the actually transmitted power-level, also known as EIRP, in the </w:t>
      </w:r>
      <w:r>
        <w:rPr/>
      </w:r>
      <m:oMath xmlns:m="http://schemas.openxmlformats.org/officeDocument/2006/math">
        <m:r>
          <w:rPr>
            <w:rFonts w:ascii="Cambria Math" w:hAnsi="Cambria Math"/>
          </w:rPr>
          <m:t xml:space="preserve">ψ</m:t>
        </m:r>
      </m:oMath>
      <w:r>
        <w:rPr/>
        <w:t xml:space="preserve">-polarization and in the direction </w:t>
      </w:r>
      <w:r>
        <w:rPr/>
      </w:r>
      <m:oMath xmlns:m="http://schemas.openxmlformats.org/officeDocument/2006/math">
        <m:r>
          <w:rPr>
            <w:rFonts w:ascii="Cambria Math" w:hAnsi="Cambria Math"/>
          </w:rPr>
          <m:t xml:space="preserve">Ω</m:t>
        </m:r>
      </m:oMath>
      <w:r>
        <w:rPr/>
        <w:t xml:space="preserve"> for frequency </w:t>
      </w:r>
      <w:r>
        <w:rPr/>
      </w:r>
      <m:oMath xmlns:m="http://schemas.openxmlformats.org/officeDocument/2006/math">
        <m:r>
          <w:rPr>
            <w:rFonts w:ascii="Cambria Math" w:hAnsi="Cambria Math"/>
          </w:rPr>
          <m:t xml:space="preserve">f</m:t>
        </m:r>
      </m:oMath>
      <w:r>
        <w:rPr/>
        <w:t>.</w:t>
      </w:r>
    </w:p>
    <w:p>
      <w:pPr>
        <w:pStyle w:val="Normal"/>
        <w:rPr/>
      </w:pPr>
      <w:r>
        <w:rPr/>
        <w:t>The above equation may be written in "gain" form, that is, the TRP given by P</w:t>
      </w:r>
      <w:r>
        <w:rPr>
          <w:vertAlign w:val="subscript"/>
        </w:rPr>
        <w:t>TRP</w:t>
      </w:r>
      <w:r>
        <w:rPr/>
        <w:t xml:space="preserve"> is normalized to the transmitted power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oMath>
      <w:r>
        <w:rPr/>
        <w:t>. This is the total radiation efficiency, which can also be denoted as Total Radiated Power Gain, TRPG,</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Γ</m:t>
              </m:r>
            </m:e>
            <m:sub>
              <m:r>
                <m:rPr>
                  <m:lit/>
                  <m:nor/>
                </m:rPr>
                <w:rPr>
                  <w:rFonts w:ascii="Cambria Math" w:hAnsi="Cambria Math"/>
                </w:rPr>
                <m:t xml:space="preserve">TRP</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4</m:t>
              </m:r>
              <m:r>
                <w:rPr>
                  <w:rFonts w:ascii="Cambria Math" w:hAnsi="Cambria Math"/>
                </w:rPr>
                <m:t xml:space="preserve">π</m:t>
              </m:r>
            </m:den>
          </m:f>
          <m:nary>
            <m:naryPr>
              <m:chr m:val="∮"/>
              <m:subHide m:val="1"/>
              <m:supHide m:val="1"/>
            </m:naryPr>
            <m:sub/>
            <m:sup/>
            <m:e>
              <m:d>
                <m:dPr>
                  <m:begChr m:val="("/>
                  <m:endChr m:val=")"/>
                </m:dPr>
                <m:e>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e>
              </m:d>
            </m:e>
          </m:nary>
          <m:r>
            <w:rPr>
              <w:rFonts w:ascii="Cambria Math" w:hAnsi="Cambria Math"/>
            </w:rPr>
            <m:t xml:space="preserve">d</m:t>
          </m:r>
          <m:r>
            <w:rPr>
              <w:rFonts w:ascii="Cambria Math" w:hAnsi="Cambria Math"/>
            </w:rPr>
            <m:t xml:space="preserve">Ω</m:t>
          </m:r>
        </m:oMath>
      </m:oMathPara>
    </w:p>
    <w:p>
      <w:pPr>
        <w:pStyle w:val="Normal"/>
        <w:rPr/>
      </w:pPr>
      <w:r>
        <w:rPr/>
        <w:t xml:space="preserve">In practice discrete samples of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ψ</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oMath>
      <w:r>
        <w:rPr/>
        <w:t xml:space="preserve"> are measured and used to approximate the integral so that the TRP is computed as</w:t>
      </w:r>
    </w:p>
    <w:p>
      <w:pPr>
        <w:pStyle w:val="EQ"/>
        <w:tabs>
          <w:tab w:val="clear" w:pos="9072"/>
          <w:tab w:val="center" w:pos="4536" w:leader="none"/>
          <w:tab w:val="right" w:pos="7938" w:leader="none"/>
        </w:tabs>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m:rPr>
                  <m:lit/>
                  <m:nor/>
                </m:rPr>
                <w:rPr>
                  <w:rFonts w:ascii="Cambria Math" w:hAnsi="Cambria Math"/>
                </w:rPr>
                <m:t xml:space="preserve">TRP</m:t>
              </m:r>
            </m:sub>
          </m:sSub>
          <m:r>
            <w:rPr>
              <w:rFonts w:ascii="Cambria Math" w:hAnsi="Cambria Math"/>
            </w:rPr>
            <m:t xml:space="preserve">≈</m:t>
          </m:r>
          <m:f>
            <m:num>
              <m:sSub>
                <m:e>
                  <m:r>
                    <w:rPr>
                      <w:rFonts w:ascii="Cambria Math" w:hAnsi="Cambria Math"/>
                    </w:rPr>
                    <m:t xml:space="preserve">Δ</m:t>
                  </m:r>
                </m:e>
                <m:sub>
                  <m:r>
                    <w:rPr>
                      <w:rFonts w:ascii="Cambria Math" w:hAnsi="Cambria Math"/>
                    </w:rPr>
                    <m:t xml:space="preserve">θ</m:t>
                  </m:r>
                </m:sub>
              </m:sSub>
              <m:sSub>
                <m:e>
                  <m:r>
                    <w:rPr>
                      <w:rFonts w:ascii="Cambria Math" w:hAnsi="Cambria Math"/>
                    </w:rPr>
                    <m:t xml:space="preserve">Δ</m:t>
                  </m:r>
                </m:e>
                <m:sub>
                  <m:r>
                    <w:rPr>
                      <w:rFonts w:ascii="Cambria Math" w:hAnsi="Cambria Math"/>
                    </w:rPr>
                    <m:t xml:space="preserve">ϕ</m:t>
                  </m:r>
                </m:sub>
              </m:sSub>
            </m:num>
            <m:den>
              <m:r>
                <w:rPr>
                  <w:rFonts w:ascii="Cambria Math" w:hAnsi="Cambria Math"/>
                </w:rPr>
                <m:t xml:space="preserve">4</m:t>
              </m:r>
              <m:r>
                <w:rPr>
                  <w:rFonts w:ascii="Cambria Math" w:hAnsi="Cambria Math"/>
                </w:rPr>
                <m:t xml:space="preserve">π</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rPr/>
      </w:pPr>
      <w:r>
        <w:rPr/>
        <w:t xml:space="preserve">Or, by using the relation </w:t>
      </w:r>
      <w:r>
        <w:rPr/>
      </w:r>
      <m:oMath xmlns:m="http://schemas.openxmlformats.org/officeDocument/2006/math">
        <m:r>
          <m:rPr>
            <m:lit/>
            <m:nor/>
          </m:rPr>
          <w:rPr>
            <w:rFonts w:ascii="Cambria Math" w:hAnsi="Cambria Math"/>
          </w:rPr>
          <m:t xml:space="preserve">EIRP</m:t>
        </m:r>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tx</m:t>
            </m:r>
          </m:sub>
        </m:sSub>
        <m:r>
          <w:rPr>
            <w:rFonts w:ascii="Cambria Math" w:hAnsi="Cambria Math"/>
          </w:rPr>
          <m:t xml:space="preserve">G</m:t>
        </m:r>
      </m:oMath>
      <w:r>
        <w:rPr/>
        <w:t>:</w:t>
      </w:r>
    </w:p>
    <w:p>
      <w:pPr>
        <w:pStyle w:val="EQ"/>
        <w:tabs>
          <w:tab w:val="clear" w:pos="9072"/>
          <w:tab w:val="center" w:pos="4536" w:leader="none"/>
          <w:tab w:val="right" w:pos="7938" w:leader="none"/>
        </w:tabs>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m:rPr>
                  <m:lit/>
                  <m:nor/>
                </m:rPr>
                <w:rPr>
                  <w:rFonts w:ascii="Cambria Math" w:hAnsi="Cambria Math"/>
                </w:rPr>
                <m:t xml:space="preserve">TRP</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f>
            <m:num>
              <m:sSub>
                <m:e>
                  <m:r>
                    <w:rPr>
                      <w:rFonts w:ascii="Cambria Math" w:hAnsi="Cambria Math"/>
                    </w:rPr>
                    <m:t xml:space="preserve">Δ</m:t>
                  </m:r>
                </m:e>
                <m:sub>
                  <m:r>
                    <w:rPr>
                      <w:rFonts w:ascii="Cambria Math" w:hAnsi="Cambria Math"/>
                    </w:rPr>
                    <m:t xml:space="preserve">θ</m:t>
                  </m:r>
                </m:sub>
              </m:sSub>
              <m:sSub>
                <m:e>
                  <m:r>
                    <w:rPr>
                      <w:rFonts w:ascii="Cambria Math" w:hAnsi="Cambria Math"/>
                    </w:rPr>
                    <m:t xml:space="preserve">Δ</m:t>
                  </m:r>
                </m:e>
                <m:sub>
                  <m:r>
                    <w:rPr>
                      <w:rFonts w:ascii="Cambria Math" w:hAnsi="Cambria Math"/>
                    </w:rPr>
                    <m:t xml:space="preserve">ϕ</m:t>
                  </m:r>
                </m:sub>
              </m:sSub>
            </m:num>
            <m:den>
              <m:r>
                <w:rPr>
                  <w:rFonts w:ascii="Cambria Math" w:hAnsi="Cambria Math"/>
                </w:rPr>
                <m:t xml:space="preserve">4</m:t>
              </m:r>
              <m:r>
                <w:rPr>
                  <w:rFonts w:ascii="Cambria Math" w:hAnsi="Cambria Math"/>
                </w:rPr>
                <m:t xml:space="preserve">π</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m:rPr>
                              <m:lit/>
                              <m:nor/>
                            </m:rPr>
                            <w:rPr>
                              <w:rFonts w:ascii="Cambria Math" w:hAnsi="Cambria Math"/>
                            </w:rPr>
                            <m:t xml:space="preserve">EIRP</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EIRP</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rPr/>
      </w:pPr>
      <w:r>
        <w:rPr/>
        <w:t>In gain form the TRP can be expressed as:</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Γ</m:t>
              </m:r>
            </m:e>
            <m:sub>
              <m:r>
                <m:rPr>
                  <m:lit/>
                  <m:nor/>
                </m:rPr>
                <w:rPr>
                  <w:rFonts w:ascii="Cambria Math" w:hAnsi="Cambria Math"/>
                </w:rPr>
                <m:t xml:space="preserve">TRP</m:t>
              </m:r>
            </m:sub>
          </m:sSub>
          <m:r>
            <w:rPr>
              <w:rFonts w:ascii="Cambria Math" w:hAnsi="Cambria Math"/>
            </w:rPr>
            <m:t xml:space="preserve">≈</m:t>
          </m:r>
          <m:f>
            <m:num>
              <m:sSub>
                <m:e>
                  <m:r>
                    <w:rPr>
                      <w:rFonts w:ascii="Cambria Math" w:hAnsi="Cambria Math"/>
                    </w:rPr>
                    <m:t xml:space="preserve">Δ</m:t>
                  </m:r>
                </m:e>
                <m:sub>
                  <m:r>
                    <w:rPr>
                      <w:rFonts w:ascii="Cambria Math" w:hAnsi="Cambria Math"/>
                    </w:rPr>
                    <m:t xml:space="preserve">θ</m:t>
                  </m:r>
                </m:sub>
              </m:sSub>
              <m:sSub>
                <m:e>
                  <m:r>
                    <w:rPr>
                      <w:rFonts w:ascii="Cambria Math" w:hAnsi="Cambria Math"/>
                    </w:rPr>
                    <m:t xml:space="preserve">Δ</m:t>
                  </m:r>
                </m:e>
                <m:sub>
                  <m:r>
                    <w:rPr>
                      <w:rFonts w:ascii="Cambria Math" w:hAnsi="Cambria Math"/>
                    </w:rPr>
                    <m:t xml:space="preserve">ϕ</m:t>
                  </m:r>
                </m:sub>
              </m:sSub>
            </m:num>
            <m:den>
              <m:r>
                <w:rPr>
                  <w:rFonts w:ascii="Cambria Math" w:hAnsi="Cambria Math"/>
                </w:rPr>
                <m:t xml:space="preserve">4</m:t>
              </m:r>
              <m:r>
                <w:rPr>
                  <w:rFonts w:ascii="Cambria Math" w:hAnsi="Cambria Math"/>
                </w:rPr>
                <m:t xml:space="preserve">π</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m:oMathPara>
    </w:p>
    <w:p>
      <w:pPr>
        <w:pStyle w:val="Normal"/>
        <w:rPr/>
      </w:pPr>
      <w:r>
        <w:rPr/>
        <w:t xml:space="preserve">In these formulas </w:t>
      </w:r>
      <w:r>
        <w:rPr/>
      </w:r>
      <m:oMath xmlns:m="http://schemas.openxmlformats.org/officeDocument/2006/math">
        <m:sSub>
          <m:e>
            <m:r>
              <w:rPr>
                <w:rFonts w:ascii="Cambria Math" w:hAnsi="Cambria Math"/>
              </w:rPr>
              <m:t xml:space="preserve">Δ</m:t>
            </m:r>
          </m:e>
          <m:sub>
            <m:r>
              <w:rPr>
                <w:rFonts w:ascii="Cambria Math" w:hAnsi="Cambria Math"/>
              </w:rPr>
              <m:t xml:space="preserve">θ</m:t>
            </m:r>
          </m:sub>
        </m:sSub>
        <m:r>
          <w:rPr>
            <w:rFonts w:ascii="Cambria Math" w:hAnsi="Cambria Math"/>
          </w:rPr>
          <m:t xml:space="preserve">=</m:t>
        </m:r>
        <m:f>
          <m:fPr>
            <m:type m:val="lin"/>
          </m:fPr>
          <m:num>
            <m:r>
              <w:rPr>
                <w:rFonts w:ascii="Cambria Math" w:hAnsi="Cambria Math"/>
              </w:rPr>
              <m:t xml:space="preserve">π</m:t>
            </m:r>
          </m:num>
          <m:den>
            <m:r>
              <w:rPr>
                <w:rFonts w:ascii="Cambria Math" w:hAnsi="Cambria Math"/>
              </w:rPr>
              <m:t xml:space="preserve">(</m:t>
            </m:r>
          </m:den>
        </m:f>
        <m:r>
          <w:rPr>
            <w:rFonts w:ascii="Cambria Math" w:hAnsi="Cambria Math"/>
          </w:rPr>
          <m:t xml:space="preserve">N</m:t>
        </m:r>
        <m:r>
          <w:rPr>
            <w:rFonts w:ascii="Cambria Math" w:hAnsi="Cambria Math"/>
          </w:rPr>
          <m:t xml:space="preserve">)</m:t>
        </m:r>
      </m:oMath>
      <w:r>
        <w:rPr/>
        <w:t xml:space="preserve"> and </w:t>
      </w:r>
      <w:r>
        <w:rPr/>
      </w:r>
      <m:oMath xmlns:m="http://schemas.openxmlformats.org/officeDocument/2006/math">
        <m:sSub>
          <m:e>
            <m:r>
              <w:rPr>
                <w:rFonts w:ascii="Cambria Math" w:hAnsi="Cambria Math"/>
              </w:rPr>
              <m:t xml:space="preserve">Δ</m:t>
            </m:r>
          </m:e>
          <m:sub>
            <m:r>
              <w:rPr>
                <w:rFonts w:ascii="Cambria Math" w:hAnsi="Cambria Math"/>
              </w:rPr>
              <m:t xml:space="preserve">ϕ</m:t>
            </m:r>
          </m:sub>
        </m:sSub>
        <m:r>
          <w:rPr>
            <w:rFonts w:ascii="Cambria Math" w:hAnsi="Cambria Math"/>
          </w:rPr>
          <m:t xml:space="preserve">=</m:t>
        </m:r>
        <m:r>
          <w:rPr>
            <w:rFonts w:ascii="Cambria Math" w:hAnsi="Cambria Math"/>
          </w:rPr>
          <m:t xml:space="preserve">2</m:t>
        </m:r>
        <m:f>
          <m:fPr>
            <m:type m:val="lin"/>
          </m:fPr>
          <m:num>
            <m:r>
              <w:rPr>
                <w:rFonts w:ascii="Cambria Math" w:hAnsi="Cambria Math"/>
              </w:rPr>
              <m:t xml:space="preserve">π</m:t>
            </m:r>
          </m:num>
          <m:den>
            <m:r>
              <w:rPr>
                <w:rFonts w:ascii="Cambria Math" w:hAnsi="Cambria Math"/>
              </w:rPr>
              <m:t xml:space="preserve">M</m:t>
            </m:r>
          </m:den>
        </m:f>
      </m:oMath>
      <w:r>
        <w:rPr/>
        <w:t xml:space="preserve"> are the sampling intervals for the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-angles, respectively, and the number of samples in the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-angles are given by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respectively. The sampling points of the sphere are given by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nΔ</m:t>
            </m:r>
          </m:e>
          <m:sub>
            <m:r>
              <w:rPr>
                <w:rFonts w:ascii="Cambria Math" w:hAnsi="Cambria Math"/>
              </w:rPr>
              <m:t xml:space="preserve">θ</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sSub>
          <m:e>
            <m:r>
              <w:rPr>
                <w:rFonts w:ascii="Cambria Math" w:hAnsi="Cambria Math"/>
              </w:rPr>
              <m:t xml:space="preserve">mΔ</m:t>
            </m:r>
          </m:e>
          <m:sub>
            <m:r>
              <w:rPr>
                <w:rFonts w:ascii="Cambria Math" w:hAnsi="Cambria Math"/>
              </w:rPr>
              <m:t xml:space="preserve">ϕ</m:t>
            </m:r>
          </m:sub>
        </m:sSub>
      </m:oMath>
      <w:r>
        <w:rPr/>
        <w:t xml:space="preserve">. The sampling intervals are discussed further in Section 4.4. </w:t>
      </w:r>
    </w:p>
    <w:p>
      <w:pPr>
        <w:pStyle w:val="Normal"/>
        <w:rPr/>
      </w:pPr>
      <w:r>
        <w:rPr/>
        <w:t>When measuring power radiated by active devices, expressing the data in terms of EIRP is more appropriate. The upper form of the TRP formulas (which includes EIRP terms) will be used in the data processing.</w:t>
      </w:r>
    </w:p>
    <w:p>
      <w:pPr>
        <w:pStyle w:val="Normal"/>
        <w:rPr/>
      </w:pPr>
      <w:r>
        <w:rPr/>
        <w:t>The TRP can also be calculated from Rayleigh faded samples of the total power transmitted from the UE. The measurement of transmitter performance in an isotropic Rayleigh fading environment is based on sampling the radiated power of the UE for a discrete number of field combinations in the chamber. The average value of these statistically distributed samples is proportional to the TRP and by calibrating the average power transfer function, an absolute value of the TRP can be obtained. Thus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TRP</m:t>
          </m:r>
          <m:r>
            <w:rPr>
              <w:rFonts w:ascii="Cambria Math" w:hAnsi="Cambria Math"/>
            </w:rPr>
            <m:t xml:space="preserve">≈</m:t>
          </m:r>
          <m:f>
            <m:num>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f>
                        <m:num>
                          <m:sSub>
                            <m:e>
                              <m:r>
                                <w:rPr>
                                  <w:rFonts w:ascii="Cambria Math" w:hAnsi="Cambria Math"/>
                                </w:rPr>
                                <m:t xml:space="preserve">P</m:t>
                              </m:r>
                            </m:e>
                            <m:sub>
                              <m:r>
                                <w:rPr>
                                  <w:rFonts w:ascii="Cambria Math" w:hAnsi="Cambria Math"/>
                                </w:rPr>
                                <m:t xml:space="preserve">n</m:t>
                              </m:r>
                            </m:sub>
                          </m:sSub>
                        </m:num>
                        <m:den>
                          <m:sSub>
                            <m:e>
                              <m:r>
                                <w:rPr>
                                  <w:rFonts w:ascii="Cambria Math" w:hAnsi="Cambria Math"/>
                                </w:rPr>
                                <m:t xml:space="preserve">C</m:t>
                              </m:r>
                            </m:e>
                            <m:sub>
                              <m:r>
                                <w:rPr>
                                  <w:rFonts w:ascii="Cambria Math" w:hAnsi="Cambria Math"/>
                                </w:rPr>
                                <m:t xml:space="preserve">n</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den>
                      </m:f>
                    </m:e>
                  </m:d>
                </m:e>
              </m:nary>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e>
              </m:nary>
            </m:den>
          </m:f>
        </m:oMath>
      </m:oMathPara>
    </w:p>
    <w:p>
      <w:pPr>
        <w:pStyle w:val="Normal"/>
        <w:rPr/>
      </w:pPr>
      <w:r>
        <w:rPr/>
        <w:t xml:space="preserve">where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oMath>
      <w:r>
        <w:rPr/>
        <w:t xml:space="preserve"> is the reference power transfer function for fixed measurement antenna n, </w:t>
      </w:r>
      <w:r>
        <w:rPr/>
      </w:r>
      <m:oMath xmlns:m="http://schemas.openxmlformats.org/officeDocument/2006/math">
        <m:sSub>
          <m:e>
            <m:r>
              <w:rPr>
                <w:rFonts w:ascii="Cambria Math" w:hAnsi="Cambria Math"/>
              </w:rPr>
              <m:t xml:space="preserve">R</m:t>
            </m:r>
          </m:e>
          <m:sub>
            <m:r>
              <w:rPr>
                <w:rFonts w:ascii="Cambria Math" w:hAnsi="Cambria Math"/>
              </w:rPr>
              <m:t xml:space="preserve">n</m:t>
            </m:r>
          </m:sub>
        </m:sSub>
      </m:oMath>
      <w:r>
        <w:rPr/>
        <w:t xml:space="preserve"> is the reflection coefficient for fixed measurement antenna n and </w:t>
      </w:r>
      <w:r>
        <w:rPr/>
      </w:r>
      <m:oMath xmlns:m="http://schemas.openxmlformats.org/officeDocument/2006/math">
        <m:sSub>
          <m:e>
            <m:r>
              <w:rPr>
                <w:rFonts w:ascii="Cambria Math" w:hAnsi="Cambria Math"/>
              </w:rPr>
              <m:t xml:space="preserve">C</m:t>
            </m:r>
          </m:e>
          <m:sub>
            <m:r>
              <w:rPr>
                <w:rFonts w:ascii="Cambria Math" w:hAnsi="Cambria Math"/>
              </w:rPr>
              <m:t xml:space="preserve">n</m:t>
            </m:r>
          </m:sub>
        </m:sSub>
      </m:oMath>
      <w:r>
        <w:rPr/>
        <w:t xml:space="preserve"> is the path loss in the cables connecting the measurement receiver to fixed measurement antenna n. These parameters are calculated from the calibration measurement and are further discussed in Annex B.2. </w:t>
      </w:r>
      <w:r>
        <w:rPr/>
      </w:r>
      <m:oMath xmlns:m="http://schemas.openxmlformats.org/officeDocument/2006/math">
        <m:sSub>
          <m:e>
            <m:r>
              <w:rPr>
                <w:rFonts w:ascii="Cambria Math" w:hAnsi="Cambria Math"/>
              </w:rPr>
              <m:t xml:space="preserve">P</m:t>
            </m:r>
          </m:e>
          <m:sub>
            <m:r>
              <w:rPr>
                <w:rFonts w:ascii="Cambria Math" w:hAnsi="Cambria Math"/>
              </w:rPr>
              <m:t xml:space="preserve">n</m:t>
            </m:r>
          </m:sub>
        </m:sSub>
      </m:oMath>
      <w:r>
        <w:rPr/>
        <w:t xml:space="preserve"> is the average power measured by fixed measurement antenna n and can be calculated using the following expression:</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w:rPr>
                  <w:rFonts w:ascii="Cambria Math" w:hAnsi="Cambria Math"/>
                </w:rPr>
                <m:t xml:space="preserve">n</m:t>
              </m:r>
            </m:sub>
          </m:sSub>
          <m:r>
            <w:rPr>
              <w:rFonts w:ascii="Cambria Math" w:hAnsi="Cambria Math"/>
            </w:rPr>
            <m:t xml:space="preserve">=</m:t>
          </m:r>
          <m:f>
            <m:num>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p>
                    <m:e>
                      <m:d>
                        <m:dPr>
                          <m:begChr m:val="|"/>
                          <m:endChr m:val="|"/>
                        </m:dPr>
                        <m:e>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e>
                      </m:d>
                    </m:e>
                    <m:sup>
                      <m:r>
                        <w:rPr>
                          <w:rFonts w:ascii="Cambria Math" w:hAnsi="Cambria Math"/>
                        </w:rPr>
                        <m:t xml:space="preserve">2</m:t>
                      </m:r>
                    </m:sup>
                  </m:sSup>
                </m:e>
              </m:nary>
            </m:num>
            <m:den>
              <m:r>
                <w:rPr>
                  <w:rFonts w:ascii="Cambria Math" w:hAnsi="Cambria Math"/>
                </w:rPr>
                <m:t xml:space="preserve">M</m:t>
              </m:r>
            </m:den>
          </m:f>
        </m:oMath>
      </m:oMathPara>
    </w:p>
    <w:p>
      <w:pPr>
        <w:pStyle w:val="Normal"/>
        <w:rPr/>
      </w:pPr>
      <w:r>
        <w:rPr/>
        <w:t xml:space="preserve">where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oMath>
      <w:r>
        <w:rPr/>
        <w:t xml:space="preserve"> is sample number m of the complex transfer function measured with fixed measurement antenna n and </w:t>
      </w:r>
      <w:r>
        <w:rPr/>
      </w:r>
      <m:oMath xmlns:m="http://schemas.openxmlformats.org/officeDocument/2006/math">
        <m:r>
          <w:rPr>
            <w:rFonts w:ascii="Cambria Math" w:hAnsi="Cambria Math"/>
          </w:rPr>
          <m:t xml:space="preserve">M</m:t>
        </m:r>
      </m:oMath>
      <w:r>
        <w:rPr/>
        <w:t xml:space="preserve"> is the total number of samples measured for each fixed measurement antenna.</w:t>
      </w:r>
    </w:p>
    <w:p>
      <w:pPr>
        <w:pStyle w:val="Normal"/>
        <w:rPr/>
      </w:pPr>
      <w:r>
        <w:rPr/>
        <w:t>Note that all averaging must be performed using linear power values (e.g. measurements in Watts).</w:t>
      </w:r>
    </w:p>
    <w:p>
      <w:pPr>
        <w:pStyle w:val="Normal"/>
        <w:rPr/>
      </w:pPr>
      <w:r>
        <w:rPr/>
        <w:t>[Applicability is TBD]</w:t>
      </w:r>
    </w:p>
    <w:p>
      <w:pPr>
        <w:pStyle w:val="Heading4"/>
        <w:ind w:left="1418" w:hanging="1418"/>
        <w:rPr/>
      </w:pPr>
      <w:bookmarkStart w:id="205" w:name="__RefHeading___Toc68601141"/>
      <w:bookmarkEnd w:id="205"/>
      <w:r>
        <w:rPr/>
        <w:t>6.3.4.2</w:t>
      </w:r>
      <w:r>
        <w:rPr>
          <w:rFonts w:cs="Calibri" w:ascii="Calibri" w:hAnsi="Calibri"/>
          <w:sz w:val="22"/>
          <w:szCs w:val="22"/>
        </w:rPr>
        <w:tab/>
      </w:r>
      <w:r>
        <w:rPr/>
        <w:t>Minimum Requirements</w:t>
      </w:r>
    </w:p>
    <w:p>
      <w:pPr>
        <w:pStyle w:val="Normal"/>
        <w:rPr/>
      </w:pPr>
      <w:r>
        <w:rPr/>
        <w:t>The average measured TRP of low, mid and high channel for laptop embedded equipment shall be higher than the average TRP requirement specified in Table 6.3.4.2-1 for notebook devices and in Table 6.3.4.2-2 for tablet devices. The averaging shall be done in linear scale for the TRP results. Average TRP requirement is shown in the column “Average” on the requirement tables.</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num>
                <m:den>
                  <m:r>
                    <w:rPr>
                      <w:rFonts w:ascii="Cambria Math" w:hAnsi="Cambria Math"/>
                    </w:rPr>
                    <m:t xml:space="preserve">3</m:t>
                  </m:r>
                </m:den>
              </m:f>
            </m:e>
          </m:d>
        </m:oMath>
      </m:oMathPara>
    </w:p>
    <w:p>
      <w:pPr>
        <w:pStyle w:val="Normal"/>
        <w:rPr/>
      </w:pPr>
      <w:r>
        <w:rPr/>
        <w:t>In addition the lowest TRP of each measured channel shall be higher than minimum TRP requirement specified in the column “Min” on the requirement tables.</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m:rPr>
                  <m:lit/>
                  <m:nor/>
                </m:rPr>
                <w:rPr>
                  <w:rFonts w:ascii="Cambria Math" w:hAnsi="Cambria Math"/>
                </w:rPr>
                <m:t xml:space="preserve">min</m:t>
              </m:r>
              <m:d>
                <m:dPr>
                  <m:begChr m:val="("/>
                  <m:endChr m:val=")"/>
                </m:dPr>
                <m:e>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e>
              </m:d>
            </m:e>
          </m:d>
        </m:oMath>
      </m:oMathPara>
    </w:p>
    <w:p>
      <w:pPr>
        <w:pStyle w:val="TH"/>
        <w:rPr/>
      </w:pPr>
      <w:r>
        <w:rPr/>
        <w:t>Table 6.3.4.2-1: TRP minimum performance requirement for E-UTRA TDD roaming mode for notebook devices in the data transfers position and the primary mechanical mode</w:t>
      </w:r>
    </w:p>
    <w:p>
      <w:pPr>
        <w:pStyle w:val="Normal"/>
        <w:rPr>
          <w:b/>
          <w:b/>
        </w:rPr>
      </w:pPr>
      <w:r>
        <w:rPr/>
        <w:t>TBD</w:t>
      </w:r>
    </w:p>
    <w:p>
      <w:pPr>
        <w:pStyle w:val="TH"/>
        <w:rPr/>
      </w:pPr>
      <w:r>
        <w:rPr/>
        <w:t xml:space="preserve">Table 6.3.4.2-2: TRP minimum performance requirement for E-UTRA TDD roaming mode for </w:t>
      </w:r>
      <w:r>
        <w:rPr>
          <w:b w:val="false"/>
        </w:rPr>
        <w:t>t</w:t>
      </w:r>
      <w:r>
        <w:rPr/>
        <w:t>ablet devices in the data transfers position and the primary mechanical mode</w:t>
      </w:r>
    </w:p>
    <w:p>
      <w:pPr>
        <w:pStyle w:val="Normal"/>
        <w:rPr>
          <w:b/>
          <w:b/>
        </w:rPr>
      </w:pPr>
      <w:r>
        <w:rPr/>
        <w:t>TBD</w:t>
      </w:r>
    </w:p>
    <w:p>
      <w:pPr>
        <w:pStyle w:val="Normal"/>
        <w:rPr>
          <w:b/>
          <w:b/>
        </w:rPr>
      </w:pPr>
      <w:r>
        <w:rPr>
          <w:b/>
        </w:rPr>
      </w:r>
    </w:p>
    <w:p>
      <w:pPr>
        <w:pStyle w:val="Normal"/>
        <w:rPr/>
      </w:pPr>
      <w:r>
        <w:rPr/>
        <w:t>The normative reference for this clause is TS37.144 [12] Subclause 6.3.5.</w:t>
      </w:r>
    </w:p>
    <w:p>
      <w:pPr>
        <w:pStyle w:val="Heading4"/>
        <w:ind w:left="1418" w:hanging="1418"/>
        <w:rPr/>
      </w:pPr>
      <w:bookmarkStart w:id="206" w:name="__RefHeading___Toc68601142"/>
      <w:bookmarkEnd w:id="206"/>
      <w:r>
        <w:rPr/>
        <w:t>6.3.4.3</w:t>
      </w:r>
      <w:r>
        <w:rPr>
          <w:rFonts w:cs="Calibri" w:ascii="Calibri" w:hAnsi="Calibri"/>
          <w:sz w:val="22"/>
          <w:szCs w:val="22"/>
        </w:rPr>
        <w:tab/>
      </w:r>
      <w:r>
        <w:rPr/>
        <w:t>Test purpose</w:t>
      </w:r>
    </w:p>
    <w:p>
      <w:pPr>
        <w:pStyle w:val="Normal"/>
        <w:rPr/>
      </w:pPr>
      <w:r>
        <w:rPr/>
        <w:t xml:space="preserve">The purpose of this test is to verify that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 xml:space="preserve">of the UE is not below specified values. A lower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TRP</m:t>
            </m:r>
          </m:e>
          <m:sub>
            <m:r>
              <m:rPr>
                <m:lit/>
                <m:nor/>
              </m:rPr>
              <w:rPr>
                <w:rFonts w:ascii="Cambria Math" w:hAnsi="Cambria Math"/>
              </w:rPr>
              <m:t xml:space="preserve">min</m:t>
            </m:r>
          </m:sub>
        </m:sSub>
      </m:oMath>
      <w:r>
        <w:rPr/>
        <w:t>decrease the coverage area.</w:t>
      </w:r>
    </w:p>
    <w:p>
      <w:pPr>
        <w:pStyle w:val="Heading4"/>
        <w:ind w:left="1418" w:hanging="1418"/>
        <w:rPr/>
      </w:pPr>
      <w:bookmarkStart w:id="207" w:name="__RefHeading___Toc68601143"/>
      <w:bookmarkEnd w:id="207"/>
      <w:r>
        <w:rPr/>
        <w:t>6.3.4.4</w:t>
      </w:r>
      <w:r>
        <w:rPr>
          <w:rFonts w:cs="Calibri" w:ascii="Calibri" w:hAnsi="Calibri"/>
          <w:sz w:val="22"/>
          <w:szCs w:val="22"/>
        </w:rPr>
        <w:tab/>
      </w:r>
      <w:r>
        <w:rPr/>
        <w:t>Method of test</w:t>
      </w:r>
    </w:p>
    <w:p>
      <w:pPr>
        <w:pStyle w:val="Heading5"/>
        <w:ind w:left="1701" w:hanging="1701"/>
        <w:rPr/>
      </w:pPr>
      <w:bookmarkStart w:id="208" w:name="__RefHeading___Toc68601144"/>
      <w:bookmarkEnd w:id="208"/>
      <w:r>
        <w:rPr/>
        <w:t>6.3.4.4.1</w:t>
      </w:r>
      <w:r>
        <w:rPr>
          <w:rFonts w:cs="Calibri" w:ascii="Calibri" w:hAnsi="Calibri"/>
          <w:szCs w:val="22"/>
        </w:rPr>
        <w:tab/>
      </w:r>
      <w:r>
        <w:rPr/>
        <w:t>Initial conditions</w:t>
      </w:r>
    </w:p>
    <w:p>
      <w:pPr>
        <w:pStyle w:val="Normal"/>
        <w:rPr/>
      </w:pPr>
      <w:r>
        <w:rPr/>
        <w:t xml:space="preserve">A radio communications tester or a corresponding device is used as a NB simulator to setup calls to the DUT. The NB/BS simulator may also measure the radiated power samples. Alternatively, a measurement receiver or spectrum analyzer may be used for that purpose. </w:t>
      </w:r>
    </w:p>
    <w:p>
      <w:pPr>
        <w:pStyle w:val="Normal"/>
        <w:rPr/>
      </w:pPr>
      <w:r>
        <w:rPr/>
        <w:t>The maximum output power for different UE power classes are defined in 3GPP TS 36.521-1 [11] Subclause 6.2.2 for any transmission bandwidth within the channel bandwidth. Also care should be taken that the noise floor of the measurement receiver is not disturbing the power measurement.</w:t>
      </w:r>
    </w:p>
    <w:p>
      <w:pPr>
        <w:pStyle w:val="Normal"/>
        <w:rPr/>
      </w:pPr>
      <w:r>
        <w:rPr/>
        <w:t>Chamber environment constraints and coordinate system shall be the same as described in Subclause A.3.</w:t>
      </w:r>
    </w:p>
    <w:p>
      <w:pPr>
        <w:pStyle w:val="Normal"/>
        <w:rPr>
          <w:lang w:eastAsia="zh-CN"/>
        </w:rPr>
      </w:pPr>
      <w:r>
        <w:rPr/>
        <w:t>Phantom Specifications shall be the same as described in Subclause A.2.4. Parameters required for Notebooks are specified in Annex A.2.4.2 and those for Tablets are specified in Annex A.2.4.3.</w:t>
      </w:r>
    </w:p>
    <w:p>
      <w:pPr>
        <w:pStyle w:val="Normal"/>
        <w:rPr/>
      </w:pPr>
      <w:r>
        <w:rPr/>
        <w:t>Test environment: normal; see TS36.508 [10] Subclause 4.1.1.</w:t>
      </w:r>
    </w:p>
    <w:p>
      <w:pPr>
        <w:pStyle w:val="Normal"/>
        <w:rPr/>
      </w:pPr>
      <w:r>
        <w:rPr/>
        <w:t xml:space="preserve">Frequencies to be tested: low range, mid range, high range; see Table 5.4-1. </w:t>
      </w:r>
    </w:p>
    <w:p>
      <w:pPr>
        <w:pStyle w:val="Normal"/>
        <w:rPr/>
      </w:pPr>
      <w:r>
        <w:rPr/>
        <w:t>Positioning Requirements shall be the same as described in Subclause 4.3.</w:t>
      </w:r>
    </w:p>
    <w:p>
      <w:pPr>
        <w:pStyle w:val="Normal"/>
        <w:ind w:left="568" w:hanging="284"/>
        <w:rPr/>
      </w:pPr>
      <w:r>
        <w:rPr/>
        <w:t>1)</w:t>
        <w:tab/>
        <w:t xml:space="preserve">Position the UE according to the DUT positioning for devices with embedded modules specified in Subclause 4.3.5. </w:t>
      </w:r>
    </w:p>
    <w:p>
      <w:pPr>
        <w:pStyle w:val="Normal"/>
        <w:ind w:left="568" w:hanging="284"/>
        <w:rPr/>
      </w:pPr>
      <w:r>
        <w:rPr/>
        <w:t>2)</w:t>
        <w:tab/>
        <w:t>Power on the UE.</w:t>
      </w:r>
    </w:p>
    <w:p>
      <w:pPr>
        <w:pStyle w:val="Normal"/>
        <w:ind w:left="568" w:hanging="284"/>
        <w:rPr/>
      </w:pPr>
      <w:r>
        <w:rPr/>
        <w:t>3)</w:t>
        <w:tab/>
        <w:t>Set the initial conditions as per Subclause 6.2.2 of 3GPP TS 36.521-1 [11], with the following exception: set the carrier frequency, channel bandwidth, RB length and RB location as per Table 5.4-1 for TDD mode.</w:t>
      </w:r>
    </w:p>
    <w:p>
      <w:pPr>
        <w:pStyle w:val="Heading5"/>
        <w:ind w:left="1701" w:hanging="1701"/>
        <w:rPr/>
      </w:pPr>
      <w:bookmarkStart w:id="209" w:name="__RefHeading___Toc68601145"/>
      <w:bookmarkEnd w:id="209"/>
      <w:r>
        <w:rPr/>
        <w:t>6.3.4.4.2</w:t>
      </w:r>
      <w:r>
        <w:rPr>
          <w:rFonts w:cs="Calibri" w:ascii="Calibri" w:hAnsi="Calibri"/>
          <w:szCs w:val="22"/>
        </w:rPr>
        <w:tab/>
      </w:r>
      <w:r>
        <w:rPr/>
        <w:t>Procedure</w:t>
      </w:r>
    </w:p>
    <w:p>
      <w:pPr>
        <w:pStyle w:val="Normal"/>
        <w:ind w:left="568" w:hanging="284"/>
        <w:rPr/>
      </w:pPr>
      <w:r>
        <w:rPr/>
        <w:t>1)</w:t>
        <w:tab/>
        <w:t>Follow Steps 1 and 2 in section 6.2.2.4.2 of 3GPP TS 36.521-1 [11] and ensure that the DUT transmits with its maximum power.</w:t>
      </w:r>
    </w:p>
    <w:p>
      <w:pPr>
        <w:pStyle w:val="Normal"/>
        <w:ind w:left="568" w:hanging="284"/>
        <w:rPr/>
      </w:pPr>
      <w:r>
        <w:rPr/>
        <w:t>2)</w:t>
        <w:tab/>
        <w:t>For the anechoic chamber based methodologies, measure the spherical effective isotropic radiated power (EIRP) pattern following the sampling grid specified in Subclause 4.4. Slots with transient periods are not under test. The uplink downlink configuration and the special subframe configuration in TDD are set as per Table 8.2.2-1 of 3GPP TS 36.521-1 [11]. Calculate the TRP using the EIRP pattern data as per Subclause 6.3.4.1.</w:t>
      </w:r>
    </w:p>
    <w:p>
      <w:pPr>
        <w:pStyle w:val="Normal"/>
        <w:ind w:left="568" w:hanging="284"/>
        <w:rPr/>
      </w:pPr>
      <w:r>
        <w:rPr/>
        <w:t>3)</w:t>
        <w:tab/>
        <w:t>Repeat the measurement of the DUT for low, mid and high channels.</w:t>
      </w:r>
    </w:p>
    <w:p>
      <w:pPr>
        <w:pStyle w:val="Normal"/>
        <w:ind w:left="568" w:hanging="284"/>
        <w:rPr/>
      </w:pPr>
      <w:r>
        <w:rPr/>
        <w:t>4)</w:t>
        <w:tab/>
        <w:t>Calculate the average and minimum TRP as per Subclause 6.3.4.2.</w:t>
        <w:br/>
      </w:r>
    </w:p>
    <w:p>
      <w:pPr>
        <w:pStyle w:val="Heading5"/>
        <w:ind w:left="1701" w:hanging="1701"/>
        <w:rPr/>
      </w:pPr>
      <w:bookmarkStart w:id="210" w:name="__RefHeading___Toc68601146"/>
      <w:bookmarkEnd w:id="210"/>
      <w:r>
        <w:rPr/>
        <w:t>6.3.4.4.3</w:t>
      </w:r>
      <w:r>
        <w:rPr>
          <w:rFonts w:cs="Calibri" w:ascii="Calibri" w:hAnsi="Calibri"/>
          <w:szCs w:val="22"/>
        </w:rPr>
        <w:tab/>
      </w:r>
      <w:r>
        <w:rPr/>
        <w:t>Procedure, reverberation chamber method</w:t>
      </w:r>
    </w:p>
    <w:p>
      <w:pPr>
        <w:pStyle w:val="Normal"/>
        <w:ind w:left="568" w:hanging="284"/>
        <w:rPr/>
      </w:pPr>
      <w:r>
        <w:rPr/>
        <w:t>1)</w:t>
        <w:tab/>
        <w:t>Follow Steps 1 and 2 in section 6.2.2.4.2 of 3GPP TS 36.521-1 [11] and ensure that the DUT transmits with its maximum power.</w:t>
      </w:r>
    </w:p>
    <w:p>
      <w:pPr>
        <w:pStyle w:val="B1"/>
        <w:rPr/>
      </w:pPr>
      <w:r>
        <w:rPr/>
        <w:t>2)</w:t>
        <w:tab/>
        <w:t xml:space="preserve">Measure a sufficient number of independent samples (see </w:t>
      </w:r>
      <w:r>
        <w:rPr>
          <w:lang w:eastAsia="zh-TW"/>
        </w:rPr>
        <w:t>Subclause 4.5</w:t>
      </w:r>
      <w:r>
        <w:rPr/>
        <w:t xml:space="preserve">) of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oMath>
      <w:r>
        <w:rPr/>
        <w:t xml:space="preserve"> using a test system having characteristics as described in Annex A. Calculate TRP using equations from </w:t>
      </w:r>
      <w:r>
        <w:rPr>
          <w:lang w:eastAsia="zh-TW"/>
        </w:rPr>
        <w:t>Subclause 6.3.4.1</w:t>
      </w:r>
      <w:r>
        <w:rPr/>
        <w:t>.</w:t>
      </w:r>
    </w:p>
    <w:p>
      <w:pPr>
        <w:pStyle w:val="Normal"/>
        <w:ind w:left="568" w:hanging="284"/>
        <w:rPr/>
      </w:pPr>
      <w:r>
        <w:rPr/>
        <w:t>3)</w:t>
        <w:tab/>
        <w:t>Repeat the measurement of the DUT for low, mid and high channels.</w:t>
      </w:r>
    </w:p>
    <w:p>
      <w:pPr>
        <w:pStyle w:val="Normal"/>
        <w:ind w:firstLine="284"/>
        <w:rPr>
          <w:lang w:eastAsia="zh-TW"/>
        </w:rPr>
      </w:pPr>
      <w:r>
        <w:rPr/>
        <w:t>4)</w:t>
        <w:tab/>
        <w:t>Calculate the average and minimum TRP as per Subclause 6.3.4.2.</w:t>
      </w:r>
    </w:p>
    <w:p>
      <w:pPr>
        <w:pStyle w:val="Normal"/>
        <w:rPr>
          <w:lang w:eastAsia="zh-TW"/>
        </w:rPr>
      </w:pPr>
      <w:r>
        <w:rPr>
          <w:lang w:eastAsia="zh-TW"/>
        </w:rPr>
      </w:r>
    </w:p>
    <w:p>
      <w:pPr>
        <w:pStyle w:val="Heading4"/>
        <w:ind w:left="1418" w:hanging="1418"/>
        <w:rPr/>
      </w:pPr>
      <w:bookmarkStart w:id="211" w:name="__RefHeading___Toc68601147"/>
      <w:bookmarkEnd w:id="211"/>
      <w:r>
        <w:rPr/>
        <w:t>6.3.4.5</w:t>
      </w:r>
      <w:r>
        <w:rPr>
          <w:rFonts w:cs="Calibri" w:ascii="Calibri" w:hAnsi="Calibri"/>
          <w:sz w:val="22"/>
          <w:szCs w:val="22"/>
        </w:rPr>
        <w:tab/>
      </w:r>
      <w:r>
        <w:rPr/>
        <w:t>Test requirements</w:t>
      </w:r>
    </w:p>
    <w:p>
      <w:pPr>
        <w:pStyle w:val="Normal"/>
        <w:rPr/>
      </w:pPr>
      <w:r>
        <w:rPr/>
        <w:t>The average measured TRP of low, mid and high channel for laptop embedded equipment shall be higher than the average TRP requirement specified in Table 6.3.4.5-1 for notebook devices and in Table 6.3.5.5-2 for tablet devices. The averaging shall be done in linear scale for the TRP results. Average TRP requirement is shown in the column “Average” on the requirement tables.</w:t>
      </w:r>
    </w:p>
    <w:p>
      <w:pPr>
        <w:pStyle w:val="EQ"/>
        <w:jc w:val="center"/>
        <w:rPr/>
      </w:pPr>
      <w:r>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num>
                <m:den>
                  <m:r>
                    <w:rPr>
                      <w:rFonts w:ascii="Cambria Math" w:hAnsi="Cambria Math"/>
                    </w:rPr>
                    <m:t xml:space="preserve">3</m:t>
                  </m:r>
                </m:den>
              </m:f>
            </m:e>
          </m:d>
        </m:oMath>
      </m:oMathPara>
    </w:p>
    <w:p>
      <w:pPr>
        <w:pStyle w:val="Normal"/>
        <w:rPr/>
      </w:pPr>
      <w:r>
        <w:rPr/>
        <w:t>In addition the lowest TRP of each measured channel shall be higher than minimum TRP requirement specified in the column “Min” on the requirement tables.</w:t>
      </w:r>
    </w:p>
    <w:p>
      <w:pPr>
        <w:pStyle w:val="EQ"/>
        <w:jc w:val="center"/>
        <w:rPr/>
      </w:pPr>
      <w:r>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m:rPr>
                  <m:lit/>
                  <m:nor/>
                </m:rPr>
                <w:rPr>
                  <w:rFonts w:ascii="Cambria Math" w:hAnsi="Cambria Math"/>
                </w:rPr>
                <m:t xml:space="preserve">min</m:t>
              </m:r>
              <m:d>
                <m:dPr>
                  <m:begChr m:val="("/>
                  <m:endChr m:val=")"/>
                </m:dPr>
                <m:e>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e>
              </m:d>
            </m:e>
          </m:d>
        </m:oMath>
      </m:oMathPara>
    </w:p>
    <w:p>
      <w:pPr>
        <w:pStyle w:val="TH"/>
        <w:rPr/>
      </w:pPr>
      <w:r>
        <w:rPr/>
        <w:t>Table 6.3.4.5-1: TRP test requirement for E-UTRA TDD roaming bands for notebook devices in the data transfers position and the primary mechanical mode</w:t>
      </w:r>
    </w:p>
    <w:p>
      <w:pPr>
        <w:pStyle w:val="Normal"/>
        <w:rPr>
          <w:b/>
          <w:b/>
        </w:rPr>
      </w:pPr>
      <w:r>
        <w:rPr/>
        <w:t>TBD</w:t>
      </w:r>
    </w:p>
    <w:p>
      <w:pPr>
        <w:pStyle w:val="NO"/>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TH"/>
        <w:rPr/>
      </w:pPr>
      <w:r>
        <w:rPr/>
        <w:t>Table 6.3.4.5-2: TRP test requirement for E-UTRA TDD roaming bands for tablet devices in the data transfers position and the primary mechanical mode</w:t>
      </w:r>
    </w:p>
    <w:p>
      <w:pPr>
        <w:pStyle w:val="Normal"/>
        <w:rPr>
          <w:b/>
          <w:b/>
        </w:rPr>
      </w:pPr>
      <w:r>
        <w:rPr/>
        <w:t>TBD</w:t>
      </w:r>
    </w:p>
    <w:p>
      <w:pPr>
        <w:pStyle w:val="NO"/>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Heading1"/>
        <w:ind w:left="1134" w:hanging="1134"/>
        <w:rPr/>
      </w:pPr>
      <w:bookmarkStart w:id="212" w:name="__RefHeading___Toc68601148"/>
      <w:bookmarkEnd w:id="212"/>
      <w:r>
        <w:rPr/>
        <w:t>7</w:t>
        <w:tab/>
        <w:t>Receiver Performance</w:t>
      </w:r>
    </w:p>
    <w:p>
      <w:pPr>
        <w:pStyle w:val="Heading2"/>
        <w:rPr/>
      </w:pPr>
      <w:bookmarkStart w:id="213" w:name="__RefHeading___Toc68601149"/>
      <w:bookmarkEnd w:id="213"/>
      <w:r>
        <w:rPr/>
        <w:t>7.1</w:t>
        <w:tab/>
        <w:t>Performance for handheld UE</w:t>
      </w:r>
    </w:p>
    <w:p>
      <w:pPr>
        <w:pStyle w:val="Heading3"/>
        <w:rPr/>
      </w:pPr>
      <w:bookmarkStart w:id="214" w:name="__RefHeading___Toc68601150"/>
      <w:bookmarkEnd w:id="214"/>
      <w:r>
        <w:rPr>
          <w:lang w:eastAsia="zh-CN"/>
        </w:rPr>
        <w:t>7</w:t>
      </w:r>
      <w:r>
        <w:rPr/>
        <w:t>.1.1</w:t>
        <w:tab/>
        <w:t>Total Radiated Sensitivity (TRS) for UTRA FDD in Speech Mode with beside the Head Phantom</w:t>
      </w:r>
    </w:p>
    <w:p>
      <w:pPr>
        <w:pStyle w:val="EditorsNote"/>
        <w:rPr/>
      </w:pPr>
      <w:r>
        <w:rPr/>
        <w:t>Editor’s notes: This subclause is incomplete. The following item is missing or incomplete:</w:t>
      </w:r>
    </w:p>
    <w:p>
      <w:pPr>
        <w:pStyle w:val="EditorsNote"/>
        <w:rPr/>
      </w:pPr>
      <w:r>
        <w:rPr/>
        <w:t>-</w:t>
        <w:tab/>
        <w:t>Text for Subclause 7.1.1.4.3</w:t>
        <w:tab/>
        <w:t xml:space="preserve"> Procedure, reverberation chamber method</w:t>
      </w:r>
    </w:p>
    <w:p>
      <w:pPr>
        <w:pStyle w:val="Heading4"/>
        <w:ind w:left="1418" w:hanging="1418"/>
        <w:rPr/>
      </w:pPr>
      <w:bookmarkStart w:id="215" w:name="__RefHeading___Toc68601151"/>
      <w:bookmarkEnd w:id="215"/>
      <w:r>
        <w:rPr>
          <w:lang w:eastAsia="zh-TW"/>
        </w:rPr>
        <w:t>7.1.1</w:t>
      </w:r>
      <w:r>
        <w:rPr/>
        <w:t>.1</w:t>
        <w:tab/>
        <w:t>Definition and applicability</w:t>
      </w:r>
    </w:p>
    <w:p>
      <w:pPr>
        <w:pStyle w:val="Normal"/>
        <w:rPr/>
      </w:pPr>
      <w:r>
        <w:rPr/>
        <w:t>The Total Radiated Sensitivity is defined as: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4</m:t>
              </m:r>
              <m:r>
                <w:rPr>
                  <w:rFonts w:ascii="Cambria Math" w:hAnsi="Cambria Math"/>
                </w:rPr>
                <m:t xml:space="preserve">π</m:t>
              </m:r>
            </m:num>
            <m:den>
              <m:nary>
                <m:naryPr>
                  <m:chr m:val="∮"/>
                  <m:subHide m:val="1"/>
                  <m:supHide m:val="1"/>
                </m:naryPr>
                <m:sub/>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e>
                  </m:d>
                </m:e>
              </m:nary>
              <m:r>
                <w:rPr>
                  <w:rFonts w:ascii="Cambria Math" w:hAnsi="Cambria Math"/>
                </w:rPr>
                <m:t xml:space="preserve">d</m:t>
              </m:r>
              <m:r>
                <w:rPr>
                  <w:rFonts w:ascii="Cambria Math" w:hAnsi="Cambria Math"/>
                </w:rPr>
                <m:t xml:space="preserve">Ω</m:t>
              </m:r>
            </m:den>
          </m:f>
        </m:oMath>
      </m:oMathPara>
    </w:p>
    <w:p>
      <w:pPr>
        <w:pStyle w:val="Normal"/>
        <w:rPr/>
      </w:pPr>
      <w:r>
        <w:rPr/>
        <w:t>Where the effective isotropic sensitivity (</w:t>
      </w:r>
      <w:r>
        <w:rPr>
          <w:i/>
          <w:iCs/>
        </w:rPr>
        <w:t>EIS</w:t>
      </w:r>
      <w:r>
        <w:rPr/>
        <w:t xml:space="preserve">) is defined as the power available at the antenna output such as the sensitivity threshold is achieved for each polarization.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r>
          <w:rPr>
            <w:rFonts w:ascii="Cambria Math" w:hAnsi="Cambria Math"/>
          </w:rPr>
          <m:t xml:space="preserve">f</m:t>
        </m:r>
      </m:oMath>
      <w:r>
        <w:rPr/>
        <w:t xml:space="preserve"> is frequency.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 are the orthogonal polarizations.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2</m:t>
              </m:r>
              <m:r>
                <m:rPr>
                  <m:lit/>
                  <m:nor/>
                </m:rPr>
                <w:rPr>
                  <w:rFonts w:ascii="Cambria Math" w:hAnsi="Cambria Math"/>
                </w:rPr>
                <m:t xml:space="preserve">NM</m:t>
              </m:r>
            </m:num>
            <m:den>
              <m:r>
                <w:rPr>
                  <w:rFonts w:ascii="Cambria Math" w:hAnsi="Cambria Math"/>
                </w:rPr>
                <m:t xml:space="preserve">π</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e>
                      </m:d>
                      <m:r>
                        <m:rPr>
                          <m:lit/>
                          <m:nor/>
                        </m:rPr>
                        <w:rPr>
                          <w:rFonts w:ascii="Cambria Math" w:hAnsi="Cambria Math"/>
                        </w:rPr>
                        <m:t xml:space="preserve">sin</m:t>
                      </m:r>
                      <m:d>
                        <m:dPr>
                          <m:begChr m:val="("/>
                          <m:endChr m:val=")"/>
                        </m:dPr>
                        <m:e>
                          <m:sSub>
                            <m:e>
                              <m:r>
                                <w:rPr>
                                  <w:rFonts w:ascii="Cambria Math" w:hAnsi="Cambria Math"/>
                                </w:rPr>
                                <m:t xml:space="preserve">θ</m:t>
                              </m:r>
                            </m:e>
                            <m:sub>
                              <m:r>
                                <w:rPr>
                                  <w:rFonts w:ascii="Cambria Math" w:hAnsi="Cambria Math"/>
                                </w:rPr>
                                <m:t xml:space="preserve">n</m:t>
                              </m:r>
                            </m:sub>
                          </m:sSub>
                        </m:e>
                      </m:d>
                    </m:e>
                  </m:nary>
                </m:e>
              </m:nary>
            </m:den>
          </m:f>
        </m:oMath>
      </m:oMathPara>
    </w:p>
    <w:p>
      <w:pPr>
        <w:pStyle w:val="Normal"/>
        <w:rPr/>
      </w:pPr>
      <w:r>
        <w:rPr/>
        <w:t xml:space="preserve">In these formulas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are the number of sampling intervals for theta and phi.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oMath>
      <w:r>
        <w:rPr/>
        <w:t xml:space="preserve"> are the measurement angles. The sampling intervals are discussed further in S</w:t>
      </w:r>
      <w:r>
        <w:rPr>
          <w:lang w:eastAsia="zh-TW"/>
        </w:rPr>
        <w:t>ubclause 4.4</w:t>
      </w:r>
      <w:r>
        <w:rPr/>
        <w:t>.</w:t>
      </w:r>
    </w:p>
    <w:p>
      <w:pPr>
        <w:pStyle w:val="Normal"/>
        <w:rPr/>
      </w:pPr>
      <w:r>
        <w:rPr/>
        <w:t>The requirements and this test apply to all types of UTRA for the FDD UE for Release 7 and later releases.</w:t>
      </w:r>
    </w:p>
    <w:p>
      <w:pPr>
        <w:pStyle w:val="Heading4"/>
        <w:ind w:left="1418" w:hanging="1418"/>
        <w:rPr/>
      </w:pPr>
      <w:bookmarkStart w:id="216" w:name="__RefHeading___Toc68601152"/>
      <w:bookmarkEnd w:id="216"/>
      <w:r>
        <w:rPr>
          <w:lang w:eastAsia="zh-TW"/>
        </w:rPr>
        <w:t>7.1.1.2</w:t>
        <w:tab/>
        <w:t>Minimum requirements</w:t>
      </w:r>
    </w:p>
    <w:p>
      <w:pPr>
        <w:pStyle w:val="Normal"/>
        <w:jc w:val="both"/>
        <w:rPr/>
      </w:pPr>
      <w:r>
        <w:rPr/>
        <w:t>The average measured total radiated sensitivity (TRS) of low, mid and high channel for handheld UE shall be lower than the average TRS requirement specified in Table 7.1.</w:t>
      </w:r>
      <w:r>
        <w:rPr>
          <w:lang w:eastAsia="zh-TW"/>
        </w:rPr>
        <w:t>1.2</w:t>
      </w:r>
      <w:r>
        <w:rPr/>
        <w:t>-1. The averaging shall be done in linear scale for the TRS results of both right and left side of the phantom head. Average TRS requirement is shown in the column “Average” on the requirement tables.</w:t>
      </w:r>
    </w:p>
    <w:p>
      <w:pPr>
        <w:pStyle w:val="EQ"/>
        <w:rPr>
          <w:lang w:val="en-GB" w:eastAsia="en-GB"/>
        </w:rPr>
      </w:pPr>
      <w:r>
        <w:rPr>
          <w:lang w:val="en-GB" w:eastAsia="en-GB"/>
        </w:rPr>
      </w:r>
      <m:oMathPara xmlns:m="http://schemas.openxmlformats.org/officeDocument/2006/math">
        <m:oMathParaPr>
          <m:jc m:val="left"/>
        </m:oMathParaPr>
        <m:o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6</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e>
              </m:d>
            </m:e>
          </m:d>
        </m:oMath>
      </m:oMathPara>
    </w:p>
    <w:p>
      <w:pPr>
        <w:pStyle w:val="Normal"/>
        <w:rPr/>
      </w:pPr>
      <w:r>
        <w:rPr/>
        <w:t>In addition the maximum TRS of each measured channel in beside head position shall be better than minimum performance requirements for roaming bands shown in the columns “Max”</w:t>
      </w:r>
      <w:r>
        <w:rPr>
          <w:lang w:eastAsia="zh-TW"/>
        </w:rPr>
        <w:t xml:space="preserve"> on the requirement tables</w:t>
      </w:r>
      <w:r>
        <w:rPr/>
        <w:t>.</w:t>
      </w:r>
    </w:p>
    <w:p>
      <w:pPr>
        <w:pStyle w:val="EQ"/>
        <w:rPr>
          <w:lang w:val="en-GB" w:eastAsia="en-GB"/>
        </w:rPr>
      </w:pPr>
      <w:r>
        <w:rPr>
          <w:lang w:val="en-GB" w:eastAsia="en-GB"/>
        </w:rPr>
      </w:r>
      <m:oMathPara xmlns:m="http://schemas.openxmlformats.org/officeDocument/2006/math">
        <m:oMathParaPr>
          <m:jc m:val="left"/>
        </m:oMathParaPr>
        <m:oMath>
          <m:sSub>
            <m:e>
              <m:r>
                <m:rPr>
                  <m:lit/>
                  <m:nor/>
                </m:rPr>
                <w:rPr>
                  <w:rFonts w:ascii="Cambria Math" w:hAnsi="Cambria Math"/>
                </w:rPr>
                <m:t xml:space="preserve">TRS</m:t>
              </m:r>
            </m:e>
            <m:sub>
              <m:r>
                <m:rPr>
                  <m:lit/>
                  <m:nor/>
                </m:rPr>
                <w:rPr>
                  <w:rFonts w:ascii="Cambria Math" w:hAnsi="Cambria Math"/>
                </w:rPr>
                <m:t xml:space="preserve">max</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m:rPr>
                  <m:lit/>
                  <m:nor/>
                </m:rPr>
                <w:rPr>
                  <w:rFonts w:ascii="Cambria Math" w:hAnsi="Cambria Math"/>
                </w:rPr>
                <m:t xml:space="preserve">max</m:t>
              </m:r>
              <m:d>
                <m:dPr>
                  <m:begChr m:val="("/>
                  <m:endChr m:val=")"/>
                </m:dPr>
                <m:e>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e>
              </m:d>
            </m:e>
          </m:d>
        </m:oMath>
      </m:oMathPara>
    </w:p>
    <w:p>
      <w:pPr>
        <w:pStyle w:val="TH"/>
        <w:rPr/>
      </w:pPr>
      <w:r>
        <w:rPr/>
        <w:t xml:space="preserve">Table </w:t>
      </w:r>
      <w:r>
        <w:rPr>
          <w:lang w:eastAsia="zh-TW"/>
        </w:rPr>
        <w:t>7.1.1.2-1</w:t>
      </w:r>
      <w:r>
        <w:rPr/>
        <w:t xml:space="preserve">: TRS minimum requirements for </w:t>
      </w:r>
      <w:r>
        <w:rPr>
          <w:lang w:eastAsia="zh-TW"/>
        </w:rPr>
        <w:t xml:space="preserve">UTRA </w:t>
      </w:r>
      <w:r>
        <w:rPr/>
        <w:t>FDD roaming bands in the speech position for the primary mechanical mode</w:t>
      </w:r>
    </w:p>
    <w:tbl>
      <w:tblPr>
        <w:tblW w:w="6051" w:type="dxa"/>
        <w:jc w:val="center"/>
        <w:tblInd w:w="0" w:type="dxa"/>
        <w:tblLayout w:type="fixed"/>
        <w:tblCellMar>
          <w:top w:w="0" w:type="dxa"/>
          <w:left w:w="28" w:type="dxa"/>
          <w:bottom w:w="0" w:type="dxa"/>
          <w:right w:w="28" w:type="dxa"/>
        </w:tblCellMar>
      </w:tblPr>
      <w:tblGrid>
        <w:gridCol w:w="1472"/>
        <w:gridCol w:w="1744"/>
        <w:gridCol w:w="1418"/>
        <w:gridCol w:w="1417"/>
      </w:tblGrid>
      <w:tr>
        <w:trPr>
          <w:trHeight w:val="57" w:hRule="atLeast"/>
          <w:cantSplit w:val="true"/>
        </w:trPr>
        <w:tc>
          <w:tcPr>
            <w:tcW w:w="1472" w:type="dxa"/>
            <w:vMerge w:val="restart"/>
            <w:tcBorders>
              <w:top w:val="single" w:sz="4" w:space="0" w:color="000000"/>
              <w:left w:val="single" w:sz="4" w:space="0" w:color="000000"/>
              <w:bottom w:val="single" w:sz="4" w:space="0" w:color="000000"/>
              <w:right w:val="single" w:sz="4" w:space="0" w:color="000000"/>
            </w:tcBorders>
          </w:tcPr>
          <w:p>
            <w:pPr>
              <w:pStyle w:val="TAH"/>
              <w:rPr/>
            </w:pPr>
            <w:r>
              <w:rPr/>
              <w:t>Operating band</w:t>
            </w:r>
          </w:p>
        </w:tc>
        <w:tc>
          <w:tcPr>
            <w:tcW w:w="1744" w:type="dxa"/>
            <w:vMerge w:val="restart"/>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pPr>
            <w:r>
              <w:rPr/>
              <w:t>&lt;REFÎ</w:t>
            </w:r>
            <w:r>
              <w:rPr>
                <w:vertAlign w:val="subscript"/>
              </w:rPr>
              <w:t>or</w:t>
            </w:r>
            <w:r>
              <w:rPr/>
              <w:t>&gt;</w:t>
            </w:r>
          </w:p>
        </w:tc>
      </w:tr>
      <w:tr>
        <w:trPr>
          <w:trHeight w:val="57" w:hRule="atLeast"/>
          <w:cantSplit w:val="true"/>
        </w:trPr>
        <w:tc>
          <w:tcPr>
            <w:tcW w:w="147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744"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Max</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-101</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-98</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II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-99</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-96</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III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-98</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-95</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IV</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-101</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-98</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V</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-96</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-93</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VI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-96</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-93</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VII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-99</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-96</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VIII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-96</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-93</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IX</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-100</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-97</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XIX</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w:t>
            </w:r>
            <w:r>
              <w:rPr>
                <w:lang w:eastAsia="ja-JP"/>
              </w:rPr>
              <w:t>96</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-9</w:t>
            </w:r>
            <w:r>
              <w:rPr>
                <w:lang w:eastAsia="ja-JP"/>
              </w:rPr>
              <w:t>3</w:t>
            </w:r>
          </w:p>
        </w:tc>
      </w:tr>
      <w:tr>
        <w:trPr>
          <w:trHeight w:val="57" w:hRule="atLeast"/>
          <w:cantSplit w:val="true"/>
        </w:trPr>
        <w:tc>
          <w:tcPr>
            <w:tcW w:w="6051"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For Power class 3, 3bis and 4 this shall be achieved at the maximum output power.</w:t>
            </w:r>
          </w:p>
          <w:p>
            <w:pPr>
              <w:pStyle w:val="TAN"/>
              <w:rPr/>
            </w:pPr>
            <w:r>
              <w:rPr>
                <w:lang w:eastAsia="ja-JP"/>
              </w:rPr>
              <w:t>NOTE 2:</w:t>
              <w:tab/>
              <w:t xml:space="preserve">For the UE which supports both Band III and Band IX operating frequencies, the reference level of TDB dBm TRS </w:t>
            </w:r>
            <w:r>
              <w:rPr/>
              <w:t>&lt;REFÎ</w:t>
            </w:r>
            <w:r>
              <w:rPr>
                <w:vertAlign w:val="subscript"/>
              </w:rPr>
              <w:t>or</w:t>
            </w:r>
            <w:r>
              <w:rPr/>
              <w:t>&gt;</w:t>
            </w:r>
            <w:r>
              <w:rPr>
                <w:lang w:eastAsia="ja-JP"/>
              </w:rPr>
              <w:t xml:space="preserve"> [average and min] shall apply for Band IX. </w:t>
            </w:r>
          </w:p>
          <w:p>
            <w:pPr>
              <w:pStyle w:val="TAN"/>
              <w:rPr/>
            </w:pPr>
            <w:r>
              <w:rPr/>
              <w:t>NOTE 3:</w:t>
              <w:tab/>
              <w:t>Applicable for dual-mode GSM/UMTS.</w:t>
            </w:r>
          </w:p>
          <w:p>
            <w:pPr>
              <w:pStyle w:val="TAN"/>
              <w:rPr/>
            </w:pPr>
            <w:r>
              <w:rPr/>
              <w:t>NOTE 4:</w:t>
              <w:tab/>
              <w:t xml:space="preserve">For </w:t>
            </w:r>
            <w:r>
              <w:rPr>
                <w:lang w:eastAsia="ko-KR"/>
              </w:rPr>
              <w:t>the UE which supports DB-DC-HSDPA config</w:t>
            </w:r>
            <w:r>
              <w:rPr/>
              <w:t>uration 2, average</w:t>
            </w:r>
            <w:r>
              <w:rPr>
                <w:lang w:eastAsia="ko-KR"/>
              </w:rPr>
              <w:t xml:space="preserve"> </w:t>
            </w:r>
            <w:r>
              <w:rPr/>
              <w:t xml:space="preserve">&lt;REFÎor&gt; level of -98 dBm/3.84 MHz and max &lt;REFÎor&gt; level of -95 dBm/3.84 MHz </w:t>
            </w:r>
            <w:r>
              <w:rPr>
                <w:lang w:eastAsia="ko-KR"/>
              </w:rPr>
              <w:t>shall apply for Band II.</w:t>
            </w:r>
          </w:p>
          <w:p>
            <w:pPr>
              <w:pStyle w:val="TAN"/>
              <w:rPr/>
            </w:pPr>
            <w:r>
              <w:rPr/>
              <w:t>NOTE 5:</w:t>
              <w:tab/>
              <w:t xml:space="preserve">For the UE which supports DB-DC-HSDPA configuration 2, average &lt;REFÎor&gt; level of -100 dBm/3.84 MHz and max &lt;REFÎor&gt; level of -97 dBm/3.84 MHz </w:t>
            </w:r>
            <w:r>
              <w:rPr>
                <w:lang w:eastAsia="ko-KR"/>
              </w:rPr>
              <w:t>shall apply for Band IV.</w:t>
            </w:r>
            <w:r>
              <w:rPr/>
              <w:t xml:space="preserve"> </w:t>
            </w:r>
          </w:p>
        </w:tc>
      </w:tr>
    </w:tbl>
    <w:p>
      <w:pPr>
        <w:pStyle w:val="Normal"/>
        <w:rPr>
          <w:lang w:eastAsia="zh-TW"/>
        </w:rPr>
      </w:pPr>
      <w:r>
        <w:rPr>
          <w:lang w:eastAsia="zh-TW"/>
        </w:rPr>
      </w:r>
    </w:p>
    <w:p>
      <w:pPr>
        <w:pStyle w:val="Normal"/>
        <w:rPr/>
      </w:pPr>
      <w:r>
        <w:rPr/>
        <w:t>The normative reference for this clause is TS</w:t>
      </w:r>
      <w:r>
        <w:rPr>
          <w:lang w:eastAsia="zh-TW"/>
        </w:rPr>
        <w:t xml:space="preserve"> 37</w:t>
      </w:r>
      <w:r>
        <w:rPr/>
        <w:t>.144</w:t>
      </w:r>
      <w:r>
        <w:rPr>
          <w:lang w:eastAsia="zh-TW"/>
        </w:rPr>
        <w:t xml:space="preserve"> [12] Subclause </w:t>
      </w:r>
      <w:r>
        <w:rPr/>
        <w:t>7.</w:t>
      </w:r>
      <w:r>
        <w:rPr>
          <w:lang w:eastAsia="zh-TW"/>
        </w:rPr>
        <w:t>1.1.2</w:t>
      </w:r>
      <w:r>
        <w:rPr/>
        <w:t>.</w:t>
      </w:r>
    </w:p>
    <w:p>
      <w:pPr>
        <w:pStyle w:val="Heading4"/>
        <w:ind w:left="1418" w:hanging="1418"/>
        <w:rPr>
          <w:lang w:eastAsia="zh-TW"/>
        </w:rPr>
      </w:pPr>
      <w:bookmarkStart w:id="217" w:name="__RefHeading___Toc68601153"/>
      <w:bookmarkEnd w:id="217"/>
      <w:r>
        <w:rPr>
          <w:lang w:eastAsia="zh-TW"/>
        </w:rPr>
        <w:t>7.1.1.3</w:t>
        <w:tab/>
        <w:t>Test Purpose</w:t>
      </w:r>
    </w:p>
    <w:p>
      <w:pPr>
        <w:pStyle w:val="Normal"/>
        <w:rPr/>
      </w:pPr>
      <w:r>
        <w:rPr/>
        <w:t xml:space="preserve">The purpose of this test is to ensure that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max</m:t>
            </m:r>
          </m:sub>
        </m:sSub>
      </m:oMath>
      <w:r>
        <w:rPr/>
        <w:t xml:space="preserve"> of the UE is above specified limit. The lack of the reception sensitivity decreases the coverage area at the far side from Node B.</w:t>
      </w:r>
    </w:p>
    <w:p>
      <w:pPr>
        <w:pStyle w:val="Heading4"/>
        <w:ind w:left="1418" w:hanging="1418"/>
        <w:rPr>
          <w:lang w:eastAsia="zh-TW"/>
        </w:rPr>
      </w:pPr>
      <w:bookmarkStart w:id="218" w:name="__RefHeading___Toc68601154"/>
      <w:bookmarkEnd w:id="218"/>
      <w:r>
        <w:rPr>
          <w:lang w:eastAsia="zh-TW"/>
        </w:rPr>
        <w:t>7.1.1.4</w:t>
        <w:tab/>
        <w:t>Method of test</w:t>
      </w:r>
    </w:p>
    <w:p>
      <w:pPr>
        <w:pStyle w:val="Heading4"/>
        <w:ind w:left="1418" w:hanging="1418"/>
        <w:rPr/>
      </w:pPr>
      <w:bookmarkStart w:id="219" w:name="__RefHeading___Toc68601155"/>
      <w:bookmarkEnd w:id="219"/>
      <w:r>
        <w:rPr>
          <w:lang w:eastAsia="zh-TW"/>
        </w:rPr>
        <w:t>7.1.1</w:t>
      </w:r>
      <w:r>
        <w:rPr/>
        <w:t>.4.1</w:t>
        <w:tab/>
        <w:t>Initial conditions</w:t>
      </w:r>
    </w:p>
    <w:p>
      <w:pPr>
        <w:pStyle w:val="Normal"/>
        <w:rPr/>
      </w:pPr>
      <w:r>
        <w:rPr/>
        <w:t xml:space="preserve">A radio communications tester or a corresponding device is used as a NB/BS simulator to setup calls to the DUT. The NB/BS simulator is also used to send test signals to the UE and measure the BER levels of the radio link and the information on the dedicated channel needed to extract the DUT receiver performances. </w:t>
      </w:r>
    </w:p>
    <w:p>
      <w:pPr>
        <w:pStyle w:val="Normal"/>
        <w:rPr>
          <w:lang w:eastAsia="ja-JP"/>
        </w:rPr>
      </w:pPr>
      <w:r>
        <w:rPr>
          <w:lang w:eastAsia="ja-JP"/>
        </w:rPr>
        <w:t>Chamber environment constraints and coordinate system shall be the same as described in Subclause A.3.</w:t>
      </w:r>
    </w:p>
    <w:p>
      <w:pPr>
        <w:pStyle w:val="Normal"/>
        <w:rPr>
          <w:lang w:eastAsia="zh-CN"/>
        </w:rPr>
      </w:pPr>
      <w:r>
        <w:rPr>
          <w:lang w:eastAsia="ja-JP"/>
        </w:rPr>
        <w:t>Phantom Specifications shall be the same as described in Subclause A.2.1.</w:t>
      </w:r>
    </w:p>
    <w:p>
      <w:pPr>
        <w:pStyle w:val="Normal"/>
        <w:rPr/>
      </w:pPr>
      <w:r>
        <w:rPr/>
        <w:t>Test environment: normal; see TS</w:t>
      </w:r>
      <w:r>
        <w:rPr>
          <w:lang w:eastAsia="zh-TW"/>
        </w:rPr>
        <w:t xml:space="preserve"> </w:t>
      </w:r>
      <w:r>
        <w:rPr/>
        <w:t>36.508 [10] Subclause 4.1.1.</w:t>
      </w:r>
    </w:p>
    <w:p>
      <w:pPr>
        <w:pStyle w:val="Normal"/>
        <w:rPr>
          <w:lang w:eastAsia="zh-TW"/>
        </w:rPr>
      </w:pPr>
      <w:r>
        <w:rPr/>
        <w:t>Frequencies to be tested: low range, mid range, high range; see Table 5.</w:t>
      </w:r>
      <w:r>
        <w:rPr>
          <w:lang w:eastAsia="zh-TW"/>
        </w:rPr>
        <w:t>1</w:t>
      </w:r>
      <w:r>
        <w:rPr/>
        <w:t>-2.</w:t>
      </w:r>
    </w:p>
    <w:p>
      <w:pPr>
        <w:pStyle w:val="Normal"/>
        <w:rPr/>
      </w:pPr>
      <w:r>
        <w:rPr>
          <w:lang w:eastAsia="ja-JP"/>
        </w:rPr>
        <w:t>Positioning Requirements shall be the same as described in Subclause 4.3.</w:t>
      </w:r>
    </w:p>
    <w:p>
      <w:pPr>
        <w:pStyle w:val="B1"/>
        <w:rPr/>
      </w:pPr>
      <w:r>
        <w:rPr/>
        <w:t>1)</w:t>
        <w:tab/>
        <w:t>Position the UE according to the DUT positioning for speech mode specified in Subclause 4.3.3.</w:t>
      </w:r>
    </w:p>
    <w:p>
      <w:pPr>
        <w:pStyle w:val="B1"/>
        <w:rPr/>
      </w:pPr>
      <w:r>
        <w:rPr/>
        <w:t>2)</w:t>
        <w:tab/>
        <w:t>Set the SS downlink physical channels according to settings in Table 7.1.</w:t>
      </w:r>
      <w:r>
        <w:rPr>
          <w:lang w:eastAsia="zh-TW"/>
        </w:rPr>
        <w:t>1</w:t>
      </w:r>
      <w:r>
        <w:rPr/>
        <w:t>.4.1-1.</w:t>
      </w:r>
    </w:p>
    <w:p>
      <w:pPr>
        <w:pStyle w:val="B1"/>
        <w:rPr/>
      </w:pPr>
      <w:r>
        <w:rPr/>
        <w:t>3)</w:t>
        <w:tab/>
        <w:t>Power on the UE.</w:t>
      </w:r>
    </w:p>
    <w:p>
      <w:pPr>
        <w:pStyle w:val="B1"/>
        <w:rPr/>
      </w:pPr>
      <w:r>
        <w:rPr/>
        <w:t>4)</w:t>
        <w:tab/>
        <w:t>A call is set up according to the Generic call setup procedure. The power control algorithm shall be set to Power Control Algorithm 2. Compressed mode shall be set to OFF.</w:t>
      </w:r>
    </w:p>
    <w:p>
      <w:pPr>
        <w:pStyle w:val="B1"/>
        <w:rPr/>
      </w:pPr>
      <w:r>
        <w:rPr/>
        <w:t>5)</w:t>
        <w:tab/>
        <w:t>Enter the UE into loopback test mode 2 and start the loopback test.</w:t>
      </w:r>
    </w:p>
    <w:p>
      <w:pPr>
        <w:pStyle w:val="Normal"/>
        <w:rPr/>
      </w:pPr>
      <w:r>
        <w:rPr/>
        <w:t>See TS 34.108 [</w:t>
      </w:r>
      <w:r>
        <w:rPr>
          <w:lang w:eastAsia="zh-TW"/>
        </w:rPr>
        <w:t>4</w:t>
      </w:r>
      <w:r>
        <w:rPr/>
        <w:t>] and TS 34.109 [</w:t>
      </w:r>
      <w:r>
        <w:rPr>
          <w:lang w:eastAsia="zh-TW"/>
        </w:rPr>
        <w:t>5</w:t>
      </w:r>
      <w:r>
        <w:rPr/>
        <w:t>] for details regarding generic call setup procedure and loopback test.</w:t>
      </w:r>
    </w:p>
    <w:p>
      <w:pPr>
        <w:pStyle w:val="TH"/>
        <w:rPr/>
      </w:pPr>
      <w:r>
        <w:rPr/>
        <w:t xml:space="preserve">Table </w:t>
      </w:r>
      <w:r>
        <w:rPr>
          <w:lang w:eastAsia="zh-TW"/>
        </w:rPr>
        <w:t>7.1.1.4.1-1</w:t>
      </w:r>
      <w:r>
        <w:rPr/>
        <w:t>: Downlink Physical Channels transmitted during a connection</w:t>
      </w:r>
    </w:p>
    <w:tbl>
      <w:tblPr>
        <w:tblW w:w="6612" w:type="dxa"/>
        <w:jc w:val="left"/>
        <w:tblInd w:w="1553" w:type="dxa"/>
        <w:tblLayout w:type="fixed"/>
        <w:tblCellMar>
          <w:top w:w="0" w:type="dxa"/>
          <w:left w:w="108" w:type="dxa"/>
          <w:bottom w:w="0" w:type="dxa"/>
          <w:right w:w="108" w:type="dxa"/>
        </w:tblCellMar>
      </w:tblPr>
      <w:tblGrid>
        <w:gridCol w:w="2301"/>
        <w:gridCol w:w="4311"/>
      </w:tblGrid>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Physical Channel</w:t>
            </w:r>
          </w:p>
        </w:tc>
        <w:tc>
          <w:tcPr>
            <w:tcW w:w="431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Power</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CPICH</w:t>
            </w:r>
          </w:p>
        </w:tc>
        <w:tc>
          <w:tcPr>
            <w:tcW w:w="431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CPICH_Ec / DPCH_Ec</w:t>
              <w:tab/>
              <w:t>= 7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P-CCPCH</w:t>
            </w:r>
          </w:p>
        </w:tc>
        <w:tc>
          <w:tcPr>
            <w:tcW w:w="431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P-CCPCH_Ec/ DPCH_Ec</w:t>
              <w:tab/>
              <w:t>= 5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SCH</w:t>
            </w:r>
          </w:p>
        </w:tc>
        <w:tc>
          <w:tcPr>
            <w:tcW w:w="431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SCH_Ec / DPCH_Ec</w:t>
              <w:tab/>
              <w:t>= 5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PICH</w:t>
            </w:r>
          </w:p>
        </w:tc>
        <w:tc>
          <w:tcPr>
            <w:tcW w:w="4311" w:type="dxa"/>
            <w:tcBorders>
              <w:top w:val="single" w:sz="6" w:space="0" w:color="000000"/>
              <w:left w:val="single" w:sz="6" w:space="0" w:color="000000"/>
              <w:bottom w:val="single" w:sz="6" w:space="0" w:color="000000"/>
              <w:right w:val="single" w:sz="6" w:space="0" w:color="000000"/>
            </w:tcBorders>
          </w:tcPr>
          <w:p>
            <w:pPr>
              <w:pStyle w:val="TAL1"/>
              <w:rPr/>
            </w:pPr>
            <w:r>
              <w:rPr>
                <w:lang w:eastAsia="en-US"/>
              </w:rPr>
              <w:t>PICH_Ec / DPCH_Ec</w:t>
              <w:tab/>
              <w:t>= 2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DPCH</w:t>
            </w:r>
          </w:p>
        </w:tc>
        <w:tc>
          <w:tcPr>
            <w:tcW w:w="431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Test dependent power</w:t>
            </w:r>
          </w:p>
        </w:tc>
      </w:tr>
    </w:tbl>
    <w:p>
      <w:pPr>
        <w:pStyle w:val="Normal"/>
        <w:rPr/>
      </w:pPr>
      <w:r>
        <w:rPr/>
      </w:r>
    </w:p>
    <w:p>
      <w:pPr>
        <w:pStyle w:val="Heading4"/>
        <w:ind w:left="1418" w:hanging="1418"/>
        <w:rPr/>
      </w:pPr>
      <w:bookmarkStart w:id="220" w:name="__RefHeading___Toc68601156"/>
      <w:bookmarkEnd w:id="220"/>
      <w:r>
        <w:rPr>
          <w:lang w:eastAsia="zh-TW"/>
        </w:rPr>
        <w:t>7.1.1</w:t>
      </w:r>
      <w:r>
        <w:rPr>
          <w:rFonts w:cs="Arial"/>
        </w:rPr>
        <w:t>.4.2</w:t>
        <w:tab/>
        <w:t>Test procedure</w:t>
      </w:r>
    </w:p>
    <w:p>
      <w:pPr>
        <w:pStyle w:val="B1"/>
        <w:rPr/>
      </w:pPr>
      <w:r>
        <w:rPr/>
        <w:t>1)</w:t>
        <w:tab/>
        <w:t>Send continuously Up power control commands to the UE.</w:t>
      </w:r>
    </w:p>
    <w:p>
      <w:pPr>
        <w:pStyle w:val="B1"/>
        <w:rPr/>
      </w:pPr>
      <w:r>
        <w:rPr/>
        <w:t>2)</w:t>
        <w:tab/>
        <w:t>As the UE reaches maximum power, start sending PN15 data pattern.</w:t>
      </w:r>
    </w:p>
    <w:p>
      <w:pPr>
        <w:pStyle w:val="B1"/>
        <w:rPr/>
      </w:pPr>
      <w:r>
        <w:rPr/>
        <w:t>3)</w:t>
        <w:tab/>
        <w:t>Position the UE against the SAM phantom</w:t>
      </w:r>
    </w:p>
    <w:p>
      <w:pPr>
        <w:pStyle w:val="B1"/>
        <w:rPr/>
      </w:pPr>
      <w:r>
        <w:rPr/>
        <w:t>4)</w:t>
        <w:tab/>
        <w:t xml:space="preserve">Measure EIS from one measurement point. EIS is the power transmitted from one specific direction to the UE causing BER value of 1% </w:t>
      </w:r>
      <w:r>
        <w:rPr>
          <w:rFonts w:eastAsia="Symbol" w:cs="Symbol" w:ascii="Symbol" w:hAnsi="Symbol"/>
        </w:rPr>
        <w:t></w:t>
      </w:r>
      <w:r>
        <w:rPr/>
        <w:t xml:space="preserve"> 0.2% using 20000 or more bits, see Annex E.20.</w:t>
      </w:r>
    </w:p>
    <w:p>
      <w:pPr>
        <w:pStyle w:val="B1"/>
        <w:ind w:left="568" w:hanging="0"/>
        <w:rPr/>
      </w:pPr>
      <w:r>
        <w:rPr/>
        <w:t xml:space="preserve">NOTE: To meet BER value target DL power level can be changed using user’s freely selectable algorithm. </w:t>
      </w:r>
    </w:p>
    <w:p>
      <w:pPr>
        <w:pStyle w:val="B1"/>
        <w:ind w:left="284" w:hanging="0"/>
        <w:rPr/>
      </w:pPr>
      <w:r>
        <w:rPr/>
        <w:t>5)</w:t>
        <w:tab/>
        <w:t>Measure the EIS for every direction of selected sampling gird using two orthogonal polarizations to obtain TRS.</w:t>
      </w:r>
    </w:p>
    <w:p>
      <w:pPr>
        <w:pStyle w:val="B1"/>
        <w:rPr/>
      </w:pPr>
      <w:r>
        <w:rPr/>
        <w:t>6)</w:t>
        <w:tab/>
        <w:t xml:space="preserve">Calculate TRS using equations from chapter </w:t>
      </w:r>
      <w:r>
        <w:rPr>
          <w:lang w:eastAsia="zh-TW"/>
        </w:rPr>
        <w:t>7.1.1.</w:t>
      </w:r>
      <w:r>
        <w:rPr/>
        <w:t>1</w:t>
      </w:r>
    </w:p>
    <w:p>
      <w:pPr>
        <w:pStyle w:val="NO"/>
        <w:rPr/>
      </w:pPr>
      <w:r>
        <w:rPr/>
        <w:t>NOTE: To speed up sensitivity measurements non standard setting (i.e. data speed, PCL, BER target) can be used in the measurements. However to obtain TRS result the measured EIS figures shall be normalized by</w:t>
      </w:r>
    </w:p>
    <w:p>
      <w:pPr>
        <w:pStyle w:val="EQ"/>
        <w:jc w:val="center"/>
        <w:rPr>
          <w:lang w:val="en-GB" w:eastAsia="en-GB"/>
        </w:rPr>
      </w:pPr>
      <w:r>
        <w:rPr>
          <w:lang w:val="en-GB" w:eastAsia="en-GB"/>
        </w:rPr>
      </w:r>
      <m:oMathPara xmlns:m="http://schemas.openxmlformats.org/officeDocument/2006/math">
        <m:oMathParaPr>
          <m:jc m:val="center"/>
        </m:oMathParaPr>
        <m:oMath>
          <m:r>
            <w:rPr>
              <w:rFonts w:ascii="Cambria Math" w:hAnsi="Cambria Math"/>
            </w:rPr>
            <m:t xml:space="preserve">Δ</m:t>
          </m:r>
          <m:bar>
            <m:barPr>
              <m:pos m:val="top"/>
            </m:barPr>
            <m:e>
              <m:r>
                <m:rPr>
                  <m:lit/>
                  <m:nor/>
                </m:rPr>
                <w:rPr>
                  <w:rFonts w:ascii="Cambria Math" w:hAnsi="Cambria Math"/>
                </w:rPr>
                <m:t xml:space="preserve">EIS</m:t>
              </m:r>
            </m:e>
          </m:ba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m:rPr>
                          <m:lit/>
                          <m:nor/>
                        </m:rPr>
                        <w:rPr>
                          <w:rFonts w:ascii="Cambria Math" w:hAnsi="Cambria Math"/>
                        </w:rPr>
                        <m:t xml:space="preserve">EISstd</m:t>
                      </m:r>
                    </m:e>
                    <m:sub>
                      <m:r>
                        <w:rPr>
                          <w:rFonts w:ascii="Cambria Math" w:hAnsi="Cambria Math"/>
                        </w:rPr>
                        <m:t xml:space="preserve">i</m:t>
                      </m:r>
                    </m:sub>
                  </m:sSub>
                  <m:r>
                    <w:rPr>
                      <w:rFonts w:ascii="Cambria Math" w:hAnsi="Cambria Math"/>
                    </w:rPr>
                    <m:t xml:space="preserve">−</m:t>
                  </m:r>
                  <m:sSub>
                    <m:e>
                      <m:r>
                        <m:rPr>
                          <m:lit/>
                          <m:nor/>
                        </m:rPr>
                        <w:rPr>
                          <w:rFonts w:ascii="Cambria Math" w:hAnsi="Cambria Math"/>
                        </w:rPr>
                        <m:t xml:space="preserve">EISnstd</m:t>
                      </m:r>
                    </m:e>
                    <m:sub>
                      <m:r>
                        <w:rPr>
                          <w:rFonts w:ascii="Cambria Math" w:hAnsi="Cambria Math"/>
                        </w:rPr>
                        <m:t xml:space="preserve">i</m:t>
                      </m:r>
                    </m:sub>
                  </m:sSub>
                </m:e>
              </m:d>
            </m:e>
          </m:nary>
        </m:oMath>
      </m:oMathPara>
    </w:p>
    <w:p>
      <w:pPr>
        <w:pStyle w:val="Normal"/>
        <w:rPr/>
      </w:pPr>
      <w:r>
        <w:rPr/>
        <w:t xml:space="preserve">Where </w:t>
      </w:r>
      <w:r>
        <w:rPr/>
      </w:r>
      <m:oMath xmlns:m="http://schemas.openxmlformats.org/officeDocument/2006/math">
        <m:sSub>
          <m:e>
            <m:r>
              <m:rPr>
                <m:lit/>
                <m:nor/>
              </m:rPr>
              <w:rPr>
                <w:rFonts w:ascii="Cambria Math" w:hAnsi="Cambria Math"/>
              </w:rPr>
              <m:t xml:space="preserve">EISstd</m:t>
            </m:r>
          </m:e>
          <m:sub>
            <m:r>
              <w:rPr>
                <w:rFonts w:ascii="Cambria Math" w:hAnsi="Cambria Math"/>
              </w:rPr>
              <m:t xml:space="preserve">i</m:t>
            </m:r>
          </m:sub>
        </m:sSub>
      </m:oMath>
      <w:r>
        <w:rPr/>
        <w:t xml:space="preserve"> is sensitivity measurement done with standard setting. </w:t>
      </w:r>
      <w:r>
        <w:rPr/>
      </w:r>
      <m:oMath xmlns:m="http://schemas.openxmlformats.org/officeDocument/2006/math">
        <m:sSub>
          <m:e>
            <m:r>
              <m:rPr>
                <m:lit/>
                <m:nor/>
              </m:rPr>
              <w:rPr>
                <w:rFonts w:ascii="Cambria Math" w:hAnsi="Cambria Math"/>
              </w:rPr>
              <m:t xml:space="preserve">EISnstd</m:t>
            </m:r>
          </m:e>
          <m:sub>
            <m:r>
              <w:rPr>
                <w:rFonts w:ascii="Cambria Math" w:hAnsi="Cambria Math"/>
              </w:rPr>
              <m:t xml:space="preserve">i</m:t>
            </m:r>
          </m:sub>
        </m:sSub>
      </m:oMath>
      <w:r>
        <w:rPr/>
        <w:t xml:space="preserve"> is sensitivity measurement done with non standard settings. </w:t>
      </w:r>
      <w:r>
        <w:rPr/>
      </w:r>
      <m:oMath xmlns:m="http://schemas.openxmlformats.org/officeDocument/2006/math">
        <m:r>
          <w:rPr>
            <w:rFonts w:ascii="Cambria Math" w:hAnsi="Cambria Math"/>
          </w:rPr>
          <m:t xml:space="preserve">n</m:t>
        </m:r>
      </m:oMath>
      <w:r>
        <w:rPr/>
        <w:t xml:space="preserve"> is amount of reference measurement points.</w:t>
      </w:r>
    </w:p>
    <w:p>
      <w:pPr>
        <w:pStyle w:val="Normal"/>
        <w:rPr/>
      </w:pPr>
      <w:r>
        <w:rPr/>
        <w:t>To ensure accuracy of TRS, the amount of reference points measured should be at least 4. It is recommended to spread the reference measurements equally during the measurement time.</w:t>
      </w:r>
    </w:p>
    <w:p>
      <w:pPr>
        <w:pStyle w:val="Normal"/>
        <w:rPr>
          <w:lang w:eastAsia="zh-TW"/>
        </w:rPr>
      </w:pPr>
      <w:r>
        <w:rPr/>
        <w:t>The measurement procedure is based on the measurement of the spherical sensitivity pattern of the DUT. The sensitivity values of the DUT at a predefined BER level are sampled in far field in a group of points located on a spherical surface enclosing the DUT. The EIS samples are taken using a constant sample step of 30° both in theta (</w:t>
      </w:r>
      <w:r>
        <w:rPr>
          <w:rFonts w:eastAsia="Symbol" w:cs="Symbol" w:ascii="Symbol" w:hAnsi="Symbol"/>
        </w:rPr>
        <w:t></w:t>
      </w:r>
      <w:r>
        <w:rPr/>
        <w:t>) and phi (</w:t>
      </w:r>
      <w:r>
        <w:rPr>
          <w:rFonts w:eastAsia="Symbol" w:cs="Symbol" w:ascii="Symbol" w:hAnsi="Symbol"/>
        </w:rPr>
        <w:t></w:t>
      </w:r>
      <w:r>
        <w:rPr/>
        <w:t xml:space="preserve">) directions. All the EIS samples are taken with two orthogonal polarizations,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-polarisations</w:t>
      </w:r>
      <w:r>
        <w:rPr>
          <w:lang w:eastAsia="zh-TW"/>
        </w:rPr>
        <w:t xml:space="preserve"> (See Subclause 4.4)</w:t>
      </w:r>
      <w:r>
        <w:rPr/>
        <w:t>.</w:t>
      </w:r>
    </w:p>
    <w:p>
      <w:pPr>
        <w:pStyle w:val="Normal"/>
        <w:rPr/>
      </w:pPr>
      <w:r>
        <w:rPr/>
        <w:t xml:space="preserve">The Total Radiated Sensitivity is calculated from the measured data by equation in </w:t>
      </w:r>
      <w:r>
        <w:rPr>
          <w:lang w:eastAsia="zh-TW"/>
        </w:rPr>
        <w:t>Subclause</w:t>
      </w:r>
      <w:r>
        <w:rPr/>
        <w:t xml:space="preserve"> </w:t>
      </w:r>
      <w:r>
        <w:rPr>
          <w:lang w:eastAsia="zh-TW"/>
        </w:rPr>
        <w:t>7.1.1.2</w:t>
      </w:r>
      <w:r>
        <w:rPr/>
        <w:t>.</w:t>
      </w:r>
    </w:p>
    <w:p>
      <w:pPr>
        <w:pStyle w:val="Heading4"/>
        <w:ind w:left="1418" w:hanging="1418"/>
        <w:rPr/>
      </w:pPr>
      <w:bookmarkStart w:id="221" w:name="__RefHeading___Toc68601157"/>
      <w:bookmarkEnd w:id="221"/>
      <w:r>
        <w:rPr>
          <w:lang w:eastAsia="zh-TW"/>
        </w:rPr>
        <w:t>7.1.1</w:t>
      </w:r>
      <w:r>
        <w:rPr>
          <w:rFonts w:cs="Arial"/>
        </w:rPr>
        <w:t>.4.3</w:t>
        <w:tab/>
        <w:t>Test procedure, reverberation chamber method</w:t>
      </w:r>
    </w:p>
    <w:p>
      <w:pPr>
        <w:pStyle w:val="Normal"/>
        <w:rPr/>
      </w:pPr>
      <w:r>
        <w:rPr/>
        <w:t>TBD</w:t>
      </w:r>
    </w:p>
    <w:p>
      <w:pPr>
        <w:pStyle w:val="Heading4"/>
        <w:ind w:left="1418" w:hanging="1418"/>
        <w:rPr/>
      </w:pPr>
      <w:bookmarkStart w:id="222" w:name="__RefHeading___Toc68601158"/>
      <w:bookmarkEnd w:id="222"/>
      <w:r>
        <w:rPr>
          <w:lang w:eastAsia="zh-TW"/>
        </w:rPr>
        <w:t>7.1.1.5</w:t>
        <w:tab/>
        <w:t>Test requirements</w:t>
      </w:r>
    </w:p>
    <w:p>
      <w:pPr>
        <w:pStyle w:val="Normal"/>
        <w:jc w:val="both"/>
        <w:rPr/>
      </w:pPr>
      <w:r>
        <w:rPr/>
        <w:t>The average measured total radiated sensitivity (TRS) of low, mid and high channel for handheld UE shall be lower than the average TRS requirement specified in Table 7.1.</w:t>
      </w:r>
      <w:r>
        <w:rPr>
          <w:lang w:eastAsia="zh-TW"/>
        </w:rPr>
        <w:t>1</w:t>
      </w:r>
      <w:r>
        <w:rPr/>
        <w:t>.5-1. The averaging shall be done in linear scale for the TRS results of both right and left side of the phantom head. Average TRS requirement is shown in the column “Average” on the requirement tables.</w:t>
      </w:r>
    </w:p>
    <w:p>
      <w:pPr>
        <w:pStyle w:val="EQ"/>
        <w:rPr>
          <w:lang w:val="en-GB" w:eastAsia="en-GB"/>
        </w:rPr>
      </w:pPr>
      <w:r>
        <w:rPr>
          <w:lang w:val="en-GB" w:eastAsia="en-GB"/>
        </w:rPr>
      </w:r>
      <m:oMathPara xmlns:m="http://schemas.openxmlformats.org/officeDocument/2006/math">
        <m:oMathParaPr>
          <m:jc m:val="left"/>
        </m:oMathParaPr>
        <m:o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6</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e>
              </m:d>
            </m:e>
          </m:d>
        </m:oMath>
      </m:oMathPara>
    </w:p>
    <w:p>
      <w:pPr>
        <w:pStyle w:val="Normal"/>
        <w:rPr/>
      </w:pPr>
      <w:r>
        <w:rPr/>
        <w:t>In addition the highest TRS of each measured channel shall be lower than maximum TRS requirement specified in Table 7.1.</w:t>
      </w:r>
      <w:r>
        <w:rPr>
          <w:lang w:eastAsia="zh-TW"/>
        </w:rPr>
        <w:t>1</w:t>
      </w:r>
      <w:r>
        <w:rPr/>
        <w:t>.5-1. Maximum TRS requirement is shown in the column “Max” on the requirement tables.</w:t>
      </w:r>
    </w:p>
    <w:p>
      <w:pPr>
        <w:pStyle w:val="EQ"/>
        <w:rPr>
          <w:lang w:val="en-GB" w:eastAsia="en-GB"/>
        </w:rPr>
      </w:pPr>
      <w:r>
        <w:rPr>
          <w:lang w:val="en-GB" w:eastAsia="en-GB"/>
        </w:rPr>
      </w:r>
      <m:oMathPara xmlns:m="http://schemas.openxmlformats.org/officeDocument/2006/math">
        <m:oMathParaPr>
          <m:jc m:val="left"/>
        </m:oMathParaPr>
        <m:oMath>
          <m:sSub>
            <m:e>
              <m:r>
                <m:rPr>
                  <m:lit/>
                  <m:nor/>
                </m:rPr>
                <w:rPr>
                  <w:rFonts w:ascii="Cambria Math" w:hAnsi="Cambria Math"/>
                </w:rPr>
                <m:t xml:space="preserve">TRS</m:t>
              </m:r>
            </m:e>
            <m:sub>
              <m:r>
                <m:rPr>
                  <m:lit/>
                  <m:nor/>
                </m:rPr>
                <w:rPr>
                  <w:rFonts w:ascii="Cambria Math" w:hAnsi="Cambria Math"/>
                </w:rPr>
                <m:t xml:space="preserve">max</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m:rPr>
                  <m:lit/>
                  <m:nor/>
                </m:rPr>
                <w:rPr>
                  <w:rFonts w:ascii="Cambria Math" w:hAnsi="Cambria Math"/>
                </w:rPr>
                <m:t xml:space="preserve">max</m:t>
              </m:r>
              <m:d>
                <m:dPr>
                  <m:begChr m:val="("/>
                  <m:endChr m:val=")"/>
                </m:dPr>
                <m:e>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e>
              </m:d>
            </m:e>
          </m:d>
        </m:oMath>
      </m:oMathPara>
    </w:p>
    <w:p>
      <w:pPr>
        <w:pStyle w:val="TH"/>
        <w:rPr/>
      </w:pPr>
      <w:r>
        <w:rPr/>
        <w:t xml:space="preserve">Table </w:t>
      </w:r>
      <w:r>
        <w:rPr>
          <w:lang w:eastAsia="zh-TW"/>
        </w:rPr>
        <w:t>7.1.1.5-1</w:t>
      </w:r>
      <w:r>
        <w:rPr/>
        <w:t xml:space="preserve">: TRS test requirements for </w:t>
      </w:r>
      <w:r>
        <w:rPr>
          <w:lang w:eastAsia="zh-TW"/>
        </w:rPr>
        <w:t xml:space="preserve">UTRA </w:t>
      </w:r>
      <w:r>
        <w:rPr/>
        <w:t>FDD roaming bands in the speech position for the primary mechanical mode</w:t>
      </w:r>
    </w:p>
    <w:tbl>
      <w:tblPr>
        <w:tblW w:w="6051" w:type="dxa"/>
        <w:jc w:val="center"/>
        <w:tblInd w:w="0" w:type="dxa"/>
        <w:tblLayout w:type="fixed"/>
        <w:tblCellMar>
          <w:top w:w="0" w:type="dxa"/>
          <w:left w:w="28" w:type="dxa"/>
          <w:bottom w:w="0" w:type="dxa"/>
          <w:right w:w="28" w:type="dxa"/>
        </w:tblCellMar>
      </w:tblPr>
      <w:tblGrid>
        <w:gridCol w:w="1472"/>
        <w:gridCol w:w="1744"/>
        <w:gridCol w:w="1418"/>
        <w:gridCol w:w="1417"/>
      </w:tblGrid>
      <w:tr>
        <w:trPr>
          <w:trHeight w:val="57" w:hRule="atLeast"/>
          <w:cantSplit w:val="true"/>
        </w:trPr>
        <w:tc>
          <w:tcPr>
            <w:tcW w:w="1472" w:type="dxa"/>
            <w:vMerge w:val="restart"/>
            <w:tcBorders>
              <w:top w:val="single" w:sz="4" w:space="0" w:color="000000"/>
              <w:left w:val="single" w:sz="4" w:space="0" w:color="000000"/>
              <w:bottom w:val="single" w:sz="4" w:space="0" w:color="000000"/>
              <w:right w:val="single" w:sz="4" w:space="0" w:color="000000"/>
            </w:tcBorders>
          </w:tcPr>
          <w:p>
            <w:pPr>
              <w:pStyle w:val="TAH"/>
              <w:rPr/>
            </w:pPr>
            <w:r>
              <w:rPr/>
              <w:t>Operating band</w:t>
            </w:r>
          </w:p>
        </w:tc>
        <w:tc>
          <w:tcPr>
            <w:tcW w:w="1744" w:type="dxa"/>
            <w:vMerge w:val="restart"/>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pPr>
            <w:r>
              <w:rPr/>
              <w:t>&lt;REFÎ</w:t>
            </w:r>
            <w:r>
              <w:rPr>
                <w:vertAlign w:val="subscript"/>
              </w:rPr>
              <w:t>or</w:t>
            </w:r>
            <w:r>
              <w:rPr/>
              <w:t>&gt;</w:t>
            </w:r>
          </w:p>
        </w:tc>
      </w:tr>
      <w:tr>
        <w:trPr>
          <w:trHeight w:val="57" w:hRule="atLeast"/>
          <w:cantSplit w:val="true"/>
        </w:trPr>
        <w:tc>
          <w:tcPr>
            <w:tcW w:w="147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744"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Max</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-100.1</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-96.8</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II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-98.1</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-94.8</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III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-97.1</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-93.8</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IV</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-100.1</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-96.8</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V</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-95.1</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-91.8</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VI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-95.1</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-91.8</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VII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-98.1</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-94.8</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VIII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-95.1</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-91.8</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IX</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-99.1</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-95.8</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XIX</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en-US"/>
              </w:rPr>
              <w:t>-96+TT</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en-US"/>
              </w:rPr>
              <w:t xml:space="preserve">-93+TT </w:t>
            </w:r>
          </w:p>
        </w:tc>
      </w:tr>
      <w:tr>
        <w:trPr>
          <w:trHeight w:val="57" w:hRule="atLeast"/>
          <w:cantSplit w:val="true"/>
        </w:trPr>
        <w:tc>
          <w:tcPr>
            <w:tcW w:w="6051"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For Power class 3, 3bis and 4 this shall be achieved at the maximum output power.</w:t>
            </w:r>
          </w:p>
          <w:p>
            <w:pPr>
              <w:pStyle w:val="TAN"/>
              <w:rPr/>
            </w:pPr>
            <w:r>
              <w:rPr>
                <w:lang w:eastAsia="en-US"/>
              </w:rPr>
              <w:t>NOTE 2</w:t>
              <w:tab/>
              <w:t>For the UE which supports both Band III and Band IX operating frequencies, the reference level of TDB dBm TRS &lt;REFÎ</w:t>
            </w:r>
            <w:r>
              <w:rPr>
                <w:vertAlign w:val="subscript"/>
                <w:lang w:eastAsia="en-US"/>
              </w:rPr>
              <w:t>or</w:t>
            </w:r>
            <w:r>
              <w:rPr>
                <w:lang w:eastAsia="en-US"/>
              </w:rPr>
              <w:t>&gt; [average and min] shall apply for Band IX.</w:t>
            </w:r>
          </w:p>
          <w:p>
            <w:pPr>
              <w:pStyle w:val="TAN"/>
              <w:rPr>
                <w:lang w:eastAsia="zh-TW"/>
              </w:rPr>
            </w:pPr>
            <w:r>
              <w:rPr>
                <w:lang w:eastAsia="en-US"/>
              </w:rPr>
              <w:t>NOTE</w:t>
            </w:r>
            <w:r>
              <w:rPr>
                <w:lang w:eastAsia="zh-TW"/>
              </w:rPr>
              <w:t xml:space="preserve"> </w:t>
            </w:r>
            <w:r>
              <w:rPr>
                <w:lang w:eastAsia="en-US"/>
              </w:rPr>
              <w:t>3:</w:t>
              <w:tab/>
              <w:t>Applicable for dual-mode GSM/UMTS.</w:t>
            </w:r>
          </w:p>
          <w:p>
            <w:pPr>
              <w:pStyle w:val="TAN"/>
              <w:rPr/>
            </w:pPr>
            <w:r>
              <w:rPr>
                <w:lang w:eastAsia="zh-TW"/>
              </w:rPr>
              <w:t>NOTE 4:</w:t>
              <w:tab/>
              <w:t>For the UE which supports DB-DC-HSDPA configuration 2, average &lt;REFÎor&gt; level of -97.1 dBm/3.84 MHz and max &lt;REFÎor&gt; level of -93.8 dBm/3.84 MHz shall apply for Band II.</w:t>
            </w:r>
          </w:p>
          <w:p>
            <w:pPr>
              <w:pStyle w:val="TAN"/>
              <w:rPr/>
            </w:pPr>
            <w:r>
              <w:rPr>
                <w:lang w:eastAsia="zh-TW"/>
              </w:rPr>
              <w:t>NOTE 5:</w:t>
              <w:tab/>
              <w:t>For the UE which supports DB-DC-HSDPA configuration 2, average &lt;REFÎor&gt; level of -99.1 dBm/3.84 MHz and max &lt;REFÎor&gt; level of -95.8 dBm/3.84 MHz shall apply for Band IV.</w:t>
            </w:r>
          </w:p>
        </w:tc>
      </w:tr>
    </w:tbl>
    <w:p>
      <w:pPr>
        <w:pStyle w:val="Normal"/>
        <w:rPr>
          <w:lang w:eastAsia="zh-TW"/>
        </w:rPr>
      </w:pPr>
      <w:r>
        <w:rPr>
          <w:lang w:eastAsia="zh-TW"/>
        </w:rPr>
      </w:r>
    </w:p>
    <w:p>
      <w:pPr>
        <w:pStyle w:val="NO"/>
        <w:rPr>
          <w:rFonts w:ascii="Arial" w:hAnsi="Arial" w:cs="Arial"/>
          <w:lang w:eastAsia="zh-TW"/>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r>
        <w:rPr>
          <w:lang w:eastAsia="zh-TW"/>
        </w:rPr>
        <w:t>.2</w:t>
      </w:r>
      <w:r>
        <w:rPr/>
        <w:t>.</w:t>
      </w:r>
    </w:p>
    <w:p>
      <w:pPr>
        <w:pStyle w:val="Heading3"/>
        <w:rPr>
          <w:lang w:eastAsia="zh-CN"/>
        </w:rPr>
      </w:pPr>
      <w:bookmarkStart w:id="223" w:name="__RefHeading___Toc68601159"/>
      <w:bookmarkEnd w:id="223"/>
      <w:r>
        <w:rPr>
          <w:lang w:eastAsia="zh-CN"/>
        </w:rPr>
        <w:t>7</w:t>
      </w:r>
      <w:r>
        <w:rPr/>
        <w:t>.1.2</w:t>
        <w:tab/>
      </w:r>
      <w:r>
        <w:rPr>
          <w:rFonts w:cs="Arial"/>
          <w:color w:val="000000"/>
        </w:rPr>
        <w:t xml:space="preserve">Total Radiated Sensitivity (TRS) for </w:t>
      </w:r>
      <w:r>
        <w:rPr/>
        <w:t>UTRA LCR TDD in Speech Mode with beside the Head Phantom</w:t>
      </w:r>
    </w:p>
    <w:p>
      <w:pPr>
        <w:pStyle w:val="EditorsNote"/>
        <w:rPr/>
      </w:pPr>
      <w:r>
        <w:rPr/>
        <w:t>Editor’s notes: This subclause is incomplete. The following items are missing or incomplete:</w:t>
      </w:r>
    </w:p>
    <w:p>
      <w:pPr>
        <w:pStyle w:val="EditorsNote"/>
        <w:rPr/>
      </w:pPr>
      <w:r>
        <w:rPr/>
        <w:t>- Table 7.1.</w:t>
      </w:r>
      <w:r>
        <w:rPr>
          <w:lang w:eastAsia="zh-TW"/>
        </w:rPr>
        <w:t>2</w:t>
      </w:r>
      <w:r>
        <w:rPr/>
        <w:t>.2-1 and 7.1.</w:t>
      </w:r>
      <w:r>
        <w:rPr>
          <w:lang w:eastAsia="zh-TW"/>
        </w:rPr>
        <w:t>2</w:t>
      </w:r>
      <w:r>
        <w:rPr/>
        <w:t>.</w:t>
      </w:r>
      <w:r>
        <w:rPr>
          <w:lang w:eastAsia="zh-TW"/>
        </w:rPr>
        <w:t>5</w:t>
      </w:r>
      <w:r>
        <w:rPr/>
        <w:t xml:space="preserve">-1 as they are not </w:t>
      </w:r>
      <w:r>
        <w:rPr>
          <w:lang w:eastAsia="zh-TW"/>
        </w:rPr>
        <w:t>complet</w:t>
      </w:r>
      <w:r>
        <w:rPr/>
        <w:t>ed in TS 37.144 yet</w:t>
      </w:r>
    </w:p>
    <w:p>
      <w:pPr>
        <w:pStyle w:val="EditorsNote"/>
        <w:rPr/>
      </w:pPr>
      <w:r>
        <w:rPr/>
        <w:t>- Text for Subclause 7.1.</w:t>
      </w:r>
      <w:r>
        <w:rPr>
          <w:lang w:eastAsia="zh-TW"/>
        </w:rPr>
        <w:t>2</w:t>
      </w:r>
      <w:r>
        <w:rPr/>
        <w:t>.4.3</w:t>
        <w:tab/>
        <w:t xml:space="preserve"> Procedure, reverberation chamber method</w:t>
      </w:r>
    </w:p>
    <w:p>
      <w:pPr>
        <w:pStyle w:val="Heading4"/>
        <w:ind w:left="1418" w:hanging="1418"/>
        <w:rPr/>
      </w:pPr>
      <w:bookmarkStart w:id="224" w:name="__RefHeading___Toc68601160"/>
      <w:bookmarkEnd w:id="224"/>
      <w:r>
        <w:rPr/>
        <w:t>7.1.</w:t>
      </w:r>
      <w:r>
        <w:rPr>
          <w:lang w:eastAsia="zh-TW"/>
        </w:rPr>
        <w:t>2</w:t>
      </w:r>
      <w:r>
        <w:rPr/>
        <w:t>.1</w:t>
      </w:r>
      <w:r>
        <w:rPr>
          <w:rFonts w:cs="Calibri" w:ascii="Calibri" w:hAnsi="Calibri"/>
          <w:sz w:val="22"/>
          <w:szCs w:val="22"/>
        </w:rPr>
        <w:tab/>
      </w:r>
      <w:r>
        <w:rPr/>
        <w:t>Definition and applicability</w:t>
      </w:r>
    </w:p>
    <w:p>
      <w:pPr>
        <w:pStyle w:val="Normal"/>
        <w:rPr/>
      </w:pPr>
      <w:r>
        <w:rPr/>
        <w:t>The Total Radiated Sensitivity is defined as: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4</m:t>
              </m:r>
              <m:r>
                <w:rPr>
                  <w:rFonts w:ascii="Cambria Math" w:hAnsi="Cambria Math"/>
                </w:rPr>
                <m:t xml:space="preserve">π</m:t>
              </m:r>
            </m:num>
            <m:den>
              <m:nary>
                <m:naryPr>
                  <m:chr m:val="∮"/>
                  <m:subHide m:val="1"/>
                  <m:supHide m:val="1"/>
                </m:naryPr>
                <m:sub/>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e>
                  </m:d>
                </m:e>
              </m:nary>
              <m:r>
                <w:rPr>
                  <w:rFonts w:ascii="Cambria Math" w:hAnsi="Cambria Math"/>
                </w:rPr>
                <m:t xml:space="preserve">d</m:t>
              </m:r>
              <m:r>
                <w:rPr>
                  <w:rFonts w:ascii="Cambria Math" w:hAnsi="Cambria Math"/>
                </w:rPr>
                <m:t xml:space="preserve">Ω</m:t>
              </m:r>
            </m:den>
          </m:f>
        </m:oMath>
      </m:oMathPara>
    </w:p>
    <w:p>
      <w:pPr>
        <w:pStyle w:val="Normal"/>
        <w:rPr/>
      </w:pPr>
      <w:r>
        <w:rPr/>
        <w:t>Where the effective isotropic sensitivity (</w:t>
      </w:r>
      <w:r>
        <w:rPr>
          <w:i/>
          <w:iCs/>
        </w:rPr>
        <w:t>EIS</w:t>
      </w:r>
      <w:r>
        <w:rPr/>
        <w:t xml:space="preserve">) is defined as the power available at the antenna output such as the sensitivity threshold is achieved for each polarization.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r>
          <w:rPr>
            <w:rFonts w:ascii="Cambria Math" w:hAnsi="Cambria Math"/>
          </w:rPr>
          <m:t xml:space="preserve">f</m:t>
        </m:r>
      </m:oMath>
      <w:r>
        <w:rPr/>
        <w:t xml:space="preserve"> is frequency.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 are the orthogonal polarizations.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2</m:t>
              </m:r>
              <m:r>
                <m:rPr>
                  <m:lit/>
                  <m:nor/>
                </m:rPr>
                <w:rPr>
                  <w:rFonts w:ascii="Cambria Math" w:hAnsi="Cambria Math"/>
                </w:rPr>
                <m:t xml:space="preserve">NM</m:t>
              </m:r>
            </m:num>
            <m:den>
              <m:r>
                <w:rPr>
                  <w:rFonts w:ascii="Cambria Math" w:hAnsi="Cambria Math"/>
                </w:rPr>
                <m:t xml:space="preserve">π</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e>
                      </m:d>
                      <m:r>
                        <m:rPr>
                          <m:lit/>
                          <m:nor/>
                        </m:rPr>
                        <w:rPr>
                          <w:rFonts w:ascii="Cambria Math" w:hAnsi="Cambria Math"/>
                        </w:rPr>
                        <m:t xml:space="preserve">sin</m:t>
                      </m:r>
                      <m:d>
                        <m:dPr>
                          <m:begChr m:val="("/>
                          <m:endChr m:val=")"/>
                        </m:dPr>
                        <m:e>
                          <m:sSub>
                            <m:e>
                              <m:r>
                                <w:rPr>
                                  <w:rFonts w:ascii="Cambria Math" w:hAnsi="Cambria Math"/>
                                </w:rPr>
                                <m:t xml:space="preserve">θ</m:t>
                              </m:r>
                            </m:e>
                            <m:sub>
                              <m:r>
                                <w:rPr>
                                  <w:rFonts w:ascii="Cambria Math" w:hAnsi="Cambria Math"/>
                                </w:rPr>
                                <m:t xml:space="preserve">n</m:t>
                              </m:r>
                            </m:sub>
                          </m:sSub>
                        </m:e>
                      </m:d>
                    </m:e>
                  </m:nary>
                </m:e>
              </m:nary>
            </m:den>
          </m:f>
        </m:oMath>
      </m:oMathPara>
    </w:p>
    <w:p>
      <w:pPr>
        <w:pStyle w:val="Normal"/>
        <w:rPr/>
      </w:pPr>
      <w:r>
        <w:rPr/>
        <w:t xml:space="preserve">In these formulas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are the number of sampling intervals for theta and phi.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oMath>
      <w:r>
        <w:rPr/>
        <w:t xml:space="preserve"> are the measurement angles. The sampling intervals are discussed further in Subclause 4.4.</w:t>
      </w:r>
    </w:p>
    <w:p>
      <w:pPr>
        <w:pStyle w:val="Normal"/>
        <w:rPr/>
      </w:pPr>
      <w:r>
        <w:rPr>
          <w:lang w:eastAsia="zh-CN"/>
        </w:rPr>
        <w:t>The requirements and this test apply to all types of UTRA for the TDD UE</w:t>
      </w:r>
      <w:r>
        <w:rPr/>
        <w:t xml:space="preserve"> for Release </w:t>
      </w:r>
      <w:r>
        <w:rPr>
          <w:lang w:eastAsia="zh-CN"/>
        </w:rPr>
        <w:t>8</w:t>
      </w:r>
      <w:r>
        <w:rPr/>
        <w:t xml:space="preserve"> and later releases.</w:t>
      </w:r>
    </w:p>
    <w:p>
      <w:pPr>
        <w:pStyle w:val="Heading4"/>
        <w:ind w:left="1418" w:hanging="1418"/>
        <w:rPr/>
      </w:pPr>
      <w:bookmarkStart w:id="225" w:name="__RefHeading___Toc68601161"/>
      <w:bookmarkEnd w:id="225"/>
      <w:r>
        <w:rPr/>
        <w:t>7.1.</w:t>
      </w:r>
      <w:r>
        <w:rPr>
          <w:lang w:eastAsia="zh-TW"/>
        </w:rPr>
        <w:t>2</w:t>
      </w:r>
      <w:r>
        <w:rPr/>
        <w:t>.2</w:t>
      </w:r>
      <w:r>
        <w:rPr>
          <w:rFonts w:cs="Calibri" w:ascii="Calibri" w:hAnsi="Calibri"/>
          <w:sz w:val="22"/>
          <w:szCs w:val="22"/>
        </w:rPr>
        <w:tab/>
      </w:r>
      <w:r>
        <w:rPr/>
        <w:t>Minimum Requirements</w:t>
      </w:r>
    </w:p>
    <w:p>
      <w:pPr>
        <w:pStyle w:val="Normal"/>
        <w:jc w:val="both"/>
        <w:rPr/>
      </w:pPr>
      <w:r>
        <w:rPr/>
        <w:t>The average measured total radiated sensitivity (TRS) of low, mid and high channel for handheld UE shall be lower than the average TRS requirement specified in Table 7.1.</w:t>
      </w:r>
      <w:r>
        <w:rPr>
          <w:lang w:eastAsia="zh-TW"/>
        </w:rPr>
        <w:t>2</w:t>
      </w:r>
      <w:r>
        <w:rPr/>
        <w:t>.2-1. The averaging shall be done in linear scale for the TRS results of both right and left side of the phantom head. Average TRS requirement is shown in the column “Average” on the requirement tables.</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6</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e>
              </m:d>
            </m:e>
          </m:d>
        </m:oMath>
      </m:oMathPara>
    </w:p>
    <w:p>
      <w:pPr>
        <w:pStyle w:val="Normal"/>
        <w:rPr/>
      </w:pPr>
      <w:r>
        <w:rPr/>
        <w:t>In addition the highest TRS of each measured channel shall be lower than maximum TRS requirement specified in Table 7.1.</w:t>
      </w:r>
      <w:r>
        <w:rPr>
          <w:lang w:eastAsia="zh-TW"/>
        </w:rPr>
        <w:t>2</w:t>
      </w:r>
      <w:r>
        <w:rPr/>
        <w:t>.2-1. Maximum TRS requirement is shown in the column “Max” on the requirement tables.</w:t>
      </w:r>
    </w:p>
    <w:p>
      <w:pPr>
        <w:pStyle w:val="Normal"/>
        <w:keepLines/>
        <w:tabs>
          <w:tab w:val="clear" w:pos="284"/>
          <w:tab w:val="center" w:pos="4536" w:leader="none"/>
          <w:tab w:val="right" w:pos="9072" w:leader="none"/>
        </w:tabs>
        <w:jc w:val="center"/>
        <w:rPr/>
      </w:pPr>
      <w:r>
        <w:rPr/>
        <w:drawing>
          <wp:inline distT="0" distB="0" distL="0" distR="0">
            <wp:extent cx="5283200" cy="241300"/>
            <wp:effectExtent l="0" t="0" r="0" b="0"/>
            <wp:docPr id="2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descr=""/>
                    <pic:cNvPicPr>
                      <a:picLocks noChangeAspect="1" noChangeArrowheads="1"/>
                    </pic:cNvPicPr>
                  </pic:nvPicPr>
                  <pic:blipFill>
                    <a:blip r:embed="rId18"/>
                    <a:srcRect l="-7" t="-149" r="-7" b="-149"/>
                    <a:stretch>
                      <a:fillRect/>
                    </a:stretch>
                  </pic:blipFill>
                  <pic:spPr bwMode="auto">
                    <a:xfrm>
                      <a:off x="0" y="0"/>
                      <a:ext cx="5283200" cy="241300"/>
                    </a:xfrm>
                    <a:prstGeom prst="rect">
                      <a:avLst/>
                    </a:prstGeom>
                  </pic:spPr>
                </pic:pic>
              </a:graphicData>
            </a:graphic>
          </wp:inline>
        </w:drawing>
      </w:r>
    </w:p>
    <w:p>
      <w:pPr>
        <w:pStyle w:val="TH"/>
        <w:rPr/>
      </w:pPr>
      <w:r>
        <w:rPr/>
        <w:t>Table 7.1.</w:t>
      </w:r>
      <w:r>
        <w:rPr>
          <w:lang w:eastAsia="zh-TW"/>
        </w:rPr>
        <w:t>2</w:t>
      </w:r>
      <w:r>
        <w:rPr/>
        <w:t>.2-1: TRS minimum requirements for UTRA LCR TDD roaming bands in the speech position for the primary mechanical mode</w:t>
      </w:r>
    </w:p>
    <w:tbl>
      <w:tblPr>
        <w:tblW w:w="6051" w:type="dxa"/>
        <w:jc w:val="center"/>
        <w:tblInd w:w="0" w:type="dxa"/>
        <w:tblLayout w:type="fixed"/>
        <w:tblCellMar>
          <w:top w:w="0" w:type="dxa"/>
          <w:left w:w="28" w:type="dxa"/>
          <w:bottom w:w="0" w:type="dxa"/>
          <w:right w:w="28" w:type="dxa"/>
        </w:tblCellMar>
      </w:tblPr>
      <w:tblGrid>
        <w:gridCol w:w="1472"/>
        <w:gridCol w:w="1744"/>
        <w:gridCol w:w="1418"/>
        <w:gridCol w:w="1417"/>
      </w:tblGrid>
      <w:tr>
        <w:trPr>
          <w:trHeight w:val="57" w:hRule="atLeast"/>
          <w:cantSplit w:val="true"/>
        </w:trPr>
        <w:tc>
          <w:tcPr>
            <w:tcW w:w="1472" w:type="dxa"/>
            <w:vMerge w:val="restart"/>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Operating Band</w:t>
            </w:r>
          </w:p>
        </w:tc>
        <w:tc>
          <w:tcPr>
            <w:tcW w:w="1744" w:type="dxa"/>
            <w:vMerge w:val="restart"/>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Unit</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pPr>
            <w:r>
              <w:rPr>
                <w:lang w:eastAsia="en-US"/>
              </w:rPr>
              <w:t>&lt;REFÎ</w:t>
            </w:r>
            <w:r>
              <w:rPr>
                <w:vertAlign w:val="subscript"/>
                <w:lang w:eastAsia="en-US"/>
              </w:rPr>
              <w:t>or</w:t>
            </w:r>
            <w:r>
              <w:rPr>
                <w:lang w:eastAsia="en-US"/>
              </w:rPr>
              <w:t>&gt;</w:t>
            </w:r>
          </w:p>
        </w:tc>
      </w:tr>
      <w:tr>
        <w:trPr>
          <w:trHeight w:val="57" w:hRule="atLeast"/>
          <w:cantSplit w:val="true"/>
        </w:trPr>
        <w:tc>
          <w:tcPr>
            <w:tcW w:w="147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744"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141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Max</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a</w:t>
            </w:r>
          </w:p>
        </w:tc>
        <w:tc>
          <w:tcPr>
            <w:tcW w:w="174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 xml:space="preserve">dBm/1.28 MHz </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-101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-100</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b</w:t>
            </w:r>
          </w:p>
        </w:tc>
        <w:tc>
          <w:tcPr>
            <w:tcW w:w="174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dBm/1.28 MHz</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TBD</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c</w:t>
            </w:r>
          </w:p>
        </w:tc>
        <w:tc>
          <w:tcPr>
            <w:tcW w:w="174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dBm/1.28 MHz</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TBD</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d</w:t>
            </w:r>
          </w:p>
        </w:tc>
        <w:tc>
          <w:tcPr>
            <w:tcW w:w="174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dBm/1.28 MHz</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TBD</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e</w:t>
            </w:r>
          </w:p>
        </w:tc>
        <w:tc>
          <w:tcPr>
            <w:tcW w:w="174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dBm/1.28 MHz</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-101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-100</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f</w:t>
            </w:r>
          </w:p>
        </w:tc>
        <w:tc>
          <w:tcPr>
            <w:tcW w:w="174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dBm/1.28 MHz</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-101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-100</w:t>
            </w:r>
          </w:p>
        </w:tc>
      </w:tr>
      <w:tr>
        <w:trPr>
          <w:trHeight w:val="57" w:hRule="atLeast"/>
          <w:cantSplit w:val="true"/>
        </w:trPr>
        <w:tc>
          <w:tcPr>
            <w:tcW w:w="6051" w:type="dxa"/>
            <w:gridSpan w:val="4"/>
            <w:tcBorders>
              <w:top w:val="single" w:sz="4" w:space="0" w:color="000000"/>
              <w:left w:val="single" w:sz="4" w:space="0" w:color="000000"/>
              <w:bottom w:val="single" w:sz="4" w:space="0" w:color="000000"/>
              <w:right w:val="single" w:sz="4" w:space="0" w:color="000000"/>
            </w:tcBorders>
          </w:tcPr>
          <w:p>
            <w:pPr>
              <w:pStyle w:val="TAN"/>
              <w:rPr>
                <w:lang w:eastAsia="zh-TW"/>
              </w:rPr>
            </w:pPr>
            <w:r>
              <w:rPr>
                <w:lang w:eastAsia="en-US"/>
              </w:rPr>
              <w:t>NOTE</w:t>
              <w:tab/>
            </w:r>
            <w:r>
              <w:rPr/>
              <w:t>Applicable for dual-mode GSM/UTRA LCR TDD</w:t>
            </w:r>
            <w:r>
              <w:rPr>
                <w:lang w:eastAsia="en-US"/>
              </w:rPr>
              <w:t>.</w:t>
            </w:r>
          </w:p>
        </w:tc>
      </w:tr>
    </w:tbl>
    <w:p>
      <w:pPr>
        <w:pStyle w:val="Normal"/>
        <w:rPr>
          <w:lang w:eastAsia="zh-TW"/>
        </w:rPr>
      </w:pPr>
      <w:r>
        <w:rPr>
          <w:lang w:eastAsia="zh-TW"/>
        </w:rPr>
      </w:r>
    </w:p>
    <w:p>
      <w:pPr>
        <w:pStyle w:val="Normal"/>
        <w:rPr/>
      </w:pPr>
      <w:r>
        <w:rPr/>
        <w:t>The normative reference for this clause is TS 37.144 [1</w:t>
      </w:r>
      <w:r>
        <w:rPr>
          <w:lang w:eastAsia="zh-TW"/>
        </w:rPr>
        <w:t>2</w:t>
      </w:r>
      <w:r>
        <w:rPr/>
        <w:t>] Subclause 7.1.</w:t>
      </w:r>
      <w:r>
        <w:rPr>
          <w:lang w:eastAsia="zh-TW"/>
        </w:rPr>
        <w:t>1.3</w:t>
      </w:r>
      <w:r>
        <w:rPr/>
        <w:t>.</w:t>
      </w:r>
    </w:p>
    <w:p>
      <w:pPr>
        <w:pStyle w:val="Heading4"/>
        <w:ind w:left="1418" w:hanging="1418"/>
        <w:rPr/>
      </w:pPr>
      <w:bookmarkStart w:id="226" w:name="__RefHeading___Toc68601162"/>
      <w:bookmarkEnd w:id="226"/>
      <w:r>
        <w:rPr/>
        <w:t>7.1.</w:t>
      </w:r>
      <w:r>
        <w:rPr>
          <w:lang w:eastAsia="zh-TW"/>
        </w:rPr>
        <w:t>2</w:t>
      </w:r>
      <w:r>
        <w:rPr/>
        <w:t>.3</w:t>
      </w:r>
      <w:r>
        <w:rPr>
          <w:rFonts w:cs="Calibri" w:ascii="Calibri" w:hAnsi="Calibri"/>
          <w:sz w:val="22"/>
          <w:szCs w:val="22"/>
        </w:rPr>
        <w:tab/>
      </w:r>
      <w:r>
        <w:rPr/>
        <w:t>Test purpose</w:t>
      </w:r>
    </w:p>
    <w:p>
      <w:pPr>
        <w:pStyle w:val="Normal"/>
        <w:rPr/>
      </w:pPr>
      <w:r>
        <w:rPr/>
        <w:t xml:space="preserve">The purpose of this test is to ensure that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max</m:t>
            </m:r>
          </m:sub>
        </m:sSub>
      </m:oMath>
      <w:r>
        <w:rPr/>
        <w:t xml:space="preserve"> of the UE is above specified limit. The lack of the reception sensitivity decreases the coverage area at the far side from Node B.</w:t>
      </w:r>
    </w:p>
    <w:p>
      <w:pPr>
        <w:pStyle w:val="Heading4"/>
        <w:ind w:left="1418" w:hanging="1418"/>
        <w:rPr/>
      </w:pPr>
      <w:bookmarkStart w:id="227" w:name="__RefHeading___Toc68601163"/>
      <w:bookmarkEnd w:id="227"/>
      <w:r>
        <w:rPr/>
        <w:t>7.1.</w:t>
      </w:r>
      <w:r>
        <w:rPr>
          <w:lang w:eastAsia="zh-TW"/>
        </w:rPr>
        <w:t>2</w:t>
      </w:r>
      <w:r>
        <w:rPr/>
        <w:t>.4</w:t>
      </w:r>
      <w:r>
        <w:rPr>
          <w:rFonts w:cs="Calibri" w:ascii="Calibri" w:hAnsi="Calibri"/>
          <w:sz w:val="22"/>
          <w:szCs w:val="22"/>
        </w:rPr>
        <w:tab/>
      </w:r>
      <w:r>
        <w:rPr/>
        <w:t>Method of test</w:t>
      </w:r>
    </w:p>
    <w:p>
      <w:pPr>
        <w:pStyle w:val="Heading4"/>
        <w:ind w:left="1418" w:hanging="1418"/>
        <w:rPr/>
      </w:pPr>
      <w:bookmarkStart w:id="228" w:name="__RefHeading___Toc68601164"/>
      <w:bookmarkEnd w:id="228"/>
      <w:r>
        <w:rPr/>
        <w:t>7.1.</w:t>
      </w:r>
      <w:r>
        <w:rPr>
          <w:lang w:eastAsia="zh-TW"/>
        </w:rPr>
        <w:t>2</w:t>
      </w:r>
      <w:r>
        <w:rPr/>
        <w:t>.4.1</w:t>
      </w:r>
      <w:r>
        <w:rPr>
          <w:rFonts w:cs="Calibri" w:ascii="Calibri" w:hAnsi="Calibri"/>
          <w:sz w:val="22"/>
          <w:szCs w:val="22"/>
        </w:rPr>
        <w:tab/>
      </w:r>
      <w:r>
        <w:rPr/>
        <w:t>Initial conditions</w:t>
      </w:r>
    </w:p>
    <w:p>
      <w:pPr>
        <w:pStyle w:val="Normal"/>
        <w:rPr/>
      </w:pPr>
      <w:r>
        <w:rPr/>
        <w:t xml:space="preserve">A radio communications tester or a corresponding device is used as a NB simulator to setup calls to the DUT. The NB/BS simulator is also used to send test signals to the UE and measure the BER levels of the radio link and the information on the dedicated channel needed to extract the DUT receiver performances. </w:t>
      </w:r>
    </w:p>
    <w:p>
      <w:pPr>
        <w:pStyle w:val="Normal"/>
        <w:rPr>
          <w:lang w:eastAsia="ja-JP"/>
        </w:rPr>
      </w:pPr>
      <w:r>
        <w:rPr>
          <w:lang w:eastAsia="ja-JP"/>
        </w:rPr>
        <w:t>Chamber environment constraints and coordinate system shall be the same as described in Subclause A.3.</w:t>
      </w:r>
    </w:p>
    <w:p>
      <w:pPr>
        <w:pStyle w:val="Normal"/>
        <w:rPr>
          <w:lang w:eastAsia="zh-CN"/>
        </w:rPr>
      </w:pPr>
      <w:r>
        <w:rPr>
          <w:lang w:eastAsia="ja-JP"/>
        </w:rPr>
        <w:t>Phantom Specifications shall be the same as described in Subclause A.2.1.</w:t>
      </w:r>
    </w:p>
    <w:p>
      <w:pPr>
        <w:pStyle w:val="Normal"/>
        <w:rPr/>
      </w:pPr>
      <w:r>
        <w:rPr/>
        <w:t>Test environment: normal; see TS36.508 [10] Subclause 4.1.1.</w:t>
      </w:r>
    </w:p>
    <w:p>
      <w:pPr>
        <w:pStyle w:val="Normal"/>
        <w:rPr/>
      </w:pPr>
      <w:r>
        <w:rPr/>
        <w:t>Frequencies to be tested: low range, mid range, high range; see Table 5.2-2.</w:t>
      </w:r>
      <w:r>
        <w:rPr>
          <w:lang w:eastAsia="ja-JP"/>
        </w:rPr>
        <w:t xml:space="preserve"> </w:t>
      </w:r>
    </w:p>
    <w:p>
      <w:pPr>
        <w:pStyle w:val="Normal"/>
        <w:rPr>
          <w:lang w:eastAsia="ja-JP"/>
        </w:rPr>
      </w:pPr>
      <w:r>
        <w:rPr>
          <w:lang w:eastAsia="ja-JP"/>
        </w:rPr>
        <w:t>Positioning Requirements shall be the same as described in Subclause 4.3.</w:t>
      </w:r>
    </w:p>
    <w:p>
      <w:pPr>
        <w:pStyle w:val="B1"/>
        <w:rPr/>
      </w:pPr>
      <w:r>
        <w:rPr/>
        <w:t>1)</w:t>
        <w:tab/>
        <w:t>Position the UE according to the DUT positioning for speech mode specified in Subclause 4.3.3.</w:t>
      </w:r>
    </w:p>
    <w:p>
      <w:pPr>
        <w:pStyle w:val="Normal"/>
        <w:ind w:left="568" w:hanging="284"/>
        <w:rPr/>
      </w:pPr>
      <w:r>
        <w:rPr>
          <w:lang w:eastAsia="zh-CN"/>
        </w:rPr>
        <w:t>2)</w:t>
        <w:tab/>
        <w:t xml:space="preserve">Set the SS downlink physical channels according to </w:t>
      </w:r>
      <w:r>
        <w:rPr/>
        <w:t>settings in Table 7.1.</w:t>
      </w:r>
      <w:r>
        <w:rPr>
          <w:lang w:eastAsia="zh-TW"/>
        </w:rPr>
        <w:t>2</w:t>
      </w:r>
      <w:r>
        <w:rPr/>
        <w:t>.4.1-1</w:t>
      </w:r>
      <w:r>
        <w:rPr>
          <w:lang w:eastAsia="zh-CN"/>
        </w:rPr>
        <w:t>. The DL power level should be set to ensure 0% BER at 12.2kbps data rate at the whole 3D initial scan.</w:t>
      </w:r>
    </w:p>
    <w:p>
      <w:pPr>
        <w:pStyle w:val="Normal"/>
        <w:ind w:left="568" w:hanging="284"/>
        <w:rPr>
          <w:lang w:eastAsia="zh-CN"/>
        </w:rPr>
      </w:pPr>
      <w:r>
        <w:rPr>
          <w:lang w:eastAsia="zh-CN"/>
        </w:rPr>
        <w:t>3)</w:t>
        <w:tab/>
        <w:t>Power on the UE.</w:t>
      </w:r>
    </w:p>
    <w:p>
      <w:pPr>
        <w:pStyle w:val="Normal"/>
        <w:ind w:left="568" w:hanging="284"/>
        <w:rPr>
          <w:lang w:eastAsia="zh-CN"/>
        </w:rPr>
      </w:pPr>
      <w:r>
        <w:rPr>
          <w:lang w:eastAsia="zh-CN"/>
        </w:rPr>
        <w:t>4)</w:t>
        <w:tab/>
        <w:t>A call is set up according to the Generic call setup procedure. The power control algorithm shall be set to Power Control Algorithm 2.</w:t>
      </w:r>
    </w:p>
    <w:p>
      <w:pPr>
        <w:pStyle w:val="Normal"/>
        <w:ind w:left="568" w:hanging="284"/>
        <w:rPr>
          <w:lang w:eastAsia="zh-CN"/>
        </w:rPr>
      </w:pPr>
      <w:r>
        <w:rPr>
          <w:lang w:eastAsia="zh-CN"/>
        </w:rPr>
        <w:t>5)</w:t>
        <w:tab/>
        <w:t>Enter the UE into loopback test mode and start the loopback test.</w:t>
      </w:r>
    </w:p>
    <w:p>
      <w:pPr>
        <w:pStyle w:val="Normal"/>
        <w:rPr/>
      </w:pPr>
      <w:r>
        <w:rPr/>
        <w:t>See TS 34.108 [</w:t>
      </w:r>
      <w:r>
        <w:rPr>
          <w:lang w:eastAsia="zh-TW"/>
        </w:rPr>
        <w:t>4</w:t>
      </w:r>
      <w:r>
        <w:rPr/>
        <w:t>] and TS 34.109 [</w:t>
      </w:r>
      <w:r>
        <w:rPr>
          <w:lang w:eastAsia="zh-TW"/>
        </w:rPr>
        <w:t>5</w:t>
      </w:r>
      <w:r>
        <w:rPr/>
        <w:t xml:space="preserve">] </w:t>
      </w:r>
      <w:r>
        <w:rPr>
          <w:lang w:eastAsia="zh-CN"/>
        </w:rPr>
        <w:t>and Annex C of TS 34.122 [</w:t>
      </w:r>
      <w:r>
        <w:rPr>
          <w:lang w:eastAsia="zh-TW"/>
        </w:rPr>
        <w:t>8</w:t>
      </w:r>
      <w:r>
        <w:rPr>
          <w:lang w:eastAsia="zh-CN"/>
        </w:rPr>
        <w:t xml:space="preserve">] </w:t>
      </w:r>
      <w:r>
        <w:rPr/>
        <w:t>for details regarding generic call setup procedure and loopback test.</w:t>
      </w:r>
    </w:p>
    <w:p>
      <w:pPr>
        <w:pStyle w:val="TH"/>
        <w:rPr/>
      </w:pPr>
      <w:r>
        <w:rPr/>
        <w:t>Table 7.1.</w:t>
      </w:r>
      <w:r>
        <w:rPr>
          <w:lang w:eastAsia="zh-TW"/>
        </w:rPr>
        <w:t>2</w:t>
      </w:r>
      <w:r>
        <w:rPr/>
        <w:t>.4.1-1: Downlink Physical Channels transmitted during a connection</w:t>
      </w:r>
    </w:p>
    <w:tbl>
      <w:tblPr>
        <w:tblW w:w="7229" w:type="dxa"/>
        <w:jc w:val="left"/>
        <w:tblInd w:w="1553" w:type="dxa"/>
        <w:tblLayout w:type="fixed"/>
        <w:tblCellMar>
          <w:top w:w="0" w:type="dxa"/>
          <w:left w:w="108" w:type="dxa"/>
          <w:bottom w:w="0" w:type="dxa"/>
          <w:right w:w="108" w:type="dxa"/>
        </w:tblCellMar>
      </w:tblPr>
      <w:tblGrid>
        <w:gridCol w:w="2301"/>
        <w:gridCol w:w="2376"/>
        <w:gridCol w:w="2552"/>
      </w:tblGrid>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jc w:val="center"/>
              <w:rPr>
                <w:b/>
                <w:b/>
                <w:lang w:eastAsia="en-US"/>
              </w:rPr>
            </w:pPr>
            <w:r>
              <w:rPr>
                <w:b/>
                <w:lang w:eastAsia="en-US"/>
              </w:rPr>
              <w:t>Physical Channel</w:t>
            </w:r>
          </w:p>
        </w:tc>
        <w:tc>
          <w:tcPr>
            <w:tcW w:w="2376" w:type="dxa"/>
            <w:tcBorders>
              <w:top w:val="single" w:sz="6" w:space="0" w:color="000000"/>
              <w:left w:val="single" w:sz="6" w:space="0" w:color="000000"/>
              <w:bottom w:val="single" w:sz="6" w:space="0" w:color="000000"/>
              <w:right w:val="single" w:sz="6" w:space="0" w:color="000000"/>
            </w:tcBorders>
          </w:tcPr>
          <w:p>
            <w:pPr>
              <w:pStyle w:val="TAL1"/>
              <w:snapToGrid w:val="false"/>
              <w:jc w:val="center"/>
              <w:rPr>
                <w:b/>
                <w:b/>
                <w:lang w:eastAsia="en-US"/>
              </w:rPr>
            </w:pPr>
            <w:r>
              <w:rPr>
                <w:b/>
                <w:lang w:eastAsia="en-US"/>
              </w:rPr>
            </w:r>
          </w:p>
        </w:tc>
        <w:tc>
          <w:tcPr>
            <w:tcW w:w="2552" w:type="dxa"/>
            <w:tcBorders>
              <w:top w:val="single" w:sz="6" w:space="0" w:color="000000"/>
              <w:left w:val="single" w:sz="6" w:space="0" w:color="000000"/>
              <w:bottom w:val="single" w:sz="6" w:space="0" w:color="000000"/>
              <w:right w:val="single" w:sz="6" w:space="0" w:color="000000"/>
            </w:tcBorders>
          </w:tcPr>
          <w:p>
            <w:pPr>
              <w:pStyle w:val="TAL1"/>
              <w:jc w:val="center"/>
              <w:rPr>
                <w:b/>
                <w:b/>
                <w:lang w:eastAsia="en-US"/>
              </w:rPr>
            </w:pPr>
            <w:r>
              <w:rPr>
                <w:b/>
                <w:lang w:eastAsia="en-US"/>
              </w:rPr>
              <w:t>Power</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Ior</w:t>
            </w:r>
          </w:p>
        </w:tc>
        <w:tc>
          <w:tcPr>
            <w:tcW w:w="2376"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rFonts w:eastAsia="Arial"/>
                <w:lang w:eastAsia="en-US"/>
              </w:rPr>
              <w:t xml:space="preserve"> </w:t>
            </w:r>
            <w:r>
              <w:rPr>
                <w:lang w:eastAsia="en-US"/>
              </w:rPr>
              <w:t>-75 dBm</w:t>
            </w:r>
          </w:p>
        </w:tc>
        <w:tc>
          <w:tcPr>
            <w:tcW w:w="2552"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DwPCH</w:t>
            </w:r>
          </w:p>
        </w:tc>
        <w:tc>
          <w:tcPr>
            <w:tcW w:w="2376" w:type="dxa"/>
            <w:tcBorders>
              <w:top w:val="single" w:sz="6" w:space="0" w:color="000000"/>
              <w:left w:val="single" w:sz="6" w:space="0" w:color="000000"/>
              <w:bottom w:val="single" w:sz="6" w:space="0" w:color="000000"/>
              <w:right w:val="single" w:sz="6" w:space="0" w:color="000000"/>
            </w:tcBorders>
          </w:tcPr>
          <w:p>
            <w:pPr>
              <w:pStyle w:val="TAL1"/>
              <w:rPr/>
            </w:pPr>
            <w:r>
              <w:rPr>
                <w:lang w:eastAsia="en-US"/>
              </w:rPr>
              <w:t>DwPCH_Ec / Ior</w:t>
            </w:r>
          </w:p>
        </w:tc>
        <w:tc>
          <w:tcPr>
            <w:tcW w:w="2552"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0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PCCPCH</w:t>
            </w:r>
          </w:p>
        </w:tc>
        <w:tc>
          <w:tcPr>
            <w:tcW w:w="2376"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w:t>
            </w:r>
            <w:r>
              <w:rPr>
                <w:lang w:eastAsia="en-US"/>
              </w:rPr>
              <w:t>P-CCPCH_Ec / Ior</w:t>
            </w:r>
          </w:p>
        </w:tc>
        <w:tc>
          <w:tcPr>
            <w:tcW w:w="2552"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-3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SCCPCH</w:t>
            </w:r>
          </w:p>
        </w:tc>
        <w:tc>
          <w:tcPr>
            <w:tcW w:w="2376"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w:t>
            </w:r>
            <w:r>
              <w:rPr>
                <w:lang w:eastAsia="en-US"/>
              </w:rPr>
              <w:t>S-CCPCH_Ec / Ior</w:t>
            </w:r>
          </w:p>
        </w:tc>
        <w:tc>
          <w:tcPr>
            <w:tcW w:w="2552"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-6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PICH</w:t>
            </w:r>
          </w:p>
        </w:tc>
        <w:tc>
          <w:tcPr>
            <w:tcW w:w="2376"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w:t>
            </w:r>
            <w:r>
              <w:rPr>
                <w:lang w:eastAsia="en-US"/>
              </w:rPr>
              <w:t>PICH_Ec / Ior</w:t>
            </w:r>
          </w:p>
        </w:tc>
        <w:tc>
          <w:tcPr>
            <w:tcW w:w="2552"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-6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FPACH</w:t>
            </w:r>
          </w:p>
        </w:tc>
        <w:tc>
          <w:tcPr>
            <w:tcW w:w="2376"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FPACH_Ec / Ior</w:t>
            </w:r>
          </w:p>
        </w:tc>
        <w:tc>
          <w:tcPr>
            <w:tcW w:w="2552"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-6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DL DPCH</w:t>
            </w:r>
          </w:p>
        </w:tc>
        <w:tc>
          <w:tcPr>
            <w:tcW w:w="2376"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w:t>
            </w:r>
            <w:r>
              <w:rPr>
                <w:lang w:eastAsia="en-US"/>
              </w:rPr>
              <w:t>DPCH_Ec / Ior</w:t>
            </w:r>
          </w:p>
        </w:tc>
        <w:tc>
          <w:tcPr>
            <w:tcW w:w="2552"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0 dB</w:t>
            </w:r>
          </w:p>
        </w:tc>
      </w:tr>
    </w:tbl>
    <w:p>
      <w:pPr>
        <w:pStyle w:val="Normal"/>
        <w:rPr/>
      </w:pPr>
      <w:r>
        <w:rPr/>
      </w:r>
    </w:p>
    <w:p>
      <w:pPr>
        <w:pStyle w:val="Heading4"/>
        <w:ind w:left="1418" w:hanging="1418"/>
        <w:rPr/>
      </w:pPr>
      <w:bookmarkStart w:id="229" w:name="__RefHeading___Toc68601165"/>
      <w:bookmarkEnd w:id="229"/>
      <w:r>
        <w:rPr/>
        <w:t>7.1.2.4.2</w:t>
      </w:r>
      <w:r>
        <w:rPr>
          <w:rFonts w:cs="Calibri" w:ascii="Calibri" w:hAnsi="Calibri"/>
          <w:sz w:val="22"/>
          <w:szCs w:val="22"/>
        </w:rPr>
        <w:tab/>
      </w:r>
      <w:r>
        <w:rPr/>
        <w:t>Procedure</w:t>
      </w:r>
    </w:p>
    <w:p>
      <w:pPr>
        <w:pStyle w:val="B1"/>
        <w:rPr/>
      </w:pPr>
      <w:r>
        <w:rPr/>
        <w:t>1)</w:t>
        <w:tab/>
        <w:t>Send continuously Up power control commands to the UE.</w:t>
      </w:r>
    </w:p>
    <w:p>
      <w:pPr>
        <w:pStyle w:val="B1"/>
        <w:rPr/>
      </w:pPr>
      <w:r>
        <w:rPr/>
        <w:t>2)</w:t>
        <w:tab/>
        <w:t>As the UE reaches maximum power, start sending PN15 data pattern.</w:t>
      </w:r>
    </w:p>
    <w:p>
      <w:pPr>
        <w:pStyle w:val="B1"/>
        <w:rPr/>
      </w:pPr>
      <w:r>
        <w:rPr/>
        <w:t>3)</w:t>
        <w:tab/>
        <w:t xml:space="preserve">Measure EIS from one measurement point. EIS is the power transmitted from one specific direction to the UE causing BER value of 1% </w:t>
      </w:r>
      <w:r>
        <w:rPr>
          <w:rFonts w:eastAsia="Symbol" w:cs="Symbol" w:ascii="Symbol" w:hAnsi="Symbol"/>
        </w:rPr>
        <w:t></w:t>
      </w:r>
      <w:r>
        <w:rPr/>
        <w:t xml:space="preserve"> 0.2% using 40000 or more bits; see Annex E.20. </w:t>
      </w:r>
      <w:r>
        <w:rPr>
          <w:color w:val="000000"/>
          <w:lang w:eastAsia="zh-CN"/>
        </w:rPr>
        <w:t>The DL power step size shall be no bigger than 0.5dB when the RF level is near the TDD UE sensitivity level.</w:t>
      </w:r>
    </w:p>
    <w:p>
      <w:pPr>
        <w:pStyle w:val="B1"/>
        <w:ind w:left="568" w:hanging="0"/>
        <w:rPr/>
      </w:pPr>
      <w:r>
        <w:rPr/>
        <w:t xml:space="preserve">NOTE: To meet BER value target DL power level can be changed using user’s freely selectable algorithm. </w:t>
      </w:r>
    </w:p>
    <w:p>
      <w:pPr>
        <w:pStyle w:val="B1"/>
        <w:ind w:left="284" w:hanging="0"/>
        <w:rPr/>
      </w:pPr>
      <w:r>
        <w:rPr/>
        <w:t>4)</w:t>
        <w:tab/>
        <w:t>Measure the EIS for every direction of selected sampling gird using two orthogonal polarizations to obtain TRS.</w:t>
      </w:r>
    </w:p>
    <w:p>
      <w:pPr>
        <w:pStyle w:val="B1"/>
        <w:rPr/>
      </w:pPr>
      <w:r>
        <w:rPr/>
        <w:t>5)</w:t>
        <w:tab/>
        <w:t>Calculate TRS using equations from Subclause 7.1.</w:t>
      </w:r>
      <w:r>
        <w:rPr>
          <w:lang w:eastAsia="zh-TW"/>
        </w:rPr>
        <w:t>2</w:t>
      </w:r>
      <w:r>
        <w:rPr/>
        <w:t>.1.</w:t>
      </w:r>
    </w:p>
    <w:p>
      <w:pPr>
        <w:pStyle w:val="NO"/>
        <w:rPr/>
      </w:pPr>
      <w:r>
        <w:rPr/>
        <w:t>NOTE:</w:t>
        <w:tab/>
        <w:t>To speed up sensitivity measurements non standard setting (i.e. data speed, PCL, BER target) can be used in the measurements. However to obtain TRS result the measured EIS figures shall be normalized by</w:t>
      </w:r>
    </w:p>
    <w:p>
      <w:pPr>
        <w:pStyle w:val="EQ"/>
        <w:jc w:val="center"/>
        <w:rPr>
          <w:lang w:val="en-GB" w:eastAsia="en-GB"/>
        </w:rPr>
      </w:pPr>
      <w:r>
        <w:rPr>
          <w:lang w:val="en-GB" w:eastAsia="en-GB"/>
        </w:rPr>
      </w:r>
      <m:oMathPara xmlns:m="http://schemas.openxmlformats.org/officeDocument/2006/math">
        <m:oMathParaPr>
          <m:jc m:val="center"/>
        </m:oMathParaPr>
        <m:oMath>
          <m:r>
            <w:rPr>
              <w:rFonts w:ascii="Cambria Math" w:hAnsi="Cambria Math"/>
            </w:rPr>
            <m:t xml:space="preserve">Δ</m:t>
          </m:r>
          <m:bar>
            <m:barPr>
              <m:pos m:val="top"/>
            </m:barPr>
            <m:e>
              <m:r>
                <m:rPr>
                  <m:lit/>
                  <m:nor/>
                </m:rPr>
                <w:rPr>
                  <w:rFonts w:ascii="Cambria Math" w:hAnsi="Cambria Math"/>
                </w:rPr>
                <m:t xml:space="preserve">EIS</m:t>
              </m:r>
            </m:e>
          </m:ba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m:rPr>
                          <m:lit/>
                          <m:nor/>
                        </m:rPr>
                        <w:rPr>
                          <w:rFonts w:ascii="Cambria Math" w:hAnsi="Cambria Math"/>
                        </w:rPr>
                        <m:t xml:space="preserve">EISstd</m:t>
                      </m:r>
                    </m:e>
                    <m:sub>
                      <m:r>
                        <w:rPr>
                          <w:rFonts w:ascii="Cambria Math" w:hAnsi="Cambria Math"/>
                        </w:rPr>
                        <m:t xml:space="preserve">i</m:t>
                      </m:r>
                    </m:sub>
                  </m:sSub>
                  <m:r>
                    <w:rPr>
                      <w:rFonts w:ascii="Cambria Math" w:hAnsi="Cambria Math"/>
                    </w:rPr>
                    <m:t xml:space="preserve">−</m:t>
                  </m:r>
                  <m:sSub>
                    <m:e>
                      <m:r>
                        <m:rPr>
                          <m:lit/>
                          <m:nor/>
                        </m:rPr>
                        <w:rPr>
                          <w:rFonts w:ascii="Cambria Math" w:hAnsi="Cambria Math"/>
                        </w:rPr>
                        <m:t xml:space="preserve">EISnstd</m:t>
                      </m:r>
                    </m:e>
                    <m:sub>
                      <m:r>
                        <w:rPr>
                          <w:rFonts w:ascii="Cambria Math" w:hAnsi="Cambria Math"/>
                        </w:rPr>
                        <m:t xml:space="preserve">i</m:t>
                      </m:r>
                    </m:sub>
                  </m:sSub>
                </m:e>
              </m:d>
            </m:e>
          </m:nary>
        </m:oMath>
      </m:oMathPara>
    </w:p>
    <w:p>
      <w:pPr>
        <w:pStyle w:val="NO"/>
        <w:rPr/>
      </w:pPr>
      <w:r>
        <w:rPr/>
        <w:tab/>
        <w:t xml:space="preserve">Where </w:t>
      </w:r>
      <w:r>
        <w:rPr/>
      </w:r>
      <m:oMath xmlns:m="http://schemas.openxmlformats.org/officeDocument/2006/math">
        <m:sSub>
          <m:e>
            <m:r>
              <m:rPr>
                <m:lit/>
                <m:nor/>
              </m:rPr>
              <w:rPr>
                <w:rFonts w:ascii="Cambria Math" w:hAnsi="Cambria Math"/>
              </w:rPr>
              <m:t xml:space="preserve">EISstd</m:t>
            </m:r>
          </m:e>
          <m:sub>
            <m:r>
              <w:rPr>
                <w:rFonts w:ascii="Cambria Math" w:hAnsi="Cambria Math"/>
              </w:rPr>
              <m:t xml:space="preserve">i</m:t>
            </m:r>
          </m:sub>
        </m:sSub>
      </m:oMath>
      <w:r>
        <w:rPr/>
        <w:t xml:space="preserve"> is sensitivity measurement done with standard setting, </w:t>
      </w:r>
      <w:r>
        <w:rPr/>
      </w:r>
      <m:oMath xmlns:m="http://schemas.openxmlformats.org/officeDocument/2006/math">
        <m:sSub>
          <m:e>
            <m:r>
              <m:rPr>
                <m:lit/>
                <m:nor/>
              </m:rPr>
              <w:rPr>
                <w:rFonts w:ascii="Cambria Math" w:hAnsi="Cambria Math"/>
              </w:rPr>
              <m:t xml:space="preserve">EISnstd</m:t>
            </m:r>
          </m:e>
          <m:sub>
            <m:r>
              <w:rPr>
                <w:rFonts w:ascii="Cambria Math" w:hAnsi="Cambria Math"/>
              </w:rPr>
              <m:t xml:space="preserve">i</m:t>
            </m:r>
          </m:sub>
        </m:sSub>
      </m:oMath>
      <w:r>
        <w:rPr/>
        <w:t xml:space="preserve"> is sensitivity measurement done with non standard settings. </w:t>
      </w:r>
      <w:r>
        <w:rPr/>
      </w:r>
      <m:oMath xmlns:m="http://schemas.openxmlformats.org/officeDocument/2006/math">
        <m:r>
          <w:rPr>
            <w:rFonts w:ascii="Cambria Math" w:hAnsi="Cambria Math"/>
          </w:rPr>
          <m:t xml:space="preserve">n</m:t>
        </m:r>
      </m:oMath>
      <w:r>
        <w:rPr/>
        <w:t xml:space="preserve"> is amount of reference measurement points.</w:t>
      </w:r>
    </w:p>
    <w:p>
      <w:pPr>
        <w:pStyle w:val="Normal"/>
        <w:rPr/>
      </w:pPr>
      <w:r>
        <w:rPr/>
        <w:t>To ensure accuracy of TRS, the amount of reference points measured should be at least 4. It is recommended to spread the reference measurements equally during the measurement time.</w:t>
      </w:r>
    </w:p>
    <w:p>
      <w:pPr>
        <w:pStyle w:val="Normal"/>
        <w:rPr/>
      </w:pPr>
      <w:r>
        <w:rPr/>
        <w:t>The measurement procedure is based on the measurement of the spherical sensitivity pattern of the DUT. The sensitivity values of the DUT at a predefined BER level are sampled in far field in a group of points located on a spherical surface enclosing the DUT. The EIS samples are taken using a constant sample step of 30° both in theta (</w:t>
      </w:r>
      <w:r>
        <w:rPr>
          <w:rFonts w:eastAsia="Symbol" w:cs="Symbol" w:ascii="Symbol" w:hAnsi="Symbol"/>
        </w:rPr>
        <w:t></w:t>
      </w:r>
      <w:r>
        <w:rPr/>
        <w:t>) and phi (</w:t>
      </w:r>
      <w:r>
        <w:rPr>
          <w:rFonts w:eastAsia="Symbol" w:cs="Symbol" w:ascii="Symbol" w:hAnsi="Symbol"/>
        </w:rPr>
        <w:t></w:t>
      </w:r>
      <w:r>
        <w:rPr/>
        <w:t xml:space="preserve">) directions. All the EIS samples are taken with two orthogonal polarizations,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-polarisations (See Subclause 4.4).</w:t>
      </w:r>
    </w:p>
    <w:p>
      <w:pPr>
        <w:pStyle w:val="Normal"/>
        <w:rPr/>
      </w:pPr>
      <w:r>
        <w:rPr/>
        <w:t>The Total Radiated Sensitivity is calculated from the measured data by equation in Subclause 7.1.</w:t>
      </w:r>
      <w:r>
        <w:rPr>
          <w:lang w:eastAsia="zh-TW"/>
        </w:rPr>
        <w:t>2</w:t>
      </w:r>
      <w:r>
        <w:rPr/>
        <w:t>.2.</w:t>
      </w:r>
    </w:p>
    <w:p>
      <w:pPr>
        <w:pStyle w:val="Heading4"/>
        <w:ind w:left="1418" w:hanging="1418"/>
        <w:rPr/>
      </w:pPr>
      <w:bookmarkStart w:id="230" w:name="__RefHeading___Toc68601166"/>
      <w:bookmarkEnd w:id="230"/>
      <w:r>
        <w:rPr/>
        <w:t>7.1.</w:t>
      </w:r>
      <w:r>
        <w:rPr>
          <w:lang w:eastAsia="zh-TW"/>
        </w:rPr>
        <w:t>2</w:t>
      </w:r>
      <w:r>
        <w:rPr/>
        <w:t>.4.3</w:t>
      </w:r>
      <w:r>
        <w:rPr>
          <w:rFonts w:cs="Calibri" w:ascii="Calibri" w:hAnsi="Calibri"/>
          <w:sz w:val="22"/>
          <w:szCs w:val="22"/>
        </w:rPr>
        <w:tab/>
      </w:r>
      <w:r>
        <w:rPr/>
        <w:t>Procedure, reverberation chamber method</w:t>
      </w:r>
    </w:p>
    <w:p>
      <w:pPr>
        <w:pStyle w:val="Normal"/>
        <w:rPr/>
      </w:pPr>
      <w:r>
        <w:rPr/>
        <w:t>TBD</w:t>
      </w:r>
    </w:p>
    <w:p>
      <w:pPr>
        <w:pStyle w:val="Heading4"/>
        <w:ind w:left="1418" w:hanging="1418"/>
        <w:rPr/>
      </w:pPr>
      <w:bookmarkStart w:id="231" w:name="__RefHeading___Toc68601167"/>
      <w:bookmarkEnd w:id="231"/>
      <w:r>
        <w:rPr/>
        <w:t>7.1.</w:t>
      </w:r>
      <w:r>
        <w:rPr>
          <w:lang w:eastAsia="zh-TW"/>
        </w:rPr>
        <w:t>2</w:t>
      </w:r>
      <w:r>
        <w:rPr/>
        <w:t>.5</w:t>
      </w:r>
      <w:r>
        <w:rPr>
          <w:rFonts w:cs="Calibri" w:ascii="Calibri" w:hAnsi="Calibri"/>
          <w:sz w:val="22"/>
          <w:szCs w:val="22"/>
        </w:rPr>
        <w:tab/>
      </w:r>
      <w:r>
        <w:rPr/>
        <w:t>Test requirements</w:t>
      </w:r>
    </w:p>
    <w:p>
      <w:pPr>
        <w:pStyle w:val="Normal"/>
        <w:jc w:val="both"/>
        <w:rPr/>
      </w:pPr>
      <w:r>
        <w:rPr/>
        <w:t>The average measured total radiated sensitivity (TRS) of low, mid and high channel for handheld UE shall be lower than the average TRS requirement specified in Table 7.1.</w:t>
      </w:r>
      <w:r>
        <w:rPr>
          <w:lang w:eastAsia="zh-TW"/>
        </w:rPr>
        <w:t>2</w:t>
      </w:r>
      <w:r>
        <w:rPr/>
        <w:t>.5-1. The averaging shall be done in linear scale for the TRS results of both right and left side of the phantom head. Average TRS requirement is shown in the column “Average” on the requirement tables.</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6</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e>
              </m:d>
            </m:e>
          </m:d>
        </m:oMath>
      </m:oMathPara>
    </w:p>
    <w:p>
      <w:pPr>
        <w:pStyle w:val="Normal"/>
        <w:rPr/>
      </w:pPr>
      <w:r>
        <w:rPr/>
        <w:t>In addition the highest TRS of each measured channel shall be lower than maximum TRS requirement specified in Table 7.1.</w:t>
      </w:r>
      <w:r>
        <w:rPr>
          <w:lang w:eastAsia="zh-TW"/>
        </w:rPr>
        <w:t>2</w:t>
      </w:r>
      <w:r>
        <w:rPr/>
        <w:t>.5-1. Maximum TRS requirement is shown in the column “Max” on the requirement tables.</w:t>
      </w:r>
    </w:p>
    <w:p>
      <w:pPr>
        <w:pStyle w:val="Normal"/>
        <w:keepLines/>
        <w:tabs>
          <w:tab w:val="clear" w:pos="284"/>
          <w:tab w:val="center" w:pos="4536" w:leader="none"/>
          <w:tab w:val="right" w:pos="9072" w:leader="none"/>
        </w:tabs>
        <w:jc w:val="center"/>
        <w:rPr/>
      </w:pPr>
      <w:r>
        <w:rPr/>
        <w:drawing>
          <wp:inline distT="0" distB="0" distL="0" distR="0">
            <wp:extent cx="5283200" cy="241300"/>
            <wp:effectExtent l="0" t="0" r="0" b="0"/>
            <wp:docPr id="2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0" descr=""/>
                    <pic:cNvPicPr>
                      <a:picLocks noChangeAspect="1" noChangeArrowheads="1"/>
                    </pic:cNvPicPr>
                  </pic:nvPicPr>
                  <pic:blipFill>
                    <a:blip r:embed="rId19"/>
                    <a:srcRect l="-7" t="-149" r="-7" b="-149"/>
                    <a:stretch>
                      <a:fillRect/>
                    </a:stretch>
                  </pic:blipFill>
                  <pic:spPr bwMode="auto">
                    <a:xfrm>
                      <a:off x="0" y="0"/>
                      <a:ext cx="5283200" cy="241300"/>
                    </a:xfrm>
                    <a:prstGeom prst="rect">
                      <a:avLst/>
                    </a:prstGeom>
                  </pic:spPr>
                </pic:pic>
              </a:graphicData>
            </a:graphic>
          </wp:inline>
        </w:drawing>
      </w:r>
    </w:p>
    <w:p>
      <w:pPr>
        <w:pStyle w:val="TH"/>
        <w:rPr/>
      </w:pPr>
      <w:r>
        <w:rPr/>
        <w:t>Table 7.1.</w:t>
      </w:r>
      <w:r>
        <w:rPr>
          <w:lang w:eastAsia="zh-TW"/>
        </w:rPr>
        <w:t>2</w:t>
      </w:r>
      <w:r>
        <w:rPr/>
        <w:t>.5-1: TRS minimum requirement for UTRA LCR TDD roaming bands in the speech position and the primary mechanical mode</w:t>
      </w:r>
    </w:p>
    <w:tbl>
      <w:tblPr>
        <w:tblW w:w="6051" w:type="dxa"/>
        <w:jc w:val="center"/>
        <w:tblInd w:w="0" w:type="dxa"/>
        <w:tblLayout w:type="fixed"/>
        <w:tblCellMar>
          <w:top w:w="0" w:type="dxa"/>
          <w:left w:w="28" w:type="dxa"/>
          <w:bottom w:w="0" w:type="dxa"/>
          <w:right w:w="28" w:type="dxa"/>
        </w:tblCellMar>
      </w:tblPr>
      <w:tblGrid>
        <w:gridCol w:w="1472"/>
        <w:gridCol w:w="1744"/>
        <w:gridCol w:w="1418"/>
        <w:gridCol w:w="1417"/>
      </w:tblGrid>
      <w:tr>
        <w:trPr>
          <w:trHeight w:val="57" w:hRule="atLeast"/>
          <w:cantSplit w:val="true"/>
        </w:trPr>
        <w:tc>
          <w:tcPr>
            <w:tcW w:w="1472" w:type="dxa"/>
            <w:vMerge w:val="restart"/>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Operating Band</w:t>
            </w:r>
          </w:p>
        </w:tc>
        <w:tc>
          <w:tcPr>
            <w:tcW w:w="1744" w:type="dxa"/>
            <w:vMerge w:val="restart"/>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Unit</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pPr>
            <w:r>
              <w:rPr>
                <w:lang w:eastAsia="en-US"/>
              </w:rPr>
              <w:t>&lt;REFÎ</w:t>
            </w:r>
            <w:r>
              <w:rPr>
                <w:vertAlign w:val="subscript"/>
                <w:lang w:eastAsia="en-US"/>
              </w:rPr>
              <w:t>or</w:t>
            </w:r>
            <w:r>
              <w:rPr>
                <w:lang w:eastAsia="en-US"/>
              </w:rPr>
              <w:t>&gt;</w:t>
            </w:r>
          </w:p>
        </w:tc>
      </w:tr>
      <w:tr>
        <w:trPr>
          <w:trHeight w:val="57" w:hRule="atLeast"/>
          <w:cantSplit w:val="true"/>
        </w:trPr>
        <w:tc>
          <w:tcPr>
            <w:tcW w:w="147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744"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141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Max</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a</w:t>
            </w:r>
          </w:p>
        </w:tc>
        <w:tc>
          <w:tcPr>
            <w:tcW w:w="174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 xml:space="preserve">dBm/1.28 MHz </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r>
              <w:rPr>
                <w:lang w:eastAsia="zh-TW"/>
              </w:rPr>
              <w:t>0.1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r>
              <w:rPr>
                <w:lang w:eastAsia="zh-TW"/>
              </w:rPr>
              <w:t>98.8</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b</w:t>
            </w:r>
          </w:p>
        </w:tc>
        <w:tc>
          <w:tcPr>
            <w:tcW w:w="174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dBm/1.28 MHz</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r>
              <w:rPr>
                <w:lang w:eastAsia="zh-TW"/>
              </w:rPr>
              <w:t xml:space="preserve"> + TT</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TBD</w:t>
            </w:r>
            <w:r>
              <w:rPr>
                <w:lang w:eastAsia="zh-TW"/>
              </w:rPr>
              <w:t xml:space="preserve"> + 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c</w:t>
            </w:r>
          </w:p>
        </w:tc>
        <w:tc>
          <w:tcPr>
            <w:tcW w:w="174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dBm/1.28 MHz</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TBD</w:t>
            </w:r>
            <w:r>
              <w:rPr>
                <w:lang w:eastAsia="zh-TW"/>
              </w:rPr>
              <w:t xml:space="preserve"> + TT</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TBD</w:t>
            </w:r>
            <w:r>
              <w:rPr>
                <w:lang w:eastAsia="zh-TW"/>
              </w:rPr>
              <w:t xml:space="preserve"> + 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d</w:t>
            </w:r>
          </w:p>
        </w:tc>
        <w:tc>
          <w:tcPr>
            <w:tcW w:w="174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dBm/1.28 MHz</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TBD</w:t>
            </w:r>
            <w:r>
              <w:rPr>
                <w:lang w:eastAsia="zh-TW"/>
              </w:rPr>
              <w:t xml:space="preserve"> + TT</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TBD</w:t>
            </w:r>
            <w:r>
              <w:rPr>
                <w:lang w:eastAsia="zh-TW"/>
              </w:rPr>
              <w:t xml:space="preserve"> + 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e</w:t>
            </w:r>
          </w:p>
        </w:tc>
        <w:tc>
          <w:tcPr>
            <w:tcW w:w="174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dBm/1.28 MHz</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-10</w:t>
            </w:r>
            <w:r>
              <w:rPr>
                <w:lang w:eastAsia="zh-TW"/>
              </w:rPr>
              <w:t>0.1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w:t>
            </w:r>
            <w:r>
              <w:rPr>
                <w:lang w:eastAsia="zh-TW"/>
              </w:rPr>
              <w:t>98.8</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f</w:t>
            </w:r>
          </w:p>
        </w:tc>
        <w:tc>
          <w:tcPr>
            <w:tcW w:w="174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dBm/1.28 MHz</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-10</w:t>
            </w:r>
            <w:r>
              <w:rPr>
                <w:lang w:eastAsia="zh-TW"/>
              </w:rPr>
              <w:t>0.1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w:t>
            </w:r>
            <w:r>
              <w:rPr>
                <w:lang w:eastAsia="zh-TW"/>
              </w:rPr>
              <w:t>98.8</w:t>
            </w:r>
          </w:p>
        </w:tc>
      </w:tr>
      <w:tr>
        <w:trPr>
          <w:trHeight w:val="57" w:hRule="atLeast"/>
          <w:cantSplit w:val="true"/>
        </w:trPr>
        <w:tc>
          <w:tcPr>
            <w:tcW w:w="6051" w:type="dxa"/>
            <w:gridSpan w:val="4"/>
            <w:tcBorders>
              <w:top w:val="single" w:sz="4" w:space="0" w:color="000000"/>
              <w:left w:val="single" w:sz="4" w:space="0" w:color="000000"/>
              <w:bottom w:val="single" w:sz="4" w:space="0" w:color="000000"/>
              <w:right w:val="single" w:sz="4" w:space="0" w:color="000000"/>
            </w:tcBorders>
          </w:tcPr>
          <w:p>
            <w:pPr>
              <w:pStyle w:val="TAN"/>
              <w:rPr>
                <w:lang w:eastAsia="zh-TW"/>
              </w:rPr>
            </w:pPr>
            <w:r>
              <w:rPr>
                <w:lang w:eastAsia="en-US"/>
              </w:rPr>
              <w:t>NOTE</w:t>
              <w:tab/>
            </w:r>
            <w:r>
              <w:rPr/>
              <w:t>Applicable for dual-mode GSM/UTRA LCR TDD</w:t>
            </w:r>
            <w:r>
              <w:rPr>
                <w:lang w:eastAsia="en-US"/>
              </w:rPr>
              <w:t>.</w:t>
            </w:r>
          </w:p>
        </w:tc>
      </w:tr>
    </w:tbl>
    <w:p>
      <w:pPr>
        <w:pStyle w:val="Normal"/>
        <w:rPr>
          <w:lang w:eastAsia="zh-TW"/>
        </w:rPr>
      </w:pPr>
      <w:r>
        <w:rPr>
          <w:lang w:eastAsia="zh-TW"/>
        </w:rPr>
      </w:r>
    </w:p>
    <w:p>
      <w:pPr>
        <w:pStyle w:val="NO"/>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r>
        <w:rPr>
          <w:lang w:eastAsia="zh-TW"/>
        </w:rPr>
        <w:t>.2</w:t>
      </w:r>
      <w:r>
        <w:rPr/>
        <w:t>.</w:t>
      </w:r>
    </w:p>
    <w:p>
      <w:pPr>
        <w:pStyle w:val="Heading3"/>
        <w:rPr/>
      </w:pPr>
      <w:bookmarkStart w:id="232" w:name="__RefHeading___Toc68601168"/>
      <w:bookmarkEnd w:id="232"/>
      <w:r>
        <w:rPr>
          <w:lang w:eastAsia="zh-CN"/>
        </w:rPr>
        <w:t>7</w:t>
      </w:r>
      <w:r>
        <w:rPr/>
        <w:t>.1.3</w:t>
        <w:tab/>
        <w:t>Total Radiated Sensitivity (TRS) for UTRA FDD in Speech Mode with beside the Head and Hand Phantom</w:t>
      </w:r>
    </w:p>
    <w:p>
      <w:pPr>
        <w:pStyle w:val="EditorsNote"/>
        <w:rPr/>
      </w:pPr>
      <w:r>
        <w:rPr/>
        <w:t>Editor’s notes: This subclause is incomplete. The following items are missing or incomplete:</w:t>
      </w:r>
    </w:p>
    <w:p>
      <w:pPr>
        <w:pStyle w:val="EditorsNote"/>
        <w:numPr>
          <w:ilvl w:val="0"/>
          <w:numId w:val="15"/>
        </w:numPr>
        <w:rPr>
          <w:lang w:eastAsia="en-US"/>
        </w:rPr>
      </w:pPr>
      <w:r>
        <w:rPr/>
        <w:t>Table 7.1.3.2-1 and 7.1.3.5-1 as they are not specified in TS 37.144 yet</w:t>
      </w:r>
    </w:p>
    <w:p>
      <w:pPr>
        <w:pStyle w:val="Heading4"/>
        <w:ind w:left="1418" w:hanging="1418"/>
        <w:rPr/>
      </w:pPr>
      <w:bookmarkStart w:id="233" w:name="__RefHeading___Toc68601169"/>
      <w:bookmarkEnd w:id="233"/>
      <w:r>
        <w:rPr/>
        <w:t>7.1.3.1</w:t>
      </w:r>
      <w:r>
        <w:rPr>
          <w:rFonts w:cs="Calibri" w:ascii="Calibri" w:hAnsi="Calibri"/>
          <w:sz w:val="22"/>
          <w:szCs w:val="22"/>
        </w:rPr>
        <w:tab/>
      </w:r>
      <w:r>
        <w:rPr/>
        <w:t>Definition and applicability</w:t>
      </w:r>
    </w:p>
    <w:p>
      <w:pPr>
        <w:pStyle w:val="Normal"/>
        <w:rPr/>
      </w:pPr>
      <w:r>
        <w:rPr/>
        <w:t>The Total Radiated Sensitivity is defined as:</w:t>
      </w:r>
    </w:p>
    <w:p>
      <w:pPr>
        <w:pStyle w:val="EQ"/>
        <w:rPr>
          <w:lang w:val="en-GB" w:eastAsia="en-GB"/>
        </w:rPr>
      </w:pPr>
      <w:r>
        <w:rPr>
          <w:lang w:val="en-GB" w:eastAsia="en-GB"/>
        </w:rPr>
      </w:r>
      <m:oMathPara xmlns:m="http://schemas.openxmlformats.org/officeDocument/2006/math">
        <m:oMathParaPr>
          <m:jc m:val="left"/>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4</m:t>
              </m:r>
              <m:r>
                <w:rPr>
                  <w:rFonts w:ascii="Cambria Math" w:hAnsi="Cambria Math"/>
                </w:rPr>
                <m:t xml:space="preserve">π</m:t>
              </m:r>
            </m:num>
            <m:den>
              <m:nary>
                <m:naryPr>
                  <m:chr m:val="∮"/>
                  <m:subHide m:val="1"/>
                  <m:supHide m:val="1"/>
                </m:naryPr>
                <m:sub/>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e>
                  </m:d>
                </m:e>
              </m:nary>
              <m:r>
                <w:rPr>
                  <w:rFonts w:ascii="Cambria Math" w:hAnsi="Cambria Math"/>
                </w:rPr>
                <m:t xml:space="preserve">d</m:t>
              </m:r>
              <m:r>
                <w:rPr>
                  <w:rFonts w:ascii="Cambria Math" w:hAnsi="Cambria Math"/>
                </w:rPr>
                <m:t xml:space="preserve">Ω</m:t>
              </m:r>
            </m:den>
          </m:f>
        </m:oMath>
      </m:oMathPara>
    </w:p>
    <w:p>
      <w:pPr>
        <w:pStyle w:val="Normal"/>
        <w:rPr/>
      </w:pPr>
      <w:r>
        <w:rPr/>
        <w:t>Where the effective isotropic sensitivity (</w:t>
      </w:r>
      <w:r>
        <w:rPr>
          <w:i/>
          <w:iCs/>
        </w:rPr>
        <w:t>EIS</w:t>
      </w:r>
      <w:r>
        <w:rPr/>
        <w:t xml:space="preserve">) is defined as the power available at the antenna output such as the sensitivity threshold is achieved for each polarization.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r>
          <w:rPr>
            <w:rFonts w:ascii="Cambria Math" w:hAnsi="Cambria Math"/>
          </w:rPr>
          <m:t xml:space="preserve">f</m:t>
        </m:r>
      </m:oMath>
      <w:r>
        <w:rPr/>
        <w:t xml:space="preserve"> is frequency.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 are the orthogonal polarizations.</w:t>
      </w:r>
    </w:p>
    <w:p>
      <w:pPr>
        <w:pStyle w:val="EQ"/>
        <w:rPr>
          <w:lang w:val="en-GB" w:eastAsia="en-GB"/>
        </w:rPr>
      </w:pPr>
      <w:r>
        <w:rPr>
          <w:lang w:val="en-GB" w:eastAsia="en-GB"/>
        </w:rPr>
      </w:r>
      <m:oMathPara xmlns:m="http://schemas.openxmlformats.org/officeDocument/2006/math">
        <m:oMathParaPr>
          <m:jc m:val="left"/>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2</m:t>
              </m:r>
              <m:r>
                <m:rPr>
                  <m:lit/>
                  <m:nor/>
                </m:rPr>
                <w:rPr>
                  <w:rFonts w:ascii="Cambria Math" w:hAnsi="Cambria Math"/>
                </w:rPr>
                <m:t xml:space="preserve">NM</m:t>
              </m:r>
            </m:num>
            <m:den>
              <m:r>
                <w:rPr>
                  <w:rFonts w:ascii="Cambria Math" w:hAnsi="Cambria Math"/>
                </w:rPr>
                <m:t xml:space="preserve">π</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e>
                      </m:d>
                      <m:r>
                        <m:rPr>
                          <m:lit/>
                          <m:nor/>
                        </m:rPr>
                        <w:rPr>
                          <w:rFonts w:ascii="Cambria Math" w:hAnsi="Cambria Math"/>
                        </w:rPr>
                        <m:t xml:space="preserve">sin</m:t>
                      </m:r>
                      <m:d>
                        <m:dPr>
                          <m:begChr m:val="("/>
                          <m:endChr m:val=")"/>
                        </m:dPr>
                        <m:e>
                          <m:sSub>
                            <m:e>
                              <m:r>
                                <w:rPr>
                                  <w:rFonts w:ascii="Cambria Math" w:hAnsi="Cambria Math"/>
                                </w:rPr>
                                <m:t xml:space="preserve">θ</m:t>
                              </m:r>
                            </m:e>
                            <m:sub>
                              <m:r>
                                <w:rPr>
                                  <w:rFonts w:ascii="Cambria Math" w:hAnsi="Cambria Math"/>
                                </w:rPr>
                                <m:t xml:space="preserve">n</m:t>
                              </m:r>
                            </m:sub>
                          </m:sSub>
                        </m:e>
                      </m:d>
                    </m:e>
                  </m:nary>
                </m:e>
              </m:nary>
            </m:den>
          </m:f>
        </m:oMath>
      </m:oMathPara>
    </w:p>
    <w:p>
      <w:pPr>
        <w:pStyle w:val="Normal"/>
        <w:rPr/>
      </w:pPr>
      <w:r>
        <w:rPr/>
        <w:t xml:space="preserve">In these formulas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are the number of sampling intervals for theta and phi.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oMath>
      <w:r>
        <w:rPr/>
        <w:t xml:space="preserve"> are the measurement angles. The sampling intervals are discussed further in Subclause 4.4.</w:t>
      </w:r>
    </w:p>
    <w:p>
      <w:pPr>
        <w:pStyle w:val="Normal"/>
        <w:rPr/>
      </w:pPr>
      <w:r>
        <w:rPr/>
        <w:t>The TRS can also be calculated from measurements in a Rayleigh fading 3 dimensional isotropic environment with in average uniform elevation and azimuth distribution. The calculation of the TRS is in this case based on searching for the lowest power received by the UE/MS for a discrete number of field combinations in the chamber that gives a BER that is better than the specified target BER level. By calibrating the average power transfer function, an absolute value of the TRS can be obtained. The following expression can be used to find the TRS.</w:t>
      </w:r>
    </w:p>
    <w:p>
      <w:pPr>
        <w:pStyle w:val="EQ"/>
        <w:rPr>
          <w:lang w:val="en-GB" w:eastAsia="en-GB"/>
        </w:rPr>
      </w:pPr>
      <w:r>
        <w:rPr>
          <w:lang w:val="en-GB" w:eastAsia="en-GB"/>
        </w:rPr>
      </w:r>
      <m:oMathPara xmlns:m="http://schemas.openxmlformats.org/officeDocument/2006/math">
        <m:oMathParaPr>
          <m:jc m:val="left"/>
        </m:oMathParaPr>
        <m:oMath>
          <m:r>
            <m:rPr>
              <m:lit/>
              <m:nor/>
            </m:rPr>
            <w:rPr>
              <w:rFonts w:ascii="Cambria Math" w:hAnsi="Cambria Math"/>
            </w:rPr>
            <m:t xml:space="preserve">TRS</m:t>
          </m:r>
          <m:r>
            <w:rPr>
              <w:rFonts w:ascii="Cambria Math" w:hAnsi="Cambria Math"/>
            </w:rPr>
            <m:t xml:space="preserve">≈</m:t>
          </m:r>
          <m:r>
            <w:rPr>
              <w:rFonts w:ascii="Cambria Math" w:hAnsi="Cambria Math"/>
            </w:rPr>
            <m:t xml:space="preserve">2</m:t>
          </m:r>
          <m:r>
            <w:rPr>
              <w:rFonts w:ascii="Cambria Math" w:hAnsi="Cambria Math"/>
            </w:rPr>
            <m:t xml:space="preserve">N</m:t>
          </m:r>
          <m:f>
            <m:num>
              <m:sSup>
                <m:e>
                  <m:d>
                    <m:dPr>
                      <m:begChr m:val="("/>
                      <m:endChr m:val=")"/>
                    </m:dPr>
                    <m:e>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w:rPr>
                                      <w:rFonts w:ascii="Cambria Math" w:hAnsi="Cambria Math"/>
                                    </w:rPr>
                                    <m:t xml:space="preserve">C</m:t>
                                  </m:r>
                                </m:e>
                                <m:sub>
                                  <m:r>
                                    <w:rPr>
                                      <w:rFonts w:ascii="Cambria Math" w:hAnsi="Cambria Math"/>
                                    </w:rPr>
                                    <m:t xml:space="preserve">n</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sSub>
                                <m:e>
                                  <m:r>
                                    <w:rPr>
                                      <w:rFonts w:ascii="Cambria Math" w:hAnsi="Cambria Math"/>
                                    </w:rPr>
                                    <m:t xml:space="preserve">P</m:t>
                                  </m:r>
                                </m:e>
                                <m:sub>
                                  <m:r>
                                    <m:rPr>
                                      <m:lit/>
                                      <m:nor/>
                                    </m:rPr>
                                    <w:rPr>
                                      <w:rFonts w:ascii="Cambria Math" w:hAnsi="Cambria Math"/>
                                    </w:rPr>
                                    <m:t xml:space="preserve">thres</m:t>
                                  </m:r>
                                  <m:r>
                                    <w:rPr>
                                      <w:rFonts w:ascii="Cambria Math" w:hAnsi="Cambria Math"/>
                                    </w:rPr>
                                    <m:t xml:space="preserve">,</m:t>
                                  </m:r>
                                  <m:r>
                                    <w:rPr>
                                      <w:rFonts w:ascii="Cambria Math" w:hAnsi="Cambria Math"/>
                                    </w:rPr>
                                    <m:t xml:space="preserve">n</m:t>
                                  </m:r>
                                </m:sub>
                              </m:sSub>
                            </m:e>
                          </m:d>
                        </m:e>
                      </m:nary>
                    </m:e>
                  </m:d>
                </m:e>
                <m:sup>
                  <m:r>
                    <w:rPr>
                      <w:rFonts w:ascii="Cambria Math" w:hAnsi="Cambria Math"/>
                    </w:rPr>
                    <m:t xml:space="preserve">−</m:t>
                  </m:r>
                  <m:r>
                    <w:rPr>
                      <w:rFonts w:ascii="Cambria Math" w:hAnsi="Cambria Math"/>
                    </w:rPr>
                    <m:t xml:space="preserve">1</m:t>
                  </m:r>
                </m:sup>
              </m:sSup>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e>
              </m:nary>
            </m:den>
          </m:f>
        </m:oMath>
      </m:oMathPara>
    </w:p>
    <w:p>
      <w:pPr>
        <w:pStyle w:val="Normal"/>
        <w:rPr/>
      </w:pPr>
      <w:r>
        <w:rPr/>
        <w:t xml:space="preserve">where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oMath>
      <w:r>
        <w:rPr/>
        <w:t xml:space="preserve"> is the reference power transfer function for fixed measurement antenna n, </w:t>
      </w:r>
      <w:r>
        <w:rPr/>
      </w:r>
      <m:oMath xmlns:m="http://schemas.openxmlformats.org/officeDocument/2006/math">
        <m:sSub>
          <m:e>
            <m:r>
              <w:rPr>
                <w:rFonts w:ascii="Cambria Math" w:hAnsi="Cambria Math"/>
              </w:rPr>
              <m:t xml:space="preserve">R</m:t>
            </m:r>
          </m:e>
          <m:sub>
            <m:r>
              <w:rPr>
                <w:rFonts w:ascii="Cambria Math" w:hAnsi="Cambria Math"/>
              </w:rPr>
              <m:t xml:space="preserve">n</m:t>
            </m:r>
          </m:sub>
        </m:sSub>
      </m:oMath>
      <w:r>
        <w:rPr/>
        <w:t xml:space="preserve"> is the reflection coefficient for fixed measurement antenna n and </w:t>
      </w:r>
      <w:r>
        <w:rPr/>
      </w:r>
      <m:oMath xmlns:m="http://schemas.openxmlformats.org/officeDocument/2006/math">
        <m:sSub>
          <m:e>
            <m:r>
              <w:rPr>
                <w:rFonts w:ascii="Cambria Math" w:hAnsi="Cambria Math"/>
              </w:rPr>
              <m:t xml:space="preserve">C</m:t>
            </m:r>
          </m:e>
          <m:sub>
            <m:r>
              <w:rPr>
                <w:rFonts w:ascii="Cambria Math" w:hAnsi="Cambria Math"/>
              </w:rPr>
              <m:t xml:space="preserve">n</m:t>
            </m:r>
          </m:sub>
        </m:sSub>
      </m:oMath>
      <w:r>
        <w:rPr/>
        <w:t xml:space="preserve"> is the path loss in the cables connecting the measurement receiver to fixed measurement antenna n. These parameters are calculated from the calibration measurement and are further discussed in Annex B.2.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thres</m:t>
            </m:r>
            <m:r>
              <w:rPr>
                <w:rFonts w:ascii="Cambria Math" w:hAnsi="Cambria Math"/>
              </w:rPr>
              <m:t xml:space="preserve">,</m:t>
            </m:r>
            <m:r>
              <w:rPr>
                <w:rFonts w:ascii="Cambria Math" w:hAnsi="Cambria Math"/>
              </w:rPr>
              <m:t xml:space="preserve">n</m:t>
            </m:r>
          </m:sub>
        </m:sSub>
      </m:oMath>
      <w:r>
        <w:rPr/>
        <w:t xml:space="preserve"> is calculated by using the following equation:</w:t>
      </w:r>
    </w:p>
    <w:p>
      <w:pPr>
        <w:pStyle w:val="EQ"/>
        <w:rPr>
          <w:lang w:val="en-GB" w:eastAsia="en-GB"/>
        </w:rPr>
      </w:pPr>
      <w:r>
        <w:rPr>
          <w:lang w:val="en-GB" w:eastAsia="en-GB"/>
        </w:rPr>
      </w:r>
      <m:oMathPara xmlns:m="http://schemas.openxmlformats.org/officeDocument/2006/math">
        <m:oMathParaPr>
          <m:jc m:val="left"/>
        </m:oMathParaPr>
        <m:oMath>
          <m:sSub>
            <m:e>
              <m:r>
                <w:rPr>
                  <w:rFonts w:ascii="Cambria Math" w:hAnsi="Cambria Math"/>
                </w:rPr>
                <m:t xml:space="preserve">P</m:t>
              </m:r>
            </m:e>
            <m:sub>
              <m:r>
                <m:rPr>
                  <m:lit/>
                  <m:nor/>
                </m:rPr>
                <w:rPr>
                  <w:rFonts w:ascii="Cambria Math" w:hAnsi="Cambria Math"/>
                </w:rPr>
                <m:t xml:space="preserve">thres</m:t>
              </m:r>
              <m:r>
                <w:rPr>
                  <w:rFonts w:ascii="Cambria Math" w:hAnsi="Cambria Math"/>
                </w:rPr>
                <m:t xml:space="preserve">,</m:t>
              </m:r>
              <m:r>
                <w:rPr>
                  <w:rFonts w:ascii="Cambria Math" w:hAnsi="Cambria Math"/>
                </w:rPr>
                <m:t xml:space="preserve">n</m:t>
              </m:r>
            </m:sub>
          </m:sSub>
          <m:r>
            <w:rPr>
              <w:rFonts w:ascii="Cambria Math" w:hAnsi="Cambria Math"/>
            </w:rPr>
            <m:t xml:space="preserve">=</m:t>
          </m:r>
          <m:f>
            <m:num>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f>
                    <m:num>
                      <m:r>
                        <w:rPr>
                          <w:rFonts w:ascii="Cambria Math" w:hAnsi="Cambria Math"/>
                        </w:rPr>
                        <m:t xml:space="preserve">1</m:t>
                      </m:r>
                    </m:num>
                    <m:den>
                      <m:sSup>
                        <m:e>
                          <m:d>
                            <m:dPr>
                              <m:begChr m:val="|"/>
                              <m:endChr m:val="|"/>
                            </m:dPr>
                            <m:e>
                              <m:sSubSup>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up>
                                  <m:r>
                                    <m:rPr>
                                      <m:lit/>
                                      <m:nor/>
                                    </m:rPr>
                                    <w:rPr>
                                      <w:rFonts w:ascii="Cambria Math" w:hAnsi="Cambria Math"/>
                                    </w:rPr>
                                    <m:t xml:space="preserve">thres</m:t>
                                  </m:r>
                                </m:sup>
                              </m:sSubSup>
                            </m:e>
                          </m:d>
                        </m:e>
                        <m:sup>
                          <m:r>
                            <w:rPr>
                              <w:rFonts w:ascii="Cambria Math" w:hAnsi="Cambria Math"/>
                            </w:rPr>
                            <m:t xml:space="preserve">2</m:t>
                          </m:r>
                        </m:sup>
                      </m:sSup>
                    </m:den>
                  </m:f>
                </m:e>
              </m:nary>
            </m:num>
            <m:den>
              <m:r>
                <w:rPr>
                  <w:rFonts w:ascii="Cambria Math" w:hAnsi="Cambria Math"/>
                </w:rPr>
                <m:t xml:space="preserve">M</m:t>
              </m:r>
            </m:den>
          </m:f>
        </m:oMath>
      </m:oMathPara>
    </w:p>
    <w:p>
      <w:pPr>
        <w:pStyle w:val="Normal"/>
        <w:rPr/>
      </w:pPr>
      <w:r>
        <w:rPr/>
        <w:t xml:space="preserve">where </w:t>
      </w:r>
      <w:r>
        <w:rPr/>
      </w:r>
      <m:oMath xmlns:m="http://schemas.openxmlformats.org/officeDocument/2006/math">
        <m:sSubSup>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up>
            <m:r>
              <m:rPr>
                <m:lit/>
                <m:nor/>
              </m:rPr>
              <w:rPr>
                <w:rFonts w:ascii="Cambria Math" w:hAnsi="Cambria Math"/>
              </w:rPr>
              <m:t xml:space="preserve">thres</m:t>
            </m:r>
          </m:sup>
        </m:sSubSup>
      </m:oMath>
      <w:r>
        <w:rPr/>
        <w:t xml:space="preserve"> is the m:th value of the transfer function for fixed measurement antenna n, which gives the BER threshold. </w:t>
      </w:r>
      <w:r>
        <w:rPr/>
      </w:r>
      <m:oMath xmlns:m="http://schemas.openxmlformats.org/officeDocument/2006/math">
        <m:r>
          <w:rPr>
            <w:rFonts w:ascii="Cambria Math" w:hAnsi="Cambria Math"/>
          </w:rPr>
          <m:t xml:space="preserve">M</m:t>
        </m:r>
      </m:oMath>
      <w:r>
        <w:rPr/>
        <w:t xml:space="preserve"> is the total number of values of the BER threshold power measured for each fixed measurement antenna.</w:t>
      </w:r>
    </w:p>
    <w:p>
      <w:pPr>
        <w:pStyle w:val="Normal"/>
        <w:rPr/>
      </w:pPr>
      <w:r>
        <w:rPr/>
        <w:t>The requirements and this test apply to all types of UTRA for the FDD UE for Release 7 and later releases.</w:t>
      </w:r>
    </w:p>
    <w:p>
      <w:pPr>
        <w:pStyle w:val="Heading4"/>
        <w:ind w:left="1418" w:hanging="1418"/>
        <w:rPr/>
      </w:pPr>
      <w:bookmarkStart w:id="234" w:name="__RefHeading___Toc68601170"/>
      <w:bookmarkEnd w:id="234"/>
      <w:r>
        <w:rPr/>
        <w:t>7.1.3.2</w:t>
      </w:r>
      <w:r>
        <w:rPr>
          <w:rFonts w:cs="Calibri" w:ascii="Calibri" w:hAnsi="Calibri"/>
          <w:sz w:val="22"/>
          <w:szCs w:val="22"/>
        </w:rPr>
        <w:tab/>
      </w:r>
      <w:r>
        <w:rPr/>
        <w:t>Minimum Requirements</w:t>
      </w:r>
    </w:p>
    <w:p>
      <w:pPr>
        <w:pStyle w:val="Normal"/>
        <w:jc w:val="both"/>
        <w:rPr/>
      </w:pPr>
      <w:bookmarkStart w:id="235" w:name="OLE_LINK24"/>
      <w:bookmarkStart w:id="236" w:name="OLE_LINK23"/>
      <w:r>
        <w:rPr/>
        <w:t>The average measured total radiated sensitivity (TRS) of low, mid and high channel for handheld UE shall be lower than the average TRS requirement specified in Table 7.1.3.2-1. The averaging shall be done in linear scale for the TRS results of both right and left side of the phantom head. Average TRS requirement is shown in the column “Average” on the requirement tables.</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6</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e>
              </m:d>
            </m:e>
          </m:d>
        </m:oMath>
      </m:oMathPara>
    </w:p>
    <w:p>
      <w:pPr>
        <w:pStyle w:val="Normal"/>
        <w:rPr/>
      </w:pPr>
      <w:r>
        <w:rPr/>
        <w:t>In addition the highest TRS of each measured channel shall be lower than maximum TRS requirement specified in Table 7.1.3.2-1. Maximum TRS requirement is shown in the column “Max” on the requirement tables.</w:t>
      </w:r>
    </w:p>
    <w:p>
      <w:pPr>
        <w:pStyle w:val="Normal"/>
        <w:keepLines/>
        <w:tabs>
          <w:tab w:val="clear" w:pos="284"/>
          <w:tab w:val="center" w:pos="4536" w:leader="none"/>
          <w:tab w:val="right" w:pos="9072" w:leader="none"/>
        </w:tabs>
        <w:jc w:val="center"/>
        <w:rPr/>
      </w:pPr>
      <w:r>
        <w:rPr/>
        <w:drawing>
          <wp:inline distT="0" distB="0" distL="0" distR="0">
            <wp:extent cx="5283200" cy="241300"/>
            <wp:effectExtent l="0" t="0" r="0" b="0"/>
            <wp:docPr id="2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 descr=""/>
                    <pic:cNvPicPr>
                      <a:picLocks noChangeAspect="1" noChangeArrowheads="1"/>
                    </pic:cNvPicPr>
                  </pic:nvPicPr>
                  <pic:blipFill>
                    <a:blip r:embed="rId20"/>
                    <a:srcRect l="-7" t="-149" r="-7" b="-149"/>
                    <a:stretch>
                      <a:fillRect/>
                    </a:stretch>
                  </pic:blipFill>
                  <pic:spPr bwMode="auto">
                    <a:xfrm>
                      <a:off x="0" y="0"/>
                      <a:ext cx="5283200" cy="241300"/>
                    </a:xfrm>
                    <a:prstGeom prst="rect">
                      <a:avLst/>
                    </a:prstGeom>
                  </pic:spPr>
                </pic:pic>
              </a:graphicData>
            </a:graphic>
          </wp:inline>
        </w:drawing>
      </w:r>
    </w:p>
    <w:p>
      <w:pPr>
        <w:pStyle w:val="TH"/>
        <w:rPr/>
      </w:pPr>
      <w:bookmarkStart w:id="237" w:name="OLE_LINK24"/>
      <w:bookmarkStart w:id="238" w:name="OLE_LINK23"/>
      <w:r>
        <w:rPr/>
        <w:t>Table 7.1.3.2-1</w:t>
      </w:r>
      <w:bookmarkEnd w:id="237"/>
      <w:bookmarkEnd w:id="238"/>
      <w:r>
        <w:rPr/>
        <w:t>: TRS minimum requirements for UTRA FDD roaming bands in the speech position for the primary mechanical mode</w:t>
      </w:r>
    </w:p>
    <w:tbl>
      <w:tblPr>
        <w:tblW w:w="6051" w:type="dxa"/>
        <w:jc w:val="center"/>
        <w:tblInd w:w="0" w:type="dxa"/>
        <w:tblLayout w:type="fixed"/>
        <w:tblCellMar>
          <w:top w:w="0" w:type="dxa"/>
          <w:left w:w="28" w:type="dxa"/>
          <w:bottom w:w="0" w:type="dxa"/>
          <w:right w:w="28" w:type="dxa"/>
        </w:tblCellMar>
      </w:tblPr>
      <w:tblGrid>
        <w:gridCol w:w="1472"/>
        <w:gridCol w:w="1744"/>
        <w:gridCol w:w="1418"/>
        <w:gridCol w:w="1417"/>
      </w:tblGrid>
      <w:tr>
        <w:trPr>
          <w:trHeight w:val="57" w:hRule="atLeast"/>
          <w:cantSplit w:val="true"/>
        </w:trPr>
        <w:tc>
          <w:tcPr>
            <w:tcW w:w="1472" w:type="dxa"/>
            <w:vMerge w:val="restart"/>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Operating band</w:t>
            </w:r>
          </w:p>
        </w:tc>
        <w:tc>
          <w:tcPr>
            <w:tcW w:w="1744" w:type="dxa"/>
            <w:vMerge w:val="restart"/>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Unit</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pPr>
            <w:r>
              <w:rPr>
                <w:lang w:eastAsia="en-US"/>
              </w:rPr>
              <w:t>&lt;REFÎ</w:t>
            </w:r>
            <w:r>
              <w:rPr>
                <w:vertAlign w:val="subscript"/>
                <w:lang w:eastAsia="en-US"/>
              </w:rPr>
              <w:t>or</w:t>
            </w:r>
            <w:r>
              <w:rPr>
                <w:lang w:eastAsia="en-US"/>
              </w:rPr>
              <w:t>&gt;</w:t>
            </w:r>
          </w:p>
        </w:tc>
      </w:tr>
      <w:tr>
        <w:trPr>
          <w:trHeight w:val="57" w:hRule="atLeast"/>
          <w:cantSplit w:val="true"/>
        </w:trPr>
        <w:tc>
          <w:tcPr>
            <w:tcW w:w="147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744"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141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Max</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-101.10</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-99.0</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IV</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-96.75</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-96.75</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-96.75</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IX</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XIX</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-96.75</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6051" w:type="dxa"/>
            <w:gridSpan w:val="4"/>
            <w:tcBorders>
              <w:top w:val="single" w:sz="4" w:space="0" w:color="000000"/>
              <w:left w:val="single" w:sz="4" w:space="0" w:color="000000"/>
              <w:bottom w:val="single" w:sz="4" w:space="0" w:color="000000"/>
              <w:right w:val="single" w:sz="4" w:space="0" w:color="000000"/>
            </w:tcBorders>
          </w:tcPr>
          <w:p>
            <w:pPr>
              <w:pStyle w:val="TAN"/>
              <w:rPr/>
            </w:pPr>
            <w:r>
              <w:rPr>
                <w:lang w:eastAsia="en-US"/>
              </w:rPr>
              <w:t>NOTE 1:</w:t>
              <w:tab/>
              <w:t>For power class 3, 3bis and 4 this shall be achieved at the maximum output power.</w:t>
            </w:r>
          </w:p>
          <w:p>
            <w:pPr>
              <w:pStyle w:val="TAN"/>
              <w:rPr>
                <w:lang w:eastAsia="en-US"/>
              </w:rPr>
            </w:pPr>
            <w:r>
              <w:rPr>
                <w:lang w:eastAsia="ja-JP"/>
              </w:rPr>
              <w:t>NOTE 2:</w:t>
              <w:tab/>
              <w:t xml:space="preserve">For the UE which supports both Band III and Band IX operating frequencies, the reference level of TDB dBm TRS </w:t>
            </w:r>
            <w:r>
              <w:rPr>
                <w:lang w:eastAsia="en-US"/>
              </w:rPr>
              <w:t>&lt;REFÎ</w:t>
            </w:r>
            <w:r>
              <w:rPr>
                <w:vertAlign w:val="subscript"/>
                <w:lang w:eastAsia="en-US"/>
              </w:rPr>
              <w:t>or</w:t>
            </w:r>
            <w:r>
              <w:rPr>
                <w:lang w:eastAsia="en-US"/>
              </w:rPr>
              <w:t>&gt;</w:t>
            </w:r>
            <w:r>
              <w:rPr>
                <w:lang w:eastAsia="ja-JP"/>
              </w:rPr>
              <w:t xml:space="preserve"> [average and min] shall apply for Band IX.</w:t>
            </w:r>
          </w:p>
          <w:p>
            <w:pPr>
              <w:pStyle w:val="TAN"/>
              <w:rPr/>
            </w:pPr>
            <w:r>
              <w:rPr>
                <w:lang w:eastAsia="en-US"/>
              </w:rPr>
              <w:t>NOTE 3:</w:t>
              <w:tab/>
              <w:t>Applicable for dual-mode GSM/UMTS.</w:t>
            </w:r>
          </w:p>
          <w:p>
            <w:pPr>
              <w:pStyle w:val="TAN"/>
              <w:rPr/>
            </w:pPr>
            <w:r>
              <w:rPr>
                <w:lang w:eastAsia="en-US"/>
              </w:rPr>
              <w:t>NOTE 4:</w:t>
              <w:tab/>
              <w:t xml:space="preserve">For </w:t>
            </w:r>
            <w:r>
              <w:rPr>
                <w:lang w:eastAsia="ko-KR"/>
              </w:rPr>
              <w:t>the UE which supports DB-DC-HSDPA config</w:t>
            </w:r>
            <w:r>
              <w:rPr>
                <w:lang w:eastAsia="en-US"/>
              </w:rPr>
              <w:t>uration 2, average</w:t>
            </w:r>
            <w:r>
              <w:rPr>
                <w:lang w:eastAsia="ko-KR"/>
              </w:rPr>
              <w:t xml:space="preserve"> </w:t>
            </w:r>
            <w:r>
              <w:rPr>
                <w:lang w:eastAsia="en-US"/>
              </w:rPr>
              <w:t xml:space="preserve">&lt;REFÎor&gt; level of -98 dBm/3.84 MHz and max &lt;REFÎor&gt; level of -95 dBm/3.84 MHz </w:t>
            </w:r>
            <w:r>
              <w:rPr>
                <w:lang w:eastAsia="ko-KR"/>
              </w:rPr>
              <w:t>shall apply for Band II.</w:t>
            </w:r>
          </w:p>
          <w:p>
            <w:pPr>
              <w:pStyle w:val="TAN"/>
              <w:rPr>
                <w:lang w:eastAsia="en-US"/>
              </w:rPr>
            </w:pPr>
            <w:r>
              <w:rPr>
                <w:lang w:eastAsia="en-US"/>
              </w:rPr>
              <w:t>NOTE 5:</w:t>
              <w:tab/>
              <w:t xml:space="preserve">For the UE which supports DB-DC-HSDPA configuration 2, average &lt;REFÎor&gt; level of -100 dBm/3.84 MHz and max &lt;REFÎor&gt; level of -97 dBm/3.84 MHz </w:t>
            </w:r>
            <w:r>
              <w:rPr>
                <w:lang w:eastAsia="ko-KR"/>
              </w:rPr>
              <w:t>shall apply for Band IV.</w:t>
            </w:r>
          </w:p>
          <w:p>
            <w:pPr>
              <w:pStyle w:val="TAN"/>
              <w:rPr/>
            </w:pPr>
            <w:r>
              <w:rPr>
                <w:rFonts w:cs="Arial"/>
                <w:lang w:eastAsia="en-US"/>
              </w:rPr>
              <w:t>NOTE 6:</w:t>
              <w:tab/>
              <w:t>Applicable for devices narrower than 72mm as defined in TR 25.914.</w:t>
            </w:r>
          </w:p>
          <w:p>
            <w:pPr>
              <w:pStyle w:val="TAN"/>
              <w:rPr>
                <w:lang w:eastAsia="en-US"/>
              </w:rPr>
            </w:pPr>
            <w:r>
              <w:rPr>
                <w:rFonts w:cs="Arial"/>
                <w:lang w:eastAsia="en-US"/>
              </w:rPr>
              <w:t>NOTE 7:</w:t>
              <w:tab/>
              <w:t>Not applicable for devices supporting CDMA or carrier aggregation.</w:t>
            </w:r>
          </w:p>
        </w:tc>
      </w:tr>
    </w:tbl>
    <w:p>
      <w:pPr>
        <w:pStyle w:val="Normal"/>
        <w:rPr/>
      </w:pPr>
      <w:r>
        <w:rPr/>
      </w:r>
    </w:p>
    <w:p>
      <w:pPr>
        <w:pStyle w:val="Normal"/>
        <w:rPr/>
      </w:pPr>
      <w:r>
        <w:rPr/>
        <w:t>The normative reference for this clause is TS 37.144 [12] Subclause 7.1.2.1.</w:t>
      </w:r>
    </w:p>
    <w:p>
      <w:pPr>
        <w:pStyle w:val="Heading4"/>
        <w:ind w:left="1418" w:hanging="1418"/>
        <w:rPr/>
      </w:pPr>
      <w:bookmarkStart w:id="239" w:name="__RefHeading___Toc68601171"/>
      <w:bookmarkEnd w:id="239"/>
      <w:r>
        <w:rPr/>
        <w:t>7.1.3.3</w:t>
      </w:r>
      <w:r>
        <w:rPr>
          <w:rFonts w:cs="Calibri" w:ascii="Calibri" w:hAnsi="Calibri"/>
          <w:sz w:val="22"/>
          <w:szCs w:val="22"/>
        </w:rPr>
        <w:tab/>
      </w:r>
      <w:r>
        <w:rPr/>
        <w:t>Test purpose</w:t>
      </w:r>
    </w:p>
    <w:p>
      <w:pPr>
        <w:pStyle w:val="Normal"/>
        <w:rPr/>
      </w:pPr>
      <w:r>
        <w:rPr/>
        <w:t xml:space="preserve">The purpose of this test is to ensure that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max</m:t>
            </m:r>
          </m:sub>
        </m:sSub>
      </m:oMath>
      <w:r>
        <w:rPr/>
        <w:t xml:space="preserve"> of the UE is above specified limit. The lack of the reception sensitivity decreases the coverage area at the far side from Node B.</w:t>
      </w:r>
    </w:p>
    <w:p>
      <w:pPr>
        <w:pStyle w:val="Heading4"/>
        <w:ind w:left="1418" w:hanging="1418"/>
        <w:rPr/>
      </w:pPr>
      <w:bookmarkStart w:id="240" w:name="__RefHeading___Toc68601172"/>
      <w:bookmarkEnd w:id="240"/>
      <w:r>
        <w:rPr/>
        <w:t>7.1.3.4</w:t>
      </w:r>
      <w:r>
        <w:rPr>
          <w:rFonts w:cs="Calibri" w:ascii="Calibri" w:hAnsi="Calibri"/>
          <w:sz w:val="22"/>
          <w:szCs w:val="22"/>
        </w:rPr>
        <w:tab/>
      </w:r>
      <w:r>
        <w:rPr/>
        <w:t>Method of test</w:t>
      </w:r>
    </w:p>
    <w:p>
      <w:pPr>
        <w:pStyle w:val="Heading4"/>
        <w:ind w:left="1418" w:hanging="1418"/>
        <w:rPr/>
      </w:pPr>
      <w:bookmarkStart w:id="241" w:name="__RefHeading___Toc68601173"/>
      <w:bookmarkEnd w:id="241"/>
      <w:r>
        <w:rPr/>
        <w:t>7.1.3.4.1</w:t>
      </w:r>
      <w:r>
        <w:rPr>
          <w:rFonts w:cs="Calibri" w:ascii="Calibri" w:hAnsi="Calibri"/>
          <w:sz w:val="22"/>
          <w:szCs w:val="22"/>
        </w:rPr>
        <w:tab/>
      </w:r>
      <w:r>
        <w:rPr/>
        <w:t>Initial conditions</w:t>
      </w:r>
    </w:p>
    <w:p>
      <w:pPr>
        <w:pStyle w:val="Normal"/>
        <w:rPr/>
      </w:pPr>
      <w:r>
        <w:rPr/>
        <w:t xml:space="preserve">A radio communications tester or a corresponding device is used as a NB simulator to setup calls to the DUT. The NB/BS simulator is also used to send test signals to the UE and measure the BER levels of the radio link and the information on the dedicated channel needed to extract the DUT receiver performances. </w:t>
      </w:r>
    </w:p>
    <w:p>
      <w:pPr>
        <w:pStyle w:val="Normal"/>
        <w:rPr/>
      </w:pPr>
      <w:r>
        <w:rPr>
          <w:lang w:eastAsia="ja-JP"/>
        </w:rPr>
        <w:t>Chamber environment constraints and coordinate system shall be the same as described in Subclause A.3.</w:t>
      </w:r>
    </w:p>
    <w:p>
      <w:pPr>
        <w:pStyle w:val="Normal"/>
        <w:rPr>
          <w:lang w:eastAsia="zh-CN"/>
        </w:rPr>
      </w:pPr>
      <w:r>
        <w:rPr>
          <w:lang w:eastAsia="ja-JP"/>
        </w:rPr>
        <w:t>Phantom Specifications shall be the same as described in Subclause A.2.1 and A.2.2.</w:t>
      </w:r>
    </w:p>
    <w:p>
      <w:pPr>
        <w:pStyle w:val="Normal"/>
        <w:rPr/>
      </w:pPr>
      <w:r>
        <w:rPr/>
        <w:t>Test environment: normal; see TS36.508 [10] Subclause 4.1.1.</w:t>
      </w:r>
    </w:p>
    <w:p>
      <w:pPr>
        <w:pStyle w:val="Normal"/>
        <w:rPr/>
      </w:pPr>
      <w:r>
        <w:rPr/>
        <w:t>Frequencies to be tested: low range, mid range, high range; see Table 5.1-2.</w:t>
      </w:r>
      <w:r>
        <w:rPr>
          <w:lang w:eastAsia="ja-JP"/>
        </w:rPr>
        <w:t xml:space="preserve"> </w:t>
      </w:r>
    </w:p>
    <w:p>
      <w:pPr>
        <w:pStyle w:val="Normal"/>
        <w:rPr>
          <w:lang w:eastAsia="ja-JP"/>
        </w:rPr>
      </w:pPr>
      <w:r>
        <w:rPr>
          <w:lang w:eastAsia="ja-JP"/>
        </w:rPr>
        <w:t>Positioning Requirements shall be the same as described in Subclause 4.3.</w:t>
      </w:r>
    </w:p>
    <w:p>
      <w:pPr>
        <w:pStyle w:val="B1"/>
        <w:rPr/>
      </w:pPr>
      <w:r>
        <w:rPr/>
        <w:t>1)</w:t>
        <w:tab/>
        <w:t>Position the UE according to the DUT positioning for speech mode specified in Subclause 4.3.3.</w:t>
      </w:r>
    </w:p>
    <w:p>
      <w:pPr>
        <w:pStyle w:val="B1"/>
        <w:rPr/>
      </w:pPr>
      <w:r>
        <w:rPr/>
        <w:t>2)</w:t>
        <w:tab/>
        <w:t>Set the SS downlink physical channels according to settings in Table 7.1.3.4.1-1.</w:t>
      </w:r>
    </w:p>
    <w:p>
      <w:pPr>
        <w:pStyle w:val="B1"/>
        <w:rPr/>
      </w:pPr>
      <w:r>
        <w:rPr/>
        <w:t>3)</w:t>
        <w:tab/>
        <w:t>Power on the UE.</w:t>
      </w:r>
    </w:p>
    <w:p>
      <w:pPr>
        <w:pStyle w:val="B1"/>
        <w:rPr/>
      </w:pPr>
      <w:r>
        <w:rPr/>
        <w:t>4)</w:t>
        <w:tab/>
        <w:t>A call is set up according to the Generic call setup procedure. The power control algorithm shall be set to Power Control Algorithm 2. Compressed mode shall be set to OFF.</w:t>
      </w:r>
    </w:p>
    <w:p>
      <w:pPr>
        <w:pStyle w:val="B1"/>
        <w:rPr/>
      </w:pPr>
      <w:r>
        <w:rPr/>
        <w:t>5)</w:t>
        <w:tab/>
        <w:t>Enter the UE into loopback test mode 2 and start the loopback test.</w:t>
      </w:r>
    </w:p>
    <w:p>
      <w:pPr>
        <w:pStyle w:val="Normal"/>
        <w:rPr/>
      </w:pPr>
      <w:r>
        <w:rPr/>
        <w:t>See TS 34.108 [4] and TS 34.109 [5] for details regarding generic call setup procedure and loopback test.</w:t>
      </w:r>
    </w:p>
    <w:p>
      <w:pPr>
        <w:pStyle w:val="TH"/>
        <w:rPr/>
      </w:pPr>
      <w:r>
        <w:rPr/>
        <w:t>Table 7.1.3.4.1-1: Downlink Physical Channels transmitted during a connection</w:t>
      </w:r>
    </w:p>
    <w:tbl>
      <w:tblPr>
        <w:tblW w:w="6612" w:type="dxa"/>
        <w:jc w:val="left"/>
        <w:tblInd w:w="1553" w:type="dxa"/>
        <w:tblLayout w:type="fixed"/>
        <w:tblCellMar>
          <w:top w:w="0" w:type="dxa"/>
          <w:left w:w="108" w:type="dxa"/>
          <w:bottom w:w="0" w:type="dxa"/>
          <w:right w:w="108" w:type="dxa"/>
        </w:tblCellMar>
      </w:tblPr>
      <w:tblGrid>
        <w:gridCol w:w="2301"/>
        <w:gridCol w:w="4311"/>
      </w:tblGrid>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Physical Channel</w:t>
            </w:r>
          </w:p>
        </w:tc>
        <w:tc>
          <w:tcPr>
            <w:tcW w:w="431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Power</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CPICH</w:t>
            </w:r>
          </w:p>
        </w:tc>
        <w:tc>
          <w:tcPr>
            <w:tcW w:w="4311" w:type="dxa"/>
            <w:tcBorders>
              <w:top w:val="single" w:sz="6" w:space="0" w:color="000000"/>
              <w:left w:val="single" w:sz="6" w:space="0" w:color="000000"/>
              <w:bottom w:val="single" w:sz="6" w:space="0" w:color="000000"/>
              <w:right w:val="single" w:sz="6" w:space="0" w:color="000000"/>
            </w:tcBorders>
          </w:tcPr>
          <w:p>
            <w:pPr>
              <w:pStyle w:val="TAL1"/>
              <w:rPr/>
            </w:pPr>
            <w:r>
              <w:rPr>
                <w:lang w:eastAsia="en-US"/>
              </w:rPr>
              <w:t>CPICH_Ec / DPCH_Ec</w:t>
              <w:tab/>
              <w:t>= 7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P-CCPCH</w:t>
            </w:r>
          </w:p>
        </w:tc>
        <w:tc>
          <w:tcPr>
            <w:tcW w:w="431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P-CCPCH_Ec/ DPCH_Ec</w:t>
              <w:tab/>
              <w:t>= 5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SCH</w:t>
            </w:r>
          </w:p>
        </w:tc>
        <w:tc>
          <w:tcPr>
            <w:tcW w:w="431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SCH_Ec / DPCH_Ec</w:t>
              <w:tab/>
              <w:t>= 5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PICH</w:t>
            </w:r>
          </w:p>
        </w:tc>
        <w:tc>
          <w:tcPr>
            <w:tcW w:w="431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PICH_Ec / DPCH_Ec</w:t>
              <w:tab/>
              <w:t>= 2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DPCH</w:t>
            </w:r>
          </w:p>
        </w:tc>
        <w:tc>
          <w:tcPr>
            <w:tcW w:w="431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Test dependent power</w:t>
            </w:r>
          </w:p>
        </w:tc>
      </w:tr>
    </w:tbl>
    <w:p>
      <w:pPr>
        <w:pStyle w:val="Normal"/>
        <w:rPr/>
      </w:pPr>
      <w:r>
        <w:rPr/>
      </w:r>
    </w:p>
    <w:p>
      <w:pPr>
        <w:pStyle w:val="Heading4"/>
        <w:ind w:left="1418" w:hanging="1418"/>
        <w:rPr/>
      </w:pPr>
      <w:bookmarkStart w:id="242" w:name="__RefHeading___Toc68601174"/>
      <w:bookmarkEnd w:id="242"/>
      <w:r>
        <w:rPr/>
        <w:t>7.1.3.4.2</w:t>
      </w:r>
      <w:r>
        <w:rPr>
          <w:rFonts w:cs="Calibri" w:ascii="Calibri" w:hAnsi="Calibri"/>
          <w:sz w:val="22"/>
          <w:szCs w:val="22"/>
        </w:rPr>
        <w:tab/>
      </w:r>
      <w:r>
        <w:rPr/>
        <w:t>Procedure</w:t>
      </w:r>
    </w:p>
    <w:p>
      <w:pPr>
        <w:pStyle w:val="B1"/>
        <w:rPr/>
      </w:pPr>
      <w:r>
        <w:rPr/>
        <w:t>1)</w:t>
        <w:tab/>
        <w:t>Send continuously Up power control commands to the UE.</w:t>
      </w:r>
    </w:p>
    <w:p>
      <w:pPr>
        <w:pStyle w:val="B1"/>
        <w:rPr/>
      </w:pPr>
      <w:r>
        <w:rPr/>
        <w:t>2)</w:t>
        <w:tab/>
        <w:t>As the UE reaches maximum power, start sending PN15 data pattern.</w:t>
      </w:r>
    </w:p>
    <w:p>
      <w:pPr>
        <w:pStyle w:val="B1"/>
        <w:rPr/>
      </w:pPr>
      <w:r>
        <w:rPr/>
        <w:t>3)</w:t>
        <w:tab/>
        <w:t xml:space="preserve">Measure EIS from one measurement point. EIS is the power transmitted from one specific direction to the UE causing BER value of 1% </w:t>
      </w:r>
      <w:r>
        <w:rPr>
          <w:rFonts w:eastAsia="Symbol" w:cs="Symbol" w:ascii="Symbol" w:hAnsi="Symbol"/>
        </w:rPr>
        <w:t></w:t>
      </w:r>
      <w:r>
        <w:rPr/>
        <w:t xml:space="preserve"> 0.2% using 20000 or more bits; see Annex E.20.</w:t>
      </w:r>
    </w:p>
    <w:p>
      <w:pPr>
        <w:pStyle w:val="B1"/>
        <w:ind w:left="568" w:hanging="0"/>
        <w:rPr/>
      </w:pPr>
      <w:r>
        <w:rPr/>
        <w:t xml:space="preserve">NOTE: To meet BER value target DL power level can be changed using user’s freely selectable algorithm. </w:t>
      </w:r>
    </w:p>
    <w:p>
      <w:pPr>
        <w:pStyle w:val="B1"/>
        <w:ind w:left="284" w:hanging="0"/>
        <w:rPr/>
      </w:pPr>
      <w:r>
        <w:rPr/>
        <w:t>4)</w:t>
        <w:tab/>
        <w:t>Measure the EIS for every direction of selected sampling gird using two orthogonal polarizations to obtain TRS.</w:t>
      </w:r>
    </w:p>
    <w:p>
      <w:pPr>
        <w:pStyle w:val="B1"/>
        <w:rPr/>
      </w:pPr>
      <w:r>
        <w:rPr/>
        <w:t>5)</w:t>
        <w:tab/>
        <w:t>Calculate TRS using equations from Subclause 7.1.3.1.</w:t>
      </w:r>
    </w:p>
    <w:p>
      <w:pPr>
        <w:pStyle w:val="NO"/>
        <w:rPr/>
      </w:pPr>
      <w:r>
        <w:rPr/>
        <w:t>NOTE: To speed up sensitivity measurements non standard setting (i.e. data speed, PCL, BER target) can be used in the measurements. However to obtain TRS result the measured EIS figures shall be normalized by</w:t>
      </w:r>
    </w:p>
    <w:p>
      <w:pPr>
        <w:pStyle w:val="EQ"/>
        <w:jc w:val="center"/>
        <w:rPr>
          <w:lang w:val="en-GB" w:eastAsia="en-GB"/>
        </w:rPr>
      </w:pPr>
      <w:r>
        <w:rPr>
          <w:lang w:val="en-GB" w:eastAsia="en-GB"/>
        </w:rPr>
      </w:r>
      <m:oMathPara xmlns:m="http://schemas.openxmlformats.org/officeDocument/2006/math">
        <m:oMathParaPr>
          <m:jc m:val="center"/>
        </m:oMathParaPr>
        <m:oMath>
          <m:r>
            <w:rPr>
              <w:rFonts w:ascii="Cambria Math" w:hAnsi="Cambria Math"/>
            </w:rPr>
            <m:t xml:space="preserve">Δ</m:t>
          </m:r>
          <m:bar>
            <m:barPr>
              <m:pos m:val="top"/>
            </m:barPr>
            <m:e>
              <m:r>
                <m:rPr>
                  <m:lit/>
                  <m:nor/>
                </m:rPr>
                <w:rPr>
                  <w:rFonts w:ascii="Cambria Math" w:hAnsi="Cambria Math"/>
                </w:rPr>
                <m:t xml:space="preserve">EIS</m:t>
              </m:r>
            </m:e>
          </m:ba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m:rPr>
                          <m:lit/>
                          <m:nor/>
                        </m:rPr>
                        <w:rPr>
                          <w:rFonts w:ascii="Cambria Math" w:hAnsi="Cambria Math"/>
                        </w:rPr>
                        <m:t xml:space="preserve">EISstd</m:t>
                      </m:r>
                    </m:e>
                    <m:sub>
                      <m:r>
                        <w:rPr>
                          <w:rFonts w:ascii="Cambria Math" w:hAnsi="Cambria Math"/>
                        </w:rPr>
                        <m:t xml:space="preserve">i</m:t>
                      </m:r>
                    </m:sub>
                  </m:sSub>
                  <m:r>
                    <w:rPr>
                      <w:rFonts w:ascii="Cambria Math" w:hAnsi="Cambria Math"/>
                    </w:rPr>
                    <m:t xml:space="preserve">−</m:t>
                  </m:r>
                  <m:sSub>
                    <m:e>
                      <m:r>
                        <m:rPr>
                          <m:lit/>
                          <m:nor/>
                        </m:rPr>
                        <w:rPr>
                          <w:rFonts w:ascii="Cambria Math" w:hAnsi="Cambria Math"/>
                        </w:rPr>
                        <m:t xml:space="preserve">EISnstd</m:t>
                      </m:r>
                    </m:e>
                    <m:sub>
                      <m:r>
                        <w:rPr>
                          <w:rFonts w:ascii="Cambria Math" w:hAnsi="Cambria Math"/>
                        </w:rPr>
                        <m:t xml:space="preserve">i</m:t>
                      </m:r>
                    </m:sub>
                  </m:sSub>
                </m:e>
              </m:d>
            </m:e>
          </m:nary>
        </m:oMath>
      </m:oMathPara>
    </w:p>
    <w:p>
      <w:pPr>
        <w:pStyle w:val="Normal"/>
        <w:ind w:left="284" w:hanging="0"/>
        <w:rPr/>
      </w:pPr>
      <w:r>
        <w:rPr/>
        <w:t xml:space="preserve">Where </w:t>
      </w:r>
      <w:r>
        <w:rPr/>
      </w:r>
      <m:oMath xmlns:m="http://schemas.openxmlformats.org/officeDocument/2006/math">
        <m:sSub>
          <m:e>
            <m:r>
              <m:rPr>
                <m:lit/>
                <m:nor/>
              </m:rPr>
              <w:rPr>
                <w:rFonts w:ascii="Cambria Math" w:hAnsi="Cambria Math"/>
              </w:rPr>
              <m:t xml:space="preserve">EISstd</m:t>
            </m:r>
          </m:e>
          <m:sub>
            <m:r>
              <w:rPr>
                <w:rFonts w:ascii="Cambria Math" w:hAnsi="Cambria Math"/>
              </w:rPr>
              <m:t xml:space="preserve">i</m:t>
            </m:r>
          </m:sub>
        </m:sSub>
      </m:oMath>
      <w:r>
        <w:rPr/>
        <w:t xml:space="preserve"> is sensitivity measurement done with standard setting, </w:t>
      </w:r>
      <w:r>
        <w:rPr/>
      </w:r>
      <m:oMath xmlns:m="http://schemas.openxmlformats.org/officeDocument/2006/math">
        <m:sSub>
          <m:e>
            <m:r>
              <m:rPr>
                <m:lit/>
                <m:nor/>
              </m:rPr>
              <w:rPr>
                <w:rFonts w:ascii="Cambria Math" w:hAnsi="Cambria Math"/>
              </w:rPr>
              <m:t xml:space="preserve">EISnstd</m:t>
            </m:r>
          </m:e>
          <m:sub>
            <m:r>
              <w:rPr>
                <w:rFonts w:ascii="Cambria Math" w:hAnsi="Cambria Math"/>
              </w:rPr>
              <m:t xml:space="preserve">i</m:t>
            </m:r>
          </m:sub>
        </m:sSub>
      </m:oMath>
      <w:r>
        <w:rPr/>
        <w:t xml:space="preserve"> is sensitivity measurement done with non standard settings. </w:t>
      </w:r>
      <w:r>
        <w:rPr/>
      </w:r>
      <m:oMath xmlns:m="http://schemas.openxmlformats.org/officeDocument/2006/math">
        <m:r>
          <w:rPr>
            <w:rFonts w:ascii="Cambria Math" w:hAnsi="Cambria Math"/>
          </w:rPr>
          <m:t xml:space="preserve">n</m:t>
        </m:r>
      </m:oMath>
      <w:r>
        <w:rPr/>
        <w:t xml:space="preserve"> is amount of reference measurement points.</w:t>
      </w:r>
    </w:p>
    <w:p>
      <w:pPr>
        <w:pStyle w:val="Normal"/>
        <w:rPr/>
      </w:pPr>
      <w:r>
        <w:rPr/>
        <w:t>To ensure accuracy of TRS, the amount of reference points measured should be at least 4. It is recommended to spread the reference measurements equally during the measurement time.</w:t>
      </w:r>
    </w:p>
    <w:p>
      <w:pPr>
        <w:pStyle w:val="Normal"/>
        <w:rPr/>
      </w:pPr>
      <w:r>
        <w:rPr/>
        <w:t>The measurement procedure is based on the measurement of the spherical sensitivity pattern of the DUT. The sensitivity values of the DUT at a predefined BER level are sampled in far field in a group of points located on a spherical surface enclosing the DUT. The EIS samples are taken using a constant sample step of 30° both in theta (</w:t>
      </w:r>
      <w:r>
        <w:rPr>
          <w:rFonts w:eastAsia="Symbol" w:cs="Symbol" w:ascii="Symbol" w:hAnsi="Symbol"/>
        </w:rPr>
        <w:t></w:t>
      </w:r>
      <w:r>
        <w:rPr/>
        <w:t>) and phi (</w:t>
      </w:r>
      <w:r>
        <w:rPr>
          <w:rFonts w:eastAsia="Symbol" w:cs="Symbol" w:ascii="Symbol" w:hAnsi="Symbol"/>
        </w:rPr>
        <w:t></w:t>
      </w:r>
      <w:r>
        <w:rPr/>
        <w:t xml:space="preserve">) directions. All the EIS samples are taken with two orthogonal polarizations,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-polarisations (See Subclause 4.4).</w:t>
      </w:r>
    </w:p>
    <w:p>
      <w:pPr>
        <w:pStyle w:val="Normal"/>
        <w:rPr/>
      </w:pPr>
      <w:r>
        <w:rPr/>
        <w:t>The Total Radiated Sensitivity is calculated from the measured data by equation in Subclause 7.1.3.2.</w:t>
      </w:r>
    </w:p>
    <w:p>
      <w:pPr>
        <w:pStyle w:val="Heading4"/>
        <w:ind w:left="1418" w:hanging="1418"/>
        <w:rPr/>
      </w:pPr>
      <w:bookmarkStart w:id="243" w:name="__RefHeading___Toc68601175"/>
      <w:bookmarkEnd w:id="243"/>
      <w:r>
        <w:rPr/>
        <w:t>7.1.3.4.3</w:t>
      </w:r>
      <w:r>
        <w:rPr>
          <w:rFonts w:cs="Calibri" w:ascii="Calibri" w:hAnsi="Calibri"/>
          <w:sz w:val="22"/>
          <w:szCs w:val="22"/>
        </w:rPr>
        <w:tab/>
      </w:r>
      <w:r>
        <w:rPr/>
        <w:t>Procedure, reverberation chamber method</w:t>
      </w:r>
    </w:p>
    <w:p>
      <w:pPr>
        <w:pStyle w:val="B1"/>
        <w:rPr/>
      </w:pPr>
      <w:r>
        <w:rPr/>
        <w:t>1)</w:t>
        <w:tab/>
        <w:t>Send continuously Up power control commands to the UE.</w:t>
      </w:r>
    </w:p>
    <w:p>
      <w:pPr>
        <w:pStyle w:val="B1"/>
        <w:rPr/>
      </w:pPr>
      <w:r>
        <w:rPr/>
        <w:t>2)</w:t>
        <w:tab/>
        <w:t>As the UE reaches maximum power, start sending PN15 data pattern.</w:t>
      </w:r>
    </w:p>
    <w:p>
      <w:pPr>
        <w:pStyle w:val="B1"/>
        <w:rPr/>
      </w:pPr>
      <w:r>
        <w:rPr/>
        <w:t>3)</w:t>
        <w:tab/>
        <w:t>Set the base station simulator to a specific output power and perform a BER measurement.</w:t>
      </w:r>
    </w:p>
    <w:p>
      <w:pPr>
        <w:pStyle w:val="B1"/>
        <w:rPr/>
      </w:pPr>
      <w:r>
        <w:rPr/>
        <w:t>4)</w:t>
        <w:tab/>
        <w:t xml:space="preserve">Increase or decrease the base station output power as needed, and repeat step 4 until the lowest output power is found that gives a BER value of 1% </w:t>
      </w:r>
      <w:r>
        <w:rPr>
          <w:rFonts w:eastAsia="Symbol" w:cs="Symbol" w:ascii="Symbol" w:hAnsi="Symbol"/>
        </w:rPr>
        <w:t></w:t>
      </w:r>
      <w:r>
        <w:rPr/>
        <w:t xml:space="preserve"> 0.2% using 20000 or more bits, see Annex E.20. This corresponds to </w:t>
      </w:r>
      <w:r>
        <w:rPr/>
      </w:r>
      <m:oMath xmlns:m="http://schemas.openxmlformats.org/officeDocument/2006/math">
        <m:sSup>
          <m:e>
            <m:d>
              <m:dPr>
                <m:begChr m:val="|"/>
                <m:endChr m:val="|"/>
              </m:dPr>
              <m:e>
                <m:sSubSup>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up>
                    <m:r>
                      <m:rPr>
                        <m:lit/>
                        <m:nor/>
                      </m:rPr>
                      <w:rPr>
                        <w:rFonts w:ascii="Cambria Math" w:hAnsi="Cambria Math"/>
                      </w:rPr>
                      <m:t xml:space="preserve">thres</m:t>
                    </m:r>
                  </m:sup>
                </m:sSubSup>
              </m:e>
            </m:d>
          </m:e>
          <m:sup>
            <m:r>
              <w:rPr>
                <w:rFonts w:ascii="Cambria Math" w:hAnsi="Cambria Math"/>
              </w:rPr>
              <m:t xml:space="preserve">2</m:t>
            </m:r>
          </m:sup>
        </m:sSup>
      </m:oMath>
      <w:r>
        <w:rPr/>
        <w:t>.</w:t>
      </w:r>
    </w:p>
    <w:p>
      <w:pPr>
        <w:pStyle w:val="B1"/>
        <w:ind w:left="568" w:hanging="0"/>
        <w:rPr/>
      </w:pPr>
      <w:r>
        <w:rPr/>
        <w:t xml:space="preserve">NOTE: To meet BER value target DL power level can be changed using user’s freely selectable algorithm. </w:t>
      </w:r>
    </w:p>
    <w:p>
      <w:pPr>
        <w:pStyle w:val="B1"/>
        <w:rPr/>
      </w:pPr>
      <w:r>
        <w:rPr/>
        <w:t>5)</w:t>
        <w:tab/>
        <w:t xml:space="preserve">Repeat step 3 and 4 until a sufficient number of independent samples (see section 4.5) of </w:t>
      </w:r>
      <w:r>
        <w:rPr/>
      </w:r>
      <m:oMath xmlns:m="http://schemas.openxmlformats.org/officeDocument/2006/math">
        <m:sSup>
          <m:e>
            <m:d>
              <m:dPr>
                <m:begChr m:val="|"/>
                <m:endChr m:val="|"/>
              </m:dPr>
              <m:e>
                <m:sSubSup>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up>
                    <m:r>
                      <m:rPr>
                        <m:lit/>
                        <m:nor/>
                      </m:rPr>
                      <w:rPr>
                        <w:rFonts w:ascii="Cambria Math" w:hAnsi="Cambria Math"/>
                      </w:rPr>
                      <m:t xml:space="preserve">thres</m:t>
                    </m:r>
                  </m:sup>
                </m:sSubSup>
              </m:e>
            </m:d>
          </m:e>
          <m:sup>
            <m:r>
              <w:rPr>
                <w:rFonts w:ascii="Cambria Math" w:hAnsi="Cambria Math"/>
              </w:rPr>
              <m:t xml:space="preserve">2</m:t>
            </m:r>
          </m:sup>
        </m:sSup>
      </m:oMath>
      <w:r>
        <w:rPr/>
        <w:t xml:space="preserve"> has been measured.</w:t>
      </w:r>
    </w:p>
    <w:p>
      <w:pPr>
        <w:pStyle w:val="B1"/>
        <w:rPr/>
      </w:pPr>
      <w:r>
        <w:rPr/>
        <w:t>7)</w:t>
        <w:tab/>
        <w:t>Calculate TRS using equations from chapter 7.1.3.1.</w:t>
      </w:r>
    </w:p>
    <w:p>
      <w:pPr>
        <w:pStyle w:val="NO"/>
        <w:rPr/>
      </w:pPr>
      <w:r>
        <w:rPr/>
        <w:t>NOTE 1:</w:t>
      </w:r>
      <w:r>
        <w:rPr>
          <w:lang w:eastAsia="zh-TW"/>
        </w:rPr>
        <w:tab/>
      </w:r>
      <w:r>
        <w:rPr/>
        <w:t>The measurement procedure is based on samples of the received signal power at the UE/MS from a full 3 dimensional isotropic environment with uniform elevation and azimuth field distribution. The power received by the DUT is undergoing Rayleigh fading and is transmitted by the fixed measurement antennas. Moreover, it is important that the samples collected are independent, in order to get sufficient accuracy of the estimated TRS value.</w:t>
      </w:r>
    </w:p>
    <w:p>
      <w:pPr>
        <w:pStyle w:val="Normal"/>
        <w:rPr/>
      </w:pPr>
      <w:r>
        <w:rPr/>
        <w:t>The Total Radiated Sensitivity is calculated from the measured data by equation in Subclause 7.1.</w:t>
      </w:r>
      <w:r>
        <w:rPr>
          <w:lang w:eastAsia="zh-TW"/>
        </w:rPr>
        <w:t>3</w:t>
      </w:r>
      <w:r>
        <w:rPr/>
        <w:t>.2.</w:t>
      </w:r>
    </w:p>
    <w:p>
      <w:pPr>
        <w:pStyle w:val="Heading4"/>
        <w:ind w:left="1418" w:hanging="1418"/>
        <w:rPr/>
      </w:pPr>
      <w:bookmarkStart w:id="244" w:name="__RefHeading___Toc68601176"/>
      <w:bookmarkEnd w:id="244"/>
      <w:r>
        <w:rPr/>
        <w:t>7.1.3.5</w:t>
      </w:r>
      <w:r>
        <w:rPr>
          <w:rFonts w:cs="Calibri" w:ascii="Calibri" w:hAnsi="Calibri"/>
          <w:sz w:val="22"/>
          <w:szCs w:val="22"/>
        </w:rPr>
        <w:tab/>
      </w:r>
      <w:r>
        <w:rPr/>
        <w:t>Test requirements</w:t>
      </w:r>
    </w:p>
    <w:p>
      <w:pPr>
        <w:pStyle w:val="Normal"/>
        <w:jc w:val="both"/>
        <w:rPr/>
      </w:pPr>
      <w:r>
        <w:rPr/>
        <w:t>The average measured total radiated sensitivity (TRS) of low, mid and high channel for handheld UE shall be lower than the average TRS requirement specified in Table 7.1.3.5-1. The averaging shall be done in linear scale for the TRS results of both right and left side of the phantom head. Average TRS requirement is shown in the column “Average” on the requirement tables.</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6</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e>
              </m:d>
            </m:e>
          </m:d>
        </m:oMath>
      </m:oMathPara>
    </w:p>
    <w:p>
      <w:pPr>
        <w:pStyle w:val="Normal"/>
        <w:rPr/>
      </w:pPr>
      <w:r>
        <w:rPr/>
        <w:t>In addition the highest TRS of each measured channel shall be lower than maximum TRS requirement specified in Table 7.1.3.5-1. Maximum TRS requirement is shown in the column “Max” on the requirement tables.</w:t>
      </w:r>
    </w:p>
    <w:p>
      <w:pPr>
        <w:pStyle w:val="Normal"/>
        <w:keepLines/>
        <w:tabs>
          <w:tab w:val="clear" w:pos="284"/>
          <w:tab w:val="center" w:pos="4536" w:leader="none"/>
          <w:tab w:val="right" w:pos="9072" w:leader="none"/>
        </w:tabs>
        <w:jc w:val="center"/>
        <w:rPr/>
      </w:pPr>
      <w:r>
        <w:rPr/>
        <w:drawing>
          <wp:inline distT="0" distB="0" distL="0" distR="0">
            <wp:extent cx="5283200" cy="241300"/>
            <wp:effectExtent l="0" t="0" r="0" b="0"/>
            <wp:docPr id="2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2" descr=""/>
                    <pic:cNvPicPr>
                      <a:picLocks noChangeAspect="1" noChangeArrowheads="1"/>
                    </pic:cNvPicPr>
                  </pic:nvPicPr>
                  <pic:blipFill>
                    <a:blip r:embed="rId21"/>
                    <a:srcRect l="-7" t="-149" r="-7" b="-149"/>
                    <a:stretch>
                      <a:fillRect/>
                    </a:stretch>
                  </pic:blipFill>
                  <pic:spPr bwMode="auto">
                    <a:xfrm>
                      <a:off x="0" y="0"/>
                      <a:ext cx="5283200" cy="241300"/>
                    </a:xfrm>
                    <a:prstGeom prst="rect">
                      <a:avLst/>
                    </a:prstGeom>
                  </pic:spPr>
                </pic:pic>
              </a:graphicData>
            </a:graphic>
          </wp:inline>
        </w:drawing>
      </w:r>
    </w:p>
    <w:p>
      <w:pPr>
        <w:pStyle w:val="TH"/>
        <w:rPr/>
      </w:pPr>
      <w:r>
        <w:rPr/>
        <w:t>Table 7.1.3.5-1: TRS minimum requirement for UTRA FDD roaming bands in the speech position and the primary mechanical mode</w:t>
      </w:r>
    </w:p>
    <w:tbl>
      <w:tblPr>
        <w:tblW w:w="6051" w:type="dxa"/>
        <w:jc w:val="center"/>
        <w:tblInd w:w="0" w:type="dxa"/>
        <w:tblLayout w:type="fixed"/>
        <w:tblCellMar>
          <w:top w:w="0" w:type="dxa"/>
          <w:left w:w="28" w:type="dxa"/>
          <w:bottom w:w="0" w:type="dxa"/>
          <w:right w:w="28" w:type="dxa"/>
        </w:tblCellMar>
      </w:tblPr>
      <w:tblGrid>
        <w:gridCol w:w="1472"/>
        <w:gridCol w:w="1744"/>
        <w:gridCol w:w="1418"/>
        <w:gridCol w:w="1417"/>
      </w:tblGrid>
      <w:tr>
        <w:trPr>
          <w:trHeight w:val="57" w:hRule="atLeast"/>
          <w:cantSplit w:val="true"/>
        </w:trPr>
        <w:tc>
          <w:tcPr>
            <w:tcW w:w="1472" w:type="dxa"/>
            <w:vMerge w:val="restart"/>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Operating band</w:t>
            </w:r>
          </w:p>
        </w:tc>
        <w:tc>
          <w:tcPr>
            <w:tcW w:w="1744" w:type="dxa"/>
            <w:vMerge w:val="restart"/>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Unit</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pPr>
            <w:r>
              <w:rPr>
                <w:lang w:eastAsia="en-US"/>
              </w:rPr>
              <w:t>&lt;REFÎ</w:t>
            </w:r>
            <w:r>
              <w:rPr>
                <w:vertAlign w:val="subscript"/>
                <w:lang w:eastAsia="en-US"/>
              </w:rPr>
              <w:t>or</w:t>
            </w:r>
            <w:r>
              <w:rPr>
                <w:lang w:eastAsia="en-US"/>
              </w:rPr>
              <w:t>&gt;</w:t>
            </w:r>
          </w:p>
        </w:tc>
      </w:tr>
      <w:tr>
        <w:trPr>
          <w:trHeight w:val="57" w:hRule="atLeast"/>
          <w:cantSplit w:val="true"/>
        </w:trPr>
        <w:tc>
          <w:tcPr>
            <w:tcW w:w="147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744"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141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Max</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-100.1</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-98.1</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IV</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-95.85</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-95.85</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-95.85</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IX</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XIX</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-95.85</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rHeight w:val="57" w:hRule="atLeast"/>
          <w:cantSplit w:val="true"/>
        </w:trPr>
        <w:tc>
          <w:tcPr>
            <w:tcW w:w="6051" w:type="dxa"/>
            <w:gridSpan w:val="4"/>
            <w:tcBorders>
              <w:top w:val="single" w:sz="4" w:space="0" w:color="000000"/>
              <w:left w:val="single" w:sz="4" w:space="0" w:color="000000"/>
              <w:bottom w:val="single" w:sz="4" w:space="0" w:color="000000"/>
              <w:right w:val="single" w:sz="4" w:space="0" w:color="000000"/>
            </w:tcBorders>
          </w:tcPr>
          <w:p>
            <w:pPr>
              <w:pStyle w:val="TAN"/>
              <w:rPr>
                <w:lang w:eastAsia="en-US"/>
              </w:rPr>
            </w:pPr>
            <w:r>
              <w:rPr>
                <w:lang w:eastAsia="en-US"/>
              </w:rPr>
              <w:t>NOTE 1:</w:t>
              <w:tab/>
              <w:t>For power class 3, 3bis and 4 this shall be achieved at the maximum output power.</w:t>
            </w:r>
          </w:p>
          <w:p>
            <w:pPr>
              <w:pStyle w:val="TAN"/>
              <w:rPr>
                <w:lang w:eastAsia="en-US"/>
              </w:rPr>
            </w:pPr>
            <w:r>
              <w:rPr>
                <w:lang w:eastAsia="ja-JP"/>
              </w:rPr>
              <w:t>NOTE 2:</w:t>
              <w:tab/>
              <w:t xml:space="preserve">For the UE which supports both Band III and Band IX operating frequencies, the reference level of TDB dBm TRS </w:t>
            </w:r>
            <w:r>
              <w:rPr>
                <w:lang w:eastAsia="en-US"/>
              </w:rPr>
              <w:t>&lt;REFÎ</w:t>
            </w:r>
            <w:r>
              <w:rPr>
                <w:vertAlign w:val="subscript"/>
                <w:lang w:eastAsia="en-US"/>
              </w:rPr>
              <w:t>or</w:t>
            </w:r>
            <w:r>
              <w:rPr>
                <w:lang w:eastAsia="en-US"/>
              </w:rPr>
              <w:t>&gt;</w:t>
            </w:r>
            <w:r>
              <w:rPr>
                <w:lang w:eastAsia="ja-JP"/>
              </w:rPr>
              <w:t xml:space="preserve"> [average and min] shall apply for Band IX. </w:t>
            </w:r>
          </w:p>
          <w:p>
            <w:pPr>
              <w:pStyle w:val="TAN"/>
              <w:rPr>
                <w:lang w:eastAsia="en-US"/>
              </w:rPr>
            </w:pPr>
            <w:r>
              <w:rPr>
                <w:lang w:eastAsia="en-US"/>
              </w:rPr>
              <w:t>NOTE 3:</w:t>
              <w:tab/>
              <w:t>Applicable for dual-mode GSM/UMTS.</w:t>
            </w:r>
          </w:p>
          <w:p>
            <w:pPr>
              <w:pStyle w:val="TAN"/>
              <w:rPr/>
            </w:pPr>
            <w:r>
              <w:rPr>
                <w:lang w:eastAsia="en-US"/>
              </w:rPr>
              <w:t>NOTE 4:</w:t>
              <w:tab/>
              <w:t xml:space="preserve">For </w:t>
            </w:r>
            <w:r>
              <w:rPr>
                <w:lang w:eastAsia="ko-KR"/>
              </w:rPr>
              <w:t>the UE which supports DB-DC-HSDPA config</w:t>
            </w:r>
            <w:r>
              <w:rPr>
                <w:lang w:eastAsia="en-US"/>
              </w:rPr>
              <w:t>uration 2, average</w:t>
            </w:r>
            <w:r>
              <w:rPr>
                <w:lang w:eastAsia="ko-KR"/>
              </w:rPr>
              <w:t xml:space="preserve"> </w:t>
            </w:r>
            <w:r>
              <w:rPr>
                <w:lang w:eastAsia="en-US"/>
              </w:rPr>
              <w:t xml:space="preserve">&lt;REFÎor&gt; level of -98 dBm/3.84 MHz and max &lt;REFÎor&gt; level of -95 dBm/3.84 MHz </w:t>
            </w:r>
            <w:r>
              <w:rPr>
                <w:lang w:eastAsia="ko-KR"/>
              </w:rPr>
              <w:t>shall apply for Band II.</w:t>
            </w:r>
          </w:p>
          <w:p>
            <w:pPr>
              <w:pStyle w:val="TAN"/>
              <w:rPr/>
            </w:pPr>
            <w:r>
              <w:rPr>
                <w:lang w:eastAsia="en-US"/>
              </w:rPr>
              <w:t>NOTE 5:</w:t>
              <w:tab/>
              <w:t xml:space="preserve">For the UE which supports DB-DC-HSDPA configuration 2, average &lt;REFÎor&gt; level of -100 dBm/3.84 MHz and max &lt;REFÎor&gt; level of -97 dBm/3.84 MHz </w:t>
            </w:r>
            <w:r>
              <w:rPr>
                <w:lang w:eastAsia="ko-KR"/>
              </w:rPr>
              <w:t>shall apply for Band IV.</w:t>
            </w:r>
            <w:r>
              <w:rPr>
                <w:lang w:eastAsia="en-US"/>
              </w:rPr>
              <w:t xml:space="preserve"> </w:t>
            </w:r>
          </w:p>
          <w:p>
            <w:pPr>
              <w:pStyle w:val="TAN"/>
              <w:rPr/>
            </w:pPr>
            <w:r>
              <w:rPr>
                <w:rFonts w:cs="Arial"/>
                <w:lang w:eastAsia="en-US"/>
              </w:rPr>
              <w:t>NOTE 6:</w:t>
              <w:tab/>
              <w:t>Applicable for devices narrower than 72mm as defined in TR 25.914.</w:t>
            </w:r>
          </w:p>
          <w:p>
            <w:pPr>
              <w:pStyle w:val="TAN"/>
              <w:rPr>
                <w:lang w:eastAsia="en-US"/>
              </w:rPr>
            </w:pPr>
            <w:r>
              <w:rPr>
                <w:rFonts w:cs="Arial"/>
                <w:lang w:eastAsia="en-US"/>
              </w:rPr>
              <w:t>NOTE 7:</w:t>
              <w:tab/>
              <w:t>Not applicable for devices supporting CDMA or carrier aggregation.</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Heading3"/>
        <w:rPr/>
      </w:pPr>
      <w:bookmarkStart w:id="245" w:name="__RefHeading___Toc68601177"/>
      <w:bookmarkEnd w:id="245"/>
      <w:r>
        <w:rPr>
          <w:lang w:eastAsia="zh-CN"/>
        </w:rPr>
        <w:t>7</w:t>
      </w:r>
      <w:r>
        <w:rPr/>
        <w:t>.1.4</w:t>
        <w:tab/>
        <w:t>Total Radiated Sensitivity (TRS) for UTRA LCR TDD in Speech Mode with beside the Head and Hand Phantom</w:t>
      </w:r>
    </w:p>
    <w:p>
      <w:pPr>
        <w:pStyle w:val="EditorsNote"/>
        <w:rPr/>
      </w:pPr>
      <w:r>
        <w:rPr/>
        <w:t>Editor’s notes: This subclause is incomplete. The following items are missing or incomplete:</w:t>
      </w:r>
    </w:p>
    <w:p>
      <w:pPr>
        <w:pStyle w:val="EditorsNote"/>
        <w:numPr>
          <w:ilvl w:val="0"/>
          <w:numId w:val="15"/>
        </w:numPr>
        <w:rPr/>
      </w:pPr>
      <w:r>
        <w:rPr/>
        <w:t>Table 7.1.4.2-1 and 7.1.5.4-1 as they are not specified in TS 37.144 yet</w:t>
      </w:r>
    </w:p>
    <w:p>
      <w:pPr>
        <w:pStyle w:val="Normal"/>
        <w:rPr/>
      </w:pPr>
      <w:r>
        <w:rPr/>
      </w:r>
    </w:p>
    <w:p>
      <w:pPr>
        <w:pStyle w:val="Heading4"/>
        <w:ind w:left="1418" w:hanging="1418"/>
        <w:rPr/>
      </w:pPr>
      <w:bookmarkStart w:id="246" w:name="__RefHeading___Toc68601178"/>
      <w:bookmarkEnd w:id="246"/>
      <w:r>
        <w:rPr/>
        <w:t>7.1.4.1</w:t>
      </w:r>
      <w:r>
        <w:rPr>
          <w:rFonts w:cs="Calibri" w:ascii="Calibri" w:hAnsi="Calibri"/>
          <w:sz w:val="22"/>
          <w:szCs w:val="22"/>
        </w:rPr>
        <w:tab/>
      </w:r>
      <w:r>
        <w:rPr/>
        <w:t>Definition and applicability</w:t>
      </w:r>
    </w:p>
    <w:p>
      <w:pPr>
        <w:pStyle w:val="Normal"/>
        <w:rPr/>
      </w:pPr>
      <w:r>
        <w:rPr/>
        <w:t>The Total Radiated Sensitivity is defined as: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4</m:t>
              </m:r>
              <m:r>
                <w:rPr>
                  <w:rFonts w:ascii="Cambria Math" w:hAnsi="Cambria Math"/>
                </w:rPr>
                <m:t xml:space="preserve">π</m:t>
              </m:r>
            </m:num>
            <m:den>
              <m:nary>
                <m:naryPr>
                  <m:chr m:val="∮"/>
                  <m:subHide m:val="1"/>
                  <m:supHide m:val="1"/>
                </m:naryPr>
                <m:sub/>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e>
                  </m:d>
                </m:e>
              </m:nary>
              <m:r>
                <w:rPr>
                  <w:rFonts w:ascii="Cambria Math" w:hAnsi="Cambria Math"/>
                </w:rPr>
                <m:t xml:space="preserve">d</m:t>
              </m:r>
              <m:r>
                <w:rPr>
                  <w:rFonts w:ascii="Cambria Math" w:hAnsi="Cambria Math"/>
                </w:rPr>
                <m:t xml:space="preserve">Ω</m:t>
              </m:r>
            </m:den>
          </m:f>
        </m:oMath>
      </m:oMathPara>
    </w:p>
    <w:p>
      <w:pPr>
        <w:pStyle w:val="Normal"/>
        <w:rPr/>
      </w:pPr>
      <w:r>
        <w:rPr/>
        <w:t>Where the effective isotropic sensitivity (</w:t>
      </w:r>
      <w:r>
        <w:rPr>
          <w:i/>
          <w:iCs/>
        </w:rPr>
        <w:t>EIS</w:t>
      </w:r>
      <w:r>
        <w:rPr/>
        <w:t xml:space="preserve">) is defined as the power available at the antenna output such as the sensitivity threshold is achieved for each polarization.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r>
          <w:rPr>
            <w:rFonts w:ascii="Cambria Math" w:hAnsi="Cambria Math"/>
          </w:rPr>
          <m:t xml:space="preserve">f</m:t>
        </m:r>
      </m:oMath>
      <w:r>
        <w:rPr/>
        <w:t xml:space="preserve"> is frequency.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 are the orthogonal polarizations.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2</m:t>
              </m:r>
              <m:r>
                <m:rPr>
                  <m:lit/>
                  <m:nor/>
                </m:rPr>
                <w:rPr>
                  <w:rFonts w:ascii="Cambria Math" w:hAnsi="Cambria Math"/>
                </w:rPr>
                <m:t xml:space="preserve">NM</m:t>
              </m:r>
            </m:num>
            <m:den>
              <m:r>
                <w:rPr>
                  <w:rFonts w:ascii="Cambria Math" w:hAnsi="Cambria Math"/>
                </w:rPr>
                <m:t xml:space="preserve">π</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e>
                      </m:d>
                      <m:r>
                        <m:rPr>
                          <m:lit/>
                          <m:nor/>
                        </m:rPr>
                        <w:rPr>
                          <w:rFonts w:ascii="Cambria Math" w:hAnsi="Cambria Math"/>
                        </w:rPr>
                        <m:t xml:space="preserve">sin</m:t>
                      </m:r>
                      <m:d>
                        <m:dPr>
                          <m:begChr m:val="("/>
                          <m:endChr m:val=")"/>
                        </m:dPr>
                        <m:e>
                          <m:sSub>
                            <m:e>
                              <m:r>
                                <w:rPr>
                                  <w:rFonts w:ascii="Cambria Math" w:hAnsi="Cambria Math"/>
                                </w:rPr>
                                <m:t xml:space="preserve">θ</m:t>
                              </m:r>
                            </m:e>
                            <m:sub>
                              <m:r>
                                <w:rPr>
                                  <w:rFonts w:ascii="Cambria Math" w:hAnsi="Cambria Math"/>
                                </w:rPr>
                                <m:t xml:space="preserve">n</m:t>
                              </m:r>
                            </m:sub>
                          </m:sSub>
                        </m:e>
                      </m:d>
                    </m:e>
                  </m:nary>
                </m:e>
              </m:nary>
            </m:den>
          </m:f>
        </m:oMath>
      </m:oMathPara>
    </w:p>
    <w:p>
      <w:pPr>
        <w:pStyle w:val="Normal"/>
        <w:rPr/>
      </w:pPr>
      <w:r>
        <w:rPr/>
        <w:t xml:space="preserve">In these formulas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are the number of sampling intervals for theta and phi.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oMath>
      <w:r>
        <w:rPr/>
        <w:t xml:space="preserve"> are the measurement angles. The sampling intervals are discussed further in Subclause 4.4.</w:t>
      </w:r>
    </w:p>
    <w:p>
      <w:pPr>
        <w:pStyle w:val="Normal"/>
        <w:rPr/>
      </w:pPr>
      <w:r>
        <w:rPr/>
        <w:t>The TRS can also be calculated from measurements in a Rayleigh fading 3 dimensional isotropic environment with in average uniform elevation and azimuth distribution. The calculation of the TRS is in this case based on searching for the lowest power received by the UE/MS for a discrete number of field combinations in the chamber that gives a BER that is better than the specified target BER level. By calibrating the average power transfer function, an absolute value of the TRS can be obtained. The following expression can be used to find the TRS.</w:t>
      </w:r>
    </w:p>
    <w:p>
      <w:pPr>
        <w:pStyle w:val="EQ"/>
        <w:rPr>
          <w:lang w:val="en-GB" w:eastAsia="en-GB"/>
        </w:rPr>
      </w:pPr>
      <w:r>
        <w:rPr>
          <w:lang w:val="en-GB" w:eastAsia="en-GB"/>
        </w:rPr>
      </w:r>
      <m:oMathPara xmlns:m="http://schemas.openxmlformats.org/officeDocument/2006/math">
        <m:oMathParaPr>
          <m:jc m:val="left"/>
        </m:oMathParaPr>
        <m:oMath>
          <m:r>
            <m:rPr>
              <m:lit/>
              <m:nor/>
            </m:rPr>
            <w:rPr>
              <w:rFonts w:ascii="Cambria Math" w:hAnsi="Cambria Math"/>
            </w:rPr>
            <m:t xml:space="preserve">TRS</m:t>
          </m:r>
          <m:r>
            <w:rPr>
              <w:rFonts w:ascii="Cambria Math" w:hAnsi="Cambria Math"/>
            </w:rPr>
            <m:t xml:space="preserve">≈</m:t>
          </m:r>
          <m:r>
            <w:rPr>
              <w:rFonts w:ascii="Cambria Math" w:hAnsi="Cambria Math"/>
            </w:rPr>
            <m:t xml:space="preserve">2</m:t>
          </m:r>
          <m:r>
            <w:rPr>
              <w:rFonts w:ascii="Cambria Math" w:hAnsi="Cambria Math"/>
            </w:rPr>
            <m:t xml:space="preserve">N</m:t>
          </m:r>
          <m:f>
            <m:num>
              <m:sSup>
                <m:e>
                  <m:d>
                    <m:dPr>
                      <m:begChr m:val="("/>
                      <m:endChr m:val=")"/>
                    </m:dPr>
                    <m:e>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w:rPr>
                                      <w:rFonts w:ascii="Cambria Math" w:hAnsi="Cambria Math"/>
                                    </w:rPr>
                                    <m:t xml:space="preserve">C</m:t>
                                  </m:r>
                                </m:e>
                                <m:sub>
                                  <m:r>
                                    <w:rPr>
                                      <w:rFonts w:ascii="Cambria Math" w:hAnsi="Cambria Math"/>
                                    </w:rPr>
                                    <m:t xml:space="preserve">n</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sSub>
                                <m:e>
                                  <m:r>
                                    <w:rPr>
                                      <w:rFonts w:ascii="Cambria Math" w:hAnsi="Cambria Math"/>
                                    </w:rPr>
                                    <m:t xml:space="preserve">P</m:t>
                                  </m:r>
                                </m:e>
                                <m:sub>
                                  <m:r>
                                    <m:rPr>
                                      <m:lit/>
                                      <m:nor/>
                                    </m:rPr>
                                    <w:rPr>
                                      <w:rFonts w:ascii="Cambria Math" w:hAnsi="Cambria Math"/>
                                    </w:rPr>
                                    <m:t xml:space="preserve">thres</m:t>
                                  </m:r>
                                  <m:r>
                                    <w:rPr>
                                      <w:rFonts w:ascii="Cambria Math" w:hAnsi="Cambria Math"/>
                                    </w:rPr>
                                    <m:t xml:space="preserve">,</m:t>
                                  </m:r>
                                  <m:r>
                                    <w:rPr>
                                      <w:rFonts w:ascii="Cambria Math" w:hAnsi="Cambria Math"/>
                                    </w:rPr>
                                    <m:t xml:space="preserve">n</m:t>
                                  </m:r>
                                </m:sub>
                              </m:sSub>
                            </m:e>
                          </m:d>
                        </m:e>
                      </m:nary>
                    </m:e>
                  </m:d>
                </m:e>
                <m:sup>
                  <m:r>
                    <w:rPr>
                      <w:rFonts w:ascii="Cambria Math" w:hAnsi="Cambria Math"/>
                    </w:rPr>
                    <m:t xml:space="preserve">−</m:t>
                  </m:r>
                  <m:r>
                    <w:rPr>
                      <w:rFonts w:ascii="Cambria Math" w:hAnsi="Cambria Math"/>
                    </w:rPr>
                    <m:t xml:space="preserve">1</m:t>
                  </m:r>
                </m:sup>
              </m:sSup>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e>
              </m:nary>
            </m:den>
          </m:f>
        </m:oMath>
      </m:oMathPara>
    </w:p>
    <w:p>
      <w:pPr>
        <w:pStyle w:val="Normal"/>
        <w:rPr/>
      </w:pPr>
      <w:r>
        <w:rPr/>
        <w:t xml:space="preserve">where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oMath>
      <w:r>
        <w:rPr/>
        <w:t xml:space="preserve"> is the reference power transfer function for fixed measurement antenna n, </w:t>
      </w:r>
      <w:r>
        <w:rPr/>
      </w:r>
      <m:oMath xmlns:m="http://schemas.openxmlformats.org/officeDocument/2006/math">
        <m:sSub>
          <m:e>
            <m:r>
              <w:rPr>
                <w:rFonts w:ascii="Cambria Math" w:hAnsi="Cambria Math"/>
              </w:rPr>
              <m:t xml:space="preserve">R</m:t>
            </m:r>
          </m:e>
          <m:sub>
            <m:r>
              <w:rPr>
                <w:rFonts w:ascii="Cambria Math" w:hAnsi="Cambria Math"/>
              </w:rPr>
              <m:t xml:space="preserve">n</m:t>
            </m:r>
          </m:sub>
        </m:sSub>
      </m:oMath>
      <w:r>
        <w:rPr/>
        <w:t xml:space="preserve"> is the reflection coefficient for fixed measurement antenna n and </w:t>
      </w:r>
      <w:r>
        <w:rPr/>
      </w:r>
      <m:oMath xmlns:m="http://schemas.openxmlformats.org/officeDocument/2006/math">
        <m:sSub>
          <m:e>
            <m:r>
              <w:rPr>
                <w:rFonts w:ascii="Cambria Math" w:hAnsi="Cambria Math"/>
              </w:rPr>
              <m:t xml:space="preserve">C</m:t>
            </m:r>
          </m:e>
          <m:sub>
            <m:r>
              <w:rPr>
                <w:rFonts w:ascii="Cambria Math" w:hAnsi="Cambria Math"/>
              </w:rPr>
              <m:t xml:space="preserve">n</m:t>
            </m:r>
          </m:sub>
        </m:sSub>
      </m:oMath>
      <w:r>
        <w:rPr/>
        <w:t xml:space="preserve"> is the path loss in the cables connecting the measurement receiver to fixed measurement antenna n. These parameters are calculated from the calibration measurement and are further discussed in Annex B.2.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thres</m:t>
            </m:r>
            <m:r>
              <w:rPr>
                <w:rFonts w:ascii="Cambria Math" w:hAnsi="Cambria Math"/>
              </w:rPr>
              <m:t xml:space="preserve">,</m:t>
            </m:r>
            <m:r>
              <w:rPr>
                <w:rFonts w:ascii="Cambria Math" w:hAnsi="Cambria Math"/>
              </w:rPr>
              <m:t xml:space="preserve">n</m:t>
            </m:r>
          </m:sub>
        </m:sSub>
      </m:oMath>
      <w:r>
        <w:rPr/>
        <w:t xml:space="preserve"> is calculated by using the following equation:</w:t>
      </w:r>
    </w:p>
    <w:p>
      <w:pPr>
        <w:pStyle w:val="EQ"/>
        <w:rPr>
          <w:lang w:val="en-GB" w:eastAsia="en-GB"/>
        </w:rPr>
      </w:pPr>
      <w:r>
        <w:rPr>
          <w:lang w:val="en-GB" w:eastAsia="en-GB"/>
        </w:rPr>
      </w:r>
      <m:oMathPara xmlns:m="http://schemas.openxmlformats.org/officeDocument/2006/math">
        <m:oMathParaPr>
          <m:jc m:val="left"/>
        </m:oMathParaPr>
        <m:oMath>
          <m:sSub>
            <m:e>
              <m:r>
                <w:rPr>
                  <w:rFonts w:ascii="Cambria Math" w:hAnsi="Cambria Math"/>
                </w:rPr>
                <m:t xml:space="preserve">P</m:t>
              </m:r>
            </m:e>
            <m:sub>
              <m:r>
                <m:rPr>
                  <m:lit/>
                  <m:nor/>
                </m:rPr>
                <w:rPr>
                  <w:rFonts w:ascii="Cambria Math" w:hAnsi="Cambria Math"/>
                </w:rPr>
                <m:t xml:space="preserve">thres</m:t>
              </m:r>
              <m:r>
                <w:rPr>
                  <w:rFonts w:ascii="Cambria Math" w:hAnsi="Cambria Math"/>
                </w:rPr>
                <m:t xml:space="preserve">,</m:t>
              </m:r>
              <m:r>
                <w:rPr>
                  <w:rFonts w:ascii="Cambria Math" w:hAnsi="Cambria Math"/>
                </w:rPr>
                <m:t xml:space="preserve">n</m:t>
              </m:r>
            </m:sub>
          </m:sSub>
          <m:r>
            <w:rPr>
              <w:rFonts w:ascii="Cambria Math" w:hAnsi="Cambria Math"/>
            </w:rPr>
            <m:t xml:space="preserve">=</m:t>
          </m:r>
          <m:f>
            <m:num>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f>
                    <m:num>
                      <m:r>
                        <w:rPr>
                          <w:rFonts w:ascii="Cambria Math" w:hAnsi="Cambria Math"/>
                        </w:rPr>
                        <m:t xml:space="preserve">1</m:t>
                      </m:r>
                    </m:num>
                    <m:den>
                      <m:sSup>
                        <m:e>
                          <m:d>
                            <m:dPr>
                              <m:begChr m:val="|"/>
                              <m:endChr m:val="|"/>
                            </m:dPr>
                            <m:e>
                              <m:sSubSup>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up>
                                  <m:r>
                                    <m:rPr>
                                      <m:lit/>
                                      <m:nor/>
                                    </m:rPr>
                                    <w:rPr>
                                      <w:rFonts w:ascii="Cambria Math" w:hAnsi="Cambria Math"/>
                                    </w:rPr>
                                    <m:t xml:space="preserve">thres</m:t>
                                  </m:r>
                                </m:sup>
                              </m:sSubSup>
                            </m:e>
                          </m:d>
                        </m:e>
                        <m:sup>
                          <m:r>
                            <w:rPr>
                              <w:rFonts w:ascii="Cambria Math" w:hAnsi="Cambria Math"/>
                            </w:rPr>
                            <m:t xml:space="preserve">2</m:t>
                          </m:r>
                        </m:sup>
                      </m:sSup>
                    </m:den>
                  </m:f>
                </m:e>
              </m:nary>
            </m:num>
            <m:den>
              <m:r>
                <w:rPr>
                  <w:rFonts w:ascii="Cambria Math" w:hAnsi="Cambria Math"/>
                </w:rPr>
                <m:t xml:space="preserve">M</m:t>
              </m:r>
            </m:den>
          </m:f>
        </m:oMath>
      </m:oMathPara>
    </w:p>
    <w:p>
      <w:pPr>
        <w:pStyle w:val="Normal"/>
        <w:rPr/>
      </w:pPr>
      <w:r>
        <w:rPr/>
        <w:t xml:space="preserve">where </w:t>
      </w:r>
      <w:r>
        <w:rPr/>
      </w:r>
      <m:oMath xmlns:m="http://schemas.openxmlformats.org/officeDocument/2006/math">
        <m:sSubSup>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up>
            <m:r>
              <m:rPr>
                <m:lit/>
                <m:nor/>
              </m:rPr>
              <w:rPr>
                <w:rFonts w:ascii="Cambria Math" w:hAnsi="Cambria Math"/>
              </w:rPr>
              <m:t xml:space="preserve">thres</m:t>
            </m:r>
          </m:sup>
        </m:sSubSup>
      </m:oMath>
      <w:r>
        <w:rPr/>
        <w:t xml:space="preserve"> is the m:th value of the transfer function for fixed measurement antenna n, which gives the BER threshold. </w:t>
      </w:r>
      <w:r>
        <w:rPr/>
      </w:r>
      <m:oMath xmlns:m="http://schemas.openxmlformats.org/officeDocument/2006/math">
        <m:r>
          <w:rPr>
            <w:rFonts w:ascii="Cambria Math" w:hAnsi="Cambria Math"/>
          </w:rPr>
          <m:t xml:space="preserve">M</m:t>
        </m:r>
      </m:oMath>
      <w:r>
        <w:rPr/>
        <w:t xml:space="preserve"> is the total number of values of the BER threshold power measured for each fixed measurement antenna.</w:t>
      </w:r>
    </w:p>
    <w:p>
      <w:pPr>
        <w:pStyle w:val="Normal"/>
        <w:rPr/>
      </w:pPr>
      <w:r>
        <w:rPr>
          <w:lang w:eastAsia="zh-CN"/>
        </w:rPr>
        <w:t>The requirements and this test apply to all types of UTRA for the TDD UE</w:t>
      </w:r>
      <w:r>
        <w:rPr/>
        <w:t xml:space="preserve"> for Release </w:t>
      </w:r>
      <w:r>
        <w:rPr>
          <w:lang w:eastAsia="zh-CN"/>
        </w:rPr>
        <w:t>8</w:t>
      </w:r>
      <w:r>
        <w:rPr/>
        <w:t xml:space="preserve"> and later releases.</w:t>
      </w:r>
    </w:p>
    <w:p>
      <w:pPr>
        <w:pStyle w:val="Heading4"/>
        <w:ind w:left="1418" w:hanging="1418"/>
        <w:rPr/>
      </w:pPr>
      <w:bookmarkStart w:id="247" w:name="__RefHeading___Toc68601179"/>
      <w:bookmarkEnd w:id="247"/>
      <w:r>
        <w:rPr/>
        <w:t>7.1.4.2</w:t>
      </w:r>
      <w:r>
        <w:rPr>
          <w:rFonts w:cs="Calibri" w:ascii="Calibri" w:hAnsi="Calibri"/>
          <w:sz w:val="22"/>
          <w:szCs w:val="22"/>
        </w:rPr>
        <w:tab/>
      </w:r>
      <w:r>
        <w:rPr/>
        <w:t>Minimum Requirements</w:t>
      </w:r>
    </w:p>
    <w:p>
      <w:pPr>
        <w:pStyle w:val="Normal"/>
        <w:jc w:val="both"/>
        <w:rPr/>
      </w:pPr>
      <w:r>
        <w:rPr/>
        <w:t>The average measured total radiated sensitivity (TRS) of low, mid and high channel for handheld UE shall be lower than the average TRS requirement specified in Table 7.1.4.2-1. The averaging shall be done in linear scale for the TRS results of both right and left side of the phantom head. Average TRS requirement is shown in the column “Average” on the requirement tables.</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6</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e>
              </m:d>
            </m:e>
          </m:d>
        </m:oMath>
      </m:oMathPara>
    </w:p>
    <w:p>
      <w:pPr>
        <w:pStyle w:val="Normal"/>
        <w:rPr/>
      </w:pPr>
      <w:r>
        <w:rPr/>
        <w:t>In addition the highest TRS of each measured channel shall be lower than maximum TRS requirement specified in Table 7.1.5.2-1. Maximum TRS requirement is shown in the column “Max” on the requirement tables.</w:t>
      </w:r>
    </w:p>
    <w:p>
      <w:pPr>
        <w:pStyle w:val="Normal"/>
        <w:keepLines/>
        <w:tabs>
          <w:tab w:val="clear" w:pos="284"/>
          <w:tab w:val="center" w:pos="4536" w:leader="none"/>
          <w:tab w:val="right" w:pos="9072" w:leader="none"/>
        </w:tabs>
        <w:jc w:val="center"/>
        <w:rPr/>
      </w:pPr>
      <w:r>
        <w:rPr/>
        <w:drawing>
          <wp:inline distT="0" distB="0" distL="0" distR="0">
            <wp:extent cx="5283200" cy="241300"/>
            <wp:effectExtent l="0" t="0" r="0" b="0"/>
            <wp:docPr id="3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 descr=""/>
                    <pic:cNvPicPr>
                      <a:picLocks noChangeAspect="1" noChangeArrowheads="1"/>
                    </pic:cNvPicPr>
                  </pic:nvPicPr>
                  <pic:blipFill>
                    <a:blip r:embed="rId22"/>
                    <a:srcRect l="-7" t="-149" r="-7" b="-149"/>
                    <a:stretch>
                      <a:fillRect/>
                    </a:stretch>
                  </pic:blipFill>
                  <pic:spPr bwMode="auto">
                    <a:xfrm>
                      <a:off x="0" y="0"/>
                      <a:ext cx="5283200" cy="241300"/>
                    </a:xfrm>
                    <a:prstGeom prst="rect">
                      <a:avLst/>
                    </a:prstGeom>
                  </pic:spPr>
                </pic:pic>
              </a:graphicData>
            </a:graphic>
          </wp:inline>
        </w:drawing>
      </w:r>
    </w:p>
    <w:p>
      <w:pPr>
        <w:pStyle w:val="TH"/>
        <w:rPr/>
      </w:pPr>
      <w:r>
        <w:rPr/>
        <w:t>Table 7.1.4.2-1: TRS minimum requirements for UTRA LCR TDD roaming bands in the speech position for the primary mechanical mode</w:t>
      </w:r>
    </w:p>
    <w:tbl>
      <w:tblPr>
        <w:tblW w:w="4939" w:type="dxa"/>
        <w:jc w:val="center"/>
        <w:tblInd w:w="0" w:type="dxa"/>
        <w:tblLayout w:type="fixed"/>
        <w:tblCellMar>
          <w:top w:w="0" w:type="dxa"/>
          <w:left w:w="108" w:type="dxa"/>
          <w:bottom w:w="0" w:type="dxa"/>
          <w:right w:w="108" w:type="dxa"/>
        </w:tblCellMar>
      </w:tblPr>
      <w:tblGrid>
        <w:gridCol w:w="1714"/>
        <w:gridCol w:w="1559"/>
        <w:gridCol w:w="1027"/>
        <w:gridCol w:w="639"/>
      </w:tblGrid>
      <w:tr>
        <w:trPr>
          <w:trHeight w:val="317" w:hRule="atLeast"/>
        </w:trPr>
        <w:tc>
          <w:tcPr>
            <w:tcW w:w="1714" w:type="dxa"/>
            <w:vMerge w:val="restart"/>
            <w:tcBorders>
              <w:top w:val="single" w:sz="4" w:space="0" w:color="000000"/>
              <w:left w:val="single" w:sz="4" w:space="0" w:color="000000"/>
              <w:right w:val="single" w:sz="4" w:space="0" w:color="000000"/>
            </w:tcBorders>
          </w:tcPr>
          <w:p>
            <w:pPr>
              <w:pStyle w:val="TAH"/>
              <w:rPr>
                <w:lang w:eastAsia="en-US"/>
              </w:rPr>
            </w:pPr>
            <w:r>
              <w:rPr>
                <w:lang w:eastAsia="en-US"/>
              </w:rPr>
              <w:t xml:space="preserve">Operating band </w:t>
            </w:r>
          </w:p>
        </w:tc>
        <w:tc>
          <w:tcPr>
            <w:tcW w:w="1559" w:type="dxa"/>
            <w:vMerge w:val="restart"/>
            <w:tcBorders>
              <w:top w:val="single" w:sz="4" w:space="0" w:color="000000"/>
              <w:left w:val="single" w:sz="4" w:space="0" w:color="000000"/>
              <w:right w:val="single" w:sz="4" w:space="0" w:color="000000"/>
            </w:tcBorders>
          </w:tcPr>
          <w:p>
            <w:pPr>
              <w:pStyle w:val="TAH"/>
              <w:rPr>
                <w:lang w:eastAsia="en-US"/>
              </w:rPr>
            </w:pPr>
            <w:r>
              <w:rPr>
                <w:lang w:eastAsia="en-US"/>
              </w:rPr>
              <w:t xml:space="preserve">Unit </w:t>
            </w:r>
          </w:p>
        </w:tc>
        <w:tc>
          <w:tcPr>
            <w:tcW w:w="1666"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&lt;REFÎor&gt; </w:t>
            </w:r>
          </w:p>
        </w:tc>
      </w:tr>
      <w:tr>
        <w:trPr>
          <w:trHeight w:val="266" w:hRule="atLeast"/>
        </w:trPr>
        <w:tc>
          <w:tcPr>
            <w:tcW w:w="1714" w:type="dxa"/>
            <w:vMerge w:val="continue"/>
            <w:tcBorders>
              <w:top w:val="single" w:sz="4" w:space="0" w:color="000000"/>
              <w:left w:val="single" w:sz="4" w:space="0" w:color="000000"/>
              <w:right w:val="single" w:sz="4" w:space="0" w:color="000000"/>
            </w:tcBorders>
          </w:tcPr>
          <w:p>
            <w:pPr>
              <w:pStyle w:val="TAH"/>
              <w:snapToGrid w:val="false"/>
              <w:rPr>
                <w:lang w:eastAsia="en-US"/>
              </w:rPr>
            </w:pPr>
            <w:r>
              <w:rPr>
                <w:lang w:eastAsia="en-US"/>
              </w:rPr>
            </w:r>
          </w:p>
        </w:tc>
        <w:tc>
          <w:tcPr>
            <w:tcW w:w="1559" w:type="dxa"/>
            <w:vMerge w:val="continue"/>
            <w:tcBorders>
              <w:top w:val="single" w:sz="4" w:space="0" w:color="000000"/>
              <w:left w:val="single" w:sz="4" w:space="0" w:color="000000"/>
              <w:right w:val="single" w:sz="4" w:space="0" w:color="000000"/>
            </w:tcBorders>
          </w:tcPr>
          <w:p>
            <w:pPr>
              <w:pStyle w:val="TAH"/>
              <w:snapToGrid w:val="false"/>
              <w:rPr>
                <w:lang w:eastAsia="en-US"/>
              </w:rPr>
            </w:pPr>
            <w:r>
              <w:rPr>
                <w:lang w:eastAsia="en-US"/>
              </w:rPr>
            </w:r>
          </w:p>
        </w:tc>
        <w:tc>
          <w:tcPr>
            <w:tcW w:w="102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Average </w:t>
            </w:r>
          </w:p>
        </w:tc>
        <w:tc>
          <w:tcPr>
            <w:tcW w:w="63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Max </w:t>
            </w:r>
          </w:p>
        </w:tc>
      </w:tr>
      <w:tr>
        <w:trPr>
          <w:trHeight w:val="218" w:hRule="atLeast"/>
        </w:trPr>
        <w:tc>
          <w:tcPr>
            <w:tcW w:w="171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a</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 xml:space="preserve">dBm/1.28 MHz </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63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218" w:hRule="atLeast"/>
        </w:trPr>
        <w:tc>
          <w:tcPr>
            <w:tcW w:w="171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b</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dBm/1.28 MHz</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63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218" w:hRule="atLeast"/>
        </w:trPr>
        <w:tc>
          <w:tcPr>
            <w:tcW w:w="171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c</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dBm/1.28 MHz</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63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218" w:hRule="atLeast"/>
        </w:trPr>
        <w:tc>
          <w:tcPr>
            <w:tcW w:w="171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dBm/1.28 MHz</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63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218" w:hRule="atLeast"/>
        </w:trPr>
        <w:tc>
          <w:tcPr>
            <w:tcW w:w="171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e</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dBm/1.28 MHz</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63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218" w:hRule="atLeast"/>
        </w:trPr>
        <w:tc>
          <w:tcPr>
            <w:tcW w:w="171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f</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dBm/1.28 MHz</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63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220" w:hRule="atLeast"/>
        </w:trPr>
        <w:tc>
          <w:tcPr>
            <w:tcW w:w="4939" w:type="dxa"/>
            <w:gridSpan w:val="4"/>
            <w:tcBorders>
              <w:left w:val="single" w:sz="4" w:space="0" w:color="000000"/>
              <w:bottom w:val="single" w:sz="4" w:space="0" w:color="000000"/>
              <w:right w:val="single" w:sz="4" w:space="0" w:color="000000"/>
            </w:tcBorders>
            <w:vAlign w:val="center"/>
          </w:tcPr>
          <w:p>
            <w:pPr>
              <w:pStyle w:val="TAN"/>
              <w:rPr>
                <w:lang w:eastAsia="en-US"/>
              </w:rPr>
            </w:pPr>
            <w:r>
              <w:rPr>
                <w:lang w:eastAsia="en-US"/>
              </w:rPr>
              <w:t xml:space="preserve">Note: </w:t>
              <w:tab/>
              <w:t xml:space="preserve">Applicable for dual-mode GSM/UTRA LCR TDD. </w:t>
            </w:r>
          </w:p>
        </w:tc>
      </w:tr>
    </w:tbl>
    <w:p>
      <w:pPr>
        <w:pStyle w:val="Normal"/>
        <w:rPr/>
      </w:pPr>
      <w:r>
        <w:rPr/>
      </w:r>
    </w:p>
    <w:p>
      <w:pPr>
        <w:pStyle w:val="Normal"/>
        <w:rPr/>
      </w:pPr>
      <w:r>
        <w:rPr/>
        <w:t>The normative reference for this clause is TS 37.144 [12] Subclause 7.1.2.2.</w:t>
      </w:r>
    </w:p>
    <w:p>
      <w:pPr>
        <w:pStyle w:val="Heading4"/>
        <w:ind w:left="1418" w:hanging="1418"/>
        <w:rPr/>
      </w:pPr>
      <w:bookmarkStart w:id="248" w:name="__RefHeading___Toc68601180"/>
      <w:bookmarkEnd w:id="248"/>
      <w:r>
        <w:rPr/>
        <w:t>7.1.4.3</w:t>
      </w:r>
      <w:r>
        <w:rPr>
          <w:rFonts w:cs="Calibri" w:ascii="Calibri" w:hAnsi="Calibri"/>
          <w:sz w:val="22"/>
          <w:szCs w:val="22"/>
        </w:rPr>
        <w:tab/>
      </w:r>
      <w:r>
        <w:rPr/>
        <w:t>Test purpose</w:t>
      </w:r>
    </w:p>
    <w:p>
      <w:pPr>
        <w:pStyle w:val="Normal"/>
        <w:rPr/>
      </w:pPr>
      <w:r>
        <w:rPr/>
        <w:t xml:space="preserve">The purpose of this test is to ensure that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max</m:t>
            </m:r>
          </m:sub>
        </m:sSub>
      </m:oMath>
      <w:r>
        <w:rPr/>
        <w:t xml:space="preserve"> of the UE is above specified limit. The lack of the reception sensitivity decreases the coverage area at the far side from Node B.</w:t>
      </w:r>
    </w:p>
    <w:p>
      <w:pPr>
        <w:pStyle w:val="Heading4"/>
        <w:ind w:left="1418" w:hanging="1418"/>
        <w:rPr/>
      </w:pPr>
      <w:bookmarkStart w:id="249" w:name="__RefHeading___Toc68601181"/>
      <w:bookmarkEnd w:id="249"/>
      <w:r>
        <w:rPr/>
        <w:t>7.1.5.4</w:t>
      </w:r>
      <w:r>
        <w:rPr>
          <w:rFonts w:cs="Calibri" w:ascii="Calibri" w:hAnsi="Calibri"/>
          <w:sz w:val="22"/>
          <w:szCs w:val="22"/>
        </w:rPr>
        <w:tab/>
      </w:r>
      <w:r>
        <w:rPr/>
        <w:t>Method of test</w:t>
      </w:r>
    </w:p>
    <w:p>
      <w:pPr>
        <w:pStyle w:val="Heading4"/>
        <w:ind w:left="1418" w:hanging="1418"/>
        <w:rPr/>
      </w:pPr>
      <w:bookmarkStart w:id="250" w:name="__RefHeading___Toc68601182"/>
      <w:bookmarkEnd w:id="250"/>
      <w:r>
        <w:rPr/>
        <w:t>7.1.4.4.1</w:t>
      </w:r>
      <w:r>
        <w:rPr>
          <w:rFonts w:cs="Calibri" w:ascii="Calibri" w:hAnsi="Calibri"/>
          <w:sz w:val="22"/>
          <w:szCs w:val="22"/>
        </w:rPr>
        <w:tab/>
      </w:r>
      <w:r>
        <w:rPr/>
        <w:t>Initial conditions</w:t>
      </w:r>
    </w:p>
    <w:p>
      <w:pPr>
        <w:pStyle w:val="Normal"/>
        <w:rPr/>
      </w:pPr>
      <w:r>
        <w:rPr/>
        <w:t xml:space="preserve">A radio communications tester or a corresponding device is used as a NB simulator to setup calls to the DUT. The NB/BS simulator is also used to send test signals to the UE and measure the BER levels of the radio link and the information on the dedicated channel needed to extract the DUT receiver performances. </w:t>
      </w:r>
    </w:p>
    <w:p>
      <w:pPr>
        <w:pStyle w:val="Normal"/>
        <w:rPr>
          <w:lang w:eastAsia="ja-JP"/>
        </w:rPr>
      </w:pPr>
      <w:r>
        <w:rPr>
          <w:lang w:eastAsia="ja-JP"/>
        </w:rPr>
        <w:t>Chamber environment constraints and coordinate system shall be the same as described in Subclause A.3.</w:t>
      </w:r>
    </w:p>
    <w:p>
      <w:pPr>
        <w:pStyle w:val="Normal"/>
        <w:rPr>
          <w:lang w:eastAsia="zh-CN"/>
        </w:rPr>
      </w:pPr>
      <w:r>
        <w:rPr>
          <w:lang w:eastAsia="ja-JP"/>
        </w:rPr>
        <w:t>Phantom Specifications shall be the same as described in Subclause A.2.1 and A.2.2.</w:t>
      </w:r>
    </w:p>
    <w:p>
      <w:pPr>
        <w:pStyle w:val="Normal"/>
        <w:rPr/>
      </w:pPr>
      <w:r>
        <w:rPr/>
        <w:t>Test environment: normal; see TS36.508 [10] Subclause 4.1.1.</w:t>
      </w:r>
    </w:p>
    <w:p>
      <w:pPr>
        <w:pStyle w:val="Normal"/>
        <w:rPr/>
      </w:pPr>
      <w:r>
        <w:rPr/>
        <w:t>Frequencies to be tested: low range, mid range, high range; see Table 5.2-2.</w:t>
      </w:r>
      <w:r>
        <w:rPr>
          <w:lang w:eastAsia="ja-JP"/>
        </w:rPr>
        <w:t xml:space="preserve"> </w:t>
      </w:r>
    </w:p>
    <w:p>
      <w:pPr>
        <w:pStyle w:val="Normal"/>
        <w:rPr>
          <w:lang w:eastAsia="ja-JP"/>
        </w:rPr>
      </w:pPr>
      <w:r>
        <w:rPr>
          <w:lang w:eastAsia="ja-JP"/>
        </w:rPr>
        <w:t>Positioning Requirements shall be the same as described in Subclause 4.3.</w:t>
      </w:r>
    </w:p>
    <w:p>
      <w:pPr>
        <w:pStyle w:val="B1"/>
        <w:rPr/>
      </w:pPr>
      <w:r>
        <w:rPr/>
        <w:t>1)</w:t>
        <w:tab/>
        <w:t>Position the UE according to the DUT positioning for speech mode specified in Subclause 4.3.3.</w:t>
      </w:r>
    </w:p>
    <w:p>
      <w:pPr>
        <w:pStyle w:val="Normal"/>
        <w:ind w:left="568" w:hanging="284"/>
        <w:rPr/>
      </w:pPr>
      <w:r>
        <w:rPr>
          <w:lang w:eastAsia="zh-CN"/>
        </w:rPr>
        <w:t>2)</w:t>
        <w:tab/>
        <w:t xml:space="preserve">Set the SS downlink physical channels according to </w:t>
      </w:r>
      <w:r>
        <w:rPr/>
        <w:t>settings in Table 7.1.4.4.1-1</w:t>
      </w:r>
      <w:r>
        <w:rPr>
          <w:lang w:eastAsia="zh-CN"/>
        </w:rPr>
        <w:t>. The DL power level should be set to ensure 0% BER at 12.2kbps data rate at the whole 3D initial scan.</w:t>
      </w:r>
    </w:p>
    <w:p>
      <w:pPr>
        <w:pStyle w:val="Normal"/>
        <w:ind w:left="568" w:hanging="284"/>
        <w:rPr>
          <w:lang w:eastAsia="zh-CN"/>
        </w:rPr>
      </w:pPr>
      <w:r>
        <w:rPr>
          <w:lang w:eastAsia="zh-CN"/>
        </w:rPr>
        <w:t>3)</w:t>
        <w:tab/>
        <w:t>Power on the UE.</w:t>
      </w:r>
    </w:p>
    <w:p>
      <w:pPr>
        <w:pStyle w:val="Normal"/>
        <w:ind w:left="568" w:hanging="284"/>
        <w:rPr>
          <w:lang w:eastAsia="zh-CN"/>
        </w:rPr>
      </w:pPr>
      <w:r>
        <w:rPr>
          <w:lang w:eastAsia="zh-CN"/>
        </w:rPr>
        <w:t>4)</w:t>
        <w:tab/>
        <w:t>A call is set up according to the Generic call setup procedure. The power control algorithm shall be set to Power Control Algorithm 2.</w:t>
      </w:r>
    </w:p>
    <w:p>
      <w:pPr>
        <w:pStyle w:val="Normal"/>
        <w:ind w:left="568" w:hanging="284"/>
        <w:rPr>
          <w:lang w:eastAsia="zh-CN"/>
        </w:rPr>
      </w:pPr>
      <w:r>
        <w:rPr>
          <w:lang w:eastAsia="zh-CN"/>
        </w:rPr>
        <w:t>5)</w:t>
        <w:tab/>
        <w:t>Enter the UE into loopback test mode and start the loopback test.</w:t>
      </w:r>
    </w:p>
    <w:p>
      <w:pPr>
        <w:pStyle w:val="Normal"/>
        <w:rPr/>
      </w:pPr>
      <w:r>
        <w:rPr/>
        <w:t xml:space="preserve">See TS 34.108 [4] and TS 34.109 [5] </w:t>
      </w:r>
      <w:r>
        <w:rPr>
          <w:lang w:eastAsia="zh-CN"/>
        </w:rPr>
        <w:t xml:space="preserve">and Annex C of TS 34.122 [8] </w:t>
      </w:r>
      <w:r>
        <w:rPr/>
        <w:t>for details regarding generic call setup procedure and loopback test.</w:t>
      </w:r>
    </w:p>
    <w:p>
      <w:pPr>
        <w:pStyle w:val="TH"/>
        <w:rPr/>
      </w:pPr>
      <w:r>
        <w:rPr/>
        <w:t>Table 7.1.4.4.1-1: Downlink Physical Channels transmitted during a connection</w:t>
      </w:r>
    </w:p>
    <w:tbl>
      <w:tblPr>
        <w:tblW w:w="5953" w:type="dxa"/>
        <w:jc w:val="left"/>
        <w:tblInd w:w="1553" w:type="dxa"/>
        <w:tblLayout w:type="fixed"/>
        <w:tblCellMar>
          <w:top w:w="0" w:type="dxa"/>
          <w:left w:w="108" w:type="dxa"/>
          <w:bottom w:w="0" w:type="dxa"/>
          <w:right w:w="108" w:type="dxa"/>
        </w:tblCellMar>
      </w:tblPr>
      <w:tblGrid>
        <w:gridCol w:w="2301"/>
        <w:gridCol w:w="2093"/>
        <w:gridCol w:w="1559"/>
      </w:tblGrid>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jc w:val="center"/>
              <w:rPr>
                <w:b/>
                <w:b/>
                <w:lang w:eastAsia="en-US"/>
              </w:rPr>
            </w:pPr>
            <w:r>
              <w:rPr>
                <w:b/>
                <w:lang w:eastAsia="en-US"/>
              </w:rPr>
              <w:t>Physical Channel</w:t>
            </w:r>
          </w:p>
        </w:tc>
        <w:tc>
          <w:tcPr>
            <w:tcW w:w="2093" w:type="dxa"/>
            <w:tcBorders>
              <w:top w:val="single" w:sz="6" w:space="0" w:color="000000"/>
              <w:left w:val="single" w:sz="6" w:space="0" w:color="000000"/>
              <w:bottom w:val="single" w:sz="6" w:space="0" w:color="000000"/>
              <w:right w:val="single" w:sz="6" w:space="0" w:color="000000"/>
            </w:tcBorders>
          </w:tcPr>
          <w:p>
            <w:pPr>
              <w:pStyle w:val="TAL1"/>
              <w:snapToGrid w:val="false"/>
              <w:jc w:val="center"/>
              <w:rPr>
                <w:b/>
                <w:b/>
                <w:lang w:eastAsia="en-US"/>
              </w:rPr>
            </w:pPr>
            <w:r>
              <w:rPr>
                <w:b/>
                <w:lang w:eastAsia="en-US"/>
              </w:rPr>
            </w:r>
          </w:p>
        </w:tc>
        <w:tc>
          <w:tcPr>
            <w:tcW w:w="1559" w:type="dxa"/>
            <w:tcBorders>
              <w:top w:val="single" w:sz="6" w:space="0" w:color="000000"/>
              <w:left w:val="single" w:sz="6" w:space="0" w:color="000000"/>
              <w:bottom w:val="single" w:sz="6" w:space="0" w:color="000000"/>
              <w:right w:val="single" w:sz="6" w:space="0" w:color="000000"/>
            </w:tcBorders>
          </w:tcPr>
          <w:p>
            <w:pPr>
              <w:pStyle w:val="TAL1"/>
              <w:jc w:val="center"/>
              <w:rPr>
                <w:b/>
                <w:b/>
                <w:lang w:eastAsia="en-US"/>
              </w:rPr>
            </w:pPr>
            <w:r>
              <w:rPr>
                <w:b/>
                <w:lang w:eastAsia="en-US"/>
              </w:rPr>
              <w:t>Power</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Ior</w:t>
            </w:r>
          </w:p>
        </w:tc>
        <w:tc>
          <w:tcPr>
            <w:tcW w:w="2093"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rFonts w:eastAsia="Arial"/>
                <w:lang w:eastAsia="en-US"/>
              </w:rPr>
              <w:t xml:space="preserve"> </w:t>
            </w:r>
            <w:r>
              <w:rPr>
                <w:lang w:eastAsia="en-US"/>
              </w:rPr>
              <w:t>-75 dBm</w:t>
            </w:r>
          </w:p>
        </w:tc>
        <w:tc>
          <w:tcPr>
            <w:tcW w:w="1559" w:type="dxa"/>
            <w:tcBorders>
              <w:top w:val="single" w:sz="6" w:space="0" w:color="000000"/>
              <w:left w:val="single" w:sz="6" w:space="0" w:color="000000"/>
              <w:bottom w:val="single" w:sz="6" w:space="0" w:color="000000"/>
              <w:right w:val="single" w:sz="6" w:space="0" w:color="000000"/>
            </w:tcBorders>
          </w:tcPr>
          <w:p>
            <w:pPr>
              <w:pStyle w:val="TAL1"/>
              <w:snapToGrid w:val="false"/>
              <w:rPr>
                <w:lang w:eastAsia="en-US"/>
              </w:rPr>
            </w:pPr>
            <w:r>
              <w:rPr>
                <w:lang w:eastAsia="en-US"/>
              </w:rPr>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DwPCH</w:t>
            </w:r>
          </w:p>
        </w:tc>
        <w:tc>
          <w:tcPr>
            <w:tcW w:w="2093"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DwPCH_Ec / Ior</w:t>
            </w:r>
          </w:p>
        </w:tc>
        <w:tc>
          <w:tcPr>
            <w:tcW w:w="1559"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0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pPr>
            <w:r>
              <w:rPr>
                <w:lang w:eastAsia="en-US"/>
              </w:rPr>
              <w:t>PCCPCH</w:t>
            </w:r>
          </w:p>
        </w:tc>
        <w:tc>
          <w:tcPr>
            <w:tcW w:w="2093"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w:t>
            </w:r>
            <w:r>
              <w:rPr>
                <w:lang w:eastAsia="en-US"/>
              </w:rPr>
              <w:t>P-CCPCH_Ec / Ior</w:t>
            </w:r>
          </w:p>
        </w:tc>
        <w:tc>
          <w:tcPr>
            <w:tcW w:w="1559"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-3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SCCPCH</w:t>
            </w:r>
          </w:p>
        </w:tc>
        <w:tc>
          <w:tcPr>
            <w:tcW w:w="2093"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w:t>
            </w:r>
            <w:r>
              <w:rPr>
                <w:lang w:eastAsia="en-US"/>
              </w:rPr>
              <w:t>S-CCPCH_Ec / Ior</w:t>
            </w:r>
          </w:p>
        </w:tc>
        <w:tc>
          <w:tcPr>
            <w:tcW w:w="1559"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-6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PICH</w:t>
            </w:r>
          </w:p>
        </w:tc>
        <w:tc>
          <w:tcPr>
            <w:tcW w:w="2093"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w:t>
            </w:r>
            <w:r>
              <w:rPr>
                <w:lang w:eastAsia="en-US"/>
              </w:rPr>
              <w:t>PICH_Ec / Ior</w:t>
            </w:r>
          </w:p>
        </w:tc>
        <w:tc>
          <w:tcPr>
            <w:tcW w:w="1559"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-6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FPACH</w:t>
            </w:r>
          </w:p>
        </w:tc>
        <w:tc>
          <w:tcPr>
            <w:tcW w:w="2093"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FPACH_Ec / Ior</w:t>
            </w:r>
          </w:p>
        </w:tc>
        <w:tc>
          <w:tcPr>
            <w:tcW w:w="1559"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-6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DL DPCH</w:t>
            </w:r>
          </w:p>
        </w:tc>
        <w:tc>
          <w:tcPr>
            <w:tcW w:w="2093"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w:t>
            </w:r>
            <w:r>
              <w:rPr>
                <w:lang w:eastAsia="en-US"/>
              </w:rPr>
              <w:t>DPCH_Ec / Ior</w:t>
            </w:r>
          </w:p>
        </w:tc>
        <w:tc>
          <w:tcPr>
            <w:tcW w:w="1559"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0 dB</w:t>
            </w:r>
          </w:p>
        </w:tc>
      </w:tr>
    </w:tbl>
    <w:p>
      <w:pPr>
        <w:pStyle w:val="Normal"/>
        <w:rPr/>
      </w:pPr>
      <w:r>
        <w:rPr/>
      </w:r>
    </w:p>
    <w:p>
      <w:pPr>
        <w:pStyle w:val="Heading4"/>
        <w:ind w:left="1418" w:hanging="1418"/>
        <w:rPr/>
      </w:pPr>
      <w:bookmarkStart w:id="251" w:name="__RefHeading___Toc68601183"/>
      <w:bookmarkEnd w:id="251"/>
      <w:r>
        <w:rPr/>
        <w:t>7.1.4.4.2</w:t>
      </w:r>
      <w:r>
        <w:rPr>
          <w:rFonts w:cs="Calibri" w:ascii="Calibri" w:hAnsi="Calibri"/>
          <w:sz w:val="22"/>
          <w:szCs w:val="22"/>
        </w:rPr>
        <w:tab/>
      </w:r>
      <w:r>
        <w:rPr/>
        <w:t>Procedure</w:t>
      </w:r>
    </w:p>
    <w:p>
      <w:pPr>
        <w:pStyle w:val="B1"/>
        <w:rPr/>
      </w:pPr>
      <w:r>
        <w:rPr/>
        <w:t>1)</w:t>
        <w:tab/>
        <w:t>Send continuously Up power control commands to the UE.</w:t>
      </w:r>
    </w:p>
    <w:p>
      <w:pPr>
        <w:pStyle w:val="B1"/>
        <w:rPr/>
      </w:pPr>
      <w:r>
        <w:rPr/>
        <w:t>2)</w:t>
        <w:tab/>
        <w:t>As the UE reaches maximum power, start sending PN15 data pattern.</w:t>
      </w:r>
    </w:p>
    <w:p>
      <w:pPr>
        <w:pStyle w:val="B1"/>
        <w:rPr/>
      </w:pPr>
      <w:r>
        <w:rPr/>
        <w:t>3)</w:t>
        <w:tab/>
        <w:t xml:space="preserve">Measure EIS from one measurement point. EIS is the power transmitted from one specific direction to the UE causing BER value of 1% </w:t>
      </w:r>
      <w:r>
        <w:rPr>
          <w:rFonts w:eastAsia="Symbol" w:cs="Symbol" w:ascii="Symbol" w:hAnsi="Symbol"/>
        </w:rPr>
        <w:t></w:t>
      </w:r>
      <w:r>
        <w:rPr/>
        <w:t xml:space="preserve"> 0.2% using 40000 or more bits; see Annex E.20. </w:t>
      </w:r>
      <w:r>
        <w:rPr>
          <w:color w:val="000000"/>
          <w:lang w:eastAsia="zh-CN"/>
        </w:rPr>
        <w:t>The DL power step size shall be no bigger than 0.5dB when the RF level is near the TDD UE sensitivity level.</w:t>
      </w:r>
    </w:p>
    <w:p>
      <w:pPr>
        <w:pStyle w:val="B1"/>
        <w:ind w:left="568" w:hanging="0"/>
        <w:rPr/>
      </w:pPr>
      <w:r>
        <w:rPr/>
        <w:t xml:space="preserve">NOTE: To meet BER value target DL power level can be changed using user’s freely selectable algorithm. </w:t>
      </w:r>
    </w:p>
    <w:p>
      <w:pPr>
        <w:pStyle w:val="B1"/>
        <w:ind w:left="284" w:hanging="0"/>
        <w:rPr/>
      </w:pPr>
      <w:r>
        <w:rPr/>
        <w:t>4)</w:t>
        <w:tab/>
        <w:t>Measure the EIS for every direction of selected sampling gird using two orthogonal polarizations to obtain TRS.</w:t>
      </w:r>
    </w:p>
    <w:p>
      <w:pPr>
        <w:pStyle w:val="B1"/>
        <w:rPr/>
      </w:pPr>
      <w:r>
        <w:rPr/>
        <w:t>5)</w:t>
        <w:tab/>
        <w:t>Calculate TRS using equations from Subclause 7.1.4.1.</w:t>
      </w:r>
    </w:p>
    <w:p>
      <w:pPr>
        <w:pStyle w:val="NO"/>
        <w:rPr/>
      </w:pPr>
      <w:r>
        <w:rPr/>
        <w:t>NOTE:</w:t>
        <w:tab/>
        <w:t>To speed up sensitivity measurements non standard setting (i.e. data speed, PCL, BER target) can be used in the measurements. However to obtain TRS result the measured EIS figures shall be normalized by</w:t>
      </w:r>
    </w:p>
    <w:p>
      <w:pPr>
        <w:pStyle w:val="EQ"/>
        <w:jc w:val="center"/>
        <w:rPr>
          <w:lang w:val="en-GB" w:eastAsia="en-GB"/>
        </w:rPr>
      </w:pPr>
      <w:r>
        <w:rPr>
          <w:lang w:val="en-GB" w:eastAsia="en-GB"/>
        </w:rPr>
      </w:r>
      <m:oMathPara xmlns:m="http://schemas.openxmlformats.org/officeDocument/2006/math">
        <m:oMathParaPr>
          <m:jc m:val="center"/>
        </m:oMathParaPr>
        <m:oMath>
          <m:r>
            <w:rPr>
              <w:rFonts w:ascii="Cambria Math" w:hAnsi="Cambria Math"/>
            </w:rPr>
            <m:t xml:space="preserve">Δ</m:t>
          </m:r>
          <m:bar>
            <m:barPr>
              <m:pos m:val="top"/>
            </m:barPr>
            <m:e>
              <m:r>
                <m:rPr>
                  <m:lit/>
                  <m:nor/>
                </m:rPr>
                <w:rPr>
                  <w:rFonts w:ascii="Cambria Math" w:hAnsi="Cambria Math"/>
                </w:rPr>
                <m:t xml:space="preserve">EIS</m:t>
              </m:r>
            </m:e>
          </m:ba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m:rPr>
                          <m:lit/>
                          <m:nor/>
                        </m:rPr>
                        <w:rPr>
                          <w:rFonts w:ascii="Cambria Math" w:hAnsi="Cambria Math"/>
                        </w:rPr>
                        <m:t xml:space="preserve">EISstd</m:t>
                      </m:r>
                    </m:e>
                    <m:sub>
                      <m:r>
                        <w:rPr>
                          <w:rFonts w:ascii="Cambria Math" w:hAnsi="Cambria Math"/>
                        </w:rPr>
                        <m:t xml:space="preserve">i</m:t>
                      </m:r>
                    </m:sub>
                  </m:sSub>
                  <m:r>
                    <w:rPr>
                      <w:rFonts w:ascii="Cambria Math" w:hAnsi="Cambria Math"/>
                    </w:rPr>
                    <m:t xml:space="preserve">−</m:t>
                  </m:r>
                  <m:sSub>
                    <m:e>
                      <m:r>
                        <m:rPr>
                          <m:lit/>
                          <m:nor/>
                        </m:rPr>
                        <w:rPr>
                          <w:rFonts w:ascii="Cambria Math" w:hAnsi="Cambria Math"/>
                        </w:rPr>
                        <m:t xml:space="preserve">EISnstd</m:t>
                      </m:r>
                    </m:e>
                    <m:sub>
                      <m:r>
                        <w:rPr>
                          <w:rFonts w:ascii="Cambria Math" w:hAnsi="Cambria Math"/>
                        </w:rPr>
                        <m:t xml:space="preserve">i</m:t>
                      </m:r>
                    </m:sub>
                  </m:sSub>
                </m:e>
              </m:d>
            </m:e>
          </m:nary>
        </m:oMath>
      </m:oMathPara>
    </w:p>
    <w:p>
      <w:pPr>
        <w:pStyle w:val="NO"/>
        <w:rPr/>
      </w:pPr>
      <w:r>
        <w:rPr/>
        <w:tab/>
        <w:t xml:space="preserve">Where </w:t>
      </w:r>
      <w:r>
        <w:rPr/>
      </w:r>
      <m:oMath xmlns:m="http://schemas.openxmlformats.org/officeDocument/2006/math">
        <m:sSub>
          <m:e>
            <m:r>
              <m:rPr>
                <m:lit/>
                <m:nor/>
              </m:rPr>
              <w:rPr>
                <w:rFonts w:ascii="Cambria Math" w:hAnsi="Cambria Math"/>
              </w:rPr>
              <m:t xml:space="preserve">EISstd</m:t>
            </m:r>
          </m:e>
          <m:sub>
            <m:r>
              <w:rPr>
                <w:rFonts w:ascii="Cambria Math" w:hAnsi="Cambria Math"/>
              </w:rPr>
              <m:t xml:space="preserve">i</m:t>
            </m:r>
          </m:sub>
        </m:sSub>
      </m:oMath>
      <w:r>
        <w:rPr/>
        <w:t xml:space="preserve"> is sensitivity measurement done with standard setting, </w:t>
      </w:r>
      <w:r>
        <w:rPr/>
      </w:r>
      <m:oMath xmlns:m="http://schemas.openxmlformats.org/officeDocument/2006/math">
        <m:sSub>
          <m:e>
            <m:r>
              <m:rPr>
                <m:lit/>
                <m:nor/>
              </m:rPr>
              <w:rPr>
                <w:rFonts w:ascii="Cambria Math" w:hAnsi="Cambria Math"/>
              </w:rPr>
              <m:t xml:space="preserve">EISnstd</m:t>
            </m:r>
          </m:e>
          <m:sub>
            <m:r>
              <w:rPr>
                <w:rFonts w:ascii="Cambria Math" w:hAnsi="Cambria Math"/>
              </w:rPr>
              <m:t xml:space="preserve">i</m:t>
            </m:r>
          </m:sub>
        </m:sSub>
      </m:oMath>
      <w:r>
        <w:rPr/>
        <w:t xml:space="preserve"> is sensitivity measurement done with non standard settings. </w:t>
      </w:r>
      <w:r>
        <w:rPr/>
      </w:r>
      <m:oMath xmlns:m="http://schemas.openxmlformats.org/officeDocument/2006/math">
        <m:r>
          <w:rPr>
            <w:rFonts w:ascii="Cambria Math" w:hAnsi="Cambria Math"/>
          </w:rPr>
          <m:t xml:space="preserve">n</m:t>
        </m:r>
      </m:oMath>
      <w:r>
        <w:rPr/>
        <w:t xml:space="preserve"> is amount of reference measurement points.</w:t>
      </w:r>
    </w:p>
    <w:p>
      <w:pPr>
        <w:pStyle w:val="Normal"/>
        <w:rPr/>
      </w:pPr>
      <w:r>
        <w:rPr/>
        <w:t>To ensure accuracy of TRS, the amount of reference points measured should be at least 4. It is recommended to spread the reference measurements equally during the measurement time.</w:t>
      </w:r>
    </w:p>
    <w:p>
      <w:pPr>
        <w:pStyle w:val="Normal"/>
        <w:rPr/>
      </w:pPr>
      <w:r>
        <w:rPr/>
        <w:t>The measurement procedure is based on the measurement of the spherical sensitivity pattern of the DUT. The sensitivity values of the DUT at a predefined BER level are sampled in far field in a group of points located on a spherical surface enclosing the DUT. The EIS samples are taken using a constant sample step of 30° both in theta (</w:t>
      </w:r>
      <w:r>
        <w:rPr>
          <w:rFonts w:eastAsia="Symbol" w:cs="Symbol" w:ascii="Symbol" w:hAnsi="Symbol"/>
        </w:rPr>
        <w:t></w:t>
      </w:r>
      <w:r>
        <w:rPr/>
        <w:t>) and phi (</w:t>
      </w:r>
      <w:r>
        <w:rPr>
          <w:rFonts w:eastAsia="Symbol" w:cs="Symbol" w:ascii="Symbol" w:hAnsi="Symbol"/>
        </w:rPr>
        <w:t></w:t>
      </w:r>
      <w:r>
        <w:rPr/>
        <w:t xml:space="preserve">) directions. All the EIS samples are taken with two orthogonal polarizations,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-polarisations (See Subclause 4.4).</w:t>
      </w:r>
    </w:p>
    <w:p>
      <w:pPr>
        <w:pStyle w:val="Normal"/>
        <w:rPr/>
      </w:pPr>
      <w:r>
        <w:rPr/>
        <w:t>The Total Radiated Sensitivity is calculated from the measured data by equation in Subclause 7.1.5.2.</w:t>
      </w:r>
    </w:p>
    <w:p>
      <w:pPr>
        <w:pStyle w:val="Heading4"/>
        <w:ind w:left="1418" w:hanging="1418"/>
        <w:rPr/>
      </w:pPr>
      <w:bookmarkStart w:id="252" w:name="__RefHeading___Toc68601184"/>
      <w:bookmarkEnd w:id="252"/>
      <w:r>
        <w:rPr/>
        <w:t>7.1.4.4.3</w:t>
      </w:r>
      <w:r>
        <w:rPr>
          <w:rFonts w:cs="Calibri" w:ascii="Calibri" w:hAnsi="Calibri"/>
          <w:sz w:val="22"/>
          <w:szCs w:val="22"/>
        </w:rPr>
        <w:tab/>
      </w:r>
      <w:r>
        <w:rPr/>
        <w:t>Procedure, reverberation chamber method</w:t>
      </w:r>
    </w:p>
    <w:p>
      <w:pPr>
        <w:pStyle w:val="B1"/>
        <w:rPr/>
      </w:pPr>
      <w:r>
        <w:rPr/>
        <w:t>1)</w:t>
        <w:tab/>
        <w:t>Send continuously Up power control commands to the UE.</w:t>
      </w:r>
    </w:p>
    <w:p>
      <w:pPr>
        <w:pStyle w:val="B1"/>
        <w:rPr/>
      </w:pPr>
      <w:r>
        <w:rPr/>
        <w:t>2)</w:t>
        <w:tab/>
        <w:t>As the UE reaches maximum power, start sending PN15 data pattern.</w:t>
      </w:r>
    </w:p>
    <w:p>
      <w:pPr>
        <w:pStyle w:val="B1"/>
        <w:rPr/>
      </w:pPr>
      <w:r>
        <w:rPr/>
        <w:t>3)</w:t>
        <w:tab/>
        <w:t>Set the base station simulator to a specific output power and perform a BER measurement.</w:t>
      </w:r>
    </w:p>
    <w:p>
      <w:pPr>
        <w:pStyle w:val="B1"/>
        <w:rPr/>
      </w:pPr>
      <w:r>
        <w:rPr/>
        <w:t>4)</w:t>
        <w:tab/>
        <w:t xml:space="preserve">Increase or decrease the base station output power as needed, and repeat step 4 until the lowest output power is found that gives a BER value of 1% </w:t>
      </w:r>
      <w:r>
        <w:rPr>
          <w:rFonts w:eastAsia="Symbol" w:cs="Symbol" w:ascii="Symbol" w:hAnsi="Symbol"/>
        </w:rPr>
        <w:t></w:t>
      </w:r>
      <w:r>
        <w:rPr/>
        <w:t xml:space="preserve"> 0.2% using 20000 or more bits, see Annex E.20. This corresponds to </w:t>
      </w:r>
      <w:r>
        <w:rPr/>
      </w:r>
      <m:oMath xmlns:m="http://schemas.openxmlformats.org/officeDocument/2006/math">
        <m:sSup>
          <m:e>
            <m:d>
              <m:dPr>
                <m:begChr m:val="|"/>
                <m:endChr m:val="|"/>
              </m:dPr>
              <m:e>
                <m:sSubSup>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up>
                    <m:r>
                      <m:rPr>
                        <m:lit/>
                        <m:nor/>
                      </m:rPr>
                      <w:rPr>
                        <w:rFonts w:ascii="Cambria Math" w:hAnsi="Cambria Math"/>
                      </w:rPr>
                      <m:t xml:space="preserve">thres</m:t>
                    </m:r>
                  </m:sup>
                </m:sSubSup>
              </m:e>
            </m:d>
          </m:e>
          <m:sup>
            <m:r>
              <w:rPr>
                <w:rFonts w:ascii="Cambria Math" w:hAnsi="Cambria Math"/>
              </w:rPr>
              <m:t xml:space="preserve">2</m:t>
            </m:r>
          </m:sup>
        </m:sSup>
      </m:oMath>
      <w:r>
        <w:rPr/>
        <w:t>.</w:t>
      </w:r>
    </w:p>
    <w:p>
      <w:pPr>
        <w:pStyle w:val="NO"/>
        <w:rPr/>
      </w:pPr>
      <w:r>
        <w:rPr/>
        <w:t xml:space="preserve">NOTE: To meet BER value target DL power level can be changed using user’s freely selectable algorithm. </w:t>
      </w:r>
    </w:p>
    <w:p>
      <w:pPr>
        <w:pStyle w:val="B1"/>
        <w:rPr/>
      </w:pPr>
      <w:r>
        <w:rPr/>
        <w:t>5)</w:t>
        <w:tab/>
        <w:t xml:space="preserve">Repeat step 3 and 4 until a sufficient number of independent samples (see section 4.5) of </w:t>
      </w:r>
      <w:r>
        <w:rPr/>
      </w:r>
      <m:oMath xmlns:m="http://schemas.openxmlformats.org/officeDocument/2006/math">
        <m:sSup>
          <m:e>
            <m:d>
              <m:dPr>
                <m:begChr m:val="|"/>
                <m:endChr m:val="|"/>
              </m:dPr>
              <m:e>
                <m:sSubSup>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up>
                    <m:r>
                      <m:rPr>
                        <m:lit/>
                        <m:nor/>
                      </m:rPr>
                      <w:rPr>
                        <w:rFonts w:ascii="Cambria Math" w:hAnsi="Cambria Math"/>
                      </w:rPr>
                      <m:t xml:space="preserve">thres</m:t>
                    </m:r>
                  </m:sup>
                </m:sSubSup>
              </m:e>
            </m:d>
          </m:e>
          <m:sup>
            <m:r>
              <w:rPr>
                <w:rFonts w:ascii="Cambria Math" w:hAnsi="Cambria Math"/>
              </w:rPr>
              <m:t xml:space="preserve">2</m:t>
            </m:r>
          </m:sup>
        </m:sSup>
      </m:oMath>
      <w:r>
        <w:rPr/>
        <w:t xml:space="preserve"> has been measured.</w:t>
      </w:r>
    </w:p>
    <w:p>
      <w:pPr>
        <w:pStyle w:val="B1"/>
        <w:rPr/>
      </w:pPr>
      <w:r>
        <w:rPr/>
        <w:t>7)</w:t>
        <w:tab/>
        <w:t>Calculate TRS using equations from chapter 7.1.4.1.</w:t>
      </w:r>
    </w:p>
    <w:p>
      <w:pPr>
        <w:pStyle w:val="NO"/>
        <w:rPr/>
      </w:pPr>
      <w:r>
        <w:rPr/>
        <w:t>NOTE 1:</w:t>
        <w:tab/>
        <w:t>The measurement procedure is based on samples of the received signal power at the UE/MS from a full 3 dimensional isotropic environment with uniform elevation and azimuth field distribution. The power received by the DUT is undergoing Rayleigh fading and is transmitted by the fixed measurement antennas. Moreover, it is important that the samples collected are independent, in order to get sufficient accuracy of the estimated TRS value.</w:t>
      </w:r>
    </w:p>
    <w:p>
      <w:pPr>
        <w:pStyle w:val="Normal"/>
        <w:rPr>
          <w:lang w:eastAsia="zh-TW"/>
        </w:rPr>
      </w:pPr>
      <w:r>
        <w:rPr/>
        <w:t>The Total Radiated Sensitivity is calculated from the measured data by equation in Subclause 7.1.4.2.</w:t>
      </w:r>
    </w:p>
    <w:p>
      <w:pPr>
        <w:pStyle w:val="Normal"/>
        <w:rPr>
          <w:lang w:eastAsia="zh-TW"/>
        </w:rPr>
      </w:pPr>
      <w:r>
        <w:rPr>
          <w:lang w:eastAsia="zh-TW"/>
        </w:rPr>
      </w:r>
    </w:p>
    <w:p>
      <w:pPr>
        <w:pStyle w:val="Heading4"/>
        <w:ind w:left="1418" w:hanging="1418"/>
        <w:rPr/>
      </w:pPr>
      <w:bookmarkStart w:id="253" w:name="__RefHeading___Toc68601185"/>
      <w:bookmarkEnd w:id="253"/>
      <w:r>
        <w:rPr/>
        <w:t>7.1.4.5</w:t>
      </w:r>
      <w:r>
        <w:rPr>
          <w:rFonts w:cs="Calibri" w:ascii="Calibri" w:hAnsi="Calibri"/>
          <w:sz w:val="22"/>
          <w:szCs w:val="22"/>
        </w:rPr>
        <w:tab/>
      </w:r>
      <w:r>
        <w:rPr/>
        <w:t>Test requirements</w:t>
      </w:r>
    </w:p>
    <w:p>
      <w:pPr>
        <w:pStyle w:val="Normal"/>
        <w:jc w:val="both"/>
        <w:rPr/>
      </w:pPr>
      <w:r>
        <w:rPr/>
        <w:t>The average measured total radiated sensitivity (TRS) of low, mid and high channel for handheld UE shall be lower than the average TRS requirement specified in Table 7.1.4.5-1. The averaging shall be done in linear scale for the TRS results of both right and left side of the phantom head. Average TRS requirement is shown in the column “Average” on the requirement tables.</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6</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e>
              </m:d>
            </m:e>
          </m:d>
        </m:oMath>
      </m:oMathPara>
    </w:p>
    <w:p>
      <w:pPr>
        <w:pStyle w:val="Normal"/>
        <w:rPr/>
      </w:pPr>
      <w:r>
        <w:rPr/>
        <w:t>In addition the highest TRS of each measured channel shall be lower than maximum TRS requirement specified in Table 7.1.4.5-1. Maximum TRS requirement is shown in the column “Max” on the requirement tables.</w:t>
      </w:r>
    </w:p>
    <w:p>
      <w:pPr>
        <w:pStyle w:val="Normal"/>
        <w:keepLines/>
        <w:tabs>
          <w:tab w:val="clear" w:pos="284"/>
          <w:tab w:val="center" w:pos="4536" w:leader="none"/>
          <w:tab w:val="right" w:pos="9072" w:leader="none"/>
        </w:tabs>
        <w:jc w:val="center"/>
        <w:rPr/>
      </w:pPr>
      <w:r>
        <w:rPr/>
        <w:drawing>
          <wp:inline distT="0" distB="0" distL="0" distR="0">
            <wp:extent cx="5283200" cy="241300"/>
            <wp:effectExtent l="0" t="0" r="0" b="0"/>
            <wp:docPr id="3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4" descr=""/>
                    <pic:cNvPicPr>
                      <a:picLocks noChangeAspect="1" noChangeArrowheads="1"/>
                    </pic:cNvPicPr>
                  </pic:nvPicPr>
                  <pic:blipFill>
                    <a:blip r:embed="rId23"/>
                    <a:srcRect l="-7" t="-149" r="-7" b="-149"/>
                    <a:stretch>
                      <a:fillRect/>
                    </a:stretch>
                  </pic:blipFill>
                  <pic:spPr bwMode="auto">
                    <a:xfrm>
                      <a:off x="0" y="0"/>
                      <a:ext cx="5283200" cy="241300"/>
                    </a:xfrm>
                    <a:prstGeom prst="rect">
                      <a:avLst/>
                    </a:prstGeom>
                  </pic:spPr>
                </pic:pic>
              </a:graphicData>
            </a:graphic>
          </wp:inline>
        </w:drawing>
      </w:r>
    </w:p>
    <w:p>
      <w:pPr>
        <w:pStyle w:val="TH"/>
        <w:rPr/>
      </w:pPr>
      <w:r>
        <w:rPr/>
        <w:t>Table 7.1.4.5-1: TRS minimum requirement for UTRA LCR TDD roaming bands in the speech position and the primary mechanical mode</w:t>
      </w:r>
    </w:p>
    <w:tbl>
      <w:tblPr>
        <w:tblW w:w="4939" w:type="dxa"/>
        <w:jc w:val="center"/>
        <w:tblInd w:w="0" w:type="dxa"/>
        <w:tblLayout w:type="fixed"/>
        <w:tblCellMar>
          <w:top w:w="0" w:type="dxa"/>
          <w:left w:w="108" w:type="dxa"/>
          <w:bottom w:w="0" w:type="dxa"/>
          <w:right w:w="108" w:type="dxa"/>
        </w:tblCellMar>
      </w:tblPr>
      <w:tblGrid>
        <w:gridCol w:w="1597"/>
        <w:gridCol w:w="1453"/>
        <w:gridCol w:w="957"/>
        <w:gridCol w:w="932"/>
      </w:tblGrid>
      <w:tr>
        <w:trPr>
          <w:trHeight w:val="317" w:hRule="atLeast"/>
        </w:trPr>
        <w:tc>
          <w:tcPr>
            <w:tcW w:w="1597" w:type="dxa"/>
            <w:vMerge w:val="restart"/>
            <w:tcBorders>
              <w:top w:val="single" w:sz="4" w:space="0" w:color="000000"/>
              <w:left w:val="single" w:sz="4" w:space="0" w:color="000000"/>
              <w:right w:val="single" w:sz="4" w:space="0" w:color="000000"/>
            </w:tcBorders>
          </w:tcPr>
          <w:p>
            <w:pPr>
              <w:pStyle w:val="TAH"/>
              <w:rPr>
                <w:lang w:eastAsia="en-US"/>
              </w:rPr>
            </w:pPr>
            <w:r>
              <w:rPr>
                <w:lang w:eastAsia="en-US"/>
              </w:rPr>
              <w:t xml:space="preserve">Operating band </w:t>
            </w:r>
          </w:p>
        </w:tc>
        <w:tc>
          <w:tcPr>
            <w:tcW w:w="1453" w:type="dxa"/>
            <w:vMerge w:val="restart"/>
            <w:tcBorders>
              <w:top w:val="single" w:sz="4" w:space="0" w:color="000000"/>
              <w:left w:val="single" w:sz="4" w:space="0" w:color="000000"/>
              <w:right w:val="single" w:sz="4" w:space="0" w:color="000000"/>
            </w:tcBorders>
          </w:tcPr>
          <w:p>
            <w:pPr>
              <w:pStyle w:val="TAH"/>
              <w:rPr>
                <w:lang w:eastAsia="en-US"/>
              </w:rPr>
            </w:pPr>
            <w:r>
              <w:rPr>
                <w:lang w:eastAsia="en-US"/>
              </w:rPr>
              <w:t xml:space="preserve">Unit </w:t>
            </w:r>
          </w:p>
        </w:tc>
        <w:tc>
          <w:tcPr>
            <w:tcW w:w="1889"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&lt;REFÎor&gt; </w:t>
            </w:r>
          </w:p>
        </w:tc>
      </w:tr>
      <w:tr>
        <w:trPr>
          <w:trHeight w:val="266" w:hRule="atLeast"/>
        </w:trPr>
        <w:tc>
          <w:tcPr>
            <w:tcW w:w="1597" w:type="dxa"/>
            <w:vMerge w:val="continue"/>
            <w:tcBorders>
              <w:top w:val="single" w:sz="4" w:space="0" w:color="000000"/>
              <w:left w:val="single" w:sz="4" w:space="0" w:color="000000"/>
              <w:right w:val="single" w:sz="4" w:space="0" w:color="000000"/>
            </w:tcBorders>
          </w:tcPr>
          <w:p>
            <w:pPr>
              <w:pStyle w:val="TAH"/>
              <w:snapToGrid w:val="false"/>
              <w:rPr>
                <w:lang w:eastAsia="en-US"/>
              </w:rPr>
            </w:pPr>
            <w:r>
              <w:rPr>
                <w:lang w:eastAsia="en-US"/>
              </w:rPr>
            </w:r>
          </w:p>
        </w:tc>
        <w:tc>
          <w:tcPr>
            <w:tcW w:w="1453" w:type="dxa"/>
            <w:vMerge w:val="continue"/>
            <w:tcBorders>
              <w:top w:val="single" w:sz="4" w:space="0" w:color="000000"/>
              <w:left w:val="single" w:sz="4" w:space="0" w:color="000000"/>
              <w:right w:val="single" w:sz="4" w:space="0" w:color="000000"/>
            </w:tcBorders>
          </w:tcPr>
          <w:p>
            <w:pPr>
              <w:pStyle w:val="TAH"/>
              <w:snapToGrid w:val="false"/>
              <w:rPr>
                <w:lang w:eastAsia="en-US"/>
              </w:rPr>
            </w:pPr>
            <w:r>
              <w:rPr>
                <w:lang w:eastAsia="en-US"/>
              </w:rPr>
            </w:r>
          </w:p>
        </w:tc>
        <w:tc>
          <w:tcPr>
            <w:tcW w:w="95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Average </w:t>
            </w:r>
          </w:p>
        </w:tc>
        <w:tc>
          <w:tcPr>
            <w:tcW w:w="93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Max </w:t>
            </w:r>
          </w:p>
        </w:tc>
      </w:tr>
      <w:tr>
        <w:trPr>
          <w:trHeight w:val="218" w:hRule="atLeast"/>
        </w:trPr>
        <w:tc>
          <w:tcPr>
            <w:tcW w:w="159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a</w:t>
            </w:r>
          </w:p>
        </w:tc>
        <w:tc>
          <w:tcPr>
            <w:tcW w:w="1453"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 xml:space="preserve">dBm/1.28 MHz </w:t>
            </w:r>
          </w:p>
        </w:tc>
        <w:tc>
          <w:tcPr>
            <w:tcW w:w="95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3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rHeight w:val="218" w:hRule="atLeast"/>
        </w:trPr>
        <w:tc>
          <w:tcPr>
            <w:tcW w:w="159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b</w:t>
            </w:r>
          </w:p>
        </w:tc>
        <w:tc>
          <w:tcPr>
            <w:tcW w:w="1453"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dBm/1.28 MHz</w:t>
            </w:r>
          </w:p>
        </w:tc>
        <w:tc>
          <w:tcPr>
            <w:tcW w:w="95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3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rHeight w:val="218" w:hRule="atLeast"/>
        </w:trPr>
        <w:tc>
          <w:tcPr>
            <w:tcW w:w="159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c</w:t>
            </w:r>
          </w:p>
        </w:tc>
        <w:tc>
          <w:tcPr>
            <w:tcW w:w="1453"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dBm/1.28 MHz</w:t>
            </w:r>
          </w:p>
        </w:tc>
        <w:tc>
          <w:tcPr>
            <w:tcW w:w="95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3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rHeight w:val="218" w:hRule="atLeast"/>
        </w:trPr>
        <w:tc>
          <w:tcPr>
            <w:tcW w:w="159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w:t>
            </w:r>
          </w:p>
        </w:tc>
        <w:tc>
          <w:tcPr>
            <w:tcW w:w="1453"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dBm/1.28 MHz</w:t>
            </w:r>
          </w:p>
        </w:tc>
        <w:tc>
          <w:tcPr>
            <w:tcW w:w="95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3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rHeight w:val="218" w:hRule="atLeast"/>
        </w:trPr>
        <w:tc>
          <w:tcPr>
            <w:tcW w:w="159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e</w:t>
            </w:r>
          </w:p>
        </w:tc>
        <w:tc>
          <w:tcPr>
            <w:tcW w:w="1453"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dBm/1.28 MHz</w:t>
            </w:r>
          </w:p>
        </w:tc>
        <w:tc>
          <w:tcPr>
            <w:tcW w:w="95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3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rHeight w:val="218" w:hRule="atLeast"/>
        </w:trPr>
        <w:tc>
          <w:tcPr>
            <w:tcW w:w="159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f</w:t>
            </w:r>
          </w:p>
        </w:tc>
        <w:tc>
          <w:tcPr>
            <w:tcW w:w="1453"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dBm/1.28 MHz</w:t>
            </w:r>
          </w:p>
        </w:tc>
        <w:tc>
          <w:tcPr>
            <w:tcW w:w="95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3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rHeight w:val="220" w:hRule="atLeast"/>
        </w:trPr>
        <w:tc>
          <w:tcPr>
            <w:tcW w:w="4939" w:type="dxa"/>
            <w:gridSpan w:val="4"/>
            <w:tcBorders>
              <w:left w:val="single" w:sz="4" w:space="0" w:color="000000"/>
              <w:bottom w:val="single" w:sz="4" w:space="0" w:color="000000"/>
              <w:right w:val="single" w:sz="4" w:space="0" w:color="000000"/>
            </w:tcBorders>
            <w:vAlign w:val="center"/>
          </w:tcPr>
          <w:p>
            <w:pPr>
              <w:pStyle w:val="TAN"/>
              <w:rPr>
                <w:lang w:eastAsia="en-US"/>
              </w:rPr>
            </w:pPr>
            <w:r>
              <w:rPr>
                <w:lang w:eastAsia="en-US"/>
              </w:rPr>
              <w:t xml:space="preserve">Note: </w:t>
              <w:tab/>
              <w:t xml:space="preserve">Applicable for dual-mode GSM/UTRA LCR TDD. </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Heading3"/>
        <w:rPr/>
      </w:pPr>
      <w:bookmarkStart w:id="254" w:name="__RefHeading___Toc68601186"/>
      <w:bookmarkEnd w:id="254"/>
      <w:r>
        <w:rPr>
          <w:lang w:eastAsia="zh-CN"/>
        </w:rPr>
        <w:t>7</w:t>
      </w:r>
      <w:r>
        <w:rPr/>
        <w:t>.1.5</w:t>
        <w:tab/>
        <w:t>Total Radiated Sensitivity (TRS) for E-UTRA FDD in Speech Mode with beside the Head and Hand Phantom</w:t>
      </w:r>
    </w:p>
    <w:p>
      <w:pPr>
        <w:pStyle w:val="EditorsNote"/>
        <w:rPr/>
      </w:pPr>
      <w:r>
        <w:rPr/>
        <w:t>Editor’s notes: This subclause is incomplete. The following items are missing or incomplete:</w:t>
      </w:r>
    </w:p>
    <w:p>
      <w:pPr>
        <w:pStyle w:val="EditorsNote"/>
        <w:numPr>
          <w:ilvl w:val="0"/>
          <w:numId w:val="15"/>
        </w:numPr>
        <w:rPr/>
      </w:pPr>
      <w:r>
        <w:rPr/>
        <w:t>Table 7.1.5.2-1 and 7.1.5.5-1 as they are not specified in TS 37.144 yet</w:t>
      </w:r>
    </w:p>
    <w:p>
      <w:pPr>
        <w:pStyle w:val="Heading4"/>
        <w:ind w:left="1418" w:hanging="1418"/>
        <w:rPr/>
      </w:pPr>
      <w:bookmarkStart w:id="255" w:name="__RefHeading___Toc68601187"/>
      <w:bookmarkEnd w:id="255"/>
      <w:r>
        <w:rPr/>
        <w:t>7.1.5.1</w:t>
      </w:r>
      <w:r>
        <w:rPr>
          <w:rFonts w:cs="Calibri" w:ascii="Calibri" w:hAnsi="Calibri"/>
          <w:sz w:val="22"/>
          <w:szCs w:val="22"/>
        </w:rPr>
        <w:tab/>
      </w:r>
      <w:r>
        <w:rPr/>
        <w:t>Definition and applicability</w:t>
      </w:r>
    </w:p>
    <w:p>
      <w:pPr>
        <w:pStyle w:val="Normal"/>
        <w:rPr/>
      </w:pPr>
      <w:r>
        <w:rPr/>
        <w:t>The Total Radiated Sensitivity is defined as: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4</m:t>
              </m:r>
              <m:r>
                <w:rPr>
                  <w:rFonts w:ascii="Cambria Math" w:hAnsi="Cambria Math"/>
                </w:rPr>
                <m:t xml:space="preserve">π</m:t>
              </m:r>
            </m:num>
            <m:den>
              <m:nary>
                <m:naryPr>
                  <m:chr m:val="∮"/>
                  <m:subHide m:val="1"/>
                  <m:supHide m:val="1"/>
                </m:naryPr>
                <m:sub/>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e>
                  </m:d>
                </m:e>
              </m:nary>
              <m:r>
                <w:rPr>
                  <w:rFonts w:ascii="Cambria Math" w:hAnsi="Cambria Math"/>
                </w:rPr>
                <m:t xml:space="preserve">d</m:t>
              </m:r>
              <m:r>
                <w:rPr>
                  <w:rFonts w:ascii="Cambria Math" w:hAnsi="Cambria Math"/>
                </w:rPr>
                <m:t xml:space="preserve">Ω</m:t>
              </m:r>
            </m:den>
          </m:f>
        </m:oMath>
      </m:oMathPara>
    </w:p>
    <w:p>
      <w:pPr>
        <w:pStyle w:val="Normal"/>
        <w:rPr/>
      </w:pPr>
      <w:r>
        <w:rPr/>
        <w:t>Where the effective isotropic sensitivity (</w:t>
      </w:r>
      <w:r>
        <w:rPr>
          <w:i/>
          <w:iCs/>
        </w:rPr>
        <w:t>EIS</w:t>
      </w:r>
      <w:r>
        <w:rPr/>
        <w:t xml:space="preserve">) is defined as the power available at the antenna output such as the sensitivity threshold is achieved for each polarization.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r>
          <w:rPr>
            <w:rFonts w:ascii="Cambria Math" w:hAnsi="Cambria Math"/>
          </w:rPr>
          <m:t xml:space="preserve">f</m:t>
        </m:r>
      </m:oMath>
      <w:r>
        <w:rPr/>
        <w:t xml:space="preserve"> is frequency.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 are the orthogonal polarizations.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2</m:t>
              </m:r>
              <m:r>
                <m:rPr>
                  <m:lit/>
                  <m:nor/>
                </m:rPr>
                <w:rPr>
                  <w:rFonts w:ascii="Cambria Math" w:hAnsi="Cambria Math"/>
                </w:rPr>
                <m:t xml:space="preserve">NM</m:t>
              </m:r>
            </m:num>
            <m:den>
              <m:r>
                <w:rPr>
                  <w:rFonts w:ascii="Cambria Math" w:hAnsi="Cambria Math"/>
                </w:rPr>
                <m:t xml:space="preserve">π</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e>
                      </m:d>
                      <m:r>
                        <m:rPr>
                          <m:lit/>
                          <m:nor/>
                        </m:rPr>
                        <w:rPr>
                          <w:rFonts w:ascii="Cambria Math" w:hAnsi="Cambria Math"/>
                        </w:rPr>
                        <m:t xml:space="preserve">sin</m:t>
                      </m:r>
                      <m:d>
                        <m:dPr>
                          <m:begChr m:val="("/>
                          <m:endChr m:val=")"/>
                        </m:dPr>
                        <m:e>
                          <m:sSub>
                            <m:e>
                              <m:r>
                                <w:rPr>
                                  <w:rFonts w:ascii="Cambria Math" w:hAnsi="Cambria Math"/>
                                </w:rPr>
                                <m:t xml:space="preserve">θ</m:t>
                              </m:r>
                            </m:e>
                            <m:sub>
                              <m:r>
                                <w:rPr>
                                  <w:rFonts w:ascii="Cambria Math" w:hAnsi="Cambria Math"/>
                                </w:rPr>
                                <m:t xml:space="preserve">n</m:t>
                              </m:r>
                            </m:sub>
                          </m:sSub>
                        </m:e>
                      </m:d>
                    </m:e>
                  </m:nary>
                </m:e>
              </m:nary>
            </m:den>
          </m:f>
        </m:oMath>
      </m:oMathPara>
    </w:p>
    <w:p>
      <w:pPr>
        <w:pStyle w:val="Normal"/>
        <w:rPr/>
      </w:pPr>
      <w:r>
        <w:rPr/>
        <w:t xml:space="preserve">In these formulas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are the number of sampling intervals for theta and phi.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oMath>
      <w:r>
        <w:rPr/>
        <w:t xml:space="preserve"> are the measurement angles. The sampling intervals are discussed further in Subclause 4.4.</w:t>
      </w:r>
    </w:p>
    <w:p>
      <w:pPr>
        <w:pStyle w:val="Normal"/>
        <w:rPr/>
      </w:pPr>
      <w:r>
        <w:rPr/>
        <w:t>The TRS can also be calculated from measurements in a Rayleigh fading 3 dimensional isotropic environment with in average uniform elevation and azimuth distribution. The calculation of the TRS is in this case based on searching for the lowest power received by the UE/MS for a discrete number of field combinations in the chamber that gives a BER that is better than the specified target BER level. By calibrating the average power transfer function, an absolute value of the TRS can be obtained. The following expression can be used to find the TRS.</w:t>
      </w:r>
    </w:p>
    <w:p>
      <w:pPr>
        <w:pStyle w:val="EQ"/>
        <w:rPr>
          <w:lang w:val="en-GB" w:eastAsia="en-GB"/>
        </w:rPr>
      </w:pPr>
      <w:r>
        <w:rPr>
          <w:lang w:val="en-GB" w:eastAsia="en-GB"/>
        </w:rPr>
      </w:r>
      <m:oMathPara xmlns:m="http://schemas.openxmlformats.org/officeDocument/2006/math">
        <m:oMathParaPr>
          <m:jc m:val="left"/>
        </m:oMathParaPr>
        <m:oMath>
          <m:r>
            <m:rPr>
              <m:lit/>
              <m:nor/>
            </m:rPr>
            <w:rPr>
              <w:rFonts w:ascii="Cambria Math" w:hAnsi="Cambria Math"/>
            </w:rPr>
            <m:t xml:space="preserve">TRS</m:t>
          </m:r>
          <m:r>
            <w:rPr>
              <w:rFonts w:ascii="Cambria Math" w:hAnsi="Cambria Math"/>
            </w:rPr>
            <m:t xml:space="preserve">≈</m:t>
          </m:r>
          <m:r>
            <w:rPr>
              <w:rFonts w:ascii="Cambria Math" w:hAnsi="Cambria Math"/>
            </w:rPr>
            <m:t xml:space="preserve">2</m:t>
          </m:r>
          <m:r>
            <w:rPr>
              <w:rFonts w:ascii="Cambria Math" w:hAnsi="Cambria Math"/>
            </w:rPr>
            <m:t xml:space="preserve">N</m:t>
          </m:r>
          <m:f>
            <m:num>
              <m:sSup>
                <m:e>
                  <m:d>
                    <m:dPr>
                      <m:begChr m:val="("/>
                      <m:endChr m:val=")"/>
                    </m:dPr>
                    <m:e>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w:rPr>
                                      <w:rFonts w:ascii="Cambria Math" w:hAnsi="Cambria Math"/>
                                    </w:rPr>
                                    <m:t xml:space="preserve">C</m:t>
                                  </m:r>
                                </m:e>
                                <m:sub>
                                  <m:r>
                                    <w:rPr>
                                      <w:rFonts w:ascii="Cambria Math" w:hAnsi="Cambria Math"/>
                                    </w:rPr>
                                    <m:t xml:space="preserve">n</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sSub>
                                <m:e>
                                  <m:r>
                                    <w:rPr>
                                      <w:rFonts w:ascii="Cambria Math" w:hAnsi="Cambria Math"/>
                                    </w:rPr>
                                    <m:t xml:space="preserve">P</m:t>
                                  </m:r>
                                </m:e>
                                <m:sub>
                                  <m:r>
                                    <m:rPr>
                                      <m:lit/>
                                      <m:nor/>
                                    </m:rPr>
                                    <w:rPr>
                                      <w:rFonts w:ascii="Cambria Math" w:hAnsi="Cambria Math"/>
                                    </w:rPr>
                                    <m:t xml:space="preserve">thres</m:t>
                                  </m:r>
                                  <m:r>
                                    <w:rPr>
                                      <w:rFonts w:ascii="Cambria Math" w:hAnsi="Cambria Math"/>
                                    </w:rPr>
                                    <m:t xml:space="preserve">,</m:t>
                                  </m:r>
                                  <m:r>
                                    <w:rPr>
                                      <w:rFonts w:ascii="Cambria Math" w:hAnsi="Cambria Math"/>
                                    </w:rPr>
                                    <m:t xml:space="preserve">n</m:t>
                                  </m:r>
                                </m:sub>
                              </m:sSub>
                            </m:e>
                          </m:d>
                        </m:e>
                      </m:nary>
                    </m:e>
                  </m:d>
                </m:e>
                <m:sup>
                  <m:r>
                    <w:rPr>
                      <w:rFonts w:ascii="Cambria Math" w:hAnsi="Cambria Math"/>
                    </w:rPr>
                    <m:t xml:space="preserve">−</m:t>
                  </m:r>
                  <m:r>
                    <w:rPr>
                      <w:rFonts w:ascii="Cambria Math" w:hAnsi="Cambria Math"/>
                    </w:rPr>
                    <m:t xml:space="preserve">1</m:t>
                  </m:r>
                </m:sup>
              </m:sSup>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e>
              </m:nary>
            </m:den>
          </m:f>
        </m:oMath>
      </m:oMathPara>
    </w:p>
    <w:p>
      <w:pPr>
        <w:pStyle w:val="Normal"/>
        <w:rPr/>
      </w:pPr>
      <w:r>
        <w:rPr/>
        <w:t xml:space="preserve">where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oMath>
      <w:r>
        <w:rPr/>
        <w:t xml:space="preserve"> is the reference power transfer function for fixed measurement antenna n, </w:t>
      </w:r>
      <w:r>
        <w:rPr/>
      </w:r>
      <m:oMath xmlns:m="http://schemas.openxmlformats.org/officeDocument/2006/math">
        <m:sSub>
          <m:e>
            <m:r>
              <w:rPr>
                <w:rFonts w:ascii="Cambria Math" w:hAnsi="Cambria Math"/>
              </w:rPr>
              <m:t xml:space="preserve">R</m:t>
            </m:r>
          </m:e>
          <m:sub>
            <m:r>
              <w:rPr>
                <w:rFonts w:ascii="Cambria Math" w:hAnsi="Cambria Math"/>
              </w:rPr>
              <m:t xml:space="preserve">n</m:t>
            </m:r>
          </m:sub>
        </m:sSub>
      </m:oMath>
      <w:r>
        <w:rPr/>
        <w:t xml:space="preserve"> is the reflection coefficient for fixed measurement antenna n and </w:t>
      </w:r>
      <w:r>
        <w:rPr/>
      </w:r>
      <m:oMath xmlns:m="http://schemas.openxmlformats.org/officeDocument/2006/math">
        <m:sSub>
          <m:e>
            <m:r>
              <w:rPr>
                <w:rFonts w:ascii="Cambria Math" w:hAnsi="Cambria Math"/>
              </w:rPr>
              <m:t xml:space="preserve">C</m:t>
            </m:r>
          </m:e>
          <m:sub>
            <m:r>
              <w:rPr>
                <w:rFonts w:ascii="Cambria Math" w:hAnsi="Cambria Math"/>
              </w:rPr>
              <m:t xml:space="preserve">n</m:t>
            </m:r>
          </m:sub>
        </m:sSub>
      </m:oMath>
      <w:r>
        <w:rPr/>
        <w:t xml:space="preserve"> is the path loss in the cables connecting the measurement receiver to fixed measurement antenna n. These parameters are calculated from the calibration measurement and are further discussed in Annex B.2.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thres</m:t>
            </m:r>
            <m:r>
              <w:rPr>
                <w:rFonts w:ascii="Cambria Math" w:hAnsi="Cambria Math"/>
              </w:rPr>
              <m:t xml:space="preserve">,</m:t>
            </m:r>
            <m:r>
              <w:rPr>
                <w:rFonts w:ascii="Cambria Math" w:hAnsi="Cambria Math"/>
              </w:rPr>
              <m:t xml:space="preserve">n</m:t>
            </m:r>
          </m:sub>
        </m:sSub>
      </m:oMath>
      <w:r>
        <w:rPr/>
        <w:t xml:space="preserve"> is calculated by using the following equation:</w:t>
      </w:r>
    </w:p>
    <w:p>
      <w:pPr>
        <w:pStyle w:val="EQ"/>
        <w:rPr>
          <w:lang w:val="en-GB" w:eastAsia="en-GB"/>
        </w:rPr>
      </w:pPr>
      <w:r>
        <w:rPr>
          <w:lang w:val="en-GB" w:eastAsia="en-GB"/>
        </w:rPr>
      </w:r>
      <m:oMathPara xmlns:m="http://schemas.openxmlformats.org/officeDocument/2006/math">
        <m:oMathParaPr>
          <m:jc m:val="left"/>
        </m:oMathParaPr>
        <m:oMath>
          <m:sSub>
            <m:e>
              <m:r>
                <w:rPr>
                  <w:rFonts w:ascii="Cambria Math" w:hAnsi="Cambria Math"/>
                </w:rPr>
                <m:t xml:space="preserve">P</m:t>
              </m:r>
            </m:e>
            <m:sub>
              <m:r>
                <m:rPr>
                  <m:lit/>
                  <m:nor/>
                </m:rPr>
                <w:rPr>
                  <w:rFonts w:ascii="Cambria Math" w:hAnsi="Cambria Math"/>
                </w:rPr>
                <m:t xml:space="preserve">thres</m:t>
              </m:r>
              <m:r>
                <w:rPr>
                  <w:rFonts w:ascii="Cambria Math" w:hAnsi="Cambria Math"/>
                </w:rPr>
                <m:t xml:space="preserve">,</m:t>
              </m:r>
              <m:r>
                <w:rPr>
                  <w:rFonts w:ascii="Cambria Math" w:hAnsi="Cambria Math"/>
                </w:rPr>
                <m:t xml:space="preserve">n</m:t>
              </m:r>
            </m:sub>
          </m:sSub>
          <m:r>
            <w:rPr>
              <w:rFonts w:ascii="Cambria Math" w:hAnsi="Cambria Math"/>
            </w:rPr>
            <m:t xml:space="preserve">=</m:t>
          </m:r>
          <m:f>
            <m:num>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f>
                    <m:num>
                      <m:r>
                        <w:rPr>
                          <w:rFonts w:ascii="Cambria Math" w:hAnsi="Cambria Math"/>
                        </w:rPr>
                        <m:t xml:space="preserve">1</m:t>
                      </m:r>
                    </m:num>
                    <m:den>
                      <m:sSup>
                        <m:e>
                          <m:d>
                            <m:dPr>
                              <m:begChr m:val="|"/>
                              <m:endChr m:val="|"/>
                            </m:dPr>
                            <m:e>
                              <m:sSubSup>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up>
                                  <m:r>
                                    <m:rPr>
                                      <m:lit/>
                                      <m:nor/>
                                    </m:rPr>
                                    <w:rPr>
                                      <w:rFonts w:ascii="Cambria Math" w:hAnsi="Cambria Math"/>
                                    </w:rPr>
                                    <m:t xml:space="preserve">thres</m:t>
                                  </m:r>
                                </m:sup>
                              </m:sSubSup>
                            </m:e>
                          </m:d>
                        </m:e>
                        <m:sup>
                          <m:r>
                            <w:rPr>
                              <w:rFonts w:ascii="Cambria Math" w:hAnsi="Cambria Math"/>
                            </w:rPr>
                            <m:t xml:space="preserve">2</m:t>
                          </m:r>
                        </m:sup>
                      </m:sSup>
                    </m:den>
                  </m:f>
                </m:e>
              </m:nary>
            </m:num>
            <m:den>
              <m:r>
                <w:rPr>
                  <w:rFonts w:ascii="Cambria Math" w:hAnsi="Cambria Math"/>
                </w:rPr>
                <m:t xml:space="preserve">M</m:t>
              </m:r>
            </m:den>
          </m:f>
        </m:oMath>
      </m:oMathPara>
    </w:p>
    <w:p>
      <w:pPr>
        <w:pStyle w:val="Normal"/>
        <w:rPr/>
      </w:pPr>
      <w:r>
        <w:rPr/>
        <w:t xml:space="preserve">where </w:t>
      </w:r>
      <w:r>
        <w:rPr/>
      </w:r>
      <m:oMath xmlns:m="http://schemas.openxmlformats.org/officeDocument/2006/math">
        <m:sSubSup>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up>
            <m:r>
              <m:rPr>
                <m:lit/>
                <m:nor/>
              </m:rPr>
              <w:rPr>
                <w:rFonts w:ascii="Cambria Math" w:hAnsi="Cambria Math"/>
              </w:rPr>
              <m:t xml:space="preserve">thres</m:t>
            </m:r>
          </m:sup>
        </m:sSubSup>
      </m:oMath>
      <w:r>
        <w:rPr/>
        <w:t xml:space="preserve"> is the m:th value of the transfer function for fixed measurement antenna n, which gives the BER threshold. </w:t>
      </w:r>
      <w:r>
        <w:rPr/>
      </w:r>
      <m:oMath xmlns:m="http://schemas.openxmlformats.org/officeDocument/2006/math">
        <m:r>
          <w:rPr>
            <w:rFonts w:ascii="Cambria Math" w:hAnsi="Cambria Math"/>
          </w:rPr>
          <m:t xml:space="preserve">M</m:t>
        </m:r>
      </m:oMath>
      <w:r>
        <w:rPr/>
        <w:t xml:space="preserve"> is the total number of values of the BER threshold power measured for each fixed measurement antenna.</w:t>
      </w:r>
    </w:p>
    <w:p>
      <w:pPr>
        <w:pStyle w:val="Normal"/>
        <w:rPr/>
      </w:pPr>
      <w:r>
        <w:rPr/>
        <w:t>The requirements and this test apply to all types of LTE UEs independent of release.</w:t>
      </w:r>
    </w:p>
    <w:p>
      <w:pPr>
        <w:pStyle w:val="Heading4"/>
        <w:ind w:left="1418" w:hanging="1418"/>
        <w:rPr/>
      </w:pPr>
      <w:bookmarkStart w:id="256" w:name="__RefHeading___Toc68601188"/>
      <w:bookmarkEnd w:id="256"/>
      <w:r>
        <w:rPr/>
        <w:t>7.1.5.2</w:t>
      </w:r>
      <w:r>
        <w:rPr>
          <w:rFonts w:cs="Calibri" w:ascii="Calibri" w:hAnsi="Calibri"/>
          <w:sz w:val="22"/>
          <w:szCs w:val="22"/>
        </w:rPr>
        <w:tab/>
      </w:r>
      <w:r>
        <w:rPr/>
        <w:t>Minimum Requirements</w:t>
      </w:r>
    </w:p>
    <w:p>
      <w:pPr>
        <w:pStyle w:val="Normal"/>
        <w:jc w:val="both"/>
        <w:rPr/>
      </w:pPr>
      <w:r>
        <w:rPr/>
        <w:t>The average measured total radiated sensitivity (TRS) of low, mid and high channel for handheld UE shall be lower than the average TRS requirement specified in Table 7.1.5.2-1. The averaging shall be done in linear scale for the TRS results of both right and left side of the phantom head. Average TRS requirement is shown in the column “Average” on the requirement tables.</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6</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e>
              </m:d>
            </m:e>
          </m:d>
        </m:oMath>
      </m:oMathPara>
    </w:p>
    <w:p>
      <w:pPr>
        <w:pStyle w:val="Normal"/>
        <w:rPr/>
      </w:pPr>
      <w:r>
        <w:rPr/>
        <w:t>In addition the highest TRS of each measured channel shall be lower than maximum TRS requirement specified in Table 7.1.5.2-1. Maximum TRS requirement is shown in the column “Max” on the requirement tables.</w:t>
      </w:r>
    </w:p>
    <w:p>
      <w:pPr>
        <w:pStyle w:val="Normal"/>
        <w:keepLines/>
        <w:tabs>
          <w:tab w:val="clear" w:pos="284"/>
          <w:tab w:val="center" w:pos="4536" w:leader="none"/>
          <w:tab w:val="right" w:pos="9072" w:leader="none"/>
        </w:tabs>
        <w:jc w:val="center"/>
        <w:rPr/>
      </w:pPr>
      <w:r>
        <w:rPr/>
        <w:drawing>
          <wp:inline distT="0" distB="0" distL="0" distR="0">
            <wp:extent cx="5283200" cy="241300"/>
            <wp:effectExtent l="0" t="0" r="0" b="0"/>
            <wp:docPr id="3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 descr=""/>
                    <pic:cNvPicPr>
                      <a:picLocks noChangeAspect="1" noChangeArrowheads="1"/>
                    </pic:cNvPicPr>
                  </pic:nvPicPr>
                  <pic:blipFill>
                    <a:blip r:embed="rId24"/>
                    <a:srcRect l="-7" t="-149" r="-7" b="-149"/>
                    <a:stretch>
                      <a:fillRect/>
                    </a:stretch>
                  </pic:blipFill>
                  <pic:spPr bwMode="auto">
                    <a:xfrm>
                      <a:off x="0" y="0"/>
                      <a:ext cx="5283200" cy="241300"/>
                    </a:xfrm>
                    <a:prstGeom prst="rect">
                      <a:avLst/>
                    </a:prstGeom>
                  </pic:spPr>
                </pic:pic>
              </a:graphicData>
            </a:graphic>
          </wp:inline>
        </w:drawing>
      </w:r>
    </w:p>
    <w:p>
      <w:pPr>
        <w:pStyle w:val="Normal"/>
        <w:keepNext w:val="true"/>
        <w:keepLines/>
        <w:spacing w:before="60" w:after="180"/>
        <w:jc w:val="center"/>
        <w:rPr>
          <w:rFonts w:ascii="Arial" w:hAnsi="Arial" w:cs="Arial"/>
          <w:b/>
          <w:b/>
        </w:rPr>
      </w:pPr>
      <w:r>
        <w:rPr>
          <w:rFonts w:cs="Arial" w:ascii="Arial" w:hAnsi="Arial"/>
          <w:b/>
        </w:rPr>
        <w:t>Table 7.1.5.2-1: TRS minimum requirements for E-UTRA FDD roaming bands in the speech position for the primary mechanical mode</w:t>
      </w:r>
    </w:p>
    <w:p>
      <w:pPr>
        <w:pStyle w:val="Normal"/>
        <w:rPr>
          <w:b/>
          <w:b/>
        </w:rPr>
      </w:pPr>
      <w:r>
        <w:rPr/>
        <w:t>TBD</w:t>
      </w:r>
    </w:p>
    <w:p>
      <w:pPr>
        <w:pStyle w:val="Normal"/>
        <w:rPr>
          <w:b/>
          <w:b/>
        </w:rPr>
      </w:pPr>
      <w:r>
        <w:rPr>
          <w:b/>
        </w:rPr>
      </w:r>
    </w:p>
    <w:p>
      <w:pPr>
        <w:pStyle w:val="Normal"/>
        <w:rPr/>
      </w:pPr>
      <w:r>
        <w:rPr/>
        <w:t>The normative reference for this clause is TS 37.144 [12] Subclause 7.1.2.3.</w:t>
      </w:r>
    </w:p>
    <w:p>
      <w:pPr>
        <w:pStyle w:val="Heading4"/>
        <w:ind w:left="1418" w:hanging="1418"/>
        <w:rPr/>
      </w:pPr>
      <w:bookmarkStart w:id="257" w:name="__RefHeading___Toc68601189"/>
      <w:bookmarkEnd w:id="257"/>
      <w:r>
        <w:rPr/>
        <w:t>7.1.5.3</w:t>
      </w:r>
      <w:r>
        <w:rPr>
          <w:rFonts w:cs="Calibri" w:ascii="Calibri" w:hAnsi="Calibri"/>
          <w:sz w:val="22"/>
          <w:szCs w:val="22"/>
        </w:rPr>
        <w:tab/>
      </w:r>
      <w:r>
        <w:rPr/>
        <w:t>Test purpose</w:t>
      </w:r>
    </w:p>
    <w:p>
      <w:pPr>
        <w:pStyle w:val="Normal"/>
        <w:rPr/>
      </w:pPr>
      <w:r>
        <w:rPr/>
        <w:t xml:space="preserve">The purpose of this test is to ensure that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max</m:t>
            </m:r>
          </m:sub>
        </m:sSub>
      </m:oMath>
      <w:r>
        <w:rPr/>
        <w:t xml:space="preserve"> of the UE is above specified limit. The lack of the reception sensitivity decreases the coverage area at the far side from Node B.</w:t>
      </w:r>
    </w:p>
    <w:p>
      <w:pPr>
        <w:pStyle w:val="Heading4"/>
        <w:ind w:left="1418" w:hanging="1418"/>
        <w:rPr/>
      </w:pPr>
      <w:bookmarkStart w:id="258" w:name="__RefHeading___Toc68601190"/>
      <w:bookmarkEnd w:id="258"/>
      <w:r>
        <w:rPr/>
        <w:t>7.1.5.4</w:t>
      </w:r>
      <w:r>
        <w:rPr>
          <w:rFonts w:cs="Calibri" w:ascii="Calibri" w:hAnsi="Calibri"/>
          <w:sz w:val="22"/>
          <w:szCs w:val="22"/>
        </w:rPr>
        <w:tab/>
      </w:r>
      <w:r>
        <w:rPr/>
        <w:t>Method of test</w:t>
      </w:r>
    </w:p>
    <w:p>
      <w:pPr>
        <w:pStyle w:val="Heading4"/>
        <w:ind w:left="1418" w:hanging="1418"/>
        <w:rPr/>
      </w:pPr>
      <w:bookmarkStart w:id="259" w:name="__RefHeading___Toc68601191"/>
      <w:bookmarkEnd w:id="259"/>
      <w:r>
        <w:rPr/>
        <w:t>7.1.5.4.1</w:t>
      </w:r>
      <w:r>
        <w:rPr>
          <w:rFonts w:cs="Calibri" w:ascii="Calibri" w:hAnsi="Calibri"/>
          <w:sz w:val="22"/>
          <w:szCs w:val="22"/>
        </w:rPr>
        <w:tab/>
      </w:r>
      <w:r>
        <w:rPr/>
        <w:t>Initial conditions</w:t>
      </w:r>
    </w:p>
    <w:p>
      <w:pPr>
        <w:pStyle w:val="Normal"/>
        <w:rPr/>
      </w:pPr>
      <w:r>
        <w:rPr/>
        <w:t xml:space="preserve">A radio communications tester or a corresponding device is used as a NB simulator to setup calls to the DUT. The NB/BS simulator is also used to send test signals to the UE and measure the BER levels of the radio link and the information on the dedicated channel needed to extract the DUT receiver performances. </w:t>
      </w:r>
    </w:p>
    <w:p>
      <w:pPr>
        <w:pStyle w:val="Normal"/>
        <w:rPr>
          <w:lang w:eastAsia="ja-JP"/>
        </w:rPr>
      </w:pPr>
      <w:r>
        <w:rPr>
          <w:lang w:eastAsia="ja-JP"/>
        </w:rPr>
        <w:t>Chamber environment constraints and coordinate system shall be the same as described in Subclause A.3.</w:t>
      </w:r>
    </w:p>
    <w:p>
      <w:pPr>
        <w:pStyle w:val="Normal"/>
        <w:rPr>
          <w:lang w:eastAsia="zh-CN"/>
        </w:rPr>
      </w:pPr>
      <w:r>
        <w:rPr>
          <w:lang w:eastAsia="ja-JP"/>
        </w:rPr>
        <w:t>Phantom Specifications shall be the same as described in Subclause A.2.1 and A.2.2.</w:t>
      </w:r>
    </w:p>
    <w:p>
      <w:pPr>
        <w:pStyle w:val="Normal"/>
        <w:rPr/>
      </w:pPr>
      <w:r>
        <w:rPr/>
        <w:t>Test environment: normal; see TS36.508 [10] Subclause 4.1.1.</w:t>
      </w:r>
    </w:p>
    <w:p>
      <w:pPr>
        <w:pStyle w:val="Normal"/>
        <w:rPr/>
      </w:pPr>
      <w:r>
        <w:rPr/>
        <w:t>Frequencies to be tested: low range, mid range, high range; see Table 5.3-2.</w:t>
      </w:r>
      <w:r>
        <w:rPr>
          <w:lang w:eastAsia="ja-JP"/>
        </w:rPr>
        <w:t xml:space="preserve"> </w:t>
      </w:r>
    </w:p>
    <w:p>
      <w:pPr>
        <w:pStyle w:val="Normal"/>
        <w:rPr>
          <w:lang w:eastAsia="ja-JP"/>
        </w:rPr>
      </w:pPr>
      <w:r>
        <w:rPr>
          <w:lang w:eastAsia="ja-JP"/>
        </w:rPr>
        <w:t>Positioning Requirements shall be the same as described in Subclause 4.3.</w:t>
      </w:r>
    </w:p>
    <w:p>
      <w:pPr>
        <w:pStyle w:val="B1"/>
        <w:rPr/>
      </w:pPr>
      <w:r>
        <w:rPr/>
        <w:t>1)</w:t>
        <w:tab/>
        <w:t>Position the UE according to the DUT positioning for speech mode specified in Subclause 4.3.3.</w:t>
      </w:r>
    </w:p>
    <w:p>
      <w:pPr>
        <w:pStyle w:val="Normal"/>
        <w:ind w:left="568" w:hanging="284"/>
        <w:rPr/>
      </w:pPr>
      <w:r>
        <w:rPr/>
        <w:t>2)</w:t>
        <w:tab/>
        <w:t>Power on the UE.</w:t>
      </w:r>
    </w:p>
    <w:p>
      <w:pPr>
        <w:pStyle w:val="Normal"/>
        <w:ind w:left="568" w:hanging="284"/>
        <w:rPr/>
      </w:pPr>
      <w:r>
        <w:rPr/>
        <w:t>3)</w:t>
        <w:tab/>
        <w:t>Set the initial conditions as per Subclause 7.3 of 3GPP TS 36.521-1 [11], with the following exception: set the carrier frequency, channel bandwidth, RB length and RB location as per Table 5.3-2 for FDD mode. For DUTs with more than one receiver port, all the tests should be performed using both (all) antenna ports simultaneously.</w:t>
      </w:r>
    </w:p>
    <w:p>
      <w:pPr>
        <w:pStyle w:val="Heading4"/>
        <w:ind w:left="1418" w:hanging="1418"/>
        <w:rPr/>
      </w:pPr>
      <w:bookmarkStart w:id="260" w:name="__RefHeading___Toc68601192"/>
      <w:bookmarkEnd w:id="260"/>
      <w:r>
        <w:rPr/>
        <w:t>7.1.5.4.2</w:t>
      </w:r>
      <w:r>
        <w:rPr>
          <w:rFonts w:cs="Calibri" w:ascii="Calibri" w:hAnsi="Calibri"/>
          <w:sz w:val="22"/>
          <w:szCs w:val="22"/>
        </w:rPr>
        <w:tab/>
      </w:r>
      <w:r>
        <w:rPr/>
        <w:t>Procedure</w:t>
      </w:r>
    </w:p>
    <w:p>
      <w:pPr>
        <w:pStyle w:val="B1"/>
        <w:rPr/>
      </w:pPr>
      <w:r>
        <w:rPr/>
        <w:t>1)</w:t>
        <w:tab/>
        <w:t xml:space="preserve">Follow Steps 1 through 4 in Subclause 7.3.4.2 of 3GPP TS 36.521-1 [11], with the following exception: measure the receiver sensitivity by adjusting the downlink signal level to 95 % throughput of the maximum throughput of the reference channel (maximum throughput is per Annex A of 3GPP TS 36.521-1 [11]). </w:t>
      </w:r>
    </w:p>
    <w:p>
      <w:pPr>
        <w:pStyle w:val="B1"/>
        <w:rPr/>
      </w:pPr>
      <w:r>
        <w:rPr/>
        <w:t>2)</w:t>
        <w:tab/>
        <w:t>For the anechoic chamber based methodologies, repeat Step 1) with 3-D sampling grid specified in Subclause 4.4. The minimum RF power level resulting in a data throughput greater than or equal to 95 % throughput of the maximum throughput for each test shall be recorded for integration pursuant to Subclause 7.1.5.1 to calculate TRS.</w:t>
      </w:r>
    </w:p>
    <w:p>
      <w:pPr>
        <w:pStyle w:val="Normal"/>
        <w:ind w:left="568" w:hanging="284"/>
        <w:rPr/>
      </w:pPr>
      <w:r>
        <w:rPr/>
        <w:t>3)</w:t>
        <w:tab/>
        <w:t>Repeat the measurement of the DUT on the left and right ears of the head phantom using the left and right hand phantom for low, mid and high channels.</w:t>
      </w:r>
    </w:p>
    <w:p>
      <w:pPr>
        <w:pStyle w:val="B1"/>
        <w:rPr/>
      </w:pPr>
      <w:r>
        <w:rPr/>
        <w:t>4)</w:t>
        <w:tab/>
        <w:t>Calculate the average and minimum TRS as per Subclause 7.1.5.2.</w:t>
      </w:r>
    </w:p>
    <w:p>
      <w:pPr>
        <w:pStyle w:val="Heading4"/>
        <w:ind w:left="1418" w:hanging="1418"/>
        <w:rPr/>
      </w:pPr>
      <w:bookmarkStart w:id="261" w:name="__RefHeading___Toc68601193"/>
      <w:bookmarkEnd w:id="261"/>
      <w:r>
        <w:rPr/>
        <w:t>7.1.5.4.3</w:t>
      </w:r>
      <w:r>
        <w:rPr>
          <w:rFonts w:cs="Calibri" w:ascii="Calibri" w:hAnsi="Calibri"/>
          <w:sz w:val="22"/>
          <w:szCs w:val="22"/>
        </w:rPr>
        <w:tab/>
      </w:r>
      <w:r>
        <w:rPr/>
        <w:t>Procedure, reverberation chamber method</w:t>
      </w:r>
    </w:p>
    <w:p>
      <w:pPr>
        <w:pStyle w:val="B1"/>
        <w:rPr/>
      </w:pPr>
      <w:r>
        <w:rPr/>
        <w:t>1)</w:t>
        <w:tab/>
        <w:t xml:space="preserve">Follow Steps 1 through 4 in Subclause 7.3.4.2 of 3GPP TS 36.521-1 [11], with the following exception: measure the receiver sensitivity by adjusting the downlink signal level to 95 % throughput of the maximum throughput of the reference channel (maximum throughput is per Annex A of 3GPP TS 36.521-1 [11]). </w:t>
      </w:r>
    </w:p>
    <w:p>
      <w:pPr>
        <w:pStyle w:val="B1"/>
        <w:rPr/>
      </w:pPr>
      <w:r>
        <w:rPr/>
        <w:t>2)</w:t>
        <w:tab/>
        <w:t xml:space="preserve">Repeat Step 1) until a sufficient number of independent samples (see section 4.5) of </w:t>
      </w:r>
      <w:r>
        <w:rPr/>
      </w:r>
      <m:oMath xmlns:m="http://schemas.openxmlformats.org/officeDocument/2006/math">
        <m:sSup>
          <m:e>
            <m:d>
              <m:dPr>
                <m:begChr m:val="|"/>
                <m:endChr m:val="|"/>
              </m:dPr>
              <m:e>
                <m:sSubSup>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up>
                    <m:r>
                      <m:rPr>
                        <m:lit/>
                        <m:nor/>
                      </m:rPr>
                      <w:rPr>
                        <w:rFonts w:ascii="Cambria Math" w:hAnsi="Cambria Math"/>
                      </w:rPr>
                      <m:t xml:space="preserve">thres</m:t>
                    </m:r>
                  </m:sup>
                </m:sSubSup>
              </m:e>
            </m:d>
          </m:e>
          <m:sup>
            <m:r>
              <w:rPr>
                <w:rFonts w:ascii="Cambria Math" w:hAnsi="Cambria Math"/>
              </w:rPr>
              <m:t xml:space="preserve">2</m:t>
            </m:r>
          </m:sup>
        </m:sSup>
      </m:oMath>
      <w:r>
        <w:rPr/>
        <w:t xml:space="preserve"> has been measured. The minimum RF power level resulting in a data throughput greater than or equal to 95 % throughput of the maximum throughput for each sample shall be recorded for calculating the TRS according to Subclause 7.1.5.1.</w:t>
      </w:r>
    </w:p>
    <w:p>
      <w:pPr>
        <w:pStyle w:val="Normal"/>
        <w:ind w:left="560" w:hanging="276"/>
        <w:rPr>
          <w:lang w:eastAsia="zh-TW"/>
        </w:rPr>
      </w:pPr>
      <w:r>
        <w:rPr/>
        <w:t>3)</w:t>
        <w:tab/>
        <w:t>Repeat the measurement of the DUT on the left and right ears of the head phantom using the left and right hand phantom for low, mid and high channels.</w:t>
      </w:r>
    </w:p>
    <w:p>
      <w:pPr>
        <w:pStyle w:val="Normal"/>
        <w:ind w:firstLine="284"/>
        <w:rPr>
          <w:lang w:eastAsia="zh-TW"/>
        </w:rPr>
      </w:pPr>
      <w:r>
        <w:rPr/>
        <w:t>4)</w:t>
        <w:tab/>
        <w:t>Calculate the average and minimum TRS as per Subclause 7.1.5.2.</w:t>
      </w:r>
    </w:p>
    <w:p>
      <w:pPr>
        <w:pStyle w:val="Normal"/>
        <w:rPr>
          <w:lang w:eastAsia="zh-TW"/>
        </w:rPr>
      </w:pPr>
      <w:r>
        <w:rPr>
          <w:lang w:eastAsia="zh-TW"/>
        </w:rPr>
      </w:r>
    </w:p>
    <w:p>
      <w:pPr>
        <w:pStyle w:val="Heading4"/>
        <w:ind w:left="1418" w:hanging="1418"/>
        <w:rPr/>
      </w:pPr>
      <w:bookmarkStart w:id="262" w:name="__RefHeading___Toc68601194"/>
      <w:bookmarkEnd w:id="262"/>
      <w:r>
        <w:rPr/>
        <w:t>7.1.5.5</w:t>
      </w:r>
      <w:r>
        <w:rPr>
          <w:rFonts w:cs="Calibri" w:ascii="Calibri" w:hAnsi="Calibri"/>
          <w:sz w:val="22"/>
          <w:szCs w:val="22"/>
        </w:rPr>
        <w:tab/>
      </w:r>
      <w:r>
        <w:rPr/>
        <w:t>Test requirements</w:t>
      </w:r>
    </w:p>
    <w:p>
      <w:pPr>
        <w:pStyle w:val="Normal"/>
        <w:jc w:val="both"/>
        <w:rPr/>
      </w:pPr>
      <w:r>
        <w:rPr/>
        <w:t>The average measured total radiated sensitivity (TRS) of low, mid and high channel for handheld UE shall be lower than the average TRS requirement specified in Table 7.1.5.5-1. The averaging shall be done in linear scale for the TRS results of both right and left side of the phantom head. Average TRS requirement is shown in the column “Average” on the requirement tables.</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6</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e>
              </m:d>
            </m:e>
          </m:d>
        </m:oMath>
      </m:oMathPara>
    </w:p>
    <w:p>
      <w:pPr>
        <w:pStyle w:val="Normal"/>
        <w:rPr/>
      </w:pPr>
      <w:r>
        <w:rPr/>
        <w:t>In addition the highest TRS of each measured channel shall be lower than maximum TRS requirement specified in Table 7.1.5.5-1. Maximum TRS requirement is shown in the column “Max” on the requirement tables.</w:t>
      </w:r>
    </w:p>
    <w:p>
      <w:pPr>
        <w:pStyle w:val="Normal"/>
        <w:keepLines/>
        <w:tabs>
          <w:tab w:val="clear" w:pos="284"/>
          <w:tab w:val="center" w:pos="4536" w:leader="none"/>
          <w:tab w:val="right" w:pos="9072" w:leader="none"/>
        </w:tabs>
        <w:jc w:val="center"/>
        <w:rPr/>
      </w:pPr>
      <w:r>
        <w:rPr/>
        <w:drawing>
          <wp:inline distT="0" distB="0" distL="0" distR="0">
            <wp:extent cx="5283200" cy="241300"/>
            <wp:effectExtent l="0" t="0" r="0" b="0"/>
            <wp:docPr id="3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6" descr=""/>
                    <pic:cNvPicPr>
                      <a:picLocks noChangeAspect="1" noChangeArrowheads="1"/>
                    </pic:cNvPicPr>
                  </pic:nvPicPr>
                  <pic:blipFill>
                    <a:blip r:embed="rId25"/>
                    <a:srcRect l="-7" t="-149" r="-7" b="-149"/>
                    <a:stretch>
                      <a:fillRect/>
                    </a:stretch>
                  </pic:blipFill>
                  <pic:spPr bwMode="auto">
                    <a:xfrm>
                      <a:off x="0" y="0"/>
                      <a:ext cx="5283200" cy="241300"/>
                    </a:xfrm>
                    <a:prstGeom prst="rect">
                      <a:avLst/>
                    </a:prstGeom>
                  </pic:spPr>
                </pic:pic>
              </a:graphicData>
            </a:graphic>
          </wp:inline>
        </w:drawing>
      </w:r>
    </w:p>
    <w:p>
      <w:pPr>
        <w:pStyle w:val="TH"/>
        <w:rPr/>
      </w:pPr>
      <w:r>
        <w:rPr/>
        <w:t>Table 7.1.5.5-1: TRS minimum requirement for E-UTRA FDD roaming bands in the speech position and the primary mechanical mode</w:t>
      </w:r>
    </w:p>
    <w:p>
      <w:pPr>
        <w:pStyle w:val="Normal"/>
        <w:rPr/>
      </w:pPr>
      <w:r>
        <w:rPr/>
        <w:t>TBD</w:t>
      </w:r>
    </w:p>
    <w:p>
      <w:pPr>
        <w:pStyle w:val="Normal"/>
        <w:rPr/>
      </w:pPr>
      <w:r>
        <w:rPr/>
      </w:r>
    </w:p>
    <w:p>
      <w:pPr>
        <w:pStyle w:val="NO"/>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Heading3"/>
        <w:rPr/>
      </w:pPr>
      <w:bookmarkStart w:id="263" w:name="__RefHeading___Toc68601195"/>
      <w:bookmarkEnd w:id="263"/>
      <w:r>
        <w:rPr>
          <w:lang w:eastAsia="zh-CN"/>
        </w:rPr>
        <w:t>7</w:t>
      </w:r>
      <w:r>
        <w:rPr/>
        <w:t>.1.6</w:t>
        <w:tab/>
        <w:t>Total Radiated Sensitivity (TRS) for E-UTRA TDD in Speech Mode with beside the Head and Hand Phantom</w:t>
      </w:r>
    </w:p>
    <w:p>
      <w:pPr>
        <w:pStyle w:val="EditorsNote"/>
        <w:rPr/>
      </w:pPr>
      <w:r>
        <w:rPr/>
        <w:t>Editor’s notes: This subclause is incomplete. The following items are missing or incomplete:</w:t>
      </w:r>
    </w:p>
    <w:p>
      <w:pPr>
        <w:pStyle w:val="EditorsNote"/>
        <w:numPr>
          <w:ilvl w:val="0"/>
          <w:numId w:val="15"/>
        </w:numPr>
        <w:rPr/>
      </w:pPr>
      <w:r>
        <w:rPr/>
        <w:t>Table 7.1.6.2-1 and 7.1.6.5-1 as they are not specified in TS 37.144 yet</w:t>
      </w:r>
    </w:p>
    <w:p>
      <w:pPr>
        <w:pStyle w:val="Heading4"/>
        <w:ind w:left="1418" w:hanging="1418"/>
        <w:rPr/>
      </w:pPr>
      <w:bookmarkStart w:id="264" w:name="__RefHeading___Toc68601196"/>
      <w:bookmarkEnd w:id="264"/>
      <w:r>
        <w:rPr/>
        <w:t>7.1.6.1</w:t>
      </w:r>
      <w:r>
        <w:rPr>
          <w:rFonts w:cs="Calibri" w:ascii="Calibri" w:hAnsi="Calibri"/>
          <w:sz w:val="22"/>
          <w:szCs w:val="22"/>
        </w:rPr>
        <w:tab/>
      </w:r>
      <w:r>
        <w:rPr/>
        <w:t>Definition and applicability</w:t>
      </w:r>
    </w:p>
    <w:p>
      <w:pPr>
        <w:pStyle w:val="Normal"/>
        <w:rPr/>
      </w:pPr>
      <w:r>
        <w:rPr/>
        <w:t>The Total Radiated Sensitivity is defined as: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4</m:t>
              </m:r>
              <m:r>
                <w:rPr>
                  <w:rFonts w:ascii="Cambria Math" w:hAnsi="Cambria Math"/>
                </w:rPr>
                <m:t xml:space="preserve">π</m:t>
              </m:r>
            </m:num>
            <m:den>
              <m:nary>
                <m:naryPr>
                  <m:chr m:val="∮"/>
                  <m:subHide m:val="1"/>
                  <m:supHide m:val="1"/>
                </m:naryPr>
                <m:sub/>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e>
                  </m:d>
                </m:e>
              </m:nary>
              <m:r>
                <w:rPr>
                  <w:rFonts w:ascii="Cambria Math" w:hAnsi="Cambria Math"/>
                </w:rPr>
                <m:t xml:space="preserve">d</m:t>
              </m:r>
              <m:r>
                <w:rPr>
                  <w:rFonts w:ascii="Cambria Math" w:hAnsi="Cambria Math"/>
                </w:rPr>
                <m:t xml:space="preserve">Ω</m:t>
              </m:r>
            </m:den>
          </m:f>
        </m:oMath>
      </m:oMathPara>
    </w:p>
    <w:p>
      <w:pPr>
        <w:pStyle w:val="Normal"/>
        <w:rPr/>
      </w:pPr>
      <w:r>
        <w:rPr/>
        <w:t>Where the effective isotropic sensitivity (</w:t>
      </w:r>
      <w:r>
        <w:rPr>
          <w:i/>
          <w:iCs/>
        </w:rPr>
        <w:t>EIS</w:t>
      </w:r>
      <w:r>
        <w:rPr/>
        <w:t xml:space="preserve">) is defined as the power available at the antenna output such as the sensitivity threshold is achieved for each polarization.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r>
          <w:rPr>
            <w:rFonts w:ascii="Cambria Math" w:hAnsi="Cambria Math"/>
          </w:rPr>
          <m:t xml:space="preserve">f</m:t>
        </m:r>
      </m:oMath>
      <w:r>
        <w:rPr/>
        <w:t xml:space="preserve"> is frequency.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 are the orthogonal polarizations.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2</m:t>
              </m:r>
              <m:r>
                <m:rPr>
                  <m:lit/>
                  <m:nor/>
                </m:rPr>
                <w:rPr>
                  <w:rFonts w:ascii="Cambria Math" w:hAnsi="Cambria Math"/>
                </w:rPr>
                <m:t xml:space="preserve">NM</m:t>
              </m:r>
            </m:num>
            <m:den>
              <m:r>
                <w:rPr>
                  <w:rFonts w:ascii="Cambria Math" w:hAnsi="Cambria Math"/>
                </w:rPr>
                <m:t xml:space="preserve">π</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e>
                      </m:d>
                      <m:r>
                        <m:rPr>
                          <m:lit/>
                          <m:nor/>
                        </m:rPr>
                        <w:rPr>
                          <w:rFonts w:ascii="Cambria Math" w:hAnsi="Cambria Math"/>
                        </w:rPr>
                        <m:t xml:space="preserve">sin</m:t>
                      </m:r>
                      <m:d>
                        <m:dPr>
                          <m:begChr m:val="("/>
                          <m:endChr m:val=")"/>
                        </m:dPr>
                        <m:e>
                          <m:sSub>
                            <m:e>
                              <m:r>
                                <w:rPr>
                                  <w:rFonts w:ascii="Cambria Math" w:hAnsi="Cambria Math"/>
                                </w:rPr>
                                <m:t xml:space="preserve">θ</m:t>
                              </m:r>
                            </m:e>
                            <m:sub>
                              <m:r>
                                <w:rPr>
                                  <w:rFonts w:ascii="Cambria Math" w:hAnsi="Cambria Math"/>
                                </w:rPr>
                                <m:t xml:space="preserve">n</m:t>
                              </m:r>
                            </m:sub>
                          </m:sSub>
                        </m:e>
                      </m:d>
                    </m:e>
                  </m:nary>
                </m:e>
              </m:nary>
            </m:den>
          </m:f>
        </m:oMath>
      </m:oMathPara>
    </w:p>
    <w:p>
      <w:pPr>
        <w:pStyle w:val="Normal"/>
        <w:rPr/>
      </w:pPr>
      <w:r>
        <w:rPr/>
        <w:t xml:space="preserve">In these formulas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are the number of sampling intervals for theta and phi.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oMath>
      <w:r>
        <w:rPr/>
        <w:t xml:space="preserve"> are the measurement angles. The sampling intervals are discussed further in Subclause 4.4.</w:t>
      </w:r>
    </w:p>
    <w:p>
      <w:pPr>
        <w:pStyle w:val="Normal"/>
        <w:rPr/>
      </w:pPr>
      <w:r>
        <w:rPr/>
        <w:t>The TRS can also be calculated from measurements in a Rayleigh fading 3 dimensional isotropic environment with in average uniform elevation and azimuth distribution. The calculation of the TRS is in this case based on searching for the lowest power received by the UE/MS for a discrete number of field combinations in the chamber that gives a BER that is better than the specified target BER level. By calibrating the average power transfer function, an absolute value of the TRS can be obtained. The following expression can be used to find the TRS.</w:t>
      </w:r>
    </w:p>
    <w:p>
      <w:pPr>
        <w:pStyle w:val="EQ"/>
        <w:rPr>
          <w:lang w:val="en-GB" w:eastAsia="en-GB"/>
        </w:rPr>
      </w:pPr>
      <w:r>
        <w:rPr>
          <w:lang w:val="en-GB" w:eastAsia="en-GB"/>
        </w:rPr>
      </w:r>
      <m:oMathPara xmlns:m="http://schemas.openxmlformats.org/officeDocument/2006/math">
        <m:oMathParaPr>
          <m:jc m:val="left"/>
        </m:oMathParaPr>
        <m:oMath>
          <m:r>
            <m:rPr>
              <m:lit/>
              <m:nor/>
            </m:rPr>
            <w:rPr>
              <w:rFonts w:ascii="Cambria Math" w:hAnsi="Cambria Math"/>
            </w:rPr>
            <m:t xml:space="preserve">TRS</m:t>
          </m:r>
          <m:r>
            <w:rPr>
              <w:rFonts w:ascii="Cambria Math" w:hAnsi="Cambria Math"/>
            </w:rPr>
            <m:t xml:space="preserve">≈</m:t>
          </m:r>
          <m:r>
            <w:rPr>
              <w:rFonts w:ascii="Cambria Math" w:hAnsi="Cambria Math"/>
            </w:rPr>
            <m:t xml:space="preserve">2</m:t>
          </m:r>
          <m:r>
            <w:rPr>
              <w:rFonts w:ascii="Cambria Math" w:hAnsi="Cambria Math"/>
            </w:rPr>
            <m:t xml:space="preserve">N</m:t>
          </m:r>
          <m:f>
            <m:num>
              <m:sSup>
                <m:e>
                  <m:d>
                    <m:dPr>
                      <m:begChr m:val="("/>
                      <m:endChr m:val=")"/>
                    </m:dPr>
                    <m:e>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w:rPr>
                                      <w:rFonts w:ascii="Cambria Math" w:hAnsi="Cambria Math"/>
                                    </w:rPr>
                                    <m:t xml:space="preserve">C</m:t>
                                  </m:r>
                                </m:e>
                                <m:sub>
                                  <m:r>
                                    <w:rPr>
                                      <w:rFonts w:ascii="Cambria Math" w:hAnsi="Cambria Math"/>
                                    </w:rPr>
                                    <m:t xml:space="preserve">n</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sSub>
                                <m:e>
                                  <m:r>
                                    <w:rPr>
                                      <w:rFonts w:ascii="Cambria Math" w:hAnsi="Cambria Math"/>
                                    </w:rPr>
                                    <m:t xml:space="preserve">P</m:t>
                                  </m:r>
                                </m:e>
                                <m:sub>
                                  <m:r>
                                    <m:rPr>
                                      <m:lit/>
                                      <m:nor/>
                                    </m:rPr>
                                    <w:rPr>
                                      <w:rFonts w:ascii="Cambria Math" w:hAnsi="Cambria Math"/>
                                    </w:rPr>
                                    <m:t xml:space="preserve">thres</m:t>
                                  </m:r>
                                  <m:r>
                                    <w:rPr>
                                      <w:rFonts w:ascii="Cambria Math" w:hAnsi="Cambria Math"/>
                                    </w:rPr>
                                    <m:t xml:space="preserve">,</m:t>
                                  </m:r>
                                  <m:r>
                                    <w:rPr>
                                      <w:rFonts w:ascii="Cambria Math" w:hAnsi="Cambria Math"/>
                                    </w:rPr>
                                    <m:t xml:space="preserve">n</m:t>
                                  </m:r>
                                </m:sub>
                              </m:sSub>
                            </m:e>
                          </m:d>
                        </m:e>
                      </m:nary>
                    </m:e>
                  </m:d>
                </m:e>
                <m:sup>
                  <m:r>
                    <w:rPr>
                      <w:rFonts w:ascii="Cambria Math" w:hAnsi="Cambria Math"/>
                    </w:rPr>
                    <m:t xml:space="preserve">−</m:t>
                  </m:r>
                  <m:r>
                    <w:rPr>
                      <w:rFonts w:ascii="Cambria Math" w:hAnsi="Cambria Math"/>
                    </w:rPr>
                    <m:t xml:space="preserve">1</m:t>
                  </m:r>
                </m:sup>
              </m:sSup>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e>
              </m:nary>
            </m:den>
          </m:f>
        </m:oMath>
      </m:oMathPara>
    </w:p>
    <w:p>
      <w:pPr>
        <w:pStyle w:val="Normal"/>
        <w:rPr/>
      </w:pPr>
      <w:r>
        <w:rPr/>
        <w:t xml:space="preserve">where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oMath>
      <w:r>
        <w:rPr/>
        <w:t xml:space="preserve"> is the reference power transfer function for fixed measurement antenna n, </w:t>
      </w:r>
      <w:r>
        <w:rPr/>
      </w:r>
      <m:oMath xmlns:m="http://schemas.openxmlformats.org/officeDocument/2006/math">
        <m:sSub>
          <m:e>
            <m:r>
              <w:rPr>
                <w:rFonts w:ascii="Cambria Math" w:hAnsi="Cambria Math"/>
              </w:rPr>
              <m:t xml:space="preserve">R</m:t>
            </m:r>
          </m:e>
          <m:sub>
            <m:r>
              <w:rPr>
                <w:rFonts w:ascii="Cambria Math" w:hAnsi="Cambria Math"/>
              </w:rPr>
              <m:t xml:space="preserve">n</m:t>
            </m:r>
          </m:sub>
        </m:sSub>
      </m:oMath>
      <w:r>
        <w:rPr/>
        <w:t xml:space="preserve"> is the reflection coefficient for fixed measurement antenna n and </w:t>
      </w:r>
      <w:r>
        <w:rPr/>
      </w:r>
      <m:oMath xmlns:m="http://schemas.openxmlformats.org/officeDocument/2006/math">
        <m:sSub>
          <m:e>
            <m:r>
              <w:rPr>
                <w:rFonts w:ascii="Cambria Math" w:hAnsi="Cambria Math"/>
              </w:rPr>
              <m:t xml:space="preserve">C</m:t>
            </m:r>
          </m:e>
          <m:sub>
            <m:r>
              <w:rPr>
                <w:rFonts w:ascii="Cambria Math" w:hAnsi="Cambria Math"/>
              </w:rPr>
              <m:t xml:space="preserve">n</m:t>
            </m:r>
          </m:sub>
        </m:sSub>
      </m:oMath>
      <w:r>
        <w:rPr/>
        <w:t xml:space="preserve"> is the path loss in the cables connecting the measurement receiver to fixed measurement antenna n. These parameters are calculated from the calibration measurement and are further discussed in Annex B.2.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thres</m:t>
            </m:r>
            <m:r>
              <w:rPr>
                <w:rFonts w:ascii="Cambria Math" w:hAnsi="Cambria Math"/>
              </w:rPr>
              <m:t xml:space="preserve">,</m:t>
            </m:r>
            <m:r>
              <w:rPr>
                <w:rFonts w:ascii="Cambria Math" w:hAnsi="Cambria Math"/>
              </w:rPr>
              <m:t xml:space="preserve">n</m:t>
            </m:r>
          </m:sub>
        </m:sSub>
      </m:oMath>
      <w:r>
        <w:rPr/>
        <w:t xml:space="preserve"> is calculated by using the following equation:</w:t>
      </w:r>
    </w:p>
    <w:p>
      <w:pPr>
        <w:pStyle w:val="EQ"/>
        <w:rPr>
          <w:lang w:val="en-GB" w:eastAsia="en-GB"/>
        </w:rPr>
      </w:pPr>
      <w:r>
        <w:rPr>
          <w:lang w:val="en-GB" w:eastAsia="en-GB"/>
        </w:rPr>
      </w:r>
      <m:oMathPara xmlns:m="http://schemas.openxmlformats.org/officeDocument/2006/math">
        <m:oMathParaPr>
          <m:jc m:val="left"/>
        </m:oMathParaPr>
        <m:oMath>
          <m:sSub>
            <m:e>
              <m:r>
                <w:rPr>
                  <w:rFonts w:ascii="Cambria Math" w:hAnsi="Cambria Math"/>
                </w:rPr>
                <m:t xml:space="preserve">P</m:t>
              </m:r>
            </m:e>
            <m:sub>
              <m:r>
                <m:rPr>
                  <m:lit/>
                  <m:nor/>
                </m:rPr>
                <w:rPr>
                  <w:rFonts w:ascii="Cambria Math" w:hAnsi="Cambria Math"/>
                </w:rPr>
                <m:t xml:space="preserve">thres</m:t>
              </m:r>
              <m:r>
                <w:rPr>
                  <w:rFonts w:ascii="Cambria Math" w:hAnsi="Cambria Math"/>
                </w:rPr>
                <m:t xml:space="preserve">,</m:t>
              </m:r>
              <m:r>
                <w:rPr>
                  <w:rFonts w:ascii="Cambria Math" w:hAnsi="Cambria Math"/>
                </w:rPr>
                <m:t xml:space="preserve">n</m:t>
              </m:r>
            </m:sub>
          </m:sSub>
          <m:r>
            <w:rPr>
              <w:rFonts w:ascii="Cambria Math" w:hAnsi="Cambria Math"/>
            </w:rPr>
            <m:t xml:space="preserve">=</m:t>
          </m:r>
          <m:f>
            <m:num>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f>
                    <m:num>
                      <m:r>
                        <w:rPr>
                          <w:rFonts w:ascii="Cambria Math" w:hAnsi="Cambria Math"/>
                        </w:rPr>
                        <m:t xml:space="preserve">1</m:t>
                      </m:r>
                    </m:num>
                    <m:den>
                      <m:sSup>
                        <m:e>
                          <m:d>
                            <m:dPr>
                              <m:begChr m:val="|"/>
                              <m:endChr m:val="|"/>
                            </m:dPr>
                            <m:e>
                              <m:sSubSup>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up>
                                  <m:r>
                                    <m:rPr>
                                      <m:lit/>
                                      <m:nor/>
                                    </m:rPr>
                                    <w:rPr>
                                      <w:rFonts w:ascii="Cambria Math" w:hAnsi="Cambria Math"/>
                                    </w:rPr>
                                    <m:t xml:space="preserve">thres</m:t>
                                  </m:r>
                                </m:sup>
                              </m:sSubSup>
                            </m:e>
                          </m:d>
                        </m:e>
                        <m:sup>
                          <m:r>
                            <w:rPr>
                              <w:rFonts w:ascii="Cambria Math" w:hAnsi="Cambria Math"/>
                            </w:rPr>
                            <m:t xml:space="preserve">2</m:t>
                          </m:r>
                        </m:sup>
                      </m:sSup>
                    </m:den>
                  </m:f>
                </m:e>
              </m:nary>
            </m:num>
            <m:den>
              <m:r>
                <w:rPr>
                  <w:rFonts w:ascii="Cambria Math" w:hAnsi="Cambria Math"/>
                </w:rPr>
                <m:t xml:space="preserve">M</m:t>
              </m:r>
            </m:den>
          </m:f>
        </m:oMath>
      </m:oMathPara>
    </w:p>
    <w:p>
      <w:pPr>
        <w:pStyle w:val="Normal"/>
        <w:rPr/>
      </w:pPr>
      <w:r>
        <w:rPr/>
        <w:t xml:space="preserve">where </w:t>
      </w:r>
      <w:r>
        <w:rPr/>
      </w:r>
      <m:oMath xmlns:m="http://schemas.openxmlformats.org/officeDocument/2006/math">
        <m:sSubSup>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up>
            <m:r>
              <m:rPr>
                <m:lit/>
                <m:nor/>
              </m:rPr>
              <w:rPr>
                <w:rFonts w:ascii="Cambria Math" w:hAnsi="Cambria Math"/>
              </w:rPr>
              <m:t xml:space="preserve">thres</m:t>
            </m:r>
          </m:sup>
        </m:sSubSup>
      </m:oMath>
      <w:r>
        <w:rPr/>
        <w:t xml:space="preserve"> is the m:th value of the transfer function for fixed measurement antenna n, which gives the BER threshold. </w:t>
      </w:r>
      <w:r>
        <w:rPr/>
      </w:r>
      <m:oMath xmlns:m="http://schemas.openxmlformats.org/officeDocument/2006/math">
        <m:r>
          <w:rPr>
            <w:rFonts w:ascii="Cambria Math" w:hAnsi="Cambria Math"/>
          </w:rPr>
          <m:t xml:space="preserve">M</m:t>
        </m:r>
      </m:oMath>
      <w:r>
        <w:rPr/>
        <w:t xml:space="preserve"> is the total number of values of the BER threshold power measured for each fixed measurement antenna.</w:t>
      </w:r>
    </w:p>
    <w:p>
      <w:pPr>
        <w:pStyle w:val="Normal"/>
        <w:rPr/>
      </w:pPr>
      <w:r>
        <w:rPr/>
        <w:t>The requirements and this test apply to all types of LTE UEs independent of release.</w:t>
      </w:r>
    </w:p>
    <w:p>
      <w:pPr>
        <w:pStyle w:val="Heading4"/>
        <w:ind w:left="1418" w:hanging="1418"/>
        <w:rPr/>
      </w:pPr>
      <w:bookmarkStart w:id="265" w:name="__RefHeading___Toc68601197"/>
      <w:bookmarkEnd w:id="265"/>
      <w:r>
        <w:rPr/>
        <w:t>7.1.6.2</w:t>
      </w:r>
      <w:r>
        <w:rPr>
          <w:rFonts w:cs="Calibri" w:ascii="Calibri" w:hAnsi="Calibri"/>
          <w:sz w:val="22"/>
          <w:szCs w:val="22"/>
        </w:rPr>
        <w:tab/>
      </w:r>
      <w:r>
        <w:rPr/>
        <w:t>Minimum Requirements</w:t>
      </w:r>
    </w:p>
    <w:p>
      <w:pPr>
        <w:pStyle w:val="Normal"/>
        <w:jc w:val="both"/>
        <w:rPr/>
      </w:pPr>
      <w:r>
        <w:rPr/>
        <w:t>The average measured total radiated sensitivity (TRS) of low, mid and high channel for handheld UE shall be lower than the average TRS requirement specified in Table 7.1.6.2-1. The averaging shall be done in linear scale for the TRS results of both right and left side of the phantom head. Average TRS requirement is shown in the column “Average” on the requirement tables.</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6</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e>
              </m:d>
            </m:e>
          </m:d>
        </m:oMath>
      </m:oMathPara>
    </w:p>
    <w:p>
      <w:pPr>
        <w:pStyle w:val="Normal"/>
        <w:rPr/>
      </w:pPr>
      <w:r>
        <w:rPr/>
        <w:t>In addition the highest TRS of each measured channel shall be lower than maximum TRS requirement specified in Table 7.1.6.2-1. Maximum TRS requirement is shown in the column “Max” on the requirement tables.</w:t>
      </w:r>
    </w:p>
    <w:p>
      <w:pPr>
        <w:pStyle w:val="Normal"/>
        <w:keepLines/>
        <w:tabs>
          <w:tab w:val="clear" w:pos="284"/>
          <w:tab w:val="center" w:pos="4536" w:leader="none"/>
          <w:tab w:val="right" w:pos="9072" w:leader="none"/>
        </w:tabs>
        <w:jc w:val="center"/>
        <w:rPr/>
      </w:pPr>
      <w:r>
        <w:rPr/>
        <w:drawing>
          <wp:inline distT="0" distB="0" distL="0" distR="0">
            <wp:extent cx="5283200" cy="241300"/>
            <wp:effectExtent l="0" t="0" r="0" b="0"/>
            <wp:docPr id="3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7" descr=""/>
                    <pic:cNvPicPr>
                      <a:picLocks noChangeAspect="1" noChangeArrowheads="1"/>
                    </pic:cNvPicPr>
                  </pic:nvPicPr>
                  <pic:blipFill>
                    <a:blip r:embed="rId26"/>
                    <a:srcRect l="-7" t="-149" r="-7" b="-149"/>
                    <a:stretch>
                      <a:fillRect/>
                    </a:stretch>
                  </pic:blipFill>
                  <pic:spPr bwMode="auto">
                    <a:xfrm>
                      <a:off x="0" y="0"/>
                      <a:ext cx="5283200" cy="241300"/>
                    </a:xfrm>
                    <a:prstGeom prst="rect">
                      <a:avLst/>
                    </a:prstGeom>
                  </pic:spPr>
                </pic:pic>
              </a:graphicData>
            </a:graphic>
          </wp:inline>
        </w:drawing>
      </w:r>
    </w:p>
    <w:p>
      <w:pPr>
        <w:pStyle w:val="Normal"/>
        <w:keepNext w:val="true"/>
        <w:keepLines/>
        <w:spacing w:before="60" w:after="180"/>
        <w:jc w:val="center"/>
        <w:rPr>
          <w:rFonts w:ascii="Arial" w:hAnsi="Arial" w:cs="Arial"/>
          <w:b/>
          <w:b/>
        </w:rPr>
      </w:pPr>
      <w:r>
        <w:rPr>
          <w:rFonts w:cs="Arial" w:ascii="Arial" w:hAnsi="Arial"/>
          <w:b/>
        </w:rPr>
        <w:t>Table 7.1.6.2-1: TRS minimum requirements for E-UTRA TDD roaming bands in the speech position for the primary mechanical mode</w:t>
      </w:r>
    </w:p>
    <w:p>
      <w:pPr>
        <w:pStyle w:val="Normal"/>
        <w:rPr>
          <w:b/>
          <w:b/>
        </w:rPr>
      </w:pPr>
      <w:r>
        <w:rPr/>
        <w:t>TBD</w:t>
      </w:r>
    </w:p>
    <w:p>
      <w:pPr>
        <w:pStyle w:val="Normal"/>
        <w:rPr>
          <w:b/>
          <w:b/>
        </w:rPr>
      </w:pPr>
      <w:r>
        <w:rPr>
          <w:b/>
        </w:rPr>
      </w:r>
    </w:p>
    <w:p>
      <w:pPr>
        <w:pStyle w:val="Normal"/>
        <w:rPr/>
      </w:pPr>
      <w:r>
        <w:rPr/>
        <w:t>The normative reference for this clause is TS 37.144 [12] Subclause 7.1.2.4.</w:t>
      </w:r>
    </w:p>
    <w:p>
      <w:pPr>
        <w:pStyle w:val="Heading4"/>
        <w:ind w:left="1418" w:hanging="1418"/>
        <w:rPr/>
      </w:pPr>
      <w:bookmarkStart w:id="266" w:name="__RefHeading___Toc68601198"/>
      <w:bookmarkEnd w:id="266"/>
      <w:r>
        <w:rPr/>
        <w:t>7.1.6.3</w:t>
      </w:r>
      <w:r>
        <w:rPr>
          <w:rFonts w:cs="Calibri" w:ascii="Calibri" w:hAnsi="Calibri"/>
          <w:sz w:val="22"/>
          <w:szCs w:val="22"/>
        </w:rPr>
        <w:tab/>
      </w:r>
      <w:r>
        <w:rPr/>
        <w:t>Test purpose</w:t>
      </w:r>
    </w:p>
    <w:p>
      <w:pPr>
        <w:pStyle w:val="Normal"/>
        <w:rPr/>
      </w:pPr>
      <w:r>
        <w:rPr/>
        <w:t xml:space="preserve">The purpose of this test is to ensure that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max</m:t>
            </m:r>
          </m:sub>
        </m:sSub>
      </m:oMath>
      <w:r>
        <w:rPr/>
        <w:t xml:space="preserve"> of the UE is above specified limit. The lack of the reception sensitivity decreases the coverage area at the far side from Node B.</w:t>
      </w:r>
    </w:p>
    <w:p>
      <w:pPr>
        <w:pStyle w:val="Heading4"/>
        <w:ind w:left="1418" w:hanging="1418"/>
        <w:rPr/>
      </w:pPr>
      <w:bookmarkStart w:id="267" w:name="__RefHeading___Toc68601199"/>
      <w:bookmarkEnd w:id="267"/>
      <w:r>
        <w:rPr/>
        <w:t>7.1.6.4</w:t>
      </w:r>
      <w:r>
        <w:rPr>
          <w:rFonts w:cs="Calibri" w:ascii="Calibri" w:hAnsi="Calibri"/>
          <w:sz w:val="22"/>
          <w:szCs w:val="22"/>
        </w:rPr>
        <w:tab/>
      </w:r>
      <w:r>
        <w:rPr/>
        <w:t>Method of test</w:t>
      </w:r>
    </w:p>
    <w:p>
      <w:pPr>
        <w:pStyle w:val="Heading4"/>
        <w:ind w:left="1418" w:hanging="1418"/>
        <w:rPr/>
      </w:pPr>
      <w:bookmarkStart w:id="268" w:name="__RefHeading___Toc68601200"/>
      <w:bookmarkEnd w:id="268"/>
      <w:r>
        <w:rPr/>
        <w:t>7.1.6.4.1</w:t>
      </w:r>
      <w:r>
        <w:rPr>
          <w:rFonts w:cs="Calibri" w:ascii="Calibri" w:hAnsi="Calibri"/>
          <w:sz w:val="22"/>
          <w:szCs w:val="22"/>
        </w:rPr>
        <w:tab/>
      </w:r>
      <w:r>
        <w:rPr/>
        <w:t>Initial conditions</w:t>
      </w:r>
    </w:p>
    <w:p>
      <w:pPr>
        <w:pStyle w:val="Normal"/>
        <w:rPr/>
      </w:pPr>
      <w:r>
        <w:rPr/>
        <w:t xml:space="preserve">A radio communications tester or a corresponding device is used as a NB simulator to setup calls to the DUT. The NB/BS simulator is also used to send test signals to the UE and measure the BER levels of the radio link and the information on the dedicated channel needed to extract the DUT receiver performances. </w:t>
      </w:r>
    </w:p>
    <w:p>
      <w:pPr>
        <w:pStyle w:val="Normal"/>
        <w:rPr>
          <w:lang w:eastAsia="ja-JP"/>
        </w:rPr>
      </w:pPr>
      <w:r>
        <w:rPr>
          <w:lang w:eastAsia="ja-JP"/>
        </w:rPr>
        <w:t>Chamber environment constraints and coordinate system shall be the same as described in Subclause A.3.</w:t>
      </w:r>
    </w:p>
    <w:p>
      <w:pPr>
        <w:pStyle w:val="Normal"/>
        <w:rPr>
          <w:lang w:eastAsia="zh-CN"/>
        </w:rPr>
      </w:pPr>
      <w:r>
        <w:rPr>
          <w:lang w:eastAsia="ja-JP"/>
        </w:rPr>
        <w:t>Phantom Specifications shall be the same as described in Subclause A.2.1 and A.2.2.</w:t>
      </w:r>
    </w:p>
    <w:p>
      <w:pPr>
        <w:pStyle w:val="Normal"/>
        <w:rPr/>
      </w:pPr>
      <w:r>
        <w:rPr/>
        <w:t>Test environment: normal; see TS36.508 [10] Subclause 4.1.1.</w:t>
      </w:r>
    </w:p>
    <w:p>
      <w:pPr>
        <w:pStyle w:val="Normal"/>
        <w:rPr/>
      </w:pPr>
      <w:r>
        <w:rPr/>
        <w:t>Frequencies to be tested: low range, mid range, high range; see Table 5.4-2.</w:t>
      </w:r>
      <w:r>
        <w:rPr>
          <w:lang w:eastAsia="ja-JP"/>
        </w:rPr>
        <w:t xml:space="preserve"> </w:t>
      </w:r>
    </w:p>
    <w:p>
      <w:pPr>
        <w:pStyle w:val="Normal"/>
        <w:rPr/>
      </w:pPr>
      <w:r>
        <w:rPr>
          <w:lang w:eastAsia="ja-JP"/>
        </w:rPr>
        <w:t>Positioning Requirements shall be the same as described in Subclause 4.3.</w:t>
      </w:r>
    </w:p>
    <w:p>
      <w:pPr>
        <w:pStyle w:val="B1"/>
        <w:rPr/>
      </w:pPr>
      <w:r>
        <w:rPr/>
        <w:t>1)</w:t>
        <w:tab/>
        <w:t>Position the UE according to the DUT positioning for speech mode specified in Subclause 4.3.3.</w:t>
      </w:r>
    </w:p>
    <w:p>
      <w:pPr>
        <w:pStyle w:val="Normal"/>
        <w:ind w:left="568" w:hanging="284"/>
        <w:rPr/>
      </w:pPr>
      <w:r>
        <w:rPr/>
        <w:t>2)</w:t>
        <w:tab/>
        <w:t>Power on the UE.</w:t>
      </w:r>
    </w:p>
    <w:p>
      <w:pPr>
        <w:pStyle w:val="Normal"/>
        <w:ind w:left="568" w:hanging="284"/>
        <w:rPr/>
      </w:pPr>
      <w:r>
        <w:rPr/>
        <w:t>3)</w:t>
        <w:tab/>
        <w:t>Set the initial conditions as per Subclause 7.3 of 3GPP TS 36.521-1 [11], with the following exception: set the carrier frequency, channel bandwidth, RB length and RB location as per Table 5.4-2 for TDD mode. For DUTs with more than one receiver port, all the tests should be performed using both (all) antenna ports simultaneously.</w:t>
      </w:r>
    </w:p>
    <w:p>
      <w:pPr>
        <w:pStyle w:val="Heading4"/>
        <w:ind w:left="1418" w:hanging="1418"/>
        <w:rPr/>
      </w:pPr>
      <w:bookmarkStart w:id="269" w:name="__RefHeading___Toc68601201"/>
      <w:bookmarkEnd w:id="269"/>
      <w:r>
        <w:rPr/>
        <w:t>7.1.6.4.2</w:t>
      </w:r>
      <w:r>
        <w:rPr>
          <w:rFonts w:cs="Calibri" w:ascii="Calibri" w:hAnsi="Calibri"/>
          <w:sz w:val="22"/>
          <w:szCs w:val="22"/>
        </w:rPr>
        <w:tab/>
      </w:r>
      <w:r>
        <w:rPr/>
        <w:t>Procedure</w:t>
      </w:r>
    </w:p>
    <w:p>
      <w:pPr>
        <w:pStyle w:val="B1"/>
        <w:rPr/>
      </w:pPr>
      <w:r>
        <w:rPr/>
        <w:t>1)</w:t>
        <w:tab/>
        <w:t xml:space="preserve">Follow Steps 1 through 4 in Subclause 7.3.4.2 of 3GPP TS 36.521-1 [11], with the following exception: measure the receiver sensitivity by adjusting the downlink signal level to 95 % throughput of the maximum throughput of the reference channel (maximum throughput is per Annex A of 3GPP TS 36.521-1 [11]). </w:t>
      </w:r>
    </w:p>
    <w:p>
      <w:pPr>
        <w:pStyle w:val="B1"/>
        <w:rPr/>
      </w:pPr>
      <w:r>
        <w:rPr/>
        <w:t>2)</w:t>
        <w:tab/>
        <w:t>For the anechoic chamber based methodologies, repeat Step 1) with 3-D sampling grid specified in Subclause 4.4. The minimum RF power level resulting in a data throughput greater than or equal to 95 % throughput of the maximum throughput for each test shall be recorded for integration pursuant to Subclause 7.1.6.1 to calculate TRS.</w:t>
      </w:r>
    </w:p>
    <w:p>
      <w:pPr>
        <w:pStyle w:val="Normal"/>
        <w:ind w:left="568" w:hanging="284"/>
        <w:rPr/>
      </w:pPr>
      <w:r>
        <w:rPr/>
        <w:t>3)</w:t>
        <w:tab/>
        <w:t>Repeat the measurement of the DUT on the left and right ears of the head phantom using the left and right hand phantom for low, mid and high channels.</w:t>
      </w:r>
    </w:p>
    <w:p>
      <w:pPr>
        <w:pStyle w:val="B1"/>
        <w:rPr/>
      </w:pPr>
      <w:r>
        <w:rPr/>
        <w:t>4)</w:t>
        <w:tab/>
        <w:t>Calculate the average and minimum TRS as per Subclause 7.1.6.2.</w:t>
      </w:r>
    </w:p>
    <w:p>
      <w:pPr>
        <w:pStyle w:val="Heading4"/>
        <w:ind w:left="1418" w:hanging="1418"/>
        <w:rPr/>
      </w:pPr>
      <w:bookmarkStart w:id="270" w:name="__RefHeading___Toc68601202"/>
      <w:bookmarkEnd w:id="270"/>
      <w:r>
        <w:rPr/>
        <w:t>7.1.6.4.3</w:t>
      </w:r>
      <w:r>
        <w:rPr>
          <w:rFonts w:cs="Calibri" w:ascii="Calibri" w:hAnsi="Calibri"/>
          <w:sz w:val="22"/>
          <w:szCs w:val="22"/>
        </w:rPr>
        <w:tab/>
      </w:r>
      <w:r>
        <w:rPr/>
        <w:t>Procedure, reverberation chamber method</w:t>
      </w:r>
    </w:p>
    <w:p>
      <w:pPr>
        <w:pStyle w:val="B1"/>
        <w:rPr/>
      </w:pPr>
      <w:r>
        <w:rPr/>
        <w:t>1)</w:t>
        <w:tab/>
        <w:t xml:space="preserve">Follow Steps 1 through 4 in Subclause 7.3.4.2 of 3GPP TS 36.521-1 [11], with the following exception: measure the receiver sensitivity by adjusting the downlink signal level to 95 % throughput of the maximum throughput of the reference channel (maximum throughput is per Annex A of 3GPP TS 36.521-1 [11]). </w:t>
      </w:r>
    </w:p>
    <w:p>
      <w:pPr>
        <w:pStyle w:val="B1"/>
        <w:rPr/>
      </w:pPr>
      <w:r>
        <w:rPr/>
        <w:t>2)</w:t>
        <w:tab/>
        <w:t xml:space="preserve">Repeat Step 1) until a sufficient number of independent samples (see section 4.5) of </w:t>
      </w:r>
      <w:r>
        <w:rPr/>
      </w:r>
      <m:oMath xmlns:m="http://schemas.openxmlformats.org/officeDocument/2006/math">
        <m:sSup>
          <m:e>
            <m:d>
              <m:dPr>
                <m:begChr m:val="|"/>
                <m:endChr m:val="|"/>
              </m:dPr>
              <m:e>
                <m:sSubSup>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up>
                    <m:r>
                      <m:rPr>
                        <m:lit/>
                        <m:nor/>
                      </m:rPr>
                      <w:rPr>
                        <w:rFonts w:ascii="Cambria Math" w:hAnsi="Cambria Math"/>
                      </w:rPr>
                      <m:t xml:space="preserve">thres</m:t>
                    </m:r>
                  </m:sup>
                </m:sSubSup>
              </m:e>
            </m:d>
          </m:e>
          <m:sup>
            <m:r>
              <w:rPr>
                <w:rFonts w:ascii="Cambria Math" w:hAnsi="Cambria Math"/>
              </w:rPr>
              <m:t xml:space="preserve">2</m:t>
            </m:r>
          </m:sup>
        </m:sSup>
      </m:oMath>
      <w:r>
        <w:rPr/>
        <w:t xml:space="preserve"> has been measured. The minimum RF power level resulting in a data throughput greater than or equal to 95 % throughput of the maximum throughput for each sample shall be recorded for calculating the TRS according to Subclause 7.1.6.1.</w:t>
      </w:r>
    </w:p>
    <w:p>
      <w:pPr>
        <w:pStyle w:val="Normal"/>
        <w:ind w:left="568" w:hanging="284"/>
        <w:rPr/>
      </w:pPr>
      <w:r>
        <w:rPr/>
        <w:t>3)</w:t>
        <w:tab/>
        <w:t>Repeat the measurement of the DUT on the left and right ears of the head phantom using the left and right hand phantom for low, mid and high channels.</w:t>
      </w:r>
    </w:p>
    <w:p>
      <w:pPr>
        <w:pStyle w:val="Normal"/>
        <w:ind w:firstLine="284"/>
        <w:rPr>
          <w:lang w:eastAsia="zh-TW"/>
        </w:rPr>
      </w:pPr>
      <w:r>
        <w:rPr/>
        <w:t>4)</w:t>
        <w:tab/>
        <w:t>Calculate the average and minimum TRS as per Subclause 7.1.6.2.</w:t>
      </w:r>
    </w:p>
    <w:p>
      <w:pPr>
        <w:pStyle w:val="Normal"/>
        <w:rPr>
          <w:lang w:eastAsia="zh-TW"/>
        </w:rPr>
      </w:pPr>
      <w:r>
        <w:rPr>
          <w:lang w:eastAsia="zh-TW"/>
        </w:rPr>
      </w:r>
    </w:p>
    <w:p>
      <w:pPr>
        <w:pStyle w:val="Heading4"/>
        <w:ind w:left="1418" w:hanging="1418"/>
        <w:rPr/>
      </w:pPr>
      <w:bookmarkStart w:id="271" w:name="__RefHeading___Toc68601203"/>
      <w:bookmarkEnd w:id="271"/>
      <w:r>
        <w:rPr/>
        <w:t>7.1.6.5</w:t>
      </w:r>
      <w:r>
        <w:rPr>
          <w:rFonts w:cs="Calibri" w:ascii="Calibri" w:hAnsi="Calibri"/>
          <w:sz w:val="22"/>
          <w:szCs w:val="22"/>
        </w:rPr>
        <w:tab/>
      </w:r>
      <w:r>
        <w:rPr/>
        <w:t>Test requirements</w:t>
      </w:r>
    </w:p>
    <w:p>
      <w:pPr>
        <w:pStyle w:val="Normal"/>
        <w:jc w:val="both"/>
        <w:rPr/>
      </w:pPr>
      <w:r>
        <w:rPr/>
        <w:t>The average measured total radiated sensitivity (TRS) of low, mid and high channel for handheld UE shall be lower than the average TRS requirement specified in Table 7.1.6.5-1. The averaging shall be done in linear scale for the TRS results of both right and left side of the phantom head. Average TRS requirement is shown in the column “Average” on the requirement tables.</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6</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e>
              </m:d>
            </m:e>
          </m:d>
        </m:oMath>
      </m:oMathPara>
    </w:p>
    <w:p>
      <w:pPr>
        <w:pStyle w:val="Normal"/>
        <w:rPr/>
      </w:pPr>
      <w:r>
        <w:rPr/>
        <w:t>In addition the highest TRS of each measured channel shall be lower than maximum TRS requirement specified in Table 7.1.6.5-1. Maximum TRS requirement is shown in the column “Max” on the requirement tables.</w:t>
      </w:r>
    </w:p>
    <w:p>
      <w:pPr>
        <w:pStyle w:val="Normal"/>
        <w:keepLines/>
        <w:tabs>
          <w:tab w:val="clear" w:pos="284"/>
          <w:tab w:val="center" w:pos="4536" w:leader="none"/>
          <w:tab w:val="right" w:pos="9072" w:leader="none"/>
        </w:tabs>
        <w:jc w:val="center"/>
        <w:rPr/>
      </w:pPr>
      <w:r>
        <w:rPr/>
        <w:drawing>
          <wp:inline distT="0" distB="0" distL="0" distR="0">
            <wp:extent cx="5283200" cy="241300"/>
            <wp:effectExtent l="0" t="0" r="0" b="0"/>
            <wp:docPr id="3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8" descr=""/>
                    <pic:cNvPicPr>
                      <a:picLocks noChangeAspect="1" noChangeArrowheads="1"/>
                    </pic:cNvPicPr>
                  </pic:nvPicPr>
                  <pic:blipFill>
                    <a:blip r:embed="rId27"/>
                    <a:srcRect l="-7" t="-149" r="-7" b="-149"/>
                    <a:stretch>
                      <a:fillRect/>
                    </a:stretch>
                  </pic:blipFill>
                  <pic:spPr bwMode="auto">
                    <a:xfrm>
                      <a:off x="0" y="0"/>
                      <a:ext cx="5283200" cy="241300"/>
                    </a:xfrm>
                    <a:prstGeom prst="rect">
                      <a:avLst/>
                    </a:prstGeom>
                  </pic:spPr>
                </pic:pic>
              </a:graphicData>
            </a:graphic>
          </wp:inline>
        </w:drawing>
      </w:r>
    </w:p>
    <w:p>
      <w:pPr>
        <w:pStyle w:val="TH"/>
        <w:rPr/>
      </w:pPr>
      <w:r>
        <w:rPr/>
        <w:t>Table 7.1.6.5-1: TRS minimum requirement for E-UTRA TDD roaming bands in the speech position and the primary mechanical mode</w:t>
      </w:r>
    </w:p>
    <w:p>
      <w:pPr>
        <w:pStyle w:val="Normal"/>
        <w:rPr/>
      </w:pPr>
      <w:r>
        <w:rPr/>
        <w:t>TBD</w:t>
      </w:r>
    </w:p>
    <w:p>
      <w:pPr>
        <w:pStyle w:val="NO"/>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Heading3"/>
        <w:rPr/>
      </w:pPr>
      <w:bookmarkStart w:id="272" w:name="__RefHeading___Toc68601204"/>
      <w:bookmarkEnd w:id="272"/>
      <w:r>
        <w:rPr>
          <w:lang w:eastAsia="zh-CN"/>
        </w:rPr>
        <w:t>7</w:t>
      </w:r>
      <w:r>
        <w:rPr/>
        <w:t>.1.7</w:t>
        <w:tab/>
      </w:r>
      <w:r>
        <w:rPr>
          <w:rFonts w:cs="Arial"/>
          <w:color w:val="000000"/>
        </w:rPr>
        <w:t xml:space="preserve">Total Radiated Sensitivity (TRS) for </w:t>
      </w:r>
      <w:r>
        <w:rPr/>
        <w:t>UTRA FDD in Browsing Mode with Hand Phantom</w:t>
      </w:r>
    </w:p>
    <w:p>
      <w:pPr>
        <w:pStyle w:val="EditorsNote"/>
        <w:rPr/>
      </w:pPr>
      <w:r>
        <w:rPr/>
        <w:t>Editor’s notes: This subclause is incomplete. The following items is missing or incomplete:</w:t>
      </w:r>
    </w:p>
    <w:p>
      <w:pPr>
        <w:pStyle w:val="EditorsNote"/>
        <w:rPr/>
      </w:pPr>
      <w:r>
        <w:rPr/>
        <w:t>- Table 7.1.7.2-1 and 7.1.7.5-1 as they are not specified in TS 37.144 yet</w:t>
      </w:r>
    </w:p>
    <w:p>
      <w:pPr>
        <w:pStyle w:val="EditorsNote"/>
        <w:rPr/>
      </w:pPr>
      <w:r>
        <w:rPr/>
        <w:t>- Text for Subclause 7.1.7.4.3</w:t>
        <w:tab/>
        <w:t xml:space="preserve"> Procedure, reverberation chamber method</w:t>
      </w:r>
    </w:p>
    <w:p>
      <w:pPr>
        <w:pStyle w:val="Heading4"/>
        <w:ind w:left="1418" w:hanging="1418"/>
        <w:rPr/>
      </w:pPr>
      <w:bookmarkStart w:id="273" w:name="__RefHeading___Toc68601205"/>
      <w:bookmarkEnd w:id="273"/>
      <w:r>
        <w:rPr/>
        <w:t>7.1.7.1</w:t>
      </w:r>
      <w:r>
        <w:rPr>
          <w:rFonts w:cs="Calibri" w:ascii="Calibri" w:hAnsi="Calibri"/>
          <w:sz w:val="22"/>
          <w:szCs w:val="22"/>
        </w:rPr>
        <w:tab/>
      </w:r>
      <w:r>
        <w:rPr/>
        <w:t>Definition and applicability</w:t>
      </w:r>
    </w:p>
    <w:p>
      <w:pPr>
        <w:pStyle w:val="Normal"/>
        <w:rPr/>
      </w:pPr>
      <w:r>
        <w:rPr/>
        <w:t>The Total Radiated Sensitivity is defined as:</w:t>
      </w:r>
    </w:p>
    <w:p>
      <w:pPr>
        <w:pStyle w:val="EQ"/>
        <w:rPr>
          <w:lang w:val="en-GB" w:eastAsia="en-GB"/>
        </w:rPr>
      </w:pPr>
      <w:r>
        <w:rPr>
          <w:lang w:val="en-GB" w:eastAsia="en-GB"/>
        </w:rPr>
      </w:r>
      <m:oMathPara xmlns:m="http://schemas.openxmlformats.org/officeDocument/2006/math">
        <m:oMathParaPr>
          <m:jc m:val="left"/>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4</m:t>
              </m:r>
              <m:r>
                <w:rPr>
                  <w:rFonts w:ascii="Cambria Math" w:hAnsi="Cambria Math"/>
                </w:rPr>
                <m:t xml:space="preserve">π</m:t>
              </m:r>
            </m:num>
            <m:den>
              <m:nary>
                <m:naryPr>
                  <m:chr m:val="∮"/>
                  <m:subHide m:val="1"/>
                  <m:supHide m:val="1"/>
                </m:naryPr>
                <m:sub/>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e>
                  </m:d>
                </m:e>
              </m:nary>
              <m:r>
                <w:rPr>
                  <w:rFonts w:ascii="Cambria Math" w:hAnsi="Cambria Math"/>
                </w:rPr>
                <m:t xml:space="preserve">d</m:t>
              </m:r>
              <m:r>
                <w:rPr>
                  <w:rFonts w:ascii="Cambria Math" w:hAnsi="Cambria Math"/>
                </w:rPr>
                <m:t xml:space="preserve">Ω</m:t>
              </m:r>
            </m:den>
          </m:f>
        </m:oMath>
      </m:oMathPara>
    </w:p>
    <w:p>
      <w:pPr>
        <w:pStyle w:val="Normal"/>
        <w:rPr/>
      </w:pPr>
      <w:r>
        <w:rPr/>
        <w:t>Where the effective isotropic sensitivity (</w:t>
      </w:r>
      <w:r>
        <w:rPr>
          <w:i/>
          <w:iCs/>
        </w:rPr>
        <w:t>EIS</w:t>
      </w:r>
      <w:r>
        <w:rPr/>
        <w:t xml:space="preserve">) is defined as the power available at the antenna output such as the sensitivity threshold is achieved for each polarization.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r>
          <w:rPr>
            <w:rFonts w:ascii="Cambria Math" w:hAnsi="Cambria Math"/>
          </w:rPr>
          <m:t xml:space="preserve">f</m:t>
        </m:r>
      </m:oMath>
      <w:r>
        <w:rPr/>
        <w:t xml:space="preserve"> is frequency.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 are the orthogonal polarizations.</w:t>
      </w:r>
    </w:p>
    <w:p>
      <w:pPr>
        <w:pStyle w:val="EQ"/>
        <w:rPr>
          <w:lang w:val="en-GB" w:eastAsia="en-GB"/>
        </w:rPr>
      </w:pPr>
      <w:r>
        <w:rPr>
          <w:lang w:val="en-GB" w:eastAsia="en-GB"/>
        </w:rPr>
      </w:r>
      <m:oMathPara xmlns:m="http://schemas.openxmlformats.org/officeDocument/2006/math">
        <m:oMathParaPr>
          <m:jc m:val="left"/>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2</m:t>
              </m:r>
              <m:r>
                <m:rPr>
                  <m:lit/>
                  <m:nor/>
                </m:rPr>
                <w:rPr>
                  <w:rFonts w:ascii="Cambria Math" w:hAnsi="Cambria Math"/>
                </w:rPr>
                <m:t xml:space="preserve">NM</m:t>
              </m:r>
            </m:num>
            <m:den>
              <m:r>
                <w:rPr>
                  <w:rFonts w:ascii="Cambria Math" w:hAnsi="Cambria Math"/>
                </w:rPr>
                <m:t xml:space="preserve">π</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e>
                      </m:d>
                      <m:r>
                        <m:rPr>
                          <m:lit/>
                          <m:nor/>
                        </m:rPr>
                        <w:rPr>
                          <w:rFonts w:ascii="Cambria Math" w:hAnsi="Cambria Math"/>
                        </w:rPr>
                        <m:t xml:space="preserve">sin</m:t>
                      </m:r>
                      <m:d>
                        <m:dPr>
                          <m:begChr m:val="("/>
                          <m:endChr m:val=")"/>
                        </m:dPr>
                        <m:e>
                          <m:sSub>
                            <m:e>
                              <m:r>
                                <w:rPr>
                                  <w:rFonts w:ascii="Cambria Math" w:hAnsi="Cambria Math"/>
                                </w:rPr>
                                <m:t xml:space="preserve">θ</m:t>
                              </m:r>
                            </m:e>
                            <m:sub>
                              <m:r>
                                <w:rPr>
                                  <w:rFonts w:ascii="Cambria Math" w:hAnsi="Cambria Math"/>
                                </w:rPr>
                                <m:t xml:space="preserve">n</m:t>
                              </m:r>
                            </m:sub>
                          </m:sSub>
                        </m:e>
                      </m:d>
                    </m:e>
                  </m:nary>
                </m:e>
              </m:nary>
            </m:den>
          </m:f>
        </m:oMath>
      </m:oMathPara>
    </w:p>
    <w:p>
      <w:pPr>
        <w:pStyle w:val="Normal"/>
        <w:rPr/>
      </w:pPr>
      <w:r>
        <w:rPr/>
        <w:t xml:space="preserve">In these formulas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are the number of sampling intervals for theta and phi.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oMath>
      <w:r>
        <w:rPr/>
        <w:t xml:space="preserve"> are the measurement angles. The sampling intervals are discussed further in Subclause 4.4.</w:t>
      </w:r>
    </w:p>
    <w:p>
      <w:pPr>
        <w:pStyle w:val="Normal"/>
        <w:rPr/>
      </w:pPr>
      <w:r>
        <w:rPr/>
        <w:t>The requirements and this test apply to all types of UTRA for the FDD UE for Release 7 and later releases.</w:t>
      </w:r>
    </w:p>
    <w:p>
      <w:pPr>
        <w:pStyle w:val="Heading4"/>
        <w:ind w:left="1418" w:hanging="1418"/>
        <w:rPr/>
      </w:pPr>
      <w:bookmarkStart w:id="274" w:name="__RefHeading___Toc68601206"/>
      <w:bookmarkEnd w:id="274"/>
      <w:r>
        <w:rPr/>
        <w:t>7.1.7.2</w:t>
      </w:r>
      <w:r>
        <w:rPr>
          <w:rFonts w:cs="Calibri" w:ascii="Calibri" w:hAnsi="Calibri"/>
          <w:sz w:val="22"/>
          <w:szCs w:val="22"/>
        </w:rPr>
        <w:tab/>
      </w:r>
      <w:r>
        <w:rPr/>
        <w:t>Minimum Requirements</w:t>
      </w:r>
    </w:p>
    <w:p>
      <w:pPr>
        <w:pStyle w:val="Normal"/>
        <w:jc w:val="both"/>
        <w:rPr/>
      </w:pPr>
      <w:r>
        <w:rPr/>
        <w:t>The average measured total radiated sensitivity (TRS) of low, mid and high channel for handheld UE shall be lower than the average TRS requirement specified in Table 7.1.7.2-1. For the hand phantom browsing mode position the averaging shall be done in linear scale for the TRS results of both right and left hand phantom measurements. Average TRS requirement is shown in the column “Average” on the requirement tables.</w:t>
      </w:r>
    </w:p>
    <w:p>
      <w:pPr>
        <w:pStyle w:val="Normal"/>
        <w:keepLines/>
        <w:tabs>
          <w:tab w:val="clear" w:pos="284"/>
          <w:tab w:val="center" w:pos="4536" w:leader="none"/>
          <w:tab w:val="right" w:pos="9072" w:leader="none"/>
        </w:tabs>
        <w:rPr/>
      </w:pPr>
      <w:r>
        <w:rPr/>
        <w:tab/>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6</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e>
            </m:d>
          </m:e>
        </m:d>
      </m:oMath>
    </w:p>
    <w:p>
      <w:pPr>
        <w:pStyle w:val="Normal"/>
        <w:rPr/>
      </w:pPr>
      <w:r>
        <w:rPr/>
        <w:t>In addition the highest TRS of each measured channel shall be lower than maximum TRS requirement specified in Table 7.1.7.2-1. Maximum TRS requirement is shown in the column “Max” on the requirement tables.</w:t>
      </w:r>
    </w:p>
    <w:p>
      <w:pPr>
        <w:pStyle w:val="Normal"/>
        <w:keepLines/>
        <w:tabs>
          <w:tab w:val="clear" w:pos="284"/>
          <w:tab w:val="center" w:pos="4536" w:leader="none"/>
          <w:tab w:val="right" w:pos="9072" w:leader="none"/>
        </w:tabs>
        <w:rPr/>
      </w:pPr>
      <w:r>
        <w:rPr/>
        <w:drawing>
          <wp:inline distT="0" distB="0" distL="0" distR="0">
            <wp:extent cx="5283200" cy="241300"/>
            <wp:effectExtent l="0" t="0" r="0" b="0"/>
            <wp:docPr id="3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9" descr=""/>
                    <pic:cNvPicPr>
                      <a:picLocks noChangeAspect="1" noChangeArrowheads="1"/>
                    </pic:cNvPicPr>
                  </pic:nvPicPr>
                  <pic:blipFill>
                    <a:blip r:embed="rId28"/>
                    <a:srcRect l="-7" t="-149" r="-7" b="-149"/>
                    <a:stretch>
                      <a:fillRect/>
                    </a:stretch>
                  </pic:blipFill>
                  <pic:spPr bwMode="auto">
                    <a:xfrm>
                      <a:off x="0" y="0"/>
                      <a:ext cx="5283200" cy="241300"/>
                    </a:xfrm>
                    <a:prstGeom prst="rect">
                      <a:avLst/>
                    </a:prstGeom>
                  </pic:spPr>
                </pic:pic>
              </a:graphicData>
            </a:graphic>
          </wp:inline>
        </w:drawing>
      </w:r>
    </w:p>
    <w:p>
      <w:pPr>
        <w:pStyle w:val="TH"/>
        <w:rPr/>
      </w:pPr>
      <w:r>
        <w:rPr/>
        <w:t>Table 7.1.7.2-1: Handheld UE TRS minimum requirements for UTRA FDD roaming bands in hand phantom browsing mode position</w:t>
      </w:r>
    </w:p>
    <w:tbl>
      <w:tblPr>
        <w:tblW w:w="6051" w:type="dxa"/>
        <w:jc w:val="center"/>
        <w:tblInd w:w="0" w:type="dxa"/>
        <w:tblLayout w:type="fixed"/>
        <w:tblCellMar>
          <w:top w:w="0" w:type="dxa"/>
          <w:left w:w="28" w:type="dxa"/>
          <w:bottom w:w="0" w:type="dxa"/>
          <w:right w:w="28" w:type="dxa"/>
        </w:tblCellMar>
      </w:tblPr>
      <w:tblGrid>
        <w:gridCol w:w="1472"/>
        <w:gridCol w:w="1744"/>
        <w:gridCol w:w="1418"/>
        <w:gridCol w:w="1417"/>
      </w:tblGrid>
      <w:tr>
        <w:trPr>
          <w:trHeight w:val="57" w:hRule="atLeast"/>
          <w:cantSplit w:val="true"/>
        </w:trPr>
        <w:tc>
          <w:tcPr>
            <w:tcW w:w="1472" w:type="dxa"/>
            <w:vMerge w:val="restart"/>
            <w:tcBorders>
              <w:top w:val="single" w:sz="4" w:space="0" w:color="000000"/>
              <w:left w:val="single" w:sz="4" w:space="0" w:color="000000"/>
              <w:bottom w:val="single" w:sz="4" w:space="0" w:color="000000"/>
              <w:right w:val="single" w:sz="4" w:space="0" w:color="000000"/>
            </w:tcBorders>
          </w:tcPr>
          <w:p>
            <w:pPr>
              <w:pStyle w:val="TAH"/>
              <w:rPr/>
            </w:pPr>
            <w:r>
              <w:rPr>
                <w:lang w:eastAsia="en-US"/>
              </w:rPr>
              <w:t>Operating band</w:t>
            </w:r>
          </w:p>
        </w:tc>
        <w:tc>
          <w:tcPr>
            <w:tcW w:w="1744" w:type="dxa"/>
            <w:vMerge w:val="restart"/>
            <w:tcBorders>
              <w:top w:val="single" w:sz="4" w:space="0" w:color="000000"/>
              <w:left w:val="single" w:sz="4" w:space="0" w:color="000000"/>
              <w:bottom w:val="single" w:sz="4" w:space="0" w:color="000000"/>
              <w:right w:val="single" w:sz="4" w:space="0" w:color="000000"/>
            </w:tcBorders>
          </w:tcPr>
          <w:p>
            <w:pPr>
              <w:pStyle w:val="TAH"/>
              <w:rPr/>
            </w:pPr>
            <w:r>
              <w:rPr>
                <w:lang w:eastAsia="en-US"/>
              </w:rPr>
              <w:t>Unit</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pPr>
            <w:r>
              <w:rPr>
                <w:lang w:eastAsia="en-US"/>
              </w:rPr>
              <w:t>&lt;REFÎ</w:t>
            </w:r>
            <w:r>
              <w:rPr>
                <w:vertAlign w:val="subscript"/>
                <w:lang w:eastAsia="en-US"/>
              </w:rPr>
              <w:t>or</w:t>
            </w:r>
            <w:r>
              <w:rPr>
                <w:lang w:eastAsia="en-US"/>
              </w:rPr>
              <w:t>&gt;</w:t>
            </w:r>
          </w:p>
        </w:tc>
      </w:tr>
      <w:tr>
        <w:trPr>
          <w:trHeight w:val="57" w:hRule="atLeast"/>
          <w:cantSplit w:val="true"/>
        </w:trPr>
        <w:tc>
          <w:tcPr>
            <w:tcW w:w="147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744"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141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Max</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IV</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IX</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XIX</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6051" w:type="dxa"/>
            <w:gridSpan w:val="4"/>
            <w:tcBorders>
              <w:top w:val="single" w:sz="4" w:space="0" w:color="000000"/>
              <w:left w:val="single" w:sz="4" w:space="0" w:color="000000"/>
              <w:bottom w:val="single" w:sz="4" w:space="0" w:color="000000"/>
              <w:right w:val="single" w:sz="4" w:space="0" w:color="000000"/>
            </w:tcBorders>
          </w:tcPr>
          <w:p>
            <w:pPr>
              <w:pStyle w:val="TAN"/>
              <w:rPr>
                <w:lang w:eastAsia="en-US"/>
              </w:rPr>
            </w:pPr>
            <w:r>
              <w:rPr>
                <w:lang w:eastAsia="en-US"/>
              </w:rPr>
              <w:t>NOTE 1:</w:t>
              <w:tab/>
              <w:t>For power class 3, 3bis and 4 this shall be achieved at the maximum output power.</w:t>
            </w:r>
          </w:p>
          <w:p>
            <w:pPr>
              <w:pStyle w:val="TAN"/>
              <w:rPr>
                <w:lang w:eastAsia="en-US"/>
              </w:rPr>
            </w:pPr>
            <w:r>
              <w:rPr>
                <w:lang w:eastAsia="ja-JP"/>
              </w:rPr>
              <w:t>NOTE 2:</w:t>
              <w:tab/>
              <w:t xml:space="preserve">For the UE which supports both Band III and Band IX operating frequencies, the reference level of TDB dBm TRS </w:t>
            </w:r>
            <w:r>
              <w:rPr>
                <w:lang w:eastAsia="en-US"/>
              </w:rPr>
              <w:t>&lt;REFÎ</w:t>
            </w:r>
            <w:r>
              <w:rPr>
                <w:vertAlign w:val="subscript"/>
                <w:lang w:eastAsia="en-US"/>
              </w:rPr>
              <w:t>or</w:t>
            </w:r>
            <w:r>
              <w:rPr>
                <w:lang w:eastAsia="en-US"/>
              </w:rPr>
              <w:t>&gt;</w:t>
            </w:r>
            <w:r>
              <w:rPr>
                <w:lang w:eastAsia="ja-JP"/>
              </w:rPr>
              <w:t xml:space="preserve"> [average and min] shall apply for Band IX. </w:t>
            </w:r>
          </w:p>
          <w:p>
            <w:pPr>
              <w:pStyle w:val="TAN"/>
              <w:rPr>
                <w:lang w:eastAsia="en-US"/>
              </w:rPr>
            </w:pPr>
            <w:r>
              <w:rPr>
                <w:lang w:eastAsia="en-US"/>
              </w:rPr>
              <w:t xml:space="preserve">NOTE 3: </w:t>
              <w:tab/>
              <w:t>Applicable for dual-mode GSM/UMTS.</w:t>
            </w:r>
          </w:p>
          <w:p>
            <w:pPr>
              <w:pStyle w:val="TAN"/>
              <w:rPr/>
            </w:pPr>
            <w:r>
              <w:rPr>
                <w:lang w:eastAsia="en-US"/>
              </w:rPr>
              <w:t>NOTE 4:</w:t>
              <w:tab/>
              <w:t xml:space="preserve">For </w:t>
            </w:r>
            <w:r>
              <w:rPr>
                <w:lang w:eastAsia="ko-KR"/>
              </w:rPr>
              <w:t>the UE which supports DB-DC-HSDPA config</w:t>
            </w:r>
            <w:r>
              <w:rPr>
                <w:lang w:eastAsia="en-US"/>
              </w:rPr>
              <w:t>uration 2, average</w:t>
            </w:r>
            <w:r>
              <w:rPr>
                <w:lang w:eastAsia="ko-KR"/>
              </w:rPr>
              <w:t xml:space="preserve"> </w:t>
            </w:r>
            <w:r>
              <w:rPr>
                <w:lang w:eastAsia="en-US"/>
              </w:rPr>
              <w:t xml:space="preserve">&lt;REFÎor&gt; level of -98 dBm/3.84 MHz and max &lt;REFÎor&gt; level of -95 dBm/3.84 MHz </w:t>
            </w:r>
            <w:r>
              <w:rPr>
                <w:lang w:eastAsia="ko-KR"/>
              </w:rPr>
              <w:t>shall apply for Band II.</w:t>
            </w:r>
          </w:p>
          <w:p>
            <w:pPr>
              <w:pStyle w:val="TAN"/>
              <w:rPr/>
            </w:pPr>
            <w:r>
              <w:rPr>
                <w:lang w:eastAsia="en-US"/>
              </w:rPr>
              <w:t>NOTE 5:</w:t>
              <w:tab/>
              <w:t xml:space="preserve">For the UE which supports DB-DC-HSDPA configuration 2, average &lt;REFÎor&gt; level of -100 dBm/3.84 MHz and max &lt;REFÎor&gt; level of -97 dBm/3.84 MHz </w:t>
            </w:r>
            <w:r>
              <w:rPr>
                <w:lang w:eastAsia="ko-KR"/>
              </w:rPr>
              <w:t>shall apply for Band IV.</w:t>
            </w:r>
            <w:r>
              <w:rPr>
                <w:lang w:eastAsia="en-US"/>
              </w:rPr>
              <w:t xml:space="preserve"> </w:t>
            </w:r>
          </w:p>
        </w:tc>
      </w:tr>
    </w:tbl>
    <w:p>
      <w:pPr>
        <w:pStyle w:val="Normal"/>
        <w:rPr/>
      </w:pPr>
      <w:r>
        <w:rPr/>
      </w:r>
    </w:p>
    <w:p>
      <w:pPr>
        <w:pStyle w:val="Normal"/>
        <w:rPr/>
      </w:pPr>
      <w:r>
        <w:rPr/>
        <w:t>The normative reference for this clause is TS 37.144 [12] Subclause 7.1.3.1.</w:t>
      </w:r>
    </w:p>
    <w:p>
      <w:pPr>
        <w:pStyle w:val="Heading4"/>
        <w:ind w:left="1418" w:hanging="1418"/>
        <w:rPr/>
      </w:pPr>
      <w:bookmarkStart w:id="275" w:name="__RefHeading___Toc68601207"/>
      <w:bookmarkEnd w:id="275"/>
      <w:r>
        <w:rPr/>
        <w:t>7.1.7.3</w:t>
      </w:r>
      <w:r>
        <w:rPr>
          <w:rFonts w:cs="Calibri" w:ascii="Calibri" w:hAnsi="Calibri"/>
          <w:sz w:val="22"/>
          <w:szCs w:val="22"/>
        </w:rPr>
        <w:tab/>
      </w:r>
      <w:r>
        <w:rPr/>
        <w:t>Test purpose</w:t>
      </w:r>
    </w:p>
    <w:p>
      <w:pPr>
        <w:pStyle w:val="Normal"/>
        <w:rPr/>
      </w:pPr>
      <w:r>
        <w:rPr/>
        <w:t xml:space="preserve">The purpose of this test is to ensure that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max</m:t>
            </m:r>
          </m:sub>
        </m:sSub>
      </m:oMath>
      <w:r>
        <w:rPr/>
        <w:t xml:space="preserve"> of the UE is above specified limit. The lack of the reception sensitivity decreases the coverage area at the far side from Node B.</w:t>
      </w:r>
    </w:p>
    <w:p>
      <w:pPr>
        <w:pStyle w:val="Heading4"/>
        <w:ind w:left="1418" w:hanging="1418"/>
        <w:rPr/>
      </w:pPr>
      <w:bookmarkStart w:id="276" w:name="__RefHeading___Toc68601208"/>
      <w:bookmarkEnd w:id="276"/>
      <w:r>
        <w:rPr/>
        <w:t>7.1.7.4</w:t>
      </w:r>
      <w:r>
        <w:rPr>
          <w:rFonts w:cs="Calibri" w:ascii="Calibri" w:hAnsi="Calibri"/>
          <w:sz w:val="22"/>
          <w:szCs w:val="22"/>
        </w:rPr>
        <w:tab/>
      </w:r>
      <w:r>
        <w:rPr/>
        <w:t>Method of test</w:t>
      </w:r>
    </w:p>
    <w:p>
      <w:pPr>
        <w:pStyle w:val="Heading4"/>
        <w:ind w:left="1418" w:hanging="1418"/>
        <w:rPr/>
      </w:pPr>
      <w:bookmarkStart w:id="277" w:name="__RefHeading___Toc68601209"/>
      <w:bookmarkEnd w:id="277"/>
      <w:r>
        <w:rPr/>
        <w:t>7.1.7.4.1</w:t>
      </w:r>
      <w:r>
        <w:rPr>
          <w:rFonts w:cs="Calibri" w:ascii="Calibri" w:hAnsi="Calibri"/>
          <w:sz w:val="22"/>
          <w:szCs w:val="22"/>
        </w:rPr>
        <w:tab/>
      </w:r>
      <w:r>
        <w:rPr/>
        <w:t>Initial conditions</w:t>
      </w:r>
    </w:p>
    <w:p>
      <w:pPr>
        <w:pStyle w:val="Normal"/>
        <w:rPr/>
      </w:pPr>
      <w:r>
        <w:rPr/>
        <w:t xml:space="preserve">A radio communications tester or a corresponding device is used as a NB/BS simulator to setup calls to the DUT. The NB/BS simulator is also used to send test signals to the UE and measure the BER levels of the radio link and the information on the dedicated channel needed to extract the DUT receiver performances. </w:t>
      </w:r>
    </w:p>
    <w:p>
      <w:pPr>
        <w:pStyle w:val="Normal"/>
        <w:rPr>
          <w:lang w:eastAsia="ja-JP"/>
        </w:rPr>
      </w:pPr>
      <w:r>
        <w:rPr>
          <w:lang w:eastAsia="ja-JP"/>
        </w:rPr>
        <w:t>Chamber environment constraints and coordinate system shall be the same as described in Subclause A.3.</w:t>
      </w:r>
    </w:p>
    <w:p>
      <w:pPr>
        <w:pStyle w:val="Normal"/>
        <w:rPr>
          <w:lang w:eastAsia="zh-CN"/>
        </w:rPr>
      </w:pPr>
      <w:r>
        <w:rPr>
          <w:lang w:eastAsia="ja-JP"/>
        </w:rPr>
        <w:t>Phantom Specifications shall be the same as described in Subclause A.2.2.</w:t>
      </w:r>
    </w:p>
    <w:p>
      <w:pPr>
        <w:pStyle w:val="Normal"/>
        <w:rPr/>
      </w:pPr>
      <w:r>
        <w:rPr/>
        <w:t>Test environment: normal; see TS36.508 [10] Subclause 4.1.1.</w:t>
      </w:r>
    </w:p>
    <w:p>
      <w:pPr>
        <w:pStyle w:val="Normal"/>
        <w:rPr/>
      </w:pPr>
      <w:r>
        <w:rPr/>
        <w:t>Frequencies to be tested: low range, mid range, high range; see Table 5.2-2.</w:t>
      </w:r>
      <w:r>
        <w:rPr>
          <w:lang w:eastAsia="ja-JP"/>
        </w:rPr>
        <w:t xml:space="preserve"> </w:t>
      </w:r>
    </w:p>
    <w:p>
      <w:pPr>
        <w:pStyle w:val="Normal"/>
        <w:rPr>
          <w:lang w:eastAsia="ja-JP"/>
        </w:rPr>
      </w:pPr>
      <w:r>
        <w:rPr>
          <w:lang w:eastAsia="ja-JP"/>
        </w:rPr>
        <w:t>Positioning Requirements shall be the same as described in Subclause 4.3.</w:t>
      </w:r>
    </w:p>
    <w:p>
      <w:pPr>
        <w:pStyle w:val="B1"/>
        <w:rPr/>
      </w:pPr>
      <w:r>
        <w:rPr/>
        <w:t>1)</w:t>
        <w:tab/>
        <w:t>Position the UE according to the DUT positioning for browsing mode specified in Subclause 4.3.4.</w:t>
      </w:r>
    </w:p>
    <w:p>
      <w:pPr>
        <w:pStyle w:val="B1"/>
        <w:rPr/>
      </w:pPr>
      <w:r>
        <w:rPr/>
        <w:t>2)</w:t>
        <w:tab/>
        <w:t>Set the SS downlink physical channels according to settings in Table 7.1.7.4.1-1.</w:t>
      </w:r>
    </w:p>
    <w:p>
      <w:pPr>
        <w:pStyle w:val="B1"/>
        <w:rPr/>
      </w:pPr>
      <w:r>
        <w:rPr/>
        <w:t>3)</w:t>
        <w:tab/>
        <w:t>Power on the UE.</w:t>
      </w:r>
    </w:p>
    <w:p>
      <w:pPr>
        <w:pStyle w:val="B1"/>
        <w:rPr/>
      </w:pPr>
      <w:r>
        <w:rPr/>
        <w:t>4)</w:t>
        <w:tab/>
        <w:t>A call is set up according to the Generic call setup procedure. The power control algorithm shall be set to Power Control Algorithm 2. Compressed mode shall be set to OFF.</w:t>
      </w:r>
    </w:p>
    <w:p>
      <w:pPr>
        <w:pStyle w:val="B1"/>
        <w:rPr/>
      </w:pPr>
      <w:r>
        <w:rPr/>
        <w:t>5)</w:t>
        <w:tab/>
        <w:t>Enter the UE into loopback test mode 2 and start the loopback test.</w:t>
      </w:r>
    </w:p>
    <w:p>
      <w:pPr>
        <w:pStyle w:val="Normal"/>
        <w:rPr/>
      </w:pPr>
      <w:r>
        <w:rPr/>
        <w:t>See TS 34.108 [4] and TS 34.109 [5] for details regarding generic call setup procedure and loopback test.</w:t>
      </w:r>
    </w:p>
    <w:p>
      <w:pPr>
        <w:pStyle w:val="TH"/>
        <w:rPr/>
      </w:pPr>
      <w:r>
        <w:rPr/>
        <w:t>Table 7.1.7.4.1-1: Downlink Physical Channels transmitted during a connection</w:t>
      </w:r>
    </w:p>
    <w:tbl>
      <w:tblPr>
        <w:tblW w:w="6612" w:type="dxa"/>
        <w:jc w:val="left"/>
        <w:tblInd w:w="1553" w:type="dxa"/>
        <w:tblLayout w:type="fixed"/>
        <w:tblCellMar>
          <w:top w:w="0" w:type="dxa"/>
          <w:left w:w="108" w:type="dxa"/>
          <w:bottom w:w="0" w:type="dxa"/>
          <w:right w:w="108" w:type="dxa"/>
        </w:tblCellMar>
      </w:tblPr>
      <w:tblGrid>
        <w:gridCol w:w="2301"/>
        <w:gridCol w:w="4311"/>
      </w:tblGrid>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Physical Channel</w:t>
            </w:r>
          </w:p>
        </w:tc>
        <w:tc>
          <w:tcPr>
            <w:tcW w:w="431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Power</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CPICH</w:t>
            </w:r>
          </w:p>
        </w:tc>
        <w:tc>
          <w:tcPr>
            <w:tcW w:w="431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CPICH_Ec / DPCH_Ec</w:t>
              <w:tab/>
              <w:t>= 7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P-CCPCH</w:t>
            </w:r>
          </w:p>
        </w:tc>
        <w:tc>
          <w:tcPr>
            <w:tcW w:w="431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P-CCPCH_Ec/ DPCH_Ec</w:t>
              <w:tab/>
              <w:t>= 5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SCH</w:t>
            </w:r>
          </w:p>
        </w:tc>
        <w:tc>
          <w:tcPr>
            <w:tcW w:w="431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SCH_Ec / DPCH_Ec</w:t>
              <w:tab/>
              <w:t>= 5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PICH</w:t>
            </w:r>
          </w:p>
        </w:tc>
        <w:tc>
          <w:tcPr>
            <w:tcW w:w="4311" w:type="dxa"/>
            <w:tcBorders>
              <w:top w:val="single" w:sz="6" w:space="0" w:color="000000"/>
              <w:left w:val="single" w:sz="6" w:space="0" w:color="000000"/>
              <w:bottom w:val="single" w:sz="6" w:space="0" w:color="000000"/>
              <w:right w:val="single" w:sz="6" w:space="0" w:color="000000"/>
            </w:tcBorders>
          </w:tcPr>
          <w:p>
            <w:pPr>
              <w:pStyle w:val="TAL1"/>
              <w:rPr/>
            </w:pPr>
            <w:r>
              <w:rPr>
                <w:lang w:eastAsia="en-US"/>
              </w:rPr>
              <w:t>PICH_Ec / DPCH_Ec</w:t>
              <w:tab/>
              <w:t>= 2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DPCH</w:t>
            </w:r>
          </w:p>
        </w:tc>
        <w:tc>
          <w:tcPr>
            <w:tcW w:w="4311" w:type="dxa"/>
            <w:tcBorders>
              <w:top w:val="single" w:sz="6" w:space="0" w:color="000000"/>
              <w:left w:val="single" w:sz="6" w:space="0" w:color="000000"/>
              <w:bottom w:val="single" w:sz="6" w:space="0" w:color="000000"/>
              <w:right w:val="single" w:sz="6" w:space="0" w:color="000000"/>
            </w:tcBorders>
          </w:tcPr>
          <w:p>
            <w:pPr>
              <w:pStyle w:val="TAL1"/>
              <w:rPr/>
            </w:pPr>
            <w:r>
              <w:rPr>
                <w:lang w:eastAsia="en-US"/>
              </w:rPr>
              <w:t>Test dependent power</w:t>
            </w:r>
          </w:p>
        </w:tc>
      </w:tr>
    </w:tbl>
    <w:p>
      <w:pPr>
        <w:pStyle w:val="Normal"/>
        <w:rPr/>
      </w:pPr>
      <w:r>
        <w:rPr/>
      </w:r>
    </w:p>
    <w:p>
      <w:pPr>
        <w:pStyle w:val="Heading4"/>
        <w:ind w:left="1418" w:hanging="1418"/>
        <w:rPr/>
      </w:pPr>
      <w:bookmarkStart w:id="278" w:name="__RefHeading___Toc68601210"/>
      <w:bookmarkEnd w:id="278"/>
      <w:r>
        <w:rPr/>
        <w:t>7.1.7.4.2</w:t>
      </w:r>
      <w:r>
        <w:rPr>
          <w:rFonts w:cs="Calibri" w:ascii="Calibri" w:hAnsi="Calibri"/>
          <w:sz w:val="22"/>
          <w:szCs w:val="22"/>
        </w:rPr>
        <w:tab/>
      </w:r>
      <w:r>
        <w:rPr/>
        <w:t>Procedure</w:t>
      </w:r>
    </w:p>
    <w:p>
      <w:pPr>
        <w:pStyle w:val="B1"/>
        <w:rPr/>
      </w:pPr>
      <w:r>
        <w:rPr/>
        <w:t>1)</w:t>
        <w:tab/>
        <w:t>Send continuously Up power control commands to the UE.</w:t>
      </w:r>
    </w:p>
    <w:p>
      <w:pPr>
        <w:pStyle w:val="B1"/>
        <w:rPr/>
      </w:pPr>
      <w:r>
        <w:rPr/>
        <w:t>2)</w:t>
        <w:tab/>
        <w:t>As the UE reaches maximum power, start sending PN15 data pattern.</w:t>
      </w:r>
    </w:p>
    <w:p>
      <w:pPr>
        <w:pStyle w:val="B1"/>
        <w:rPr/>
      </w:pPr>
      <w:r>
        <w:rPr/>
        <w:t>3)</w:t>
        <w:tab/>
        <w:t xml:space="preserve">Measure EIS from one measurement point. EIS is the power transmitted from one specific direction to the UE causing BER value of 1% </w:t>
      </w:r>
      <w:r>
        <w:rPr>
          <w:rFonts w:eastAsia="Symbol" w:cs="Symbol" w:ascii="Symbol" w:hAnsi="Symbol"/>
        </w:rPr>
        <w:t></w:t>
      </w:r>
      <w:r>
        <w:rPr/>
        <w:t xml:space="preserve"> 0.2% using 20000 or more bits, see Annex E.20.</w:t>
      </w:r>
    </w:p>
    <w:p>
      <w:pPr>
        <w:pStyle w:val="B1"/>
        <w:ind w:left="568" w:hanging="0"/>
        <w:rPr/>
      </w:pPr>
      <w:r>
        <w:rPr/>
        <w:t xml:space="preserve">NOTE: To meet BER value target DL power level can be changed using user’s freely selectable algorithm. </w:t>
      </w:r>
    </w:p>
    <w:p>
      <w:pPr>
        <w:pStyle w:val="B1"/>
        <w:ind w:left="284" w:hanging="0"/>
        <w:rPr/>
      </w:pPr>
      <w:r>
        <w:rPr/>
        <w:t>4)</w:t>
        <w:tab/>
        <w:t>Measure the EIS for every direction of selected sampling gird using two orthogonal polarizations to obtain TRS.</w:t>
      </w:r>
    </w:p>
    <w:p>
      <w:pPr>
        <w:pStyle w:val="B1"/>
        <w:rPr/>
      </w:pPr>
      <w:r>
        <w:rPr/>
        <w:t>5)</w:t>
        <w:tab/>
        <w:t>Calculate TRS using equations from Subclause 7.1.7.1.</w:t>
      </w:r>
    </w:p>
    <w:p>
      <w:pPr>
        <w:pStyle w:val="NO"/>
        <w:rPr/>
      </w:pPr>
      <w:r>
        <w:rPr/>
        <w:t>NOTE: To speed up sensitivity measurements non standard setting (i.e. data speed, PCL, BER target) can be used in the measurements. However to obtain TRS result the measured EIS figures shall be normalized by</w:t>
      </w:r>
    </w:p>
    <w:p>
      <w:pPr>
        <w:pStyle w:val="EQ"/>
        <w:jc w:val="center"/>
        <w:rPr>
          <w:lang w:val="en-GB" w:eastAsia="en-GB"/>
        </w:rPr>
      </w:pPr>
      <w:r>
        <w:rPr>
          <w:lang w:val="en-GB" w:eastAsia="en-GB"/>
        </w:rPr>
      </w:r>
      <m:oMathPara xmlns:m="http://schemas.openxmlformats.org/officeDocument/2006/math">
        <m:oMathParaPr>
          <m:jc m:val="center"/>
        </m:oMathParaPr>
        <m:oMath>
          <m:r>
            <w:rPr>
              <w:rFonts w:ascii="Cambria Math" w:hAnsi="Cambria Math"/>
            </w:rPr>
            <m:t xml:space="preserve">Δ</m:t>
          </m:r>
          <m:bar>
            <m:barPr>
              <m:pos m:val="top"/>
            </m:barPr>
            <m:e>
              <m:r>
                <m:rPr>
                  <m:lit/>
                  <m:nor/>
                </m:rPr>
                <w:rPr>
                  <w:rFonts w:ascii="Cambria Math" w:hAnsi="Cambria Math"/>
                </w:rPr>
                <m:t xml:space="preserve">EIS</m:t>
              </m:r>
            </m:e>
          </m:ba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m:rPr>
                          <m:lit/>
                          <m:nor/>
                        </m:rPr>
                        <w:rPr>
                          <w:rFonts w:ascii="Cambria Math" w:hAnsi="Cambria Math"/>
                        </w:rPr>
                        <m:t xml:space="preserve">EISstd</m:t>
                      </m:r>
                    </m:e>
                    <m:sub>
                      <m:r>
                        <w:rPr>
                          <w:rFonts w:ascii="Cambria Math" w:hAnsi="Cambria Math"/>
                        </w:rPr>
                        <m:t xml:space="preserve">i</m:t>
                      </m:r>
                    </m:sub>
                  </m:sSub>
                  <m:r>
                    <w:rPr>
                      <w:rFonts w:ascii="Cambria Math" w:hAnsi="Cambria Math"/>
                    </w:rPr>
                    <m:t xml:space="preserve">−</m:t>
                  </m:r>
                  <m:sSub>
                    <m:e>
                      <m:r>
                        <m:rPr>
                          <m:lit/>
                          <m:nor/>
                        </m:rPr>
                        <w:rPr>
                          <w:rFonts w:ascii="Cambria Math" w:hAnsi="Cambria Math"/>
                        </w:rPr>
                        <m:t xml:space="preserve">EISnstd</m:t>
                      </m:r>
                    </m:e>
                    <m:sub>
                      <m:r>
                        <w:rPr>
                          <w:rFonts w:ascii="Cambria Math" w:hAnsi="Cambria Math"/>
                        </w:rPr>
                        <m:t xml:space="preserve">i</m:t>
                      </m:r>
                    </m:sub>
                  </m:sSub>
                </m:e>
              </m:d>
            </m:e>
          </m:nary>
        </m:oMath>
      </m:oMathPara>
    </w:p>
    <w:p>
      <w:pPr>
        <w:pStyle w:val="Normal"/>
        <w:ind w:left="284" w:hanging="0"/>
        <w:rPr/>
      </w:pPr>
      <w:r>
        <w:rPr/>
        <w:t xml:space="preserve">Where </w:t>
      </w:r>
      <w:r>
        <w:rPr/>
      </w:r>
      <m:oMath xmlns:m="http://schemas.openxmlformats.org/officeDocument/2006/math">
        <m:sSub>
          <m:e>
            <m:r>
              <m:rPr>
                <m:lit/>
                <m:nor/>
              </m:rPr>
              <w:rPr>
                <w:rFonts w:ascii="Cambria Math" w:hAnsi="Cambria Math"/>
              </w:rPr>
              <m:t xml:space="preserve">EISstd</m:t>
            </m:r>
          </m:e>
          <m:sub>
            <m:r>
              <w:rPr>
                <w:rFonts w:ascii="Cambria Math" w:hAnsi="Cambria Math"/>
              </w:rPr>
              <m:t xml:space="preserve">i</m:t>
            </m:r>
          </m:sub>
        </m:sSub>
      </m:oMath>
      <w:r>
        <w:rPr/>
        <w:t xml:space="preserve"> is sensitivity measurement done with standard setting. </w:t>
      </w:r>
      <w:r>
        <w:rPr/>
      </w:r>
      <m:oMath xmlns:m="http://schemas.openxmlformats.org/officeDocument/2006/math">
        <m:sSub>
          <m:e>
            <m:r>
              <m:rPr>
                <m:lit/>
                <m:nor/>
              </m:rPr>
              <w:rPr>
                <w:rFonts w:ascii="Cambria Math" w:hAnsi="Cambria Math"/>
              </w:rPr>
              <m:t xml:space="preserve">EISnstd</m:t>
            </m:r>
          </m:e>
          <m:sub>
            <m:r>
              <w:rPr>
                <w:rFonts w:ascii="Cambria Math" w:hAnsi="Cambria Math"/>
              </w:rPr>
              <m:t xml:space="preserve">i</m:t>
            </m:r>
          </m:sub>
        </m:sSub>
      </m:oMath>
      <w:r>
        <w:rPr/>
        <w:t xml:space="preserve"> is sensitivity measurement done with non standard settings. </w:t>
      </w:r>
      <w:r>
        <w:rPr/>
      </w:r>
      <m:oMath xmlns:m="http://schemas.openxmlformats.org/officeDocument/2006/math">
        <m:r>
          <w:rPr>
            <w:rFonts w:ascii="Cambria Math" w:hAnsi="Cambria Math"/>
          </w:rPr>
          <m:t xml:space="preserve">n</m:t>
        </m:r>
      </m:oMath>
      <w:r>
        <w:rPr/>
        <w:t xml:space="preserve"> is amount of reference measurement points.</w:t>
      </w:r>
    </w:p>
    <w:p>
      <w:pPr>
        <w:pStyle w:val="Normal"/>
        <w:rPr/>
      </w:pPr>
      <w:r>
        <w:rPr/>
        <w:t>To ensure accuracy of TRS, the amount of reference points measured should be at least 4. It is recommended to spread the reference measurements equally during the measurement time.</w:t>
      </w:r>
    </w:p>
    <w:p>
      <w:pPr>
        <w:pStyle w:val="Normal"/>
        <w:rPr/>
      </w:pPr>
      <w:r>
        <w:rPr/>
        <w:t>The measurement procedure is based on the measurement of the spherical sensitivity pattern of the DUT. The sensitivity values of the DUT at a predefined BER level are sampled in far field in a group of points located on a spherical surface enclosing the DUT. The EIS samples are taken using a constant sample step of 30° both in theta (</w:t>
      </w:r>
      <w:r>
        <w:rPr>
          <w:rFonts w:eastAsia="Symbol" w:cs="Symbol" w:ascii="Symbol" w:hAnsi="Symbol"/>
        </w:rPr>
        <w:t></w:t>
      </w:r>
      <w:r>
        <w:rPr/>
        <w:t>) and phi (</w:t>
      </w:r>
      <w:r>
        <w:rPr>
          <w:rFonts w:eastAsia="Symbol" w:cs="Symbol" w:ascii="Symbol" w:hAnsi="Symbol"/>
        </w:rPr>
        <w:t></w:t>
      </w:r>
      <w:r>
        <w:rPr/>
        <w:t xml:space="preserve">) directions. All the EIS samples are taken with two orthogonal polarizations,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-polarisations (See Subclause 4.4).</w:t>
      </w:r>
    </w:p>
    <w:p>
      <w:pPr>
        <w:pStyle w:val="Normal"/>
        <w:rPr/>
      </w:pPr>
      <w:r>
        <w:rPr/>
        <w:t>The Total Radiated Sensitivity is calculated from the measured data by equation in Subclause 7.1.7.2.</w:t>
      </w:r>
    </w:p>
    <w:p>
      <w:pPr>
        <w:pStyle w:val="Heading4"/>
        <w:ind w:left="1418" w:hanging="1418"/>
        <w:rPr/>
      </w:pPr>
      <w:bookmarkStart w:id="279" w:name="__RefHeading___Toc68601211"/>
      <w:bookmarkEnd w:id="279"/>
      <w:r>
        <w:rPr/>
        <w:t>7.1.7.4.3</w:t>
      </w:r>
      <w:r>
        <w:rPr>
          <w:rFonts w:cs="Calibri" w:ascii="Calibri" w:hAnsi="Calibri"/>
          <w:sz w:val="22"/>
          <w:szCs w:val="22"/>
        </w:rPr>
        <w:tab/>
      </w:r>
      <w:r>
        <w:rPr/>
        <w:t>Procedure, reverberation chamber method</w:t>
      </w:r>
    </w:p>
    <w:p>
      <w:pPr>
        <w:pStyle w:val="Normal"/>
        <w:rPr/>
      </w:pPr>
      <w:r>
        <w:rPr/>
        <w:t>TBD</w:t>
      </w:r>
    </w:p>
    <w:p>
      <w:pPr>
        <w:pStyle w:val="Heading4"/>
        <w:ind w:left="1418" w:hanging="1418"/>
        <w:rPr/>
      </w:pPr>
      <w:bookmarkStart w:id="280" w:name="__RefHeading___Toc68601212"/>
      <w:bookmarkEnd w:id="280"/>
      <w:r>
        <w:rPr/>
        <w:t>7.1.7.5</w:t>
      </w:r>
      <w:r>
        <w:rPr>
          <w:rFonts w:cs="Calibri" w:ascii="Calibri" w:hAnsi="Calibri"/>
          <w:sz w:val="22"/>
          <w:szCs w:val="22"/>
        </w:rPr>
        <w:tab/>
      </w:r>
      <w:r>
        <w:rPr/>
        <w:t>Test requirements</w:t>
      </w:r>
    </w:p>
    <w:p>
      <w:pPr>
        <w:pStyle w:val="Normal"/>
        <w:jc w:val="both"/>
        <w:rPr/>
      </w:pPr>
      <w:r>
        <w:rPr/>
        <w:t>The average measured total radiated sensitivity (TRS) of low, mid and high channel for handheld UE shall be lower than the average TRS requirement specified in Table 7.1.7.5-1. For the hand phantom browsing mode position the averaging shall be done in linear scale for the TRS results of both right and left hand phantom measurements. Average TRS requirement is shown in the column “Average” on the requirement tables.</w:t>
      </w:r>
    </w:p>
    <w:p>
      <w:pPr>
        <w:pStyle w:val="Normal"/>
        <w:keepLines/>
        <w:tabs>
          <w:tab w:val="clear" w:pos="284"/>
          <w:tab w:val="center" w:pos="4536" w:leader="none"/>
          <w:tab w:val="right" w:pos="9072" w:leader="none"/>
        </w:tabs>
        <w:rPr/>
      </w:pPr>
      <w:r>
        <w:rPr/>
        <w:tab/>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6</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e>
            </m:d>
          </m:e>
        </m:d>
      </m:oMath>
    </w:p>
    <w:p>
      <w:pPr>
        <w:pStyle w:val="Normal"/>
        <w:rPr/>
      </w:pPr>
      <w:r>
        <w:rPr/>
        <w:t>In addition the highest TRS of each measured channel shall be lower than maximum TRS requirement specified in Table 7.1.7.5-1. Maximum TRS requirement is shown in the column “Max” on the requirement tables.</w:t>
      </w:r>
    </w:p>
    <w:p>
      <w:pPr>
        <w:pStyle w:val="Normal"/>
        <w:keepLines/>
        <w:tabs>
          <w:tab w:val="clear" w:pos="284"/>
          <w:tab w:val="center" w:pos="4536" w:leader="none"/>
          <w:tab w:val="right" w:pos="9072" w:leader="none"/>
        </w:tabs>
        <w:rPr/>
      </w:pPr>
      <w:r>
        <w:rPr/>
        <w:drawing>
          <wp:inline distT="0" distB="0" distL="0" distR="0">
            <wp:extent cx="5283200" cy="241300"/>
            <wp:effectExtent l="0" t="0" r="0" b="0"/>
            <wp:docPr id="37"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0" descr=""/>
                    <pic:cNvPicPr>
                      <a:picLocks noChangeAspect="1" noChangeArrowheads="1"/>
                    </pic:cNvPicPr>
                  </pic:nvPicPr>
                  <pic:blipFill>
                    <a:blip r:embed="rId29"/>
                    <a:srcRect l="-7" t="-149" r="-7" b="-149"/>
                    <a:stretch>
                      <a:fillRect/>
                    </a:stretch>
                  </pic:blipFill>
                  <pic:spPr bwMode="auto">
                    <a:xfrm>
                      <a:off x="0" y="0"/>
                      <a:ext cx="5283200" cy="241300"/>
                    </a:xfrm>
                    <a:prstGeom prst="rect">
                      <a:avLst/>
                    </a:prstGeom>
                  </pic:spPr>
                </pic:pic>
              </a:graphicData>
            </a:graphic>
          </wp:inline>
        </w:drawing>
      </w:r>
    </w:p>
    <w:p>
      <w:pPr>
        <w:pStyle w:val="TH"/>
        <w:rPr/>
      </w:pPr>
      <w:r>
        <w:rPr/>
        <w:t>Table 7.1.7.5-1: TRS minimum requirement for UTRA FDD roaming bands in hand phantom browsing mode position</w:t>
      </w:r>
    </w:p>
    <w:tbl>
      <w:tblPr>
        <w:tblW w:w="6051" w:type="dxa"/>
        <w:jc w:val="center"/>
        <w:tblInd w:w="0" w:type="dxa"/>
        <w:tblLayout w:type="fixed"/>
        <w:tblCellMar>
          <w:top w:w="0" w:type="dxa"/>
          <w:left w:w="28" w:type="dxa"/>
          <w:bottom w:w="0" w:type="dxa"/>
          <w:right w:w="28" w:type="dxa"/>
        </w:tblCellMar>
      </w:tblPr>
      <w:tblGrid>
        <w:gridCol w:w="1472"/>
        <w:gridCol w:w="1744"/>
        <w:gridCol w:w="1418"/>
        <w:gridCol w:w="1417"/>
      </w:tblGrid>
      <w:tr>
        <w:trPr>
          <w:trHeight w:val="57" w:hRule="atLeast"/>
          <w:cantSplit w:val="true"/>
        </w:trPr>
        <w:tc>
          <w:tcPr>
            <w:tcW w:w="1472" w:type="dxa"/>
            <w:vMerge w:val="restart"/>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Operating band</w:t>
            </w:r>
          </w:p>
        </w:tc>
        <w:tc>
          <w:tcPr>
            <w:tcW w:w="1744" w:type="dxa"/>
            <w:vMerge w:val="restart"/>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Unit</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pPr>
            <w:r>
              <w:rPr>
                <w:lang w:eastAsia="en-US"/>
              </w:rPr>
              <w:t>&lt;REFÎ</w:t>
            </w:r>
            <w:r>
              <w:rPr>
                <w:vertAlign w:val="subscript"/>
                <w:lang w:eastAsia="en-US"/>
              </w:rPr>
              <w:t>or</w:t>
            </w:r>
            <w:r>
              <w:rPr>
                <w:lang w:eastAsia="en-US"/>
              </w:rPr>
              <w:t>&gt;</w:t>
            </w:r>
          </w:p>
        </w:tc>
      </w:tr>
      <w:tr>
        <w:trPr>
          <w:trHeight w:val="57" w:hRule="atLeast"/>
          <w:cantSplit w:val="true"/>
        </w:trPr>
        <w:tc>
          <w:tcPr>
            <w:tcW w:w="147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744"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141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Max</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IV</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IX</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XIX</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rHeight w:val="57" w:hRule="atLeast"/>
          <w:cantSplit w:val="true"/>
        </w:trPr>
        <w:tc>
          <w:tcPr>
            <w:tcW w:w="6051" w:type="dxa"/>
            <w:gridSpan w:val="4"/>
            <w:tcBorders>
              <w:top w:val="single" w:sz="4" w:space="0" w:color="000000"/>
              <w:left w:val="single" w:sz="4" w:space="0" w:color="000000"/>
              <w:bottom w:val="single" w:sz="4" w:space="0" w:color="000000"/>
              <w:right w:val="single" w:sz="4" w:space="0" w:color="000000"/>
            </w:tcBorders>
          </w:tcPr>
          <w:p>
            <w:pPr>
              <w:pStyle w:val="TAN"/>
              <w:rPr>
                <w:lang w:eastAsia="en-US"/>
              </w:rPr>
            </w:pPr>
            <w:r>
              <w:rPr>
                <w:lang w:eastAsia="en-US"/>
              </w:rPr>
              <w:t>NOTE 1:</w:t>
              <w:tab/>
              <w:t>For power class 3, 3bis and 4 this shall be achieved at the maximum output power.</w:t>
            </w:r>
          </w:p>
          <w:p>
            <w:pPr>
              <w:pStyle w:val="TAN"/>
              <w:rPr>
                <w:lang w:eastAsia="en-US"/>
              </w:rPr>
            </w:pPr>
            <w:r>
              <w:rPr>
                <w:lang w:eastAsia="ja-JP"/>
              </w:rPr>
              <w:t>NOTE 2:</w:t>
              <w:tab/>
              <w:t xml:space="preserve">For the UE which supports both Band III and Band IX operating frequencies, the reference level of TDB dBm TRS </w:t>
            </w:r>
            <w:r>
              <w:rPr>
                <w:lang w:eastAsia="en-US"/>
              </w:rPr>
              <w:t>&lt;REFÎ</w:t>
            </w:r>
            <w:r>
              <w:rPr>
                <w:vertAlign w:val="subscript"/>
                <w:lang w:eastAsia="en-US"/>
              </w:rPr>
              <w:t>or</w:t>
            </w:r>
            <w:r>
              <w:rPr>
                <w:lang w:eastAsia="en-US"/>
              </w:rPr>
              <w:t>&gt;</w:t>
            </w:r>
            <w:r>
              <w:rPr>
                <w:lang w:eastAsia="ja-JP"/>
              </w:rPr>
              <w:t xml:space="preserve"> [average and min] shall apply for Band IX. </w:t>
            </w:r>
          </w:p>
          <w:p>
            <w:pPr>
              <w:pStyle w:val="TAN"/>
              <w:rPr>
                <w:lang w:eastAsia="en-US"/>
              </w:rPr>
            </w:pPr>
            <w:r>
              <w:rPr>
                <w:lang w:eastAsia="en-US"/>
              </w:rPr>
              <w:t xml:space="preserve">NOTE 3: </w:t>
              <w:tab/>
              <w:t>Applicable for dual-mode GSM/UMTS.</w:t>
            </w:r>
          </w:p>
          <w:p>
            <w:pPr>
              <w:pStyle w:val="TAN"/>
              <w:rPr/>
            </w:pPr>
            <w:r>
              <w:rPr>
                <w:lang w:eastAsia="en-US"/>
              </w:rPr>
              <w:t>NOTE 4:</w:t>
              <w:tab/>
              <w:t xml:space="preserve">For </w:t>
            </w:r>
            <w:r>
              <w:rPr>
                <w:lang w:eastAsia="ko-KR"/>
              </w:rPr>
              <w:t>the UE which supports DB-DC-HSDPA config</w:t>
            </w:r>
            <w:r>
              <w:rPr>
                <w:lang w:eastAsia="en-US"/>
              </w:rPr>
              <w:t>uration 2, average</w:t>
            </w:r>
            <w:r>
              <w:rPr>
                <w:lang w:eastAsia="ko-KR"/>
              </w:rPr>
              <w:t xml:space="preserve"> </w:t>
            </w:r>
            <w:r>
              <w:rPr>
                <w:lang w:eastAsia="en-US"/>
              </w:rPr>
              <w:t xml:space="preserve">&lt;REFÎor&gt; level of -98 dBm/3.84 MHz and max &lt;REFÎor&gt; level of -95 dBm/3.84 MHz </w:t>
            </w:r>
            <w:r>
              <w:rPr>
                <w:lang w:eastAsia="ko-KR"/>
              </w:rPr>
              <w:t>shall apply for Band II.</w:t>
            </w:r>
          </w:p>
          <w:p>
            <w:pPr>
              <w:pStyle w:val="TAN"/>
              <w:rPr/>
            </w:pPr>
            <w:r>
              <w:rPr>
                <w:lang w:eastAsia="en-US"/>
              </w:rPr>
              <w:t>NOTE 5:</w:t>
              <w:tab/>
              <w:t xml:space="preserve">For the UE which supports DB-DC-HSDPA configuration 2, average &lt;REFÎor&gt; level of -100 dBm/3.84 MHz and max &lt;REFÎor&gt; level of -97 dBm/3.84 MHz </w:t>
            </w:r>
            <w:r>
              <w:rPr>
                <w:lang w:eastAsia="ko-KR"/>
              </w:rPr>
              <w:t>shall apply for Band IV.</w:t>
            </w:r>
            <w:r>
              <w:rPr>
                <w:lang w:eastAsia="en-US"/>
              </w:rPr>
              <w:t xml:space="preserve"> </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Heading3"/>
        <w:rPr/>
      </w:pPr>
      <w:bookmarkStart w:id="281" w:name="__RefHeading___Toc68601213"/>
      <w:bookmarkEnd w:id="281"/>
      <w:r>
        <w:rPr>
          <w:lang w:eastAsia="zh-CN"/>
        </w:rPr>
        <w:t>7</w:t>
      </w:r>
      <w:r>
        <w:rPr/>
        <w:t>.1.8</w:t>
        <w:tab/>
        <w:t>Total Radiated Sensitivity (TRS) for UTRA LCR TDD in Browsing Mode with Hand Phantom</w:t>
      </w:r>
    </w:p>
    <w:p>
      <w:pPr>
        <w:pStyle w:val="EditorsNote"/>
        <w:rPr/>
      </w:pPr>
      <w:r>
        <w:rPr/>
        <w:t>Editor’s notes: This subclause is incomplete. The following items is missing or incomplete:</w:t>
      </w:r>
    </w:p>
    <w:p>
      <w:pPr>
        <w:pStyle w:val="EditorsNote"/>
        <w:rPr/>
      </w:pPr>
      <w:r>
        <w:rPr/>
        <w:t>- Table 7.1.8.2-1 and 7.1.8.5-1 as they are not specified in TS 37.144 yet</w:t>
      </w:r>
    </w:p>
    <w:p>
      <w:pPr>
        <w:pStyle w:val="EditorsNote"/>
        <w:rPr/>
      </w:pPr>
      <w:r>
        <w:rPr/>
        <w:t>- Text for Subclause 7.1.8.4.3</w:t>
        <w:tab/>
        <w:t xml:space="preserve"> Procedure, reverberation chamber method</w:t>
      </w:r>
    </w:p>
    <w:p>
      <w:pPr>
        <w:pStyle w:val="Heading4"/>
        <w:ind w:left="1418" w:hanging="1418"/>
        <w:rPr/>
      </w:pPr>
      <w:bookmarkStart w:id="282" w:name="__RefHeading___Toc68601214"/>
      <w:bookmarkEnd w:id="282"/>
      <w:r>
        <w:rPr/>
        <w:t>7.1.8.1</w:t>
      </w:r>
      <w:r>
        <w:rPr>
          <w:rFonts w:cs="Calibri" w:ascii="Calibri" w:hAnsi="Calibri"/>
          <w:sz w:val="22"/>
          <w:szCs w:val="22"/>
        </w:rPr>
        <w:tab/>
      </w:r>
      <w:r>
        <w:rPr/>
        <w:t>Definition and applicability</w:t>
      </w:r>
    </w:p>
    <w:p>
      <w:pPr>
        <w:pStyle w:val="Normal"/>
        <w:rPr/>
      </w:pPr>
      <w:r>
        <w:rPr/>
        <w:t>The Total Radiated Sensitivity is defined as:</w:t>
      </w:r>
    </w:p>
    <w:p>
      <w:pPr>
        <w:pStyle w:val="EQ"/>
        <w:rPr>
          <w:lang w:val="en-GB" w:eastAsia="en-GB"/>
        </w:rPr>
      </w:pPr>
      <w:r>
        <w:rPr>
          <w:lang w:val="en-GB" w:eastAsia="en-GB"/>
        </w:rPr>
      </w:r>
      <m:oMathPara xmlns:m="http://schemas.openxmlformats.org/officeDocument/2006/math">
        <m:oMathParaPr>
          <m:jc m:val="left"/>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4</m:t>
              </m:r>
              <m:r>
                <w:rPr>
                  <w:rFonts w:ascii="Cambria Math" w:hAnsi="Cambria Math"/>
                </w:rPr>
                <m:t xml:space="preserve">π</m:t>
              </m:r>
            </m:num>
            <m:den>
              <m:nary>
                <m:naryPr>
                  <m:chr m:val="∮"/>
                  <m:subHide m:val="1"/>
                  <m:supHide m:val="1"/>
                </m:naryPr>
                <m:sub/>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e>
                  </m:d>
                </m:e>
              </m:nary>
              <m:r>
                <w:rPr>
                  <w:rFonts w:ascii="Cambria Math" w:hAnsi="Cambria Math"/>
                </w:rPr>
                <m:t xml:space="preserve">d</m:t>
              </m:r>
              <m:r>
                <w:rPr>
                  <w:rFonts w:ascii="Cambria Math" w:hAnsi="Cambria Math"/>
                </w:rPr>
                <m:t xml:space="preserve">Ω</m:t>
              </m:r>
            </m:den>
          </m:f>
        </m:oMath>
      </m:oMathPara>
    </w:p>
    <w:p>
      <w:pPr>
        <w:pStyle w:val="Normal"/>
        <w:rPr/>
      </w:pPr>
      <w:r>
        <w:rPr/>
        <w:t>Where the effective isotropic sensitivity (</w:t>
      </w:r>
      <w:r>
        <w:rPr>
          <w:i/>
          <w:iCs/>
        </w:rPr>
        <w:t>EIS</w:t>
      </w:r>
      <w:r>
        <w:rPr/>
        <w:t xml:space="preserve">) is defined as the power available at the antenna output such as the sensitivity threshold is achieved for each polarization.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r>
          <w:rPr>
            <w:rFonts w:ascii="Cambria Math" w:hAnsi="Cambria Math"/>
          </w:rPr>
          <m:t xml:space="preserve">f</m:t>
        </m:r>
      </m:oMath>
      <w:r>
        <w:rPr/>
        <w:t xml:space="preserve"> is frequency.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 are the orthogonal polarizations.</w:t>
      </w:r>
    </w:p>
    <w:p>
      <w:pPr>
        <w:pStyle w:val="EQ"/>
        <w:rPr>
          <w:lang w:val="en-GB" w:eastAsia="en-GB"/>
        </w:rPr>
      </w:pPr>
      <w:r>
        <w:rPr>
          <w:lang w:val="en-GB" w:eastAsia="en-GB"/>
        </w:rPr>
      </w:r>
      <m:oMathPara xmlns:m="http://schemas.openxmlformats.org/officeDocument/2006/math">
        <m:oMathParaPr>
          <m:jc m:val="left"/>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2</m:t>
              </m:r>
              <m:r>
                <m:rPr>
                  <m:lit/>
                  <m:nor/>
                </m:rPr>
                <w:rPr>
                  <w:rFonts w:ascii="Cambria Math" w:hAnsi="Cambria Math"/>
                </w:rPr>
                <m:t xml:space="preserve">NM</m:t>
              </m:r>
            </m:num>
            <m:den>
              <m:r>
                <w:rPr>
                  <w:rFonts w:ascii="Cambria Math" w:hAnsi="Cambria Math"/>
                </w:rPr>
                <m:t xml:space="preserve">π</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e>
                      </m:d>
                      <m:r>
                        <m:rPr>
                          <m:lit/>
                          <m:nor/>
                        </m:rPr>
                        <w:rPr>
                          <w:rFonts w:ascii="Cambria Math" w:hAnsi="Cambria Math"/>
                        </w:rPr>
                        <m:t xml:space="preserve">sin</m:t>
                      </m:r>
                      <m:d>
                        <m:dPr>
                          <m:begChr m:val="("/>
                          <m:endChr m:val=")"/>
                        </m:dPr>
                        <m:e>
                          <m:sSub>
                            <m:e>
                              <m:r>
                                <w:rPr>
                                  <w:rFonts w:ascii="Cambria Math" w:hAnsi="Cambria Math"/>
                                </w:rPr>
                                <m:t xml:space="preserve">θ</m:t>
                              </m:r>
                            </m:e>
                            <m:sub>
                              <m:r>
                                <w:rPr>
                                  <w:rFonts w:ascii="Cambria Math" w:hAnsi="Cambria Math"/>
                                </w:rPr>
                                <m:t xml:space="preserve">n</m:t>
                              </m:r>
                            </m:sub>
                          </m:sSub>
                        </m:e>
                      </m:d>
                    </m:e>
                  </m:nary>
                </m:e>
              </m:nary>
            </m:den>
          </m:f>
        </m:oMath>
      </m:oMathPara>
    </w:p>
    <w:p>
      <w:pPr>
        <w:pStyle w:val="Normal"/>
        <w:rPr/>
      </w:pPr>
      <w:r>
        <w:rPr/>
        <w:t xml:space="preserve">In these formulas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are the number of sampling intervals for theta and phi.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oMath>
      <w:r>
        <w:rPr/>
        <w:t xml:space="preserve"> are the measurement angles. The sampling intervals are discussed further in Subclause 4.4.</w:t>
      </w:r>
    </w:p>
    <w:p>
      <w:pPr>
        <w:pStyle w:val="Normal"/>
        <w:rPr/>
      </w:pPr>
      <w:r>
        <w:rPr>
          <w:lang w:eastAsia="zh-CN"/>
        </w:rPr>
        <w:t>The requirements and this test apply to all types of UTRA for the TDD UE</w:t>
      </w:r>
      <w:r>
        <w:rPr/>
        <w:t xml:space="preserve"> for Release </w:t>
      </w:r>
      <w:r>
        <w:rPr>
          <w:lang w:eastAsia="zh-CN"/>
        </w:rPr>
        <w:t>8</w:t>
      </w:r>
      <w:r>
        <w:rPr/>
        <w:t xml:space="preserve"> and later releases.</w:t>
      </w:r>
    </w:p>
    <w:p>
      <w:pPr>
        <w:pStyle w:val="Heading4"/>
        <w:ind w:left="1418" w:hanging="1418"/>
        <w:rPr/>
      </w:pPr>
      <w:bookmarkStart w:id="283" w:name="__RefHeading___Toc68601215"/>
      <w:bookmarkEnd w:id="283"/>
      <w:r>
        <w:rPr/>
        <w:t>7.1.8.2</w:t>
      </w:r>
      <w:r>
        <w:rPr>
          <w:rFonts w:cs="Calibri" w:ascii="Calibri" w:hAnsi="Calibri"/>
          <w:sz w:val="22"/>
          <w:szCs w:val="22"/>
        </w:rPr>
        <w:tab/>
      </w:r>
      <w:r>
        <w:rPr/>
        <w:t>Minimum Requirements</w:t>
      </w:r>
    </w:p>
    <w:p>
      <w:pPr>
        <w:pStyle w:val="Normal"/>
        <w:jc w:val="both"/>
        <w:rPr/>
      </w:pPr>
      <w:r>
        <w:rPr/>
        <w:t>The average measured total radiated sensitivity (TRS) of low, mid and high channel for handheld UE shall be lower than the average TRS requirement specified in Table 7.1.5.2-1. For the hand phantom browsing mode position the averaging shall be done in linear scale for the TRS results of both right and left hand phantom measurements. Average TRS requirement is shown in the column “Average” on the requirement tables.</w:t>
      </w:r>
    </w:p>
    <w:p>
      <w:pPr>
        <w:pStyle w:val="Normal"/>
        <w:keepLines/>
        <w:tabs>
          <w:tab w:val="clear" w:pos="284"/>
          <w:tab w:val="center" w:pos="4536" w:leader="none"/>
          <w:tab w:val="right" w:pos="9072" w:leader="none"/>
        </w:tabs>
        <w:rPr/>
      </w:pPr>
      <w:r>
        <w:rPr/>
        <w:tab/>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6</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e>
            </m:d>
          </m:e>
        </m:d>
      </m:oMath>
    </w:p>
    <w:p>
      <w:pPr>
        <w:pStyle w:val="Normal"/>
        <w:rPr/>
      </w:pPr>
      <w:r>
        <w:rPr/>
        <w:t>In addition the highest TRS of each measured channel shall be lower than maximum TRS requirement specified in Table 7.1.8.2-1. Maximum TRS requirement is shown in the column “Max” on the requirement tables.</w:t>
      </w:r>
    </w:p>
    <w:p>
      <w:pPr>
        <w:pStyle w:val="Normal"/>
        <w:keepLines/>
        <w:tabs>
          <w:tab w:val="clear" w:pos="284"/>
          <w:tab w:val="center" w:pos="4536" w:leader="none"/>
          <w:tab w:val="right" w:pos="9072" w:leader="none"/>
        </w:tabs>
        <w:rPr/>
      </w:pPr>
      <w:r>
        <w:rPr/>
        <w:drawing>
          <wp:inline distT="0" distB="0" distL="0" distR="0">
            <wp:extent cx="5283200" cy="241300"/>
            <wp:effectExtent l="0" t="0" r="0" b="0"/>
            <wp:docPr id="38"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1" descr=""/>
                    <pic:cNvPicPr>
                      <a:picLocks noChangeAspect="1" noChangeArrowheads="1"/>
                    </pic:cNvPicPr>
                  </pic:nvPicPr>
                  <pic:blipFill>
                    <a:blip r:embed="rId30"/>
                    <a:srcRect l="-7" t="-149" r="-7" b="-149"/>
                    <a:stretch>
                      <a:fillRect/>
                    </a:stretch>
                  </pic:blipFill>
                  <pic:spPr bwMode="auto">
                    <a:xfrm>
                      <a:off x="0" y="0"/>
                      <a:ext cx="5283200" cy="241300"/>
                    </a:xfrm>
                    <a:prstGeom prst="rect">
                      <a:avLst/>
                    </a:prstGeom>
                  </pic:spPr>
                </pic:pic>
              </a:graphicData>
            </a:graphic>
          </wp:inline>
        </w:drawing>
      </w:r>
    </w:p>
    <w:p>
      <w:pPr>
        <w:pStyle w:val="TH"/>
        <w:rPr>
          <w:lang w:eastAsia="zh-CN"/>
        </w:rPr>
      </w:pPr>
      <w:r>
        <w:rPr>
          <w:lang w:eastAsia="zh-CN"/>
        </w:rPr>
        <w:t>Table 7.1.8.2-1: Handheld UE TRS minimum requirement for UTRA LCR TDD roaming bands in hand phantom browsing mode position</w:t>
      </w:r>
    </w:p>
    <w:tbl>
      <w:tblPr>
        <w:tblW w:w="4939" w:type="dxa"/>
        <w:jc w:val="center"/>
        <w:tblInd w:w="0" w:type="dxa"/>
        <w:tblLayout w:type="fixed"/>
        <w:tblCellMar>
          <w:top w:w="0" w:type="dxa"/>
          <w:left w:w="108" w:type="dxa"/>
          <w:bottom w:w="0" w:type="dxa"/>
          <w:right w:w="108" w:type="dxa"/>
        </w:tblCellMar>
      </w:tblPr>
      <w:tblGrid>
        <w:gridCol w:w="1714"/>
        <w:gridCol w:w="1559"/>
        <w:gridCol w:w="1027"/>
        <w:gridCol w:w="639"/>
      </w:tblGrid>
      <w:tr>
        <w:trPr>
          <w:trHeight w:val="317" w:hRule="atLeast"/>
        </w:trPr>
        <w:tc>
          <w:tcPr>
            <w:tcW w:w="1714" w:type="dxa"/>
            <w:vMerge w:val="restart"/>
            <w:tcBorders>
              <w:top w:val="single" w:sz="4" w:space="0" w:color="000000"/>
              <w:left w:val="single" w:sz="4" w:space="0" w:color="000000"/>
              <w:right w:val="single" w:sz="4" w:space="0" w:color="000000"/>
            </w:tcBorders>
          </w:tcPr>
          <w:p>
            <w:pPr>
              <w:pStyle w:val="TAH"/>
              <w:rPr>
                <w:lang w:eastAsia="en-US"/>
              </w:rPr>
            </w:pPr>
            <w:r>
              <w:rPr>
                <w:lang w:eastAsia="en-US"/>
              </w:rPr>
              <w:t xml:space="preserve">Operating band </w:t>
            </w:r>
          </w:p>
        </w:tc>
        <w:tc>
          <w:tcPr>
            <w:tcW w:w="1559" w:type="dxa"/>
            <w:vMerge w:val="restart"/>
            <w:tcBorders>
              <w:top w:val="single" w:sz="4" w:space="0" w:color="000000"/>
              <w:left w:val="single" w:sz="4" w:space="0" w:color="000000"/>
              <w:right w:val="single" w:sz="4" w:space="0" w:color="000000"/>
            </w:tcBorders>
          </w:tcPr>
          <w:p>
            <w:pPr>
              <w:pStyle w:val="TAH"/>
              <w:rPr>
                <w:lang w:eastAsia="en-US"/>
              </w:rPr>
            </w:pPr>
            <w:r>
              <w:rPr>
                <w:lang w:eastAsia="en-US"/>
              </w:rPr>
              <w:t xml:space="preserve">Unit </w:t>
            </w:r>
          </w:p>
        </w:tc>
        <w:tc>
          <w:tcPr>
            <w:tcW w:w="1666"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&lt;REFÎor&gt; </w:t>
            </w:r>
          </w:p>
        </w:tc>
      </w:tr>
      <w:tr>
        <w:trPr>
          <w:trHeight w:val="266" w:hRule="atLeast"/>
        </w:trPr>
        <w:tc>
          <w:tcPr>
            <w:tcW w:w="1714" w:type="dxa"/>
            <w:vMerge w:val="continue"/>
            <w:tcBorders>
              <w:top w:val="single" w:sz="4" w:space="0" w:color="000000"/>
              <w:left w:val="single" w:sz="4" w:space="0" w:color="000000"/>
              <w:right w:val="single" w:sz="4" w:space="0" w:color="000000"/>
            </w:tcBorders>
          </w:tcPr>
          <w:p>
            <w:pPr>
              <w:pStyle w:val="TAH"/>
              <w:snapToGrid w:val="false"/>
              <w:rPr>
                <w:rFonts w:ascii="Arial" w:hAnsi="Arial" w:cs="Arial"/>
                <w:b/>
                <w:b/>
                <w:sz w:val="18"/>
                <w:lang w:eastAsia="en-US"/>
              </w:rPr>
            </w:pPr>
            <w:r>
              <w:rPr>
                <w:rFonts w:cs="Arial"/>
                <w:b/>
                <w:sz w:val="18"/>
                <w:lang w:eastAsia="en-US"/>
              </w:rPr>
            </w:r>
          </w:p>
        </w:tc>
        <w:tc>
          <w:tcPr>
            <w:tcW w:w="1559" w:type="dxa"/>
            <w:vMerge w:val="continue"/>
            <w:tcBorders>
              <w:top w:val="single" w:sz="4" w:space="0" w:color="000000"/>
              <w:left w:val="single" w:sz="4" w:space="0" w:color="000000"/>
              <w:right w:val="single" w:sz="4" w:space="0" w:color="000000"/>
            </w:tcBorders>
          </w:tcPr>
          <w:p>
            <w:pPr>
              <w:pStyle w:val="TAH"/>
              <w:snapToGrid w:val="false"/>
              <w:rPr>
                <w:lang w:eastAsia="en-US"/>
              </w:rPr>
            </w:pPr>
            <w:r>
              <w:rPr>
                <w:lang w:eastAsia="en-US"/>
              </w:rPr>
            </w:r>
          </w:p>
        </w:tc>
        <w:tc>
          <w:tcPr>
            <w:tcW w:w="102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Average </w:t>
            </w:r>
          </w:p>
        </w:tc>
        <w:tc>
          <w:tcPr>
            <w:tcW w:w="639"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 xml:space="preserve">Max </w:t>
            </w:r>
          </w:p>
        </w:tc>
      </w:tr>
      <w:tr>
        <w:trPr>
          <w:trHeight w:val="218" w:hRule="atLeast"/>
        </w:trPr>
        <w:tc>
          <w:tcPr>
            <w:tcW w:w="171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a</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 xml:space="preserve">dBm/1.28 MHz </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63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218" w:hRule="atLeast"/>
        </w:trPr>
        <w:tc>
          <w:tcPr>
            <w:tcW w:w="171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b</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dBm/1.28 MHz</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63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218" w:hRule="atLeast"/>
        </w:trPr>
        <w:tc>
          <w:tcPr>
            <w:tcW w:w="171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c</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dBm/1.28 MHz</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63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218" w:hRule="atLeast"/>
        </w:trPr>
        <w:tc>
          <w:tcPr>
            <w:tcW w:w="171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dBm/1.28 MHz</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63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218" w:hRule="atLeast"/>
        </w:trPr>
        <w:tc>
          <w:tcPr>
            <w:tcW w:w="171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e</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dBm/1.28 MHz</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63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218" w:hRule="atLeast"/>
        </w:trPr>
        <w:tc>
          <w:tcPr>
            <w:tcW w:w="171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f</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dBm/1.28 MHz</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63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220" w:hRule="atLeast"/>
        </w:trPr>
        <w:tc>
          <w:tcPr>
            <w:tcW w:w="4939" w:type="dxa"/>
            <w:gridSpan w:val="4"/>
            <w:tcBorders>
              <w:left w:val="single" w:sz="4" w:space="0" w:color="000000"/>
              <w:bottom w:val="single" w:sz="4" w:space="0" w:color="000000"/>
              <w:right w:val="single" w:sz="4" w:space="0" w:color="000000"/>
            </w:tcBorders>
            <w:vAlign w:val="center"/>
          </w:tcPr>
          <w:p>
            <w:pPr>
              <w:pStyle w:val="TAN"/>
              <w:rPr>
                <w:lang w:eastAsia="en-US"/>
              </w:rPr>
            </w:pPr>
            <w:r>
              <w:rPr>
                <w:lang w:eastAsia="en-US"/>
              </w:rPr>
              <w:t xml:space="preserve">Note: </w:t>
              <w:tab/>
              <w:t xml:space="preserve">Applicable for dual-mode GSM/UTRA LCR TDD. </w:t>
            </w:r>
          </w:p>
        </w:tc>
      </w:tr>
    </w:tbl>
    <w:p>
      <w:pPr>
        <w:pStyle w:val="Normal"/>
        <w:rPr/>
      </w:pPr>
      <w:r>
        <w:rPr/>
      </w:r>
    </w:p>
    <w:p>
      <w:pPr>
        <w:pStyle w:val="Normal"/>
        <w:rPr/>
      </w:pPr>
      <w:r>
        <w:rPr/>
        <w:t>The normative reference for this clause is TS 37.144 [12] Subclause 7.1.3.2.</w:t>
      </w:r>
    </w:p>
    <w:p>
      <w:pPr>
        <w:pStyle w:val="Heading4"/>
        <w:ind w:left="1418" w:hanging="1418"/>
        <w:rPr/>
      </w:pPr>
      <w:bookmarkStart w:id="284" w:name="__RefHeading___Toc68601216"/>
      <w:bookmarkEnd w:id="284"/>
      <w:r>
        <w:rPr/>
        <w:t>7.1.8.3</w:t>
      </w:r>
      <w:r>
        <w:rPr>
          <w:rFonts w:cs="Calibri" w:ascii="Calibri" w:hAnsi="Calibri"/>
          <w:sz w:val="22"/>
          <w:szCs w:val="22"/>
        </w:rPr>
        <w:tab/>
      </w:r>
      <w:r>
        <w:rPr/>
        <w:t>Test purpose</w:t>
      </w:r>
    </w:p>
    <w:p>
      <w:pPr>
        <w:pStyle w:val="Normal"/>
        <w:rPr/>
      </w:pPr>
      <w:r>
        <w:rPr/>
        <w:t xml:space="preserve">The purpose of this test is to ensure that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max</m:t>
            </m:r>
          </m:sub>
        </m:sSub>
      </m:oMath>
      <w:r>
        <w:rPr/>
        <w:t xml:space="preserve"> of the UE is above specified limit. The lack of the reception sensitivity decreases the coverage area at the far side from Node B.</w:t>
      </w:r>
    </w:p>
    <w:p>
      <w:pPr>
        <w:pStyle w:val="Heading4"/>
        <w:ind w:left="1418" w:hanging="1418"/>
        <w:rPr/>
      </w:pPr>
      <w:bookmarkStart w:id="285" w:name="__RefHeading___Toc68601217"/>
      <w:bookmarkEnd w:id="285"/>
      <w:r>
        <w:rPr/>
        <w:t>7.1.8.4</w:t>
      </w:r>
      <w:r>
        <w:rPr>
          <w:rFonts w:cs="Calibri" w:ascii="Calibri" w:hAnsi="Calibri"/>
          <w:sz w:val="22"/>
          <w:szCs w:val="22"/>
        </w:rPr>
        <w:tab/>
      </w:r>
      <w:r>
        <w:rPr/>
        <w:t>Method of test</w:t>
      </w:r>
    </w:p>
    <w:p>
      <w:pPr>
        <w:pStyle w:val="Heading4"/>
        <w:ind w:left="1418" w:hanging="1418"/>
        <w:rPr/>
      </w:pPr>
      <w:bookmarkStart w:id="286" w:name="__RefHeading___Toc68601218"/>
      <w:bookmarkEnd w:id="286"/>
      <w:r>
        <w:rPr/>
        <w:t>7.1.8.4.1</w:t>
      </w:r>
      <w:r>
        <w:rPr>
          <w:rFonts w:cs="Calibri" w:ascii="Calibri" w:hAnsi="Calibri"/>
          <w:sz w:val="22"/>
          <w:szCs w:val="22"/>
        </w:rPr>
        <w:tab/>
      </w:r>
      <w:r>
        <w:rPr/>
        <w:t>Initial conditions</w:t>
      </w:r>
    </w:p>
    <w:p>
      <w:pPr>
        <w:pStyle w:val="Normal"/>
        <w:rPr/>
      </w:pPr>
      <w:r>
        <w:rPr/>
        <w:t xml:space="preserve">A radio communications tester or a corresponding device is used as a NB/BS simulator to setup calls to the DUT. The NB/BS simulator is also used to send test signals to the UE and measure the BER levels of the radio link and the information on the dedicated channel needed to extract the DUT receiver performances. </w:t>
      </w:r>
    </w:p>
    <w:p>
      <w:pPr>
        <w:pStyle w:val="Normal"/>
        <w:rPr>
          <w:lang w:eastAsia="ja-JP"/>
        </w:rPr>
      </w:pPr>
      <w:r>
        <w:rPr>
          <w:lang w:eastAsia="ja-JP"/>
        </w:rPr>
        <w:t>Chamber environment constraints and coordinate system shall be the same as described in Subclause A.3.</w:t>
      </w:r>
    </w:p>
    <w:p>
      <w:pPr>
        <w:pStyle w:val="Normal"/>
        <w:rPr>
          <w:lang w:eastAsia="zh-CN"/>
        </w:rPr>
      </w:pPr>
      <w:r>
        <w:rPr>
          <w:lang w:eastAsia="ja-JP"/>
        </w:rPr>
        <w:t>Phantom Specifications shall be the same as described in Subclause A.2.2.</w:t>
      </w:r>
    </w:p>
    <w:p>
      <w:pPr>
        <w:pStyle w:val="Normal"/>
        <w:rPr/>
      </w:pPr>
      <w:r>
        <w:rPr/>
        <w:t>Test environment: normal; see TS36.508 [10] Subclause 4.1.1.</w:t>
      </w:r>
    </w:p>
    <w:p>
      <w:pPr>
        <w:pStyle w:val="Normal"/>
        <w:rPr/>
      </w:pPr>
      <w:r>
        <w:rPr/>
        <w:t>Frequencies to be tested: low range, mid range, high range; see Table 5.3-2.</w:t>
      </w:r>
      <w:r>
        <w:rPr>
          <w:lang w:eastAsia="ja-JP"/>
        </w:rPr>
        <w:t xml:space="preserve"> </w:t>
      </w:r>
    </w:p>
    <w:p>
      <w:pPr>
        <w:pStyle w:val="Normal"/>
        <w:rPr/>
      </w:pPr>
      <w:r>
        <w:rPr>
          <w:lang w:eastAsia="ja-JP"/>
        </w:rPr>
        <w:t>Positioning Requirements shall be the same as described in Subclause 4.3.</w:t>
      </w:r>
    </w:p>
    <w:p>
      <w:pPr>
        <w:pStyle w:val="B1"/>
        <w:rPr/>
      </w:pPr>
      <w:r>
        <w:rPr/>
        <w:t>1)</w:t>
        <w:tab/>
        <w:t>Position the UE according to the DUT positioning for speech mode specified in Subclause 4.3.4.</w:t>
      </w:r>
    </w:p>
    <w:p>
      <w:pPr>
        <w:pStyle w:val="Normal"/>
        <w:ind w:left="568" w:hanging="284"/>
        <w:rPr/>
      </w:pPr>
      <w:r>
        <w:rPr>
          <w:lang w:eastAsia="zh-CN"/>
        </w:rPr>
        <w:t>2)</w:t>
        <w:tab/>
        <w:t xml:space="preserve">Set the SS downlink physical channels according to </w:t>
      </w:r>
      <w:r>
        <w:rPr/>
        <w:t>settings in Table 7.1.8.4.1-1</w:t>
      </w:r>
      <w:r>
        <w:rPr>
          <w:lang w:eastAsia="zh-CN"/>
        </w:rPr>
        <w:t>. The DL power level should be set to ensure 0% BER at 12.2kbps data rate at the whole 3D initial scan.</w:t>
      </w:r>
    </w:p>
    <w:p>
      <w:pPr>
        <w:pStyle w:val="Normal"/>
        <w:ind w:left="568" w:hanging="284"/>
        <w:rPr>
          <w:lang w:eastAsia="zh-CN"/>
        </w:rPr>
      </w:pPr>
      <w:r>
        <w:rPr>
          <w:lang w:eastAsia="zh-CN"/>
        </w:rPr>
        <w:t>3)</w:t>
        <w:tab/>
        <w:t>Power on the UE.</w:t>
      </w:r>
    </w:p>
    <w:p>
      <w:pPr>
        <w:pStyle w:val="Normal"/>
        <w:ind w:left="568" w:hanging="284"/>
        <w:rPr>
          <w:lang w:eastAsia="zh-CN"/>
        </w:rPr>
      </w:pPr>
      <w:r>
        <w:rPr>
          <w:lang w:eastAsia="zh-CN"/>
        </w:rPr>
        <w:t>4)</w:t>
        <w:tab/>
        <w:t>A call is set up according to the Generic call setup procedure. The power control algorithm shall be set to Power Control Algorithm 2.</w:t>
      </w:r>
    </w:p>
    <w:p>
      <w:pPr>
        <w:pStyle w:val="Normal"/>
        <w:ind w:left="568" w:hanging="284"/>
        <w:rPr/>
      </w:pPr>
      <w:r>
        <w:rPr>
          <w:lang w:eastAsia="zh-CN"/>
        </w:rPr>
        <w:t>5)</w:t>
        <w:tab/>
        <w:t>Enter the UE into loopback test mode and start the loopback test.</w:t>
      </w:r>
    </w:p>
    <w:p>
      <w:pPr>
        <w:pStyle w:val="Normal"/>
        <w:rPr/>
      </w:pPr>
      <w:r>
        <w:rPr/>
        <w:t xml:space="preserve">See TS 34.108 [4] and TS 34.109 [5] </w:t>
      </w:r>
      <w:r>
        <w:rPr>
          <w:lang w:eastAsia="zh-CN"/>
        </w:rPr>
        <w:t xml:space="preserve">and Annex C of TS 34.122 [8] </w:t>
      </w:r>
      <w:r>
        <w:rPr/>
        <w:t>for details regarding generic call setup procedure and loopback test.</w:t>
      </w:r>
    </w:p>
    <w:p>
      <w:pPr>
        <w:pStyle w:val="TH"/>
        <w:rPr/>
      </w:pPr>
      <w:r>
        <w:rPr/>
        <w:t>Table 7.1.8.4.1-1: Downlink Physical Channels transmitted during a connection</w:t>
      </w:r>
    </w:p>
    <w:tbl>
      <w:tblPr>
        <w:tblW w:w="6237" w:type="dxa"/>
        <w:jc w:val="left"/>
        <w:tblInd w:w="1553" w:type="dxa"/>
        <w:tblLayout w:type="fixed"/>
        <w:tblCellMar>
          <w:top w:w="0" w:type="dxa"/>
          <w:left w:w="108" w:type="dxa"/>
          <w:bottom w:w="0" w:type="dxa"/>
          <w:right w:w="108" w:type="dxa"/>
        </w:tblCellMar>
      </w:tblPr>
      <w:tblGrid>
        <w:gridCol w:w="2301"/>
        <w:gridCol w:w="2235"/>
        <w:gridCol w:w="1701"/>
      </w:tblGrid>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jc w:val="center"/>
              <w:rPr>
                <w:b/>
                <w:b/>
                <w:lang w:eastAsia="en-US"/>
              </w:rPr>
            </w:pPr>
            <w:r>
              <w:rPr>
                <w:b/>
                <w:lang w:eastAsia="en-US"/>
              </w:rPr>
              <w:t>Physical Channel</w:t>
            </w:r>
          </w:p>
        </w:tc>
        <w:tc>
          <w:tcPr>
            <w:tcW w:w="2235" w:type="dxa"/>
            <w:tcBorders>
              <w:top w:val="single" w:sz="6" w:space="0" w:color="000000"/>
              <w:left w:val="single" w:sz="6" w:space="0" w:color="000000"/>
              <w:bottom w:val="single" w:sz="6" w:space="0" w:color="000000"/>
              <w:right w:val="single" w:sz="6" w:space="0" w:color="000000"/>
            </w:tcBorders>
          </w:tcPr>
          <w:p>
            <w:pPr>
              <w:pStyle w:val="TAL1"/>
              <w:snapToGrid w:val="false"/>
              <w:jc w:val="center"/>
              <w:rPr>
                <w:b/>
                <w:b/>
                <w:lang w:eastAsia="en-US"/>
              </w:rPr>
            </w:pPr>
            <w:r>
              <w:rPr>
                <w:b/>
                <w:lang w:eastAsia="en-US"/>
              </w:rPr>
            </w:r>
          </w:p>
        </w:tc>
        <w:tc>
          <w:tcPr>
            <w:tcW w:w="1701" w:type="dxa"/>
            <w:tcBorders>
              <w:top w:val="single" w:sz="6" w:space="0" w:color="000000"/>
              <w:left w:val="single" w:sz="6" w:space="0" w:color="000000"/>
              <w:bottom w:val="single" w:sz="6" w:space="0" w:color="000000"/>
              <w:right w:val="single" w:sz="6" w:space="0" w:color="000000"/>
            </w:tcBorders>
          </w:tcPr>
          <w:p>
            <w:pPr>
              <w:pStyle w:val="TAL1"/>
              <w:jc w:val="center"/>
              <w:rPr>
                <w:b/>
                <w:b/>
                <w:lang w:eastAsia="en-US"/>
              </w:rPr>
            </w:pPr>
            <w:r>
              <w:rPr>
                <w:b/>
                <w:lang w:eastAsia="en-US"/>
              </w:rPr>
              <w:t>Power</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Ior</w:t>
            </w:r>
          </w:p>
        </w:tc>
        <w:tc>
          <w:tcPr>
            <w:tcW w:w="2235"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rFonts w:eastAsia="Arial"/>
                <w:lang w:eastAsia="en-US"/>
              </w:rPr>
              <w:t xml:space="preserve"> </w:t>
            </w:r>
            <w:r>
              <w:rPr>
                <w:lang w:eastAsia="en-US"/>
              </w:rPr>
              <w:t>-75 dBm</w:t>
            </w:r>
          </w:p>
        </w:tc>
        <w:tc>
          <w:tcPr>
            <w:tcW w:w="17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DwPCH</w:t>
            </w:r>
          </w:p>
        </w:tc>
        <w:tc>
          <w:tcPr>
            <w:tcW w:w="2235" w:type="dxa"/>
            <w:tcBorders>
              <w:top w:val="single" w:sz="6" w:space="0" w:color="000000"/>
              <w:left w:val="single" w:sz="6" w:space="0" w:color="000000"/>
              <w:bottom w:val="single" w:sz="6" w:space="0" w:color="000000"/>
              <w:right w:val="single" w:sz="6" w:space="0" w:color="000000"/>
            </w:tcBorders>
          </w:tcPr>
          <w:p>
            <w:pPr>
              <w:pStyle w:val="TAL1"/>
              <w:rPr/>
            </w:pPr>
            <w:r>
              <w:rPr>
                <w:lang w:eastAsia="en-US"/>
              </w:rPr>
              <w:t>DwPCH_Ec / Ior</w:t>
            </w:r>
          </w:p>
        </w:tc>
        <w:tc>
          <w:tcPr>
            <w:tcW w:w="17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0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PCCPCH</w:t>
            </w:r>
          </w:p>
        </w:tc>
        <w:tc>
          <w:tcPr>
            <w:tcW w:w="2235"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w:t>
            </w:r>
            <w:r>
              <w:rPr>
                <w:lang w:eastAsia="en-US"/>
              </w:rPr>
              <w:t>P-CCPCH_Ec / Ior</w:t>
            </w:r>
          </w:p>
        </w:tc>
        <w:tc>
          <w:tcPr>
            <w:tcW w:w="17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-3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SCCPCH</w:t>
            </w:r>
          </w:p>
        </w:tc>
        <w:tc>
          <w:tcPr>
            <w:tcW w:w="2235"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w:t>
            </w:r>
            <w:r>
              <w:rPr>
                <w:lang w:eastAsia="en-US"/>
              </w:rPr>
              <w:t>S-CCPCH_Ec / Ior</w:t>
            </w:r>
          </w:p>
        </w:tc>
        <w:tc>
          <w:tcPr>
            <w:tcW w:w="17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-6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PICH</w:t>
            </w:r>
          </w:p>
        </w:tc>
        <w:tc>
          <w:tcPr>
            <w:tcW w:w="2235"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w:t>
            </w:r>
            <w:r>
              <w:rPr>
                <w:lang w:eastAsia="en-US"/>
              </w:rPr>
              <w:t>PICH_Ec / Ior</w:t>
            </w:r>
          </w:p>
        </w:tc>
        <w:tc>
          <w:tcPr>
            <w:tcW w:w="17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-6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FPACH</w:t>
            </w:r>
          </w:p>
        </w:tc>
        <w:tc>
          <w:tcPr>
            <w:tcW w:w="2235"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FPACH_Ec / Ior</w:t>
            </w:r>
          </w:p>
        </w:tc>
        <w:tc>
          <w:tcPr>
            <w:tcW w:w="17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-6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DL DPCH</w:t>
            </w:r>
          </w:p>
        </w:tc>
        <w:tc>
          <w:tcPr>
            <w:tcW w:w="2235"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w:t>
            </w:r>
            <w:r>
              <w:rPr>
                <w:lang w:eastAsia="en-US"/>
              </w:rPr>
              <w:t>DPCH_Ec / Ior</w:t>
            </w:r>
          </w:p>
        </w:tc>
        <w:tc>
          <w:tcPr>
            <w:tcW w:w="17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0 dB</w:t>
            </w:r>
          </w:p>
        </w:tc>
      </w:tr>
    </w:tbl>
    <w:p>
      <w:pPr>
        <w:pStyle w:val="Normal"/>
        <w:rPr/>
      </w:pPr>
      <w:r>
        <w:rPr/>
      </w:r>
    </w:p>
    <w:p>
      <w:pPr>
        <w:pStyle w:val="Heading4"/>
        <w:ind w:left="1418" w:hanging="1418"/>
        <w:rPr/>
      </w:pPr>
      <w:bookmarkStart w:id="287" w:name="__RefHeading___Toc68601219"/>
      <w:bookmarkEnd w:id="287"/>
      <w:r>
        <w:rPr/>
        <w:t>7.1.8.4.2</w:t>
      </w:r>
      <w:r>
        <w:rPr>
          <w:rFonts w:cs="Calibri" w:ascii="Calibri" w:hAnsi="Calibri"/>
          <w:sz w:val="22"/>
          <w:szCs w:val="22"/>
        </w:rPr>
        <w:tab/>
      </w:r>
      <w:r>
        <w:rPr/>
        <w:t>Procedure</w:t>
      </w:r>
    </w:p>
    <w:p>
      <w:pPr>
        <w:pStyle w:val="B1"/>
        <w:rPr/>
      </w:pPr>
      <w:r>
        <w:rPr/>
        <w:t>1)</w:t>
        <w:tab/>
        <w:t>Send continuously Up power control commands to the UE.</w:t>
      </w:r>
    </w:p>
    <w:p>
      <w:pPr>
        <w:pStyle w:val="B1"/>
        <w:rPr/>
      </w:pPr>
      <w:r>
        <w:rPr/>
        <w:t>2)</w:t>
        <w:tab/>
        <w:t>As the UE reaches maximum power, start sending PN15 data pattern.</w:t>
      </w:r>
    </w:p>
    <w:p>
      <w:pPr>
        <w:pStyle w:val="B1"/>
        <w:rPr/>
      </w:pPr>
      <w:r>
        <w:rPr/>
        <w:t>3)</w:t>
        <w:tab/>
        <w:t xml:space="preserve">Measure EIS from one measurement point. EIS is the power transmitted from one specific direction to the UE causing BER value of 1% </w:t>
      </w:r>
      <w:r>
        <w:rPr>
          <w:rFonts w:eastAsia="Symbol" w:cs="Symbol" w:ascii="Symbol" w:hAnsi="Symbol"/>
        </w:rPr>
        <w:t></w:t>
      </w:r>
      <w:r>
        <w:rPr/>
        <w:t xml:space="preserve"> 0.2% using 40000 or more bits, see Annex E.20. </w:t>
      </w:r>
      <w:r>
        <w:rPr>
          <w:color w:val="000000"/>
          <w:lang w:eastAsia="zh-CN"/>
        </w:rPr>
        <w:t>The DL power step size shall be no bigger than 0.5dB when the RF level is near the TDD UE sensitivity level.</w:t>
      </w:r>
    </w:p>
    <w:p>
      <w:pPr>
        <w:pStyle w:val="B1"/>
        <w:ind w:left="568" w:hanging="0"/>
        <w:rPr/>
      </w:pPr>
      <w:r>
        <w:rPr/>
        <w:t xml:space="preserve">NOTE: To meet BER value target DL power level can be changed using user’s freely selectable algorithm. </w:t>
      </w:r>
    </w:p>
    <w:p>
      <w:pPr>
        <w:pStyle w:val="B1"/>
        <w:ind w:left="284" w:hanging="0"/>
        <w:rPr/>
      </w:pPr>
      <w:r>
        <w:rPr/>
        <w:t>4)</w:t>
        <w:tab/>
        <w:t>Measure the EIS for every direction of selected sampling gird using two orthogonal polarizations to obtain TRS.</w:t>
      </w:r>
    </w:p>
    <w:p>
      <w:pPr>
        <w:pStyle w:val="B1"/>
        <w:rPr/>
      </w:pPr>
      <w:r>
        <w:rPr/>
        <w:t>5)</w:t>
        <w:tab/>
        <w:t>Calculate TRS using equations from Subclause 7.1.8.1.</w:t>
      </w:r>
    </w:p>
    <w:p>
      <w:pPr>
        <w:pStyle w:val="NO"/>
        <w:rPr/>
      </w:pPr>
      <w:r>
        <w:rPr/>
        <w:t>NOTE:</w:t>
        <w:tab/>
        <w:t>To speed up sensitivity measurements non standard setting (i.e. data speed, PCL, BER target) can be used in the measurements. However to obtain TRS result the measured EIS figures shall be normalized by</w:t>
      </w:r>
    </w:p>
    <w:p>
      <w:pPr>
        <w:pStyle w:val="EQ"/>
        <w:jc w:val="center"/>
        <w:rPr>
          <w:lang w:val="en-GB" w:eastAsia="en-GB"/>
        </w:rPr>
      </w:pPr>
      <w:r>
        <w:rPr>
          <w:lang w:val="en-GB" w:eastAsia="en-GB"/>
        </w:rPr>
      </w:r>
      <m:oMathPara xmlns:m="http://schemas.openxmlformats.org/officeDocument/2006/math">
        <m:oMathParaPr>
          <m:jc m:val="center"/>
        </m:oMathParaPr>
        <m:oMath>
          <m:r>
            <w:rPr>
              <w:rFonts w:ascii="Cambria Math" w:hAnsi="Cambria Math"/>
            </w:rPr>
            <m:t xml:space="preserve">Δ</m:t>
          </m:r>
          <m:bar>
            <m:barPr>
              <m:pos m:val="top"/>
            </m:barPr>
            <m:e>
              <m:r>
                <m:rPr>
                  <m:lit/>
                  <m:nor/>
                </m:rPr>
                <w:rPr>
                  <w:rFonts w:ascii="Cambria Math" w:hAnsi="Cambria Math"/>
                </w:rPr>
                <m:t xml:space="preserve">EIS</m:t>
              </m:r>
            </m:e>
          </m:ba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m:rPr>
                          <m:lit/>
                          <m:nor/>
                        </m:rPr>
                        <w:rPr>
                          <w:rFonts w:ascii="Cambria Math" w:hAnsi="Cambria Math"/>
                        </w:rPr>
                        <m:t xml:space="preserve">EISstd</m:t>
                      </m:r>
                    </m:e>
                    <m:sub>
                      <m:r>
                        <w:rPr>
                          <w:rFonts w:ascii="Cambria Math" w:hAnsi="Cambria Math"/>
                        </w:rPr>
                        <m:t xml:space="preserve">i</m:t>
                      </m:r>
                    </m:sub>
                  </m:sSub>
                  <m:r>
                    <w:rPr>
                      <w:rFonts w:ascii="Cambria Math" w:hAnsi="Cambria Math"/>
                    </w:rPr>
                    <m:t xml:space="preserve">−</m:t>
                  </m:r>
                  <m:sSub>
                    <m:e>
                      <m:r>
                        <m:rPr>
                          <m:lit/>
                          <m:nor/>
                        </m:rPr>
                        <w:rPr>
                          <w:rFonts w:ascii="Cambria Math" w:hAnsi="Cambria Math"/>
                        </w:rPr>
                        <m:t xml:space="preserve">EISnstd</m:t>
                      </m:r>
                    </m:e>
                    <m:sub>
                      <m:r>
                        <w:rPr>
                          <w:rFonts w:ascii="Cambria Math" w:hAnsi="Cambria Math"/>
                        </w:rPr>
                        <m:t xml:space="preserve">i</m:t>
                      </m:r>
                    </m:sub>
                  </m:sSub>
                </m:e>
              </m:d>
            </m:e>
          </m:nary>
        </m:oMath>
      </m:oMathPara>
    </w:p>
    <w:p>
      <w:pPr>
        <w:pStyle w:val="NO"/>
        <w:rPr/>
      </w:pPr>
      <w:r>
        <w:rPr/>
        <w:tab/>
        <w:t xml:space="preserve">Where </w:t>
      </w:r>
      <w:r>
        <w:rPr/>
      </w:r>
      <m:oMath xmlns:m="http://schemas.openxmlformats.org/officeDocument/2006/math">
        <m:sSub>
          <m:e>
            <m:r>
              <m:rPr>
                <m:lit/>
                <m:nor/>
              </m:rPr>
              <w:rPr>
                <w:rFonts w:ascii="Cambria Math" w:hAnsi="Cambria Math"/>
              </w:rPr>
              <m:t xml:space="preserve">EISstd</m:t>
            </m:r>
          </m:e>
          <m:sub>
            <m:r>
              <w:rPr>
                <w:rFonts w:ascii="Cambria Math" w:hAnsi="Cambria Math"/>
              </w:rPr>
              <m:t xml:space="preserve">i</m:t>
            </m:r>
          </m:sub>
        </m:sSub>
      </m:oMath>
      <w:r>
        <w:rPr/>
        <w:t xml:space="preserve"> is sensitivity measurement done with standard setting. </w:t>
      </w:r>
      <w:r>
        <w:rPr/>
      </w:r>
      <m:oMath xmlns:m="http://schemas.openxmlformats.org/officeDocument/2006/math">
        <m:sSub>
          <m:e>
            <m:r>
              <m:rPr>
                <m:lit/>
                <m:nor/>
              </m:rPr>
              <w:rPr>
                <w:rFonts w:ascii="Cambria Math" w:hAnsi="Cambria Math"/>
              </w:rPr>
              <m:t xml:space="preserve">EISnstd</m:t>
            </m:r>
          </m:e>
          <m:sub>
            <m:r>
              <w:rPr>
                <w:rFonts w:ascii="Cambria Math" w:hAnsi="Cambria Math"/>
              </w:rPr>
              <m:t xml:space="preserve">i</m:t>
            </m:r>
          </m:sub>
        </m:sSub>
      </m:oMath>
      <w:r>
        <w:rPr/>
        <w:t xml:space="preserve"> is sensitivity measurement done with non standard settings. </w:t>
      </w:r>
      <w:r>
        <w:rPr/>
      </w:r>
      <m:oMath xmlns:m="http://schemas.openxmlformats.org/officeDocument/2006/math">
        <m:r>
          <w:rPr>
            <w:rFonts w:ascii="Cambria Math" w:hAnsi="Cambria Math"/>
          </w:rPr>
          <m:t xml:space="preserve">n</m:t>
        </m:r>
      </m:oMath>
      <w:r>
        <w:rPr/>
        <w:t xml:space="preserve"> is amount of reference measurement points.</w:t>
      </w:r>
    </w:p>
    <w:p>
      <w:pPr>
        <w:pStyle w:val="Normal"/>
        <w:rPr/>
      </w:pPr>
      <w:r>
        <w:rPr/>
        <w:t>To ensure accuracy of TRS, the amount of reference points measured should be at least 4. It is recommended to spread the reference measurements equally during the measurement time.</w:t>
      </w:r>
    </w:p>
    <w:p>
      <w:pPr>
        <w:pStyle w:val="Normal"/>
        <w:rPr/>
      </w:pPr>
      <w:r>
        <w:rPr/>
        <w:t>The measurement procedure is based on the measurement of the spherical sensitivity pattern of the DUT. The sensitivity values of the DUT at a predefined BER level are sampled in far field in a group of points located on a spherical surface enclosing the DUT. The EIS samples are taken using a constant sample step of 30° both in theta (</w:t>
      </w:r>
      <w:r>
        <w:rPr>
          <w:rFonts w:eastAsia="Symbol" w:cs="Symbol" w:ascii="Symbol" w:hAnsi="Symbol"/>
        </w:rPr>
        <w:t></w:t>
      </w:r>
      <w:r>
        <w:rPr/>
        <w:t>) and phi (</w:t>
      </w:r>
      <w:r>
        <w:rPr>
          <w:rFonts w:eastAsia="Symbol" w:cs="Symbol" w:ascii="Symbol" w:hAnsi="Symbol"/>
        </w:rPr>
        <w:t></w:t>
      </w:r>
      <w:r>
        <w:rPr/>
        <w:t xml:space="preserve">) directions. All the EIS samples are taken with two orthogonal polarizations,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-polarisations (See Subclause 4.4).</w:t>
      </w:r>
    </w:p>
    <w:p>
      <w:pPr>
        <w:pStyle w:val="Normal"/>
        <w:rPr/>
      </w:pPr>
      <w:r>
        <w:rPr/>
        <w:t>The Total Radiated Sensitivity is calculated from the measured data by equation in Subclause 7.1.8.2.</w:t>
      </w:r>
    </w:p>
    <w:p>
      <w:pPr>
        <w:pStyle w:val="Heading4"/>
        <w:ind w:left="1418" w:hanging="1418"/>
        <w:rPr/>
      </w:pPr>
      <w:bookmarkStart w:id="288" w:name="__RefHeading___Toc68601220"/>
      <w:bookmarkEnd w:id="288"/>
      <w:r>
        <w:rPr/>
        <w:t>7.1.8.4.3</w:t>
      </w:r>
      <w:r>
        <w:rPr>
          <w:rFonts w:cs="Calibri" w:ascii="Calibri" w:hAnsi="Calibri"/>
          <w:sz w:val="22"/>
          <w:szCs w:val="22"/>
        </w:rPr>
        <w:tab/>
      </w:r>
      <w:r>
        <w:rPr/>
        <w:t>Procedure, reverberation chamber method</w:t>
      </w:r>
    </w:p>
    <w:p>
      <w:pPr>
        <w:pStyle w:val="Normal"/>
        <w:rPr/>
      </w:pPr>
      <w:r>
        <w:rPr/>
        <w:t>TBD</w:t>
      </w:r>
    </w:p>
    <w:p>
      <w:pPr>
        <w:pStyle w:val="Heading4"/>
        <w:ind w:left="1418" w:hanging="1418"/>
        <w:rPr/>
      </w:pPr>
      <w:bookmarkStart w:id="289" w:name="__RefHeading___Toc68601221"/>
      <w:bookmarkEnd w:id="289"/>
      <w:r>
        <w:rPr/>
        <w:t>7.1.8.5</w:t>
      </w:r>
      <w:r>
        <w:rPr>
          <w:rFonts w:cs="Calibri" w:ascii="Calibri" w:hAnsi="Calibri"/>
          <w:sz w:val="22"/>
          <w:szCs w:val="22"/>
        </w:rPr>
        <w:tab/>
      </w:r>
      <w:r>
        <w:rPr/>
        <w:t>Test requirements</w:t>
      </w:r>
    </w:p>
    <w:p>
      <w:pPr>
        <w:pStyle w:val="Normal"/>
        <w:jc w:val="both"/>
        <w:rPr/>
      </w:pPr>
      <w:r>
        <w:rPr/>
        <w:t>The average measured total radiated sensitivity (TRS) of low, mid and high channel for handheld UE shall be lower than the average TRS requirement specified in Table 7.1.8.5-1. For the hand phantom browsing mode position the averaging shall be done in linear scale for the TRS results of both right and left hand phantom measurements. Average TRS requirement is shown in the column “Average” on the requirement tables.</w:t>
      </w:r>
    </w:p>
    <w:p>
      <w:pPr>
        <w:pStyle w:val="Normal"/>
        <w:keepLines/>
        <w:tabs>
          <w:tab w:val="clear" w:pos="284"/>
          <w:tab w:val="center" w:pos="4536" w:leader="none"/>
          <w:tab w:val="right" w:pos="9072" w:leader="none"/>
        </w:tabs>
        <w:rPr/>
      </w:pPr>
      <w:r>
        <w:rPr/>
        <w:tab/>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6</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e>
            </m:d>
          </m:e>
        </m:d>
      </m:oMath>
    </w:p>
    <w:p>
      <w:pPr>
        <w:pStyle w:val="Normal"/>
        <w:rPr/>
      </w:pPr>
      <w:r>
        <w:rPr/>
        <w:t>In addition the highest TRS of each measured channel shall be lower than maximum TRS requirement specified in Table 7.1.8.5-1. Maximum TRS requirement is shown in the column “Max” on the requirement tables.</w:t>
      </w:r>
    </w:p>
    <w:p>
      <w:pPr>
        <w:pStyle w:val="Normal"/>
        <w:keepLines/>
        <w:tabs>
          <w:tab w:val="clear" w:pos="284"/>
          <w:tab w:val="center" w:pos="4536" w:leader="none"/>
          <w:tab w:val="right" w:pos="9072" w:leader="none"/>
        </w:tabs>
        <w:rPr/>
      </w:pPr>
      <w:r>
        <w:rPr/>
        <w:drawing>
          <wp:inline distT="0" distB="0" distL="0" distR="0">
            <wp:extent cx="5283200" cy="241300"/>
            <wp:effectExtent l="0" t="0" r="0" b="0"/>
            <wp:docPr id="39"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2" descr=""/>
                    <pic:cNvPicPr>
                      <a:picLocks noChangeAspect="1" noChangeArrowheads="1"/>
                    </pic:cNvPicPr>
                  </pic:nvPicPr>
                  <pic:blipFill>
                    <a:blip r:embed="rId31"/>
                    <a:srcRect l="-7" t="-149" r="-7" b="-149"/>
                    <a:stretch>
                      <a:fillRect/>
                    </a:stretch>
                  </pic:blipFill>
                  <pic:spPr bwMode="auto">
                    <a:xfrm>
                      <a:off x="0" y="0"/>
                      <a:ext cx="5283200" cy="241300"/>
                    </a:xfrm>
                    <a:prstGeom prst="rect">
                      <a:avLst/>
                    </a:prstGeom>
                  </pic:spPr>
                </pic:pic>
              </a:graphicData>
            </a:graphic>
          </wp:inline>
        </w:drawing>
      </w:r>
    </w:p>
    <w:p>
      <w:pPr>
        <w:pStyle w:val="TH"/>
        <w:rPr/>
      </w:pPr>
      <w:r>
        <w:rPr/>
        <w:t>Table 7.1.8.5-1: TRS minimum requirement for UTRA LCR TDD roaming bands in hand phantom browsing mode position</w:t>
      </w:r>
    </w:p>
    <w:tbl>
      <w:tblPr>
        <w:tblW w:w="4889" w:type="dxa"/>
        <w:jc w:val="center"/>
        <w:tblInd w:w="0" w:type="dxa"/>
        <w:tblLayout w:type="fixed"/>
        <w:tblCellMar>
          <w:top w:w="0" w:type="dxa"/>
          <w:left w:w="108" w:type="dxa"/>
          <w:bottom w:w="0" w:type="dxa"/>
          <w:right w:w="108" w:type="dxa"/>
        </w:tblCellMar>
      </w:tblPr>
      <w:tblGrid>
        <w:gridCol w:w="1581"/>
        <w:gridCol w:w="1438"/>
        <w:gridCol w:w="948"/>
        <w:gridCol w:w="922"/>
      </w:tblGrid>
      <w:tr>
        <w:trPr>
          <w:trHeight w:val="317" w:hRule="atLeast"/>
        </w:trPr>
        <w:tc>
          <w:tcPr>
            <w:tcW w:w="1581" w:type="dxa"/>
            <w:vMerge w:val="restart"/>
            <w:tcBorders>
              <w:top w:val="single" w:sz="4" w:space="0" w:color="000000"/>
              <w:left w:val="single" w:sz="4" w:space="0" w:color="000000"/>
              <w:right w:val="single" w:sz="4" w:space="0" w:color="000000"/>
            </w:tcBorders>
          </w:tcPr>
          <w:p>
            <w:pPr>
              <w:pStyle w:val="TAH"/>
              <w:rPr>
                <w:lang w:eastAsia="en-US"/>
              </w:rPr>
            </w:pPr>
            <w:r>
              <w:rPr>
                <w:lang w:eastAsia="en-US"/>
              </w:rPr>
              <w:t>Operating band</w:t>
            </w:r>
          </w:p>
        </w:tc>
        <w:tc>
          <w:tcPr>
            <w:tcW w:w="1438" w:type="dxa"/>
            <w:vMerge w:val="restart"/>
            <w:tcBorders>
              <w:top w:val="single" w:sz="4" w:space="0" w:color="000000"/>
              <w:left w:val="single" w:sz="4" w:space="0" w:color="000000"/>
              <w:right w:val="single" w:sz="4" w:space="0" w:color="000000"/>
            </w:tcBorders>
          </w:tcPr>
          <w:p>
            <w:pPr>
              <w:pStyle w:val="TAH"/>
              <w:rPr>
                <w:lang w:eastAsia="en-US"/>
              </w:rPr>
            </w:pPr>
            <w:r>
              <w:rPr>
                <w:lang w:eastAsia="en-US"/>
              </w:rPr>
              <w:t>Unit</w:t>
            </w:r>
          </w:p>
        </w:tc>
        <w:tc>
          <w:tcPr>
            <w:tcW w:w="1870"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&lt;REFÎor&gt;</w:t>
            </w:r>
          </w:p>
        </w:tc>
      </w:tr>
      <w:tr>
        <w:trPr>
          <w:trHeight w:val="266" w:hRule="atLeast"/>
        </w:trPr>
        <w:tc>
          <w:tcPr>
            <w:tcW w:w="1581" w:type="dxa"/>
            <w:vMerge w:val="continue"/>
            <w:tcBorders>
              <w:top w:val="single" w:sz="4" w:space="0" w:color="000000"/>
              <w:left w:val="single" w:sz="4" w:space="0" w:color="000000"/>
              <w:right w:val="single" w:sz="4" w:space="0" w:color="000000"/>
            </w:tcBorders>
          </w:tcPr>
          <w:p>
            <w:pPr>
              <w:pStyle w:val="TAH"/>
              <w:snapToGrid w:val="false"/>
              <w:rPr>
                <w:lang w:eastAsia="en-US"/>
              </w:rPr>
            </w:pPr>
            <w:r>
              <w:rPr>
                <w:lang w:eastAsia="en-US"/>
              </w:rPr>
            </w:r>
          </w:p>
        </w:tc>
        <w:tc>
          <w:tcPr>
            <w:tcW w:w="1438" w:type="dxa"/>
            <w:vMerge w:val="continue"/>
            <w:tcBorders>
              <w:top w:val="single" w:sz="4" w:space="0" w:color="000000"/>
              <w:left w:val="single" w:sz="4" w:space="0" w:color="000000"/>
              <w:right w:val="single" w:sz="4" w:space="0" w:color="000000"/>
            </w:tcBorders>
          </w:tcPr>
          <w:p>
            <w:pPr>
              <w:pStyle w:val="TAH"/>
              <w:snapToGrid w:val="false"/>
              <w:rPr>
                <w:lang w:eastAsia="en-US"/>
              </w:rPr>
            </w:pPr>
            <w:r>
              <w:rPr>
                <w:lang w:eastAsia="en-US"/>
              </w:rPr>
            </w:r>
          </w:p>
        </w:tc>
        <w:tc>
          <w:tcPr>
            <w:tcW w:w="948"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92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Max</w:t>
            </w:r>
          </w:p>
        </w:tc>
      </w:tr>
      <w:tr>
        <w:trPr>
          <w:trHeight w:val="218" w:hRule="atLeast"/>
        </w:trPr>
        <w:tc>
          <w:tcPr>
            <w:tcW w:w="15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a</w:t>
            </w:r>
          </w:p>
        </w:tc>
        <w:tc>
          <w:tcPr>
            <w:tcW w:w="143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 xml:space="preserve">dBm/1.28 MHz </w:t>
            </w:r>
          </w:p>
        </w:tc>
        <w:tc>
          <w:tcPr>
            <w:tcW w:w="94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2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rHeight w:val="218" w:hRule="atLeast"/>
        </w:trPr>
        <w:tc>
          <w:tcPr>
            <w:tcW w:w="15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b</w:t>
            </w:r>
          </w:p>
        </w:tc>
        <w:tc>
          <w:tcPr>
            <w:tcW w:w="143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dBm/1.28 MHz</w:t>
            </w:r>
          </w:p>
        </w:tc>
        <w:tc>
          <w:tcPr>
            <w:tcW w:w="94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2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rHeight w:val="218" w:hRule="atLeast"/>
        </w:trPr>
        <w:tc>
          <w:tcPr>
            <w:tcW w:w="15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c</w:t>
            </w:r>
          </w:p>
        </w:tc>
        <w:tc>
          <w:tcPr>
            <w:tcW w:w="143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dBm/1.28 MHz</w:t>
            </w:r>
          </w:p>
        </w:tc>
        <w:tc>
          <w:tcPr>
            <w:tcW w:w="94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2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rHeight w:val="218" w:hRule="atLeast"/>
        </w:trPr>
        <w:tc>
          <w:tcPr>
            <w:tcW w:w="15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w:t>
            </w:r>
          </w:p>
        </w:tc>
        <w:tc>
          <w:tcPr>
            <w:tcW w:w="143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dBm/1.28 MHz</w:t>
            </w:r>
          </w:p>
        </w:tc>
        <w:tc>
          <w:tcPr>
            <w:tcW w:w="94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2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rHeight w:val="218" w:hRule="atLeast"/>
        </w:trPr>
        <w:tc>
          <w:tcPr>
            <w:tcW w:w="15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e</w:t>
            </w:r>
          </w:p>
        </w:tc>
        <w:tc>
          <w:tcPr>
            <w:tcW w:w="143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dBm/1.28 MHz</w:t>
            </w:r>
          </w:p>
        </w:tc>
        <w:tc>
          <w:tcPr>
            <w:tcW w:w="94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2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rHeight w:val="218" w:hRule="atLeast"/>
        </w:trPr>
        <w:tc>
          <w:tcPr>
            <w:tcW w:w="15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f</w:t>
            </w:r>
          </w:p>
        </w:tc>
        <w:tc>
          <w:tcPr>
            <w:tcW w:w="143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dBm/1.28 MHz</w:t>
            </w:r>
          </w:p>
        </w:tc>
        <w:tc>
          <w:tcPr>
            <w:tcW w:w="94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c>
          <w:tcPr>
            <w:tcW w:w="92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TBD+TT</w:t>
            </w:r>
          </w:p>
        </w:tc>
      </w:tr>
      <w:tr>
        <w:trPr>
          <w:trHeight w:val="220" w:hRule="atLeast"/>
        </w:trPr>
        <w:tc>
          <w:tcPr>
            <w:tcW w:w="4889" w:type="dxa"/>
            <w:gridSpan w:val="4"/>
            <w:tcBorders>
              <w:left w:val="single" w:sz="4" w:space="0" w:color="000000"/>
              <w:bottom w:val="single" w:sz="4" w:space="0" w:color="000000"/>
              <w:right w:val="single" w:sz="4" w:space="0" w:color="000000"/>
            </w:tcBorders>
            <w:vAlign w:val="center"/>
          </w:tcPr>
          <w:p>
            <w:pPr>
              <w:pStyle w:val="TAN"/>
              <w:rPr>
                <w:lang w:eastAsia="en-US"/>
              </w:rPr>
            </w:pPr>
            <w:r>
              <w:rPr>
                <w:lang w:eastAsia="en-US"/>
              </w:rPr>
              <w:t>Note:</w:t>
              <w:tab/>
              <w:t>Applicable for dual-mode GSM/UTRA LCR TDD</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Heading3"/>
        <w:rPr/>
      </w:pPr>
      <w:bookmarkStart w:id="290" w:name="__RefHeading___Toc68601222"/>
      <w:bookmarkEnd w:id="290"/>
      <w:r>
        <w:rPr>
          <w:lang w:eastAsia="zh-CN"/>
        </w:rPr>
        <w:t>7</w:t>
      </w:r>
      <w:r>
        <w:rPr/>
        <w:t>.1.9</w:t>
        <w:tab/>
      </w:r>
      <w:r>
        <w:rPr>
          <w:rFonts w:cs="Arial"/>
          <w:color w:val="000000"/>
        </w:rPr>
        <w:t xml:space="preserve">Total Radiated Sensitivity (TRS) for </w:t>
      </w:r>
      <w:r>
        <w:rPr/>
        <w:t>E-UTRA FDD in Browsing Mode with Hand Phantom</w:t>
      </w:r>
    </w:p>
    <w:p>
      <w:pPr>
        <w:pStyle w:val="EditorsNote"/>
        <w:rPr/>
      </w:pPr>
      <w:r>
        <w:rPr/>
        <w:t>Editor’s notes: This subclause is incomplete. The following items is missing or incomplete:</w:t>
      </w:r>
    </w:p>
    <w:p>
      <w:pPr>
        <w:pStyle w:val="EditorsNote"/>
        <w:rPr/>
      </w:pPr>
      <w:r>
        <w:rPr/>
        <w:t>- Table 7.1.9.2-1 and 7.1.9.5-1 as they are not specified in TS 37.144 yet</w:t>
      </w:r>
    </w:p>
    <w:p>
      <w:pPr>
        <w:pStyle w:val="EditorsNote"/>
        <w:rPr/>
      </w:pPr>
      <w:r>
        <w:rPr/>
        <w:t>- Text for Subclause 7.1.9.4.3</w:t>
        <w:tab/>
        <w:t xml:space="preserve"> Procedure, reverberation chamber method</w:t>
      </w:r>
    </w:p>
    <w:p>
      <w:pPr>
        <w:pStyle w:val="Heading4"/>
        <w:ind w:left="1418" w:hanging="1418"/>
        <w:rPr/>
      </w:pPr>
      <w:bookmarkStart w:id="291" w:name="__RefHeading___Toc68601223"/>
      <w:bookmarkEnd w:id="291"/>
      <w:r>
        <w:rPr/>
        <w:t>7.1.9.1</w:t>
      </w:r>
      <w:r>
        <w:rPr>
          <w:rFonts w:cs="Calibri" w:ascii="Calibri" w:hAnsi="Calibri"/>
          <w:sz w:val="22"/>
          <w:szCs w:val="22"/>
        </w:rPr>
        <w:tab/>
      </w:r>
      <w:r>
        <w:rPr/>
        <w:t>Definition and applicability</w:t>
      </w:r>
    </w:p>
    <w:p>
      <w:pPr>
        <w:pStyle w:val="Normal"/>
        <w:rPr/>
      </w:pPr>
      <w:r>
        <w:rPr/>
        <w:t>The Total Radiated Sensitivity is defined as:</w:t>
      </w:r>
    </w:p>
    <w:p>
      <w:pPr>
        <w:pStyle w:val="EQ"/>
        <w:rPr>
          <w:lang w:val="en-GB" w:eastAsia="en-GB"/>
        </w:rPr>
      </w:pPr>
      <w:r>
        <w:rPr>
          <w:lang w:val="en-GB" w:eastAsia="en-GB"/>
        </w:rPr>
      </w:r>
      <m:oMathPara xmlns:m="http://schemas.openxmlformats.org/officeDocument/2006/math">
        <m:oMathParaPr>
          <m:jc m:val="left"/>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4</m:t>
              </m:r>
              <m:r>
                <w:rPr>
                  <w:rFonts w:ascii="Cambria Math" w:hAnsi="Cambria Math"/>
                </w:rPr>
                <m:t xml:space="preserve">π</m:t>
              </m:r>
            </m:num>
            <m:den>
              <m:nary>
                <m:naryPr>
                  <m:chr m:val="∮"/>
                  <m:subHide m:val="1"/>
                  <m:supHide m:val="1"/>
                </m:naryPr>
                <m:sub/>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e>
                  </m:d>
                </m:e>
              </m:nary>
              <m:r>
                <w:rPr>
                  <w:rFonts w:ascii="Cambria Math" w:hAnsi="Cambria Math"/>
                </w:rPr>
                <m:t xml:space="preserve">d</m:t>
              </m:r>
              <m:r>
                <w:rPr>
                  <w:rFonts w:ascii="Cambria Math" w:hAnsi="Cambria Math"/>
                </w:rPr>
                <m:t xml:space="preserve">Ω</m:t>
              </m:r>
            </m:den>
          </m:f>
        </m:oMath>
      </m:oMathPara>
    </w:p>
    <w:p>
      <w:pPr>
        <w:pStyle w:val="Normal"/>
        <w:rPr/>
      </w:pPr>
      <w:r>
        <w:rPr/>
        <w:t>Where the effective isotropic sensitivity (</w:t>
      </w:r>
      <w:r>
        <w:rPr>
          <w:i/>
          <w:iCs/>
        </w:rPr>
        <w:t>EIS</w:t>
      </w:r>
      <w:r>
        <w:rPr/>
        <w:t xml:space="preserve">) is defined as the power available at the antenna output such as the sensitivity threshold is achieved for each polarization.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r>
          <w:rPr>
            <w:rFonts w:ascii="Cambria Math" w:hAnsi="Cambria Math"/>
          </w:rPr>
          <m:t xml:space="preserve">f</m:t>
        </m:r>
      </m:oMath>
      <w:r>
        <w:rPr/>
        <w:t xml:space="preserve"> is frequency.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 are the orthogonal polarizations.</w:t>
      </w:r>
    </w:p>
    <w:p>
      <w:pPr>
        <w:pStyle w:val="EQ"/>
        <w:rPr>
          <w:lang w:val="en-GB" w:eastAsia="en-GB"/>
        </w:rPr>
      </w:pPr>
      <w:r>
        <w:rPr>
          <w:lang w:val="en-GB" w:eastAsia="en-GB"/>
        </w:rPr>
      </w:r>
      <m:oMathPara xmlns:m="http://schemas.openxmlformats.org/officeDocument/2006/math">
        <m:oMathParaPr>
          <m:jc m:val="left"/>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2</m:t>
              </m:r>
              <m:r>
                <m:rPr>
                  <m:lit/>
                  <m:nor/>
                </m:rPr>
                <w:rPr>
                  <w:rFonts w:ascii="Cambria Math" w:hAnsi="Cambria Math"/>
                </w:rPr>
                <m:t xml:space="preserve">NM</m:t>
              </m:r>
            </m:num>
            <m:den>
              <m:r>
                <w:rPr>
                  <w:rFonts w:ascii="Cambria Math" w:hAnsi="Cambria Math"/>
                </w:rPr>
                <m:t xml:space="preserve">π</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e>
                      </m:d>
                      <m:r>
                        <m:rPr>
                          <m:lit/>
                          <m:nor/>
                        </m:rPr>
                        <w:rPr>
                          <w:rFonts w:ascii="Cambria Math" w:hAnsi="Cambria Math"/>
                        </w:rPr>
                        <m:t xml:space="preserve">sin</m:t>
                      </m:r>
                      <m:d>
                        <m:dPr>
                          <m:begChr m:val="("/>
                          <m:endChr m:val=")"/>
                        </m:dPr>
                        <m:e>
                          <m:sSub>
                            <m:e>
                              <m:r>
                                <w:rPr>
                                  <w:rFonts w:ascii="Cambria Math" w:hAnsi="Cambria Math"/>
                                </w:rPr>
                                <m:t xml:space="preserve">θ</m:t>
                              </m:r>
                            </m:e>
                            <m:sub>
                              <m:r>
                                <w:rPr>
                                  <w:rFonts w:ascii="Cambria Math" w:hAnsi="Cambria Math"/>
                                </w:rPr>
                                <m:t xml:space="preserve">n</m:t>
                              </m:r>
                            </m:sub>
                          </m:sSub>
                        </m:e>
                      </m:d>
                    </m:e>
                  </m:nary>
                </m:e>
              </m:nary>
            </m:den>
          </m:f>
        </m:oMath>
      </m:oMathPara>
    </w:p>
    <w:p>
      <w:pPr>
        <w:pStyle w:val="Normal"/>
        <w:rPr/>
      </w:pPr>
      <w:r>
        <w:rPr/>
        <w:t xml:space="preserve">In these formulas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are the number of sampling intervals for theta and phi.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oMath>
      <w:r>
        <w:rPr/>
        <w:t xml:space="preserve"> are the measurement angles. The sampling intervals are discussed further in Subclause 4.4.</w:t>
      </w:r>
    </w:p>
    <w:p>
      <w:pPr>
        <w:pStyle w:val="Normal"/>
        <w:rPr/>
      </w:pPr>
      <w:r>
        <w:rPr/>
        <w:t>The requirements and this test apply to all types of LTE UEs independent of release.</w:t>
      </w:r>
    </w:p>
    <w:p>
      <w:pPr>
        <w:pStyle w:val="Heading4"/>
        <w:ind w:left="1418" w:hanging="1418"/>
        <w:rPr/>
      </w:pPr>
      <w:bookmarkStart w:id="292" w:name="__RefHeading___Toc68601224"/>
      <w:bookmarkEnd w:id="292"/>
      <w:r>
        <w:rPr/>
        <w:t>7.1.9.2</w:t>
      </w:r>
      <w:r>
        <w:rPr>
          <w:rFonts w:cs="Calibri" w:ascii="Calibri" w:hAnsi="Calibri"/>
          <w:sz w:val="22"/>
          <w:szCs w:val="22"/>
        </w:rPr>
        <w:tab/>
      </w:r>
      <w:r>
        <w:rPr/>
        <w:t>Minimum Requirements</w:t>
      </w:r>
    </w:p>
    <w:p>
      <w:pPr>
        <w:pStyle w:val="Normal"/>
        <w:jc w:val="both"/>
        <w:rPr/>
      </w:pPr>
      <w:r>
        <w:rPr/>
        <w:t>The average measured total radiated sensitivity (TRS) of low, mid and high channel for handheld UE shall be lower than the average TRS requirement specified in Table 7.1.9.2-1. For the hand phantom browsing mode position the averaging shall be done in linear scale for the TRS results of both right and left hand phantom measurements. Average TRS requirement is shown in the column “Average” on the requirement tables.</w:t>
      </w:r>
    </w:p>
    <w:p>
      <w:pPr>
        <w:pStyle w:val="Normal"/>
        <w:keepLines/>
        <w:tabs>
          <w:tab w:val="clear" w:pos="284"/>
          <w:tab w:val="center" w:pos="4536" w:leader="none"/>
          <w:tab w:val="right" w:pos="9072" w:leader="none"/>
        </w:tabs>
        <w:rPr/>
      </w:pPr>
      <w:r>
        <w:rPr/>
        <w:tab/>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6</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e>
            </m:d>
          </m:e>
        </m:d>
      </m:oMath>
    </w:p>
    <w:p>
      <w:pPr>
        <w:pStyle w:val="Normal"/>
        <w:rPr/>
      </w:pPr>
      <w:r>
        <w:rPr/>
        <w:t>In addition the highest TRS of each measured channel shall be lower than maximum TRS requirement specified in Table 7.1.9.2-1. Maximum TRS requirement is shown in the column “Max” on the requirement tables.</w:t>
      </w:r>
    </w:p>
    <w:p>
      <w:pPr>
        <w:pStyle w:val="Normal"/>
        <w:keepLines/>
        <w:tabs>
          <w:tab w:val="clear" w:pos="284"/>
          <w:tab w:val="center" w:pos="4536" w:leader="none"/>
          <w:tab w:val="right" w:pos="9072" w:leader="none"/>
        </w:tabs>
        <w:rPr/>
      </w:pPr>
      <w:r>
        <w:rPr/>
        <w:drawing>
          <wp:inline distT="0" distB="0" distL="0" distR="0">
            <wp:extent cx="5283200" cy="241300"/>
            <wp:effectExtent l="0" t="0" r="0" b="0"/>
            <wp:docPr id="40"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3" descr=""/>
                    <pic:cNvPicPr>
                      <a:picLocks noChangeAspect="1" noChangeArrowheads="1"/>
                    </pic:cNvPicPr>
                  </pic:nvPicPr>
                  <pic:blipFill>
                    <a:blip r:embed="rId32"/>
                    <a:srcRect l="-7" t="-149" r="-7" b="-149"/>
                    <a:stretch>
                      <a:fillRect/>
                    </a:stretch>
                  </pic:blipFill>
                  <pic:spPr bwMode="auto">
                    <a:xfrm>
                      <a:off x="0" y="0"/>
                      <a:ext cx="5283200" cy="241300"/>
                    </a:xfrm>
                    <a:prstGeom prst="rect">
                      <a:avLst/>
                    </a:prstGeom>
                  </pic:spPr>
                </pic:pic>
              </a:graphicData>
            </a:graphic>
          </wp:inline>
        </w:drawing>
      </w:r>
    </w:p>
    <w:p>
      <w:pPr>
        <w:pStyle w:val="Normal"/>
        <w:keepNext w:val="true"/>
        <w:keepLines/>
        <w:spacing w:before="60" w:after="180"/>
        <w:jc w:val="center"/>
        <w:rPr>
          <w:rFonts w:ascii="Arial" w:hAnsi="Arial" w:cs="Arial"/>
          <w:b/>
          <w:b/>
        </w:rPr>
      </w:pPr>
      <w:r>
        <w:rPr>
          <w:rFonts w:cs="Arial" w:ascii="Arial" w:hAnsi="Arial"/>
          <w:b/>
        </w:rPr>
        <w:t>Table 7.1.9.2-1: TRS minimum requirements for E-UTRA FDD roaming bands in hand phantom browsing mode position</w:t>
      </w:r>
    </w:p>
    <w:p>
      <w:pPr>
        <w:pStyle w:val="Normal"/>
        <w:rPr>
          <w:b/>
          <w:b/>
        </w:rPr>
      </w:pPr>
      <w:r>
        <w:rPr/>
        <w:t>TBD</w:t>
      </w:r>
    </w:p>
    <w:p>
      <w:pPr>
        <w:pStyle w:val="Normal"/>
        <w:rPr/>
      </w:pPr>
      <w:r>
        <w:rPr/>
        <w:t>The normative reference for this clause is TS 37.144 [12] Subclause 7.1.3.3.</w:t>
      </w:r>
    </w:p>
    <w:p>
      <w:pPr>
        <w:pStyle w:val="Heading4"/>
        <w:ind w:left="1418" w:hanging="1418"/>
        <w:rPr/>
      </w:pPr>
      <w:bookmarkStart w:id="293" w:name="__RefHeading___Toc68601225"/>
      <w:bookmarkEnd w:id="293"/>
      <w:r>
        <w:rPr/>
        <w:t>7.1.9.3</w:t>
      </w:r>
      <w:r>
        <w:rPr>
          <w:rFonts w:cs="Calibri" w:ascii="Calibri" w:hAnsi="Calibri"/>
          <w:sz w:val="22"/>
          <w:szCs w:val="22"/>
        </w:rPr>
        <w:tab/>
      </w:r>
      <w:r>
        <w:rPr/>
        <w:t>Test purpose</w:t>
      </w:r>
    </w:p>
    <w:p>
      <w:pPr>
        <w:pStyle w:val="Normal"/>
        <w:rPr/>
      </w:pPr>
      <w:r>
        <w:rPr/>
        <w:t xml:space="preserve">The purpose of this test is to ensure that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max</m:t>
            </m:r>
          </m:sub>
        </m:sSub>
      </m:oMath>
      <w:r>
        <w:rPr/>
        <w:t xml:space="preserve"> of the UE is above specified limit. The lack of the reception sensitivity decreases the coverage area at the far side from Node B.</w:t>
      </w:r>
    </w:p>
    <w:p>
      <w:pPr>
        <w:pStyle w:val="Heading4"/>
        <w:ind w:left="1418" w:hanging="1418"/>
        <w:rPr/>
      </w:pPr>
      <w:bookmarkStart w:id="294" w:name="__RefHeading___Toc68601226"/>
      <w:bookmarkEnd w:id="294"/>
      <w:r>
        <w:rPr/>
        <w:t>7.1.9.4</w:t>
      </w:r>
      <w:r>
        <w:rPr>
          <w:rFonts w:cs="Calibri" w:ascii="Calibri" w:hAnsi="Calibri"/>
          <w:sz w:val="22"/>
          <w:szCs w:val="22"/>
        </w:rPr>
        <w:tab/>
      </w:r>
      <w:r>
        <w:rPr/>
        <w:t>Method of test</w:t>
      </w:r>
    </w:p>
    <w:p>
      <w:pPr>
        <w:pStyle w:val="Heading4"/>
        <w:ind w:left="1418" w:hanging="1418"/>
        <w:rPr/>
      </w:pPr>
      <w:bookmarkStart w:id="295" w:name="__RefHeading___Toc68601227"/>
      <w:bookmarkEnd w:id="295"/>
      <w:r>
        <w:rPr/>
        <w:t>7.1.9.4.1</w:t>
      </w:r>
      <w:r>
        <w:rPr>
          <w:rFonts w:cs="Calibri" w:ascii="Calibri" w:hAnsi="Calibri"/>
          <w:sz w:val="22"/>
          <w:szCs w:val="22"/>
        </w:rPr>
        <w:tab/>
      </w:r>
      <w:r>
        <w:rPr/>
        <w:t>Initial conditions</w:t>
      </w:r>
    </w:p>
    <w:p>
      <w:pPr>
        <w:pStyle w:val="Normal"/>
        <w:rPr/>
      </w:pPr>
      <w:r>
        <w:rPr/>
        <w:t xml:space="preserve">A radio communications tester or a corresponding device is used as a NB/BS simulator to setup calls to the DUT. The NB/BS simulator is also used to send test signals to the UE and measure the BER levels of the radio link and the information on the dedicated channel needed to extract the DUT receiver performances. </w:t>
      </w:r>
    </w:p>
    <w:p>
      <w:pPr>
        <w:pStyle w:val="Normal"/>
        <w:rPr>
          <w:lang w:eastAsia="ja-JP"/>
        </w:rPr>
      </w:pPr>
      <w:r>
        <w:rPr>
          <w:lang w:eastAsia="ja-JP"/>
        </w:rPr>
        <w:t>Chamber environment constraints and coordinate system shall be the same as described in Subclause A.3.</w:t>
      </w:r>
    </w:p>
    <w:p>
      <w:pPr>
        <w:pStyle w:val="Normal"/>
        <w:rPr>
          <w:lang w:eastAsia="zh-CN"/>
        </w:rPr>
      </w:pPr>
      <w:r>
        <w:rPr>
          <w:lang w:eastAsia="ja-JP"/>
        </w:rPr>
        <w:t>Phantom Specifications shall be the same as described in Subclause A.2.2.</w:t>
      </w:r>
    </w:p>
    <w:p>
      <w:pPr>
        <w:pStyle w:val="Normal"/>
        <w:rPr/>
      </w:pPr>
      <w:r>
        <w:rPr/>
        <w:t>Test environment: normal; see TS36.508 [10] Subclause 4.1.1.</w:t>
      </w:r>
    </w:p>
    <w:p>
      <w:pPr>
        <w:pStyle w:val="Normal"/>
        <w:rPr/>
      </w:pPr>
      <w:r>
        <w:rPr/>
        <w:t>Frequencies to be tested: low range, mid range, high range; see Table 5.4-2.</w:t>
      </w:r>
      <w:r>
        <w:rPr>
          <w:lang w:eastAsia="ja-JP"/>
        </w:rPr>
        <w:t xml:space="preserve"> </w:t>
      </w:r>
    </w:p>
    <w:p>
      <w:pPr>
        <w:pStyle w:val="Normal"/>
        <w:rPr>
          <w:lang w:eastAsia="ja-JP"/>
        </w:rPr>
      </w:pPr>
      <w:r>
        <w:rPr>
          <w:lang w:eastAsia="ja-JP"/>
        </w:rPr>
        <w:t>Positioning Requirements shall be the same as described in Subclause 4.3.</w:t>
      </w:r>
    </w:p>
    <w:p>
      <w:pPr>
        <w:pStyle w:val="B1"/>
        <w:rPr/>
      </w:pPr>
      <w:r>
        <w:rPr/>
        <w:t>1)</w:t>
        <w:tab/>
        <w:t>Position the UE according to the DUT positioning for speech mode specified in Subclause 4.3.4.</w:t>
      </w:r>
    </w:p>
    <w:p>
      <w:pPr>
        <w:pStyle w:val="Normal"/>
        <w:ind w:left="568" w:hanging="284"/>
        <w:rPr/>
      </w:pPr>
      <w:r>
        <w:rPr/>
        <w:t>2)</w:t>
        <w:tab/>
        <w:t>Power on the UE.</w:t>
      </w:r>
    </w:p>
    <w:p>
      <w:pPr>
        <w:pStyle w:val="Normal"/>
        <w:ind w:left="568" w:hanging="284"/>
        <w:rPr/>
      </w:pPr>
      <w:r>
        <w:rPr/>
        <w:t>3)</w:t>
        <w:tab/>
        <w:t>Set the initial conditions as per Subclause 7.3 of 3GPP TS 36.521-1 [11], with the following exception: set the carrier frequency, channel bandwidth, RB length and RB location as per Table 5.4-2 for FDD mode. For DUTs with more than one receiver port, all the tests should be performed using both (all) antenna ports simultaneously.</w:t>
      </w:r>
    </w:p>
    <w:p>
      <w:pPr>
        <w:pStyle w:val="Heading4"/>
        <w:ind w:left="1418" w:hanging="1418"/>
        <w:rPr/>
      </w:pPr>
      <w:bookmarkStart w:id="296" w:name="__RefHeading___Toc68601228"/>
      <w:bookmarkEnd w:id="296"/>
      <w:r>
        <w:rPr/>
        <w:t>7.1.9.4.2</w:t>
      </w:r>
      <w:r>
        <w:rPr>
          <w:rFonts w:cs="Calibri" w:ascii="Calibri" w:hAnsi="Calibri"/>
          <w:sz w:val="22"/>
          <w:szCs w:val="22"/>
        </w:rPr>
        <w:tab/>
      </w:r>
      <w:r>
        <w:rPr/>
        <w:t>Procedure</w:t>
      </w:r>
    </w:p>
    <w:p>
      <w:pPr>
        <w:pStyle w:val="B1"/>
        <w:rPr/>
      </w:pPr>
      <w:r>
        <w:rPr/>
        <w:t>1)</w:t>
        <w:tab/>
        <w:t xml:space="preserve">Follow Steps 1 through 4 in Subclause 7.3.4.2 of 3GPP TS 36.521-1 [11], with the following exception: measure the receiver sensitivity by adjusting the downlink signal level to 95 % throughput of the maximum throughput of the reference channel (maximum throughput is per Annex A of 3GPP TS 36.521-1 [11]). </w:t>
      </w:r>
    </w:p>
    <w:p>
      <w:pPr>
        <w:pStyle w:val="B1"/>
        <w:rPr/>
      </w:pPr>
      <w:r>
        <w:rPr/>
        <w:t>2)</w:t>
        <w:tab/>
        <w:t>For the anechoic chamber based methodologies, repeat Step 1) with 3-D sampling grid specified in Subclause 4.4. The minimum RF power level resulting in a data throughput greater than or equal to 95 % throughput of the maximum throughput for each test shall be recorded for integration pursuant to Subclause 7.1.9.1 to calculate TRS.</w:t>
      </w:r>
    </w:p>
    <w:p>
      <w:pPr>
        <w:pStyle w:val="Normal"/>
        <w:ind w:left="568" w:hanging="284"/>
        <w:rPr/>
      </w:pPr>
      <w:r>
        <w:rPr/>
        <w:t>3)</w:t>
        <w:tab/>
        <w:t>Repeat the measurement of the DUT on the left and right ears of the head phantom using the left and right hand phantom for low, mid and high channels.</w:t>
      </w:r>
    </w:p>
    <w:p>
      <w:pPr>
        <w:pStyle w:val="B1"/>
        <w:rPr/>
      </w:pPr>
      <w:r>
        <w:rPr/>
        <w:t>4)</w:t>
        <w:tab/>
        <w:t>Calculate the average and minimum TRS as per Subclause 7.1.9.2.</w:t>
      </w:r>
    </w:p>
    <w:p>
      <w:pPr>
        <w:pStyle w:val="Heading4"/>
        <w:ind w:left="1418" w:hanging="1418"/>
        <w:rPr/>
      </w:pPr>
      <w:bookmarkStart w:id="297" w:name="__RefHeading___Toc68601229"/>
      <w:bookmarkEnd w:id="297"/>
      <w:r>
        <w:rPr/>
        <w:t>7.1.9.4.3</w:t>
      </w:r>
      <w:r>
        <w:rPr>
          <w:rFonts w:cs="Calibri" w:ascii="Calibri" w:hAnsi="Calibri"/>
          <w:sz w:val="22"/>
          <w:szCs w:val="22"/>
        </w:rPr>
        <w:tab/>
      </w:r>
      <w:r>
        <w:rPr/>
        <w:t>Procedure, reverberation chamber method</w:t>
      </w:r>
    </w:p>
    <w:p>
      <w:pPr>
        <w:pStyle w:val="Normal"/>
        <w:rPr/>
      </w:pPr>
      <w:r>
        <w:rPr/>
        <w:t>TBD</w:t>
      </w:r>
    </w:p>
    <w:p>
      <w:pPr>
        <w:pStyle w:val="Heading4"/>
        <w:ind w:left="1418" w:hanging="1418"/>
        <w:rPr/>
      </w:pPr>
      <w:bookmarkStart w:id="298" w:name="__RefHeading___Toc68601230"/>
      <w:bookmarkEnd w:id="298"/>
      <w:r>
        <w:rPr/>
        <w:t>7.1.9.5</w:t>
      </w:r>
      <w:r>
        <w:rPr>
          <w:rFonts w:cs="Calibri" w:ascii="Calibri" w:hAnsi="Calibri"/>
          <w:sz w:val="22"/>
          <w:szCs w:val="22"/>
        </w:rPr>
        <w:tab/>
      </w:r>
      <w:r>
        <w:rPr/>
        <w:t>Test requirements</w:t>
      </w:r>
    </w:p>
    <w:p>
      <w:pPr>
        <w:pStyle w:val="Normal"/>
        <w:jc w:val="both"/>
        <w:rPr/>
      </w:pPr>
      <w:r>
        <w:rPr/>
        <w:t>The average measured total radiated sensitivity (TRS) of low, mid and high channel for handheld UE shall be lower than the average TRS requirement specified in Table 7.1.9.5-1. For the hand phantom browsing mode position the averaging shall be done in linear scale for the TRS results of both right and left hand phantom measurements. Average TRS requirement is shown in the column “Average” on the requirement tables.</w:t>
      </w:r>
    </w:p>
    <w:p>
      <w:pPr>
        <w:pStyle w:val="Normal"/>
        <w:keepLines/>
        <w:tabs>
          <w:tab w:val="clear" w:pos="284"/>
          <w:tab w:val="center" w:pos="4536" w:leader="none"/>
          <w:tab w:val="right" w:pos="9072" w:leader="none"/>
        </w:tabs>
        <w:rPr/>
      </w:pPr>
      <w:r>
        <w:rPr/>
        <w:tab/>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6</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e>
            </m:d>
          </m:e>
        </m:d>
      </m:oMath>
    </w:p>
    <w:p>
      <w:pPr>
        <w:pStyle w:val="Normal"/>
        <w:rPr/>
      </w:pPr>
      <w:r>
        <w:rPr/>
        <w:t>In addition the highest TRS of each measured channel shall be lower than maximum TRS requirement specified in Table 7.1.9.5-1. Maximum TRS requirement is shown in the column “Max” on the requirement tables.</w:t>
      </w:r>
    </w:p>
    <w:p>
      <w:pPr>
        <w:pStyle w:val="Normal"/>
        <w:keepLines/>
        <w:tabs>
          <w:tab w:val="clear" w:pos="284"/>
          <w:tab w:val="center" w:pos="4536" w:leader="none"/>
          <w:tab w:val="right" w:pos="9072" w:leader="none"/>
        </w:tabs>
        <w:rPr/>
      </w:pPr>
      <w:r>
        <w:rPr/>
        <w:drawing>
          <wp:inline distT="0" distB="0" distL="0" distR="0">
            <wp:extent cx="5283200" cy="241300"/>
            <wp:effectExtent l="0" t="0" r="0" b="0"/>
            <wp:docPr id="41"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4" descr=""/>
                    <pic:cNvPicPr>
                      <a:picLocks noChangeAspect="1" noChangeArrowheads="1"/>
                    </pic:cNvPicPr>
                  </pic:nvPicPr>
                  <pic:blipFill>
                    <a:blip r:embed="rId33"/>
                    <a:srcRect l="-7" t="-149" r="-7" b="-149"/>
                    <a:stretch>
                      <a:fillRect/>
                    </a:stretch>
                  </pic:blipFill>
                  <pic:spPr bwMode="auto">
                    <a:xfrm>
                      <a:off x="0" y="0"/>
                      <a:ext cx="5283200" cy="241300"/>
                    </a:xfrm>
                    <a:prstGeom prst="rect">
                      <a:avLst/>
                    </a:prstGeom>
                  </pic:spPr>
                </pic:pic>
              </a:graphicData>
            </a:graphic>
          </wp:inline>
        </w:drawing>
      </w:r>
    </w:p>
    <w:p>
      <w:pPr>
        <w:pStyle w:val="TH"/>
        <w:rPr/>
      </w:pPr>
      <w:r>
        <w:rPr/>
        <w:t>Table 7.1.9.5-1: TRS minimum requirement for E-UTRA FDD roaming bands in hand phantom browsing mode position</w:t>
      </w:r>
    </w:p>
    <w:p>
      <w:pPr>
        <w:pStyle w:val="Normal"/>
        <w:rPr/>
      </w:pPr>
      <w:r>
        <w:rPr/>
        <w:t>TBD</w:t>
      </w:r>
    </w:p>
    <w:p>
      <w:pPr>
        <w:pStyle w:val="Normal"/>
        <w:rPr/>
      </w:pPr>
      <w:r>
        <w:rPr/>
      </w:r>
    </w:p>
    <w:p>
      <w:pPr>
        <w:pStyle w:val="NO"/>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Heading3"/>
        <w:rPr/>
      </w:pPr>
      <w:bookmarkStart w:id="299" w:name="__RefHeading___Toc68601231"/>
      <w:bookmarkEnd w:id="299"/>
      <w:r>
        <w:rPr>
          <w:lang w:eastAsia="zh-CN"/>
        </w:rPr>
        <w:t>7</w:t>
      </w:r>
      <w:r>
        <w:rPr/>
        <w:t>.1.10</w:t>
        <w:tab/>
      </w:r>
      <w:r>
        <w:rPr>
          <w:rFonts w:cs="Arial"/>
          <w:color w:val="000000"/>
        </w:rPr>
        <w:t xml:space="preserve">Total Radiated Sensitivity (TRS) for </w:t>
      </w:r>
      <w:r>
        <w:rPr/>
        <w:t>E-UTRA TDD in Browsing Mode with Hand Phantom</w:t>
      </w:r>
    </w:p>
    <w:p>
      <w:pPr>
        <w:pStyle w:val="EditorsNote"/>
        <w:rPr/>
      </w:pPr>
      <w:r>
        <w:rPr/>
        <w:t>Editor’s notes: This subclause is incomplete. The following items is missing or incomplete:</w:t>
      </w:r>
    </w:p>
    <w:p>
      <w:pPr>
        <w:pStyle w:val="EditorsNote"/>
        <w:rPr/>
      </w:pPr>
      <w:r>
        <w:rPr/>
        <w:t>- Table 7.1.10.2-1 and 7.1.10.5-1 as they are not specified in TS 37.144 yet</w:t>
      </w:r>
    </w:p>
    <w:p>
      <w:pPr>
        <w:pStyle w:val="EditorsNote"/>
        <w:rPr/>
      </w:pPr>
      <w:r>
        <w:rPr/>
        <w:t>- Text for Subclause 7.1.10.4.3</w:t>
        <w:tab/>
        <w:t xml:space="preserve"> Procedure, reverberation chamber method</w:t>
      </w:r>
    </w:p>
    <w:p>
      <w:pPr>
        <w:pStyle w:val="Heading4"/>
        <w:ind w:left="1418" w:hanging="1418"/>
        <w:rPr/>
      </w:pPr>
      <w:bookmarkStart w:id="300" w:name="__RefHeading___Toc68601232"/>
      <w:bookmarkEnd w:id="300"/>
      <w:r>
        <w:rPr/>
        <w:t>7.1.10.1</w:t>
      </w:r>
      <w:r>
        <w:rPr>
          <w:rFonts w:cs="Calibri" w:ascii="Calibri" w:hAnsi="Calibri"/>
          <w:sz w:val="22"/>
          <w:szCs w:val="22"/>
        </w:rPr>
        <w:tab/>
      </w:r>
      <w:r>
        <w:rPr/>
        <w:t>Definition and applicability</w:t>
      </w:r>
    </w:p>
    <w:p>
      <w:pPr>
        <w:pStyle w:val="Normal"/>
        <w:rPr/>
      </w:pPr>
      <w:r>
        <w:rPr/>
        <w:t>The Total Radiated Sensitivity is defined as:</w:t>
      </w:r>
    </w:p>
    <w:p>
      <w:pPr>
        <w:pStyle w:val="EQ"/>
        <w:rPr>
          <w:lang w:val="en-GB" w:eastAsia="en-GB"/>
        </w:rPr>
      </w:pPr>
      <w:r>
        <w:rPr>
          <w:lang w:val="en-GB" w:eastAsia="en-GB"/>
        </w:rPr>
      </w:r>
      <m:oMathPara xmlns:m="http://schemas.openxmlformats.org/officeDocument/2006/math">
        <m:oMathParaPr>
          <m:jc m:val="left"/>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4</m:t>
              </m:r>
              <m:r>
                <w:rPr>
                  <w:rFonts w:ascii="Cambria Math" w:hAnsi="Cambria Math"/>
                </w:rPr>
                <m:t xml:space="preserve">π</m:t>
              </m:r>
            </m:num>
            <m:den>
              <m:nary>
                <m:naryPr>
                  <m:chr m:val="∮"/>
                  <m:subHide m:val="1"/>
                  <m:supHide m:val="1"/>
                </m:naryPr>
                <m:sub/>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e>
                  </m:d>
                </m:e>
              </m:nary>
              <m:r>
                <w:rPr>
                  <w:rFonts w:ascii="Cambria Math" w:hAnsi="Cambria Math"/>
                </w:rPr>
                <m:t xml:space="preserve">d</m:t>
              </m:r>
              <m:r>
                <w:rPr>
                  <w:rFonts w:ascii="Cambria Math" w:hAnsi="Cambria Math"/>
                </w:rPr>
                <m:t xml:space="preserve">Ω</m:t>
              </m:r>
            </m:den>
          </m:f>
        </m:oMath>
      </m:oMathPara>
    </w:p>
    <w:p>
      <w:pPr>
        <w:pStyle w:val="Normal"/>
        <w:rPr/>
      </w:pPr>
      <w:r>
        <w:rPr/>
        <w:t>Where the effective isotropic sensitivity (</w:t>
      </w:r>
      <w:r>
        <w:rPr>
          <w:i/>
          <w:iCs/>
        </w:rPr>
        <w:t>EIS</w:t>
      </w:r>
      <w:r>
        <w:rPr/>
        <w:t xml:space="preserve">) is defined as the power available at the antenna output such as the sensitivity threshold is achieved for each polarization.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r>
          <w:rPr>
            <w:rFonts w:ascii="Cambria Math" w:hAnsi="Cambria Math"/>
          </w:rPr>
          <m:t xml:space="preserve">f</m:t>
        </m:r>
      </m:oMath>
      <w:r>
        <w:rPr/>
        <w:t xml:space="preserve"> is frequency.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 are the orthogonal polarizations.</w:t>
      </w:r>
    </w:p>
    <w:p>
      <w:pPr>
        <w:pStyle w:val="EQ"/>
        <w:rPr>
          <w:lang w:val="en-GB" w:eastAsia="en-GB"/>
        </w:rPr>
      </w:pPr>
      <w:r>
        <w:rPr>
          <w:lang w:val="en-GB" w:eastAsia="en-GB"/>
        </w:rPr>
      </w:r>
      <m:oMathPara xmlns:m="http://schemas.openxmlformats.org/officeDocument/2006/math">
        <m:oMathParaPr>
          <m:jc m:val="left"/>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2</m:t>
              </m:r>
              <m:r>
                <m:rPr>
                  <m:lit/>
                  <m:nor/>
                </m:rPr>
                <w:rPr>
                  <w:rFonts w:ascii="Cambria Math" w:hAnsi="Cambria Math"/>
                </w:rPr>
                <m:t xml:space="preserve">NM</m:t>
              </m:r>
            </m:num>
            <m:den>
              <m:r>
                <w:rPr>
                  <w:rFonts w:ascii="Cambria Math" w:hAnsi="Cambria Math"/>
                </w:rPr>
                <m:t xml:space="preserve">π</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e>
                      </m:d>
                      <m:r>
                        <m:rPr>
                          <m:lit/>
                          <m:nor/>
                        </m:rPr>
                        <w:rPr>
                          <w:rFonts w:ascii="Cambria Math" w:hAnsi="Cambria Math"/>
                        </w:rPr>
                        <m:t xml:space="preserve">sin</m:t>
                      </m:r>
                      <m:d>
                        <m:dPr>
                          <m:begChr m:val="("/>
                          <m:endChr m:val=")"/>
                        </m:dPr>
                        <m:e>
                          <m:sSub>
                            <m:e>
                              <m:r>
                                <w:rPr>
                                  <w:rFonts w:ascii="Cambria Math" w:hAnsi="Cambria Math"/>
                                </w:rPr>
                                <m:t xml:space="preserve">θ</m:t>
                              </m:r>
                            </m:e>
                            <m:sub>
                              <m:r>
                                <w:rPr>
                                  <w:rFonts w:ascii="Cambria Math" w:hAnsi="Cambria Math"/>
                                </w:rPr>
                                <m:t xml:space="preserve">n</m:t>
                              </m:r>
                            </m:sub>
                          </m:sSub>
                        </m:e>
                      </m:d>
                    </m:e>
                  </m:nary>
                </m:e>
              </m:nary>
            </m:den>
          </m:f>
        </m:oMath>
      </m:oMathPara>
    </w:p>
    <w:p>
      <w:pPr>
        <w:pStyle w:val="Normal"/>
        <w:rPr/>
      </w:pPr>
      <w:r>
        <w:rPr/>
        <w:t xml:space="preserve">In these formulas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are the number of sampling intervals for theta and phi.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oMath>
      <w:r>
        <w:rPr/>
        <w:t xml:space="preserve"> are the measurement angles. The sampling intervals are discussed further in Subclause 4.4.</w:t>
      </w:r>
    </w:p>
    <w:p>
      <w:pPr>
        <w:pStyle w:val="Normal"/>
        <w:rPr/>
      </w:pPr>
      <w:r>
        <w:rPr/>
        <w:t>The requirements and this test apply to all types of LTE UEs independent of release.</w:t>
      </w:r>
    </w:p>
    <w:p>
      <w:pPr>
        <w:pStyle w:val="Heading4"/>
        <w:ind w:left="1418" w:hanging="1418"/>
        <w:rPr/>
      </w:pPr>
      <w:bookmarkStart w:id="301" w:name="__RefHeading___Toc68601233"/>
      <w:bookmarkEnd w:id="301"/>
      <w:r>
        <w:rPr/>
        <w:t>7.1.10.2</w:t>
      </w:r>
      <w:r>
        <w:rPr>
          <w:rFonts w:cs="Calibri" w:ascii="Calibri" w:hAnsi="Calibri"/>
          <w:sz w:val="22"/>
          <w:szCs w:val="22"/>
        </w:rPr>
        <w:tab/>
      </w:r>
      <w:r>
        <w:rPr/>
        <w:t>Minimum Requirements</w:t>
      </w:r>
    </w:p>
    <w:p>
      <w:pPr>
        <w:pStyle w:val="Normal"/>
        <w:jc w:val="both"/>
        <w:rPr/>
      </w:pPr>
      <w:r>
        <w:rPr/>
        <w:t>The average measured total radiated sensitivity (TRS) of low, mid and high channel for handheld UE shall be lower than the average TRS requirement specified in Table 7.1.10.2-1. For the hand phantom browsing mode position the averaging shall be done in linear scale for the TRS results of both right and left hand phantom measurements. Average TRS requirement is shown in the column “Average” on the requirement tables.</w:t>
      </w:r>
    </w:p>
    <w:p>
      <w:pPr>
        <w:pStyle w:val="Normal"/>
        <w:keepLines/>
        <w:tabs>
          <w:tab w:val="clear" w:pos="284"/>
          <w:tab w:val="center" w:pos="4536" w:leader="none"/>
          <w:tab w:val="right" w:pos="9072" w:leader="none"/>
        </w:tabs>
        <w:rPr/>
      </w:pPr>
      <w:r>
        <w:rPr/>
        <w:tab/>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6</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e>
            </m:d>
          </m:e>
        </m:d>
      </m:oMath>
    </w:p>
    <w:p>
      <w:pPr>
        <w:pStyle w:val="Normal"/>
        <w:rPr/>
      </w:pPr>
      <w:r>
        <w:rPr/>
        <w:t>In addition the highest TRS of each measured channel shall be lower than maximum TRS requirement specified in Table 7.1.10.2-1. Maximum TRS requirement is shown in the column “Max” on the requirement tables.</w:t>
      </w:r>
    </w:p>
    <w:p>
      <w:pPr>
        <w:pStyle w:val="Normal"/>
        <w:keepLines/>
        <w:tabs>
          <w:tab w:val="clear" w:pos="284"/>
          <w:tab w:val="center" w:pos="4536" w:leader="none"/>
          <w:tab w:val="right" w:pos="9072" w:leader="none"/>
        </w:tabs>
        <w:rPr/>
      </w:pPr>
      <w:r>
        <w:rPr/>
        <w:drawing>
          <wp:inline distT="0" distB="0" distL="0" distR="0">
            <wp:extent cx="5283200" cy="241300"/>
            <wp:effectExtent l="0" t="0" r="0" b="0"/>
            <wp:docPr id="42"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5" descr=""/>
                    <pic:cNvPicPr>
                      <a:picLocks noChangeAspect="1" noChangeArrowheads="1"/>
                    </pic:cNvPicPr>
                  </pic:nvPicPr>
                  <pic:blipFill>
                    <a:blip r:embed="rId34"/>
                    <a:srcRect l="-7" t="-149" r="-7" b="-149"/>
                    <a:stretch>
                      <a:fillRect/>
                    </a:stretch>
                  </pic:blipFill>
                  <pic:spPr bwMode="auto">
                    <a:xfrm>
                      <a:off x="0" y="0"/>
                      <a:ext cx="5283200" cy="241300"/>
                    </a:xfrm>
                    <a:prstGeom prst="rect">
                      <a:avLst/>
                    </a:prstGeom>
                  </pic:spPr>
                </pic:pic>
              </a:graphicData>
            </a:graphic>
          </wp:inline>
        </w:drawing>
      </w:r>
    </w:p>
    <w:p>
      <w:pPr>
        <w:pStyle w:val="Normal"/>
        <w:keepNext w:val="true"/>
        <w:keepLines/>
        <w:spacing w:before="60" w:after="180"/>
        <w:jc w:val="center"/>
        <w:rPr>
          <w:rFonts w:ascii="Arial" w:hAnsi="Arial" w:cs="Arial"/>
          <w:b/>
          <w:b/>
        </w:rPr>
      </w:pPr>
      <w:r>
        <w:rPr>
          <w:rFonts w:cs="Arial" w:ascii="Arial" w:hAnsi="Arial"/>
          <w:b/>
        </w:rPr>
        <w:t>Table 7.1.10.2-1: TRS minimum requirements for E-UTRA TDD roaming bands in hand phantom browsing mode position</w:t>
      </w:r>
    </w:p>
    <w:p>
      <w:pPr>
        <w:pStyle w:val="Normal"/>
        <w:rPr>
          <w:b/>
          <w:b/>
        </w:rPr>
      </w:pPr>
      <w:r>
        <w:rPr/>
        <w:t>TBD</w:t>
      </w:r>
    </w:p>
    <w:p>
      <w:pPr>
        <w:pStyle w:val="Normal"/>
        <w:rPr>
          <w:b/>
          <w:b/>
        </w:rPr>
      </w:pPr>
      <w:r>
        <w:rPr>
          <w:b/>
        </w:rPr>
      </w:r>
    </w:p>
    <w:p>
      <w:pPr>
        <w:pStyle w:val="Normal"/>
        <w:rPr/>
      </w:pPr>
      <w:r>
        <w:rPr/>
        <w:t>The normative reference for this clause is TS 37.144 [12] Subclause 7.1.3.4.</w:t>
      </w:r>
    </w:p>
    <w:p>
      <w:pPr>
        <w:pStyle w:val="Heading4"/>
        <w:ind w:left="1418" w:hanging="1418"/>
        <w:rPr/>
      </w:pPr>
      <w:bookmarkStart w:id="302" w:name="__RefHeading___Toc68601234"/>
      <w:bookmarkEnd w:id="302"/>
      <w:r>
        <w:rPr/>
        <w:t>7.1.10.3</w:t>
      </w:r>
      <w:r>
        <w:rPr>
          <w:rFonts w:cs="Calibri" w:ascii="Calibri" w:hAnsi="Calibri"/>
          <w:sz w:val="22"/>
          <w:szCs w:val="22"/>
        </w:rPr>
        <w:tab/>
      </w:r>
      <w:r>
        <w:rPr/>
        <w:t>Test purpose</w:t>
      </w:r>
    </w:p>
    <w:p>
      <w:pPr>
        <w:pStyle w:val="Normal"/>
        <w:rPr/>
      </w:pPr>
      <w:r>
        <w:rPr/>
        <w:t xml:space="preserve">The purpose of this test is to ensure that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max</m:t>
            </m:r>
          </m:sub>
        </m:sSub>
      </m:oMath>
      <w:r>
        <w:rPr/>
        <w:t xml:space="preserve"> of the UE is above specified limit. The lack of the reception sensitivity decreases the coverage area at the far side from Node B.</w:t>
      </w:r>
    </w:p>
    <w:p>
      <w:pPr>
        <w:pStyle w:val="Heading4"/>
        <w:ind w:left="1418" w:hanging="1418"/>
        <w:rPr/>
      </w:pPr>
      <w:bookmarkStart w:id="303" w:name="__RefHeading___Toc68601235"/>
      <w:bookmarkEnd w:id="303"/>
      <w:r>
        <w:rPr/>
        <w:t>7.1.10.4</w:t>
      </w:r>
      <w:r>
        <w:rPr>
          <w:rFonts w:cs="Calibri" w:ascii="Calibri" w:hAnsi="Calibri"/>
          <w:sz w:val="22"/>
          <w:szCs w:val="22"/>
        </w:rPr>
        <w:tab/>
      </w:r>
      <w:r>
        <w:rPr/>
        <w:t>Method of test</w:t>
      </w:r>
    </w:p>
    <w:p>
      <w:pPr>
        <w:pStyle w:val="Heading4"/>
        <w:ind w:left="1418" w:hanging="1418"/>
        <w:rPr/>
      </w:pPr>
      <w:bookmarkStart w:id="304" w:name="__RefHeading___Toc68601236"/>
      <w:bookmarkEnd w:id="304"/>
      <w:r>
        <w:rPr/>
        <w:t>7.1.10.4.1</w:t>
      </w:r>
      <w:r>
        <w:rPr>
          <w:rFonts w:cs="Calibri" w:ascii="Calibri" w:hAnsi="Calibri"/>
          <w:sz w:val="22"/>
          <w:szCs w:val="22"/>
        </w:rPr>
        <w:tab/>
      </w:r>
      <w:r>
        <w:rPr/>
        <w:t>Initial conditions</w:t>
      </w:r>
    </w:p>
    <w:p>
      <w:pPr>
        <w:pStyle w:val="Normal"/>
        <w:rPr/>
      </w:pPr>
      <w:r>
        <w:rPr/>
        <w:t xml:space="preserve">A radio communications tester or a corresponding device is used as a NB/BS simulator to setup calls to the DUT. The NB/BS simulator is also used to send test signals to the UE and measure the BER levels of the radio link and the information on the dedicated channel needed to extract the DUT receiver performances. </w:t>
      </w:r>
    </w:p>
    <w:p>
      <w:pPr>
        <w:pStyle w:val="Normal"/>
        <w:rPr>
          <w:lang w:eastAsia="ja-JP"/>
        </w:rPr>
      </w:pPr>
      <w:r>
        <w:rPr>
          <w:lang w:eastAsia="ja-JP"/>
        </w:rPr>
        <w:t>Chamber environment constraints and coordinate system shall be the same as described in Subclause A.3.</w:t>
      </w:r>
    </w:p>
    <w:p>
      <w:pPr>
        <w:pStyle w:val="Normal"/>
        <w:rPr>
          <w:lang w:eastAsia="zh-CN"/>
        </w:rPr>
      </w:pPr>
      <w:r>
        <w:rPr>
          <w:lang w:eastAsia="ja-JP"/>
        </w:rPr>
        <w:t>Phantom Specifications shall be the same as described in Subclause A.2.2.</w:t>
      </w:r>
    </w:p>
    <w:p>
      <w:pPr>
        <w:pStyle w:val="Normal"/>
        <w:rPr/>
      </w:pPr>
      <w:r>
        <w:rPr/>
        <w:t>Test environment: normal; see TS36.508 [10] Subclause 4.1.1.</w:t>
      </w:r>
    </w:p>
    <w:p>
      <w:pPr>
        <w:pStyle w:val="Normal"/>
        <w:rPr/>
      </w:pPr>
      <w:r>
        <w:rPr/>
        <w:t>Frequencies to be tested: low range, mid range, high range; see Table 5.5-2.</w:t>
      </w:r>
      <w:r>
        <w:rPr>
          <w:lang w:eastAsia="ja-JP"/>
        </w:rPr>
        <w:t xml:space="preserve"> </w:t>
      </w:r>
    </w:p>
    <w:p>
      <w:pPr>
        <w:pStyle w:val="Normal"/>
        <w:rPr>
          <w:lang w:eastAsia="ja-JP"/>
        </w:rPr>
      </w:pPr>
      <w:r>
        <w:rPr>
          <w:lang w:eastAsia="ja-JP"/>
        </w:rPr>
        <w:t>Positioning Requirements shall be the same as described in Subclause 4.3.</w:t>
      </w:r>
    </w:p>
    <w:p>
      <w:pPr>
        <w:pStyle w:val="B1"/>
        <w:rPr/>
      </w:pPr>
      <w:r>
        <w:rPr/>
        <w:t>1)</w:t>
        <w:tab/>
        <w:t>Position the UE according to the DUT positioning for speech mode specified in Subclause 4.3.4.</w:t>
      </w:r>
    </w:p>
    <w:p>
      <w:pPr>
        <w:pStyle w:val="Normal"/>
        <w:ind w:left="568" w:hanging="284"/>
        <w:rPr/>
      </w:pPr>
      <w:r>
        <w:rPr/>
        <w:t>2)</w:t>
        <w:tab/>
        <w:t>Power on the UE.</w:t>
      </w:r>
    </w:p>
    <w:p>
      <w:pPr>
        <w:pStyle w:val="Normal"/>
        <w:ind w:left="568" w:hanging="284"/>
        <w:rPr/>
      </w:pPr>
      <w:r>
        <w:rPr/>
        <w:t>3)</w:t>
        <w:tab/>
        <w:t>Set the initial conditions as per Subclause 7.3 of 3GPP TS 36.521-1 [11], with the following exception: set the carrier frequency, channel bandwidth, RB length and RB location as per Table 5.5-2 for TDD mode. For DUTs with more than one receiver port, all the tests should be performed using both (all) antenna ports simultaneously.</w:t>
      </w:r>
    </w:p>
    <w:p>
      <w:pPr>
        <w:pStyle w:val="Heading4"/>
        <w:ind w:left="1418" w:hanging="1418"/>
        <w:rPr/>
      </w:pPr>
      <w:bookmarkStart w:id="305" w:name="__RefHeading___Toc68601237"/>
      <w:bookmarkEnd w:id="305"/>
      <w:r>
        <w:rPr/>
        <w:t>7.1.10.4.2</w:t>
      </w:r>
      <w:r>
        <w:rPr>
          <w:rFonts w:cs="Calibri" w:ascii="Calibri" w:hAnsi="Calibri"/>
          <w:sz w:val="22"/>
          <w:szCs w:val="22"/>
        </w:rPr>
        <w:tab/>
      </w:r>
      <w:r>
        <w:rPr/>
        <w:t>Procedure</w:t>
      </w:r>
    </w:p>
    <w:p>
      <w:pPr>
        <w:pStyle w:val="B1"/>
        <w:rPr/>
      </w:pPr>
      <w:r>
        <w:rPr/>
        <w:t>1)</w:t>
        <w:tab/>
        <w:t xml:space="preserve">Follow Steps 1 through 4 in Subclause 7.3.4.2 of 3GPP TS 36.521-1 [11], with the following exception: measure the receiver sensitivity by adjusting the downlink signal level to 95 % throughput of the maximum throughput of the reference channel (maximum throughput is per Annex A of 3GPP TS 36.521-1 [11]). </w:t>
      </w:r>
    </w:p>
    <w:p>
      <w:pPr>
        <w:pStyle w:val="B1"/>
        <w:rPr/>
      </w:pPr>
      <w:r>
        <w:rPr/>
        <w:t>2)</w:t>
        <w:tab/>
        <w:t>For the anechoic chamber based methodologies, repeat Step 1) with 3-D sampling grid specified in Subclause 4.4. The minimum RF power level resulting in a data throughput greater than or equal to 95 % throughput of the maximum throughput for each test shall be recorded for integration pursuant to Subclause 7.1.10.1 to calculate TRS.</w:t>
      </w:r>
    </w:p>
    <w:p>
      <w:pPr>
        <w:pStyle w:val="Normal"/>
        <w:ind w:left="568" w:hanging="284"/>
        <w:rPr/>
      </w:pPr>
      <w:r>
        <w:rPr/>
        <w:t>3)</w:t>
        <w:tab/>
        <w:t>Repeat the measurement of the DUT on the left and right ears of the head phantom using the left and right hand phantom for low, mid and high channels.</w:t>
      </w:r>
    </w:p>
    <w:p>
      <w:pPr>
        <w:pStyle w:val="B1"/>
        <w:rPr/>
      </w:pPr>
      <w:r>
        <w:rPr/>
        <w:t>4)</w:t>
        <w:tab/>
        <w:t>Calculate the average and minimum TRS as per Subclause 7.1.10.2.</w:t>
      </w:r>
    </w:p>
    <w:p>
      <w:pPr>
        <w:pStyle w:val="Heading4"/>
        <w:ind w:left="1418" w:hanging="1418"/>
        <w:rPr/>
      </w:pPr>
      <w:bookmarkStart w:id="306" w:name="__RefHeading___Toc68601238"/>
      <w:bookmarkEnd w:id="306"/>
      <w:r>
        <w:rPr/>
        <w:t>7.1.10.4.3</w:t>
      </w:r>
      <w:r>
        <w:rPr>
          <w:rFonts w:cs="Calibri" w:ascii="Calibri" w:hAnsi="Calibri"/>
          <w:sz w:val="22"/>
          <w:szCs w:val="22"/>
        </w:rPr>
        <w:tab/>
      </w:r>
      <w:r>
        <w:rPr/>
        <w:t>Procedure, reverberation chamber method</w:t>
      </w:r>
    </w:p>
    <w:p>
      <w:pPr>
        <w:pStyle w:val="Normal"/>
        <w:rPr/>
      </w:pPr>
      <w:r>
        <w:rPr/>
        <w:t>TBD</w:t>
      </w:r>
    </w:p>
    <w:p>
      <w:pPr>
        <w:pStyle w:val="Heading4"/>
        <w:ind w:left="1418" w:hanging="1418"/>
        <w:rPr/>
      </w:pPr>
      <w:bookmarkStart w:id="307" w:name="__RefHeading___Toc68601239"/>
      <w:bookmarkEnd w:id="307"/>
      <w:r>
        <w:rPr/>
        <w:t>7.1.10.5</w:t>
      </w:r>
      <w:r>
        <w:rPr>
          <w:rFonts w:cs="Calibri" w:ascii="Calibri" w:hAnsi="Calibri"/>
          <w:sz w:val="22"/>
          <w:szCs w:val="22"/>
        </w:rPr>
        <w:tab/>
      </w:r>
      <w:r>
        <w:rPr/>
        <w:t>Test requirements</w:t>
      </w:r>
    </w:p>
    <w:p>
      <w:pPr>
        <w:pStyle w:val="Normal"/>
        <w:jc w:val="both"/>
        <w:rPr/>
      </w:pPr>
      <w:r>
        <w:rPr/>
        <w:t>The average measured total radiated sensitivity (TRS) of low, mid and high channel for handheld UE shall be lower than the average TRS requirement specified in Table 7.1.10.5-1. For the hand phantom browsing mode position the averaging shall be done in linear scale for the TRS results of both right and left hand phantom measurements. Average TRS requirement is shown in the column “Average” on the requirement tables.</w:t>
      </w:r>
    </w:p>
    <w:p>
      <w:pPr>
        <w:pStyle w:val="Normal"/>
        <w:keepLines/>
        <w:tabs>
          <w:tab w:val="clear" w:pos="284"/>
          <w:tab w:val="center" w:pos="4536" w:leader="none"/>
          <w:tab w:val="right" w:pos="9072" w:leader="none"/>
        </w:tabs>
        <w:rPr/>
      </w:pPr>
      <w:r>
        <w:rPr/>
        <w:tab/>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6</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e>
            </m:d>
          </m:e>
        </m:d>
      </m:oMath>
    </w:p>
    <w:p>
      <w:pPr>
        <w:pStyle w:val="Normal"/>
        <w:rPr/>
      </w:pPr>
      <w:r>
        <w:rPr/>
        <w:t>In addition the highest TRS of each measured channel shall be lower than maximum TRS requirement specified in Table 7.1.10.5-1. Maximum TRS requirement is shown in the column “Max” on the requirement tables.</w:t>
      </w:r>
    </w:p>
    <w:p>
      <w:pPr>
        <w:pStyle w:val="Normal"/>
        <w:keepLines/>
        <w:tabs>
          <w:tab w:val="clear" w:pos="284"/>
          <w:tab w:val="center" w:pos="4536" w:leader="none"/>
          <w:tab w:val="right" w:pos="9072" w:leader="none"/>
        </w:tabs>
        <w:rPr/>
      </w:pPr>
      <w:r>
        <w:rPr/>
        <w:drawing>
          <wp:inline distT="0" distB="0" distL="0" distR="0">
            <wp:extent cx="5283200" cy="241300"/>
            <wp:effectExtent l="0" t="0" r="0" b="0"/>
            <wp:docPr id="43"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6" descr=""/>
                    <pic:cNvPicPr>
                      <a:picLocks noChangeAspect="1" noChangeArrowheads="1"/>
                    </pic:cNvPicPr>
                  </pic:nvPicPr>
                  <pic:blipFill>
                    <a:blip r:embed="rId35"/>
                    <a:srcRect l="-7" t="-149" r="-7" b="-149"/>
                    <a:stretch>
                      <a:fillRect/>
                    </a:stretch>
                  </pic:blipFill>
                  <pic:spPr bwMode="auto">
                    <a:xfrm>
                      <a:off x="0" y="0"/>
                      <a:ext cx="5283200" cy="241300"/>
                    </a:xfrm>
                    <a:prstGeom prst="rect">
                      <a:avLst/>
                    </a:prstGeom>
                  </pic:spPr>
                </pic:pic>
              </a:graphicData>
            </a:graphic>
          </wp:inline>
        </w:drawing>
      </w:r>
    </w:p>
    <w:p>
      <w:pPr>
        <w:pStyle w:val="TH"/>
        <w:rPr/>
      </w:pPr>
      <w:r>
        <w:rPr/>
        <w:t>Table 7.1.10.5-1: TRS minimum requirement for E-UTRA TDD roaming bands in hand phantom browsing mode position</w:t>
      </w:r>
    </w:p>
    <w:p>
      <w:pPr>
        <w:pStyle w:val="Normal"/>
        <w:rPr/>
      </w:pPr>
      <w:r>
        <w:rPr/>
        <w:t>TBD</w:t>
      </w:r>
    </w:p>
    <w:p>
      <w:pPr>
        <w:pStyle w:val="NO"/>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Heading2"/>
        <w:rPr/>
      </w:pPr>
      <w:bookmarkStart w:id="308" w:name="__RefHeading___Toc68601240"/>
      <w:bookmarkEnd w:id="308"/>
      <w:r>
        <w:rPr/>
        <w:t>7.2</w:t>
        <w:tab/>
        <w:t>Performance for LME</w:t>
      </w:r>
    </w:p>
    <w:p>
      <w:pPr>
        <w:pStyle w:val="Heading3"/>
        <w:rPr>
          <w:szCs w:val="16"/>
          <w:lang w:eastAsia="zh-CN"/>
        </w:rPr>
      </w:pPr>
      <w:bookmarkStart w:id="309" w:name="__RefHeading___Toc68601241"/>
      <w:bookmarkEnd w:id="309"/>
      <w:r>
        <w:rPr>
          <w:lang w:eastAsia="zh-CN"/>
        </w:rPr>
        <w:t>7</w:t>
      </w:r>
      <w:r>
        <w:rPr/>
        <w:t>.</w:t>
      </w:r>
      <w:r>
        <w:rPr>
          <w:lang w:eastAsia="zh-CN"/>
        </w:rPr>
        <w:t>2</w:t>
      </w:r>
      <w:r>
        <w:rPr/>
        <w:t>.1</w:t>
        <w:tab/>
      </w:r>
      <w:r>
        <w:rPr>
          <w:rFonts w:cs="Arial"/>
          <w:color w:val="000000"/>
          <w:szCs w:val="16"/>
        </w:rPr>
        <w:t>Total Radiated Sensitivity (TRS) for UTRA FDD LME</w:t>
      </w:r>
    </w:p>
    <w:p>
      <w:pPr>
        <w:pStyle w:val="EditorsNote"/>
        <w:rPr/>
      </w:pPr>
      <w:r>
        <w:rPr/>
        <w:t>Editor’s notes: This subclause is incomplete. The following items are missing or incomplete:</w:t>
      </w:r>
    </w:p>
    <w:p>
      <w:pPr>
        <w:pStyle w:val="EditorsNote"/>
        <w:rPr/>
      </w:pPr>
      <w:r>
        <w:rPr/>
        <w:t>- Table 7.</w:t>
      </w:r>
      <w:r>
        <w:rPr>
          <w:lang w:eastAsia="zh-TW"/>
        </w:rPr>
        <w:t>2</w:t>
      </w:r>
      <w:r>
        <w:rPr/>
        <w:t>.1.2-1 and 7.</w:t>
      </w:r>
      <w:r>
        <w:rPr>
          <w:lang w:eastAsia="zh-TW"/>
        </w:rPr>
        <w:t>2</w:t>
      </w:r>
      <w:r>
        <w:rPr/>
        <w:t>.1.5-1 as they are not specified in TS 37.144 yet</w:t>
      </w:r>
    </w:p>
    <w:p>
      <w:pPr>
        <w:pStyle w:val="EditorsNote"/>
        <w:rPr/>
      </w:pPr>
      <w:r>
        <w:rPr/>
        <w:t>- Text for Subclause 7.</w:t>
      </w:r>
      <w:r>
        <w:rPr>
          <w:lang w:eastAsia="zh-TW"/>
        </w:rPr>
        <w:t>2</w:t>
      </w:r>
      <w:r>
        <w:rPr/>
        <w:t>.1.4.3</w:t>
        <w:tab/>
        <w:t xml:space="preserve"> Procedure, reverberation chamber method</w:t>
      </w:r>
    </w:p>
    <w:p>
      <w:pPr>
        <w:pStyle w:val="Heading4"/>
        <w:ind w:left="1418" w:hanging="1418"/>
        <w:rPr/>
      </w:pPr>
      <w:bookmarkStart w:id="310" w:name="__RefHeading___Toc68601242"/>
      <w:bookmarkEnd w:id="310"/>
      <w:r>
        <w:rPr/>
        <w:t>7.2.1.1</w:t>
        <w:tab/>
        <w:t>Definition and applicability</w:t>
      </w:r>
    </w:p>
    <w:p>
      <w:pPr>
        <w:pStyle w:val="Normal"/>
        <w:rPr/>
      </w:pPr>
      <w:r>
        <w:rPr/>
        <w:t>The Total Radiated Sensitivity is defined as: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4</m:t>
              </m:r>
              <m:r>
                <w:rPr>
                  <w:rFonts w:ascii="Cambria Math" w:hAnsi="Cambria Math"/>
                </w:rPr>
                <m:t xml:space="preserve">π</m:t>
              </m:r>
            </m:num>
            <m:den>
              <m:nary>
                <m:naryPr>
                  <m:chr m:val="∮"/>
                  <m:subHide m:val="1"/>
                  <m:supHide m:val="1"/>
                </m:naryPr>
                <m:sub/>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e>
                  </m:d>
                </m:e>
              </m:nary>
              <m:r>
                <w:rPr>
                  <w:rFonts w:ascii="Cambria Math" w:hAnsi="Cambria Math"/>
                </w:rPr>
                <m:t xml:space="preserve">d</m:t>
              </m:r>
              <m:r>
                <w:rPr>
                  <w:rFonts w:ascii="Cambria Math" w:hAnsi="Cambria Math"/>
                </w:rPr>
                <m:t xml:space="preserve">Ω</m:t>
              </m:r>
            </m:den>
          </m:f>
        </m:oMath>
      </m:oMathPara>
    </w:p>
    <w:p>
      <w:pPr>
        <w:pStyle w:val="Normal"/>
        <w:rPr/>
      </w:pPr>
      <w:r>
        <w:rPr/>
        <w:t>Where the effective isotropic sensitivity (</w:t>
      </w:r>
      <w:r>
        <w:rPr>
          <w:i/>
          <w:iCs/>
        </w:rPr>
        <w:t>EIS</w:t>
      </w:r>
      <w:r>
        <w:rPr/>
        <w:t xml:space="preserve">) is defined as the power available at the antenna output such as the sensitivity threshold is achieved for each polarization.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r>
          <w:rPr>
            <w:rFonts w:ascii="Cambria Math" w:hAnsi="Cambria Math"/>
          </w:rPr>
          <m:t xml:space="preserve">f</m:t>
        </m:r>
      </m:oMath>
      <w:r>
        <w:rPr/>
        <w:t xml:space="preserve"> is frequency.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 are the orthogonal polarizations.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2</m:t>
              </m:r>
              <m:r>
                <m:rPr>
                  <m:lit/>
                  <m:nor/>
                </m:rPr>
                <w:rPr>
                  <w:rFonts w:ascii="Cambria Math" w:hAnsi="Cambria Math"/>
                </w:rPr>
                <m:t xml:space="preserve">NM</m:t>
              </m:r>
            </m:num>
            <m:den>
              <m:r>
                <w:rPr>
                  <w:rFonts w:ascii="Cambria Math" w:hAnsi="Cambria Math"/>
                </w:rPr>
                <m:t xml:space="preserve">π</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e>
                      </m:d>
                      <m:r>
                        <m:rPr>
                          <m:lit/>
                          <m:nor/>
                        </m:rPr>
                        <w:rPr>
                          <w:rFonts w:ascii="Cambria Math" w:hAnsi="Cambria Math"/>
                        </w:rPr>
                        <m:t xml:space="preserve">sin</m:t>
                      </m:r>
                      <m:d>
                        <m:dPr>
                          <m:begChr m:val="("/>
                          <m:endChr m:val=")"/>
                        </m:dPr>
                        <m:e>
                          <m:sSub>
                            <m:e>
                              <m:r>
                                <w:rPr>
                                  <w:rFonts w:ascii="Cambria Math" w:hAnsi="Cambria Math"/>
                                </w:rPr>
                                <m:t xml:space="preserve">θ</m:t>
                              </m:r>
                            </m:e>
                            <m:sub>
                              <m:r>
                                <w:rPr>
                                  <w:rFonts w:ascii="Cambria Math" w:hAnsi="Cambria Math"/>
                                </w:rPr>
                                <m:t xml:space="preserve">n</m:t>
                              </m:r>
                            </m:sub>
                          </m:sSub>
                        </m:e>
                      </m:d>
                    </m:e>
                  </m:nary>
                </m:e>
              </m:nary>
            </m:den>
          </m:f>
        </m:oMath>
      </m:oMathPara>
    </w:p>
    <w:p>
      <w:pPr>
        <w:pStyle w:val="Normal"/>
        <w:rPr/>
      </w:pPr>
      <w:r>
        <w:rPr/>
        <w:t xml:space="preserve">In these formulas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are the number of sampling intervals for theta and phi.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oMath>
      <w:r>
        <w:rPr/>
        <w:t xml:space="preserve"> are the measurement angles. The sampling intervals are discussed further in </w:t>
      </w:r>
      <w:r>
        <w:rPr>
          <w:lang w:eastAsia="zh-TW"/>
        </w:rPr>
        <w:t>Subclause</w:t>
      </w:r>
      <w:r>
        <w:rPr/>
        <w:t xml:space="preserve"> </w:t>
      </w:r>
      <w:r>
        <w:rPr>
          <w:lang w:eastAsia="zh-TW"/>
        </w:rPr>
        <w:t>4.4</w:t>
      </w:r>
      <w:r>
        <w:rPr/>
        <w:t>.</w:t>
      </w:r>
    </w:p>
    <w:p>
      <w:pPr>
        <w:pStyle w:val="Normal"/>
        <w:rPr/>
      </w:pPr>
      <w:r>
        <w:rPr/>
        <w:t>The requirements and this test apply to all types of UTRA for the FDD UE for Release 11 and later releases that support LME.</w:t>
      </w:r>
    </w:p>
    <w:p>
      <w:pPr>
        <w:pStyle w:val="NO"/>
        <w:rPr/>
      </w:pPr>
      <w:r>
        <w:rPr/>
        <w:t>NOTE: This test case can be optionally executed for Release 7 and onward UE’s supporting LME feature.</w:t>
      </w:r>
    </w:p>
    <w:p>
      <w:pPr>
        <w:pStyle w:val="Heading4"/>
        <w:ind w:left="1418" w:hanging="1418"/>
        <w:rPr/>
      </w:pPr>
      <w:bookmarkStart w:id="311" w:name="__RefHeading___Toc68601243"/>
      <w:bookmarkEnd w:id="311"/>
      <w:r>
        <w:rPr/>
        <w:t>7.2.1.2</w:t>
        <w:tab/>
        <w:t>Minimum Requirements</w:t>
      </w:r>
    </w:p>
    <w:p>
      <w:pPr>
        <w:pStyle w:val="Normal"/>
        <w:jc w:val="both"/>
        <w:rPr/>
      </w:pPr>
      <w:r>
        <w:rPr/>
        <w:t>The average TRS of low, mid and high channel for 1% BER with 12.2kbps DL reference channel as defined in Annex C.3 of TS</w:t>
      </w:r>
      <w:r>
        <w:rPr>
          <w:lang w:eastAsia="zh-TW"/>
        </w:rPr>
        <w:t xml:space="preserve"> </w:t>
      </w:r>
      <w:r>
        <w:rPr/>
        <w:t xml:space="preserve">25.101 [2] shall be lower than minimum performance requirements for roaming bands shown in Table </w:t>
      </w:r>
      <w:r>
        <w:rPr>
          <w:lang w:eastAsia="zh-TW"/>
        </w:rPr>
        <w:t>7.2.1.2-1</w:t>
      </w:r>
      <w:r>
        <w:rPr/>
        <w:t>. The averaging shall be done in linear scale for the TRS results.</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3</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den>
                  </m:f>
                </m:e>
              </m:d>
            </m:e>
          </m:d>
        </m:oMath>
      </m:oMathPara>
    </w:p>
    <w:p>
      <w:pPr>
        <w:pStyle w:val="Normal"/>
        <w:rPr/>
      </w:pPr>
      <w:r>
        <w:rPr/>
        <w:t>In addition the maximum TRS of each measured channel shall be better than minimum performance requirements for roaming bands shown in the columns “Max”</w:t>
      </w:r>
      <w:r>
        <w:rPr>
          <w:lang w:eastAsia="zh-TW"/>
        </w:rPr>
        <w:t xml:space="preserve"> on the requirement tables</w:t>
      </w:r>
      <w:r>
        <w:rPr/>
        <w:t>.</w:t>
      </w:r>
    </w:p>
    <w:p>
      <w:pPr>
        <w:pStyle w:val="EQ"/>
        <w:jc w:val="center"/>
        <w:rPr>
          <w:lang w:val="en-GB" w:eastAsia="en-GB"/>
        </w:rPr>
      </w:pPr>
      <w:r>
        <w:rPr>
          <w:lang w:val="en-GB" w:eastAsia="en-GB"/>
        </w:rPr>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TRS</m:t>
              </m:r>
            </m:e>
            <m:sub>
              <m:r>
                <m:rPr>
                  <m:lit/>
                  <m:nor/>
                </m:rPr>
                <w:rPr>
                  <w:rFonts w:ascii="Cambria Math" w:hAnsi="Cambria Math"/>
                </w:rPr>
                <m:t xml:space="preserve">max</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m:rPr>
                  <m:lit/>
                  <m:nor/>
                </m:rPr>
                <w:rPr>
                  <w:rFonts w:ascii="Cambria Math" w:hAnsi="Cambria Math"/>
                </w:rPr>
                <m:t xml:space="preserve">max</m:t>
              </m:r>
              <m:d>
                <m:dPr>
                  <m:begChr m:val="("/>
                  <m:endChr m:val=")"/>
                </m:dPr>
                <m:e>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e>
              </m:d>
            </m:e>
          </m:d>
        </m:oMath>
      </m:oMathPara>
    </w:p>
    <w:p>
      <w:pPr>
        <w:pStyle w:val="TH"/>
        <w:rPr/>
      </w:pPr>
      <w:r>
        <w:rPr/>
        <w:t xml:space="preserve">Table </w:t>
      </w:r>
      <w:r>
        <w:rPr>
          <w:lang w:eastAsia="zh-TW"/>
        </w:rPr>
        <w:t>7.2.1.2-1</w:t>
      </w:r>
      <w:r>
        <w:rPr/>
        <w:t xml:space="preserve">: TRS minimum requirements for UTRA FDD roaming mode for </w:t>
      </w:r>
      <w:r>
        <w:rPr>
          <w:lang w:eastAsia="zh-TW"/>
        </w:rPr>
        <w:t>LME</w:t>
      </w:r>
      <w:r>
        <w:rPr/>
        <w:t xml:space="preserve"> devices in the data transfers position and the primary mechanical mode</w:t>
      </w:r>
    </w:p>
    <w:tbl>
      <w:tblPr>
        <w:tblW w:w="6051" w:type="dxa"/>
        <w:jc w:val="center"/>
        <w:tblInd w:w="0" w:type="dxa"/>
        <w:tblLayout w:type="fixed"/>
        <w:tblCellMar>
          <w:top w:w="0" w:type="dxa"/>
          <w:left w:w="28" w:type="dxa"/>
          <w:bottom w:w="0" w:type="dxa"/>
          <w:right w:w="28" w:type="dxa"/>
        </w:tblCellMar>
      </w:tblPr>
      <w:tblGrid>
        <w:gridCol w:w="1472"/>
        <w:gridCol w:w="1744"/>
        <w:gridCol w:w="1418"/>
        <w:gridCol w:w="1417"/>
      </w:tblGrid>
      <w:tr>
        <w:trPr>
          <w:trHeight w:val="57" w:hRule="atLeast"/>
          <w:cantSplit w:val="true"/>
        </w:trPr>
        <w:tc>
          <w:tcPr>
            <w:tcW w:w="1472" w:type="dxa"/>
            <w:vMerge w:val="restart"/>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Operating Band</w:t>
            </w:r>
          </w:p>
        </w:tc>
        <w:tc>
          <w:tcPr>
            <w:tcW w:w="1744" w:type="dxa"/>
            <w:vMerge w:val="restart"/>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Unit</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pPr>
            <w:r>
              <w:rPr>
                <w:lang w:eastAsia="en-US"/>
              </w:rPr>
              <w:t>&lt;REFÎ</w:t>
            </w:r>
            <w:r>
              <w:rPr>
                <w:vertAlign w:val="subscript"/>
                <w:lang w:eastAsia="en-US"/>
              </w:rPr>
              <w:t>or</w:t>
            </w:r>
            <w:r>
              <w:rPr>
                <w:lang w:eastAsia="en-US"/>
              </w:rPr>
              <w:t>&gt;</w:t>
            </w:r>
          </w:p>
        </w:tc>
      </w:tr>
      <w:tr>
        <w:trPr>
          <w:trHeight w:val="57" w:hRule="atLeast"/>
          <w:cantSplit w:val="true"/>
        </w:trPr>
        <w:tc>
          <w:tcPr>
            <w:tcW w:w="147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744"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141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Max</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IV</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IX</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IX</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6051" w:type="dxa"/>
            <w:gridSpan w:val="4"/>
            <w:tcBorders>
              <w:top w:val="single" w:sz="4" w:space="0" w:color="000000"/>
              <w:left w:val="single" w:sz="4" w:space="0" w:color="000000"/>
              <w:bottom w:val="single" w:sz="4" w:space="0" w:color="000000"/>
              <w:right w:val="single" w:sz="4" w:space="0" w:color="000000"/>
            </w:tcBorders>
          </w:tcPr>
          <w:p>
            <w:pPr>
              <w:pStyle w:val="TAN"/>
              <w:rPr>
                <w:lang w:eastAsia="en-US"/>
              </w:rPr>
            </w:pPr>
            <w:r>
              <w:rPr>
                <w:lang w:eastAsia="en-US"/>
              </w:rPr>
              <w:t>NOTE 1</w:t>
              <w:tab/>
              <w:t>For Power Class 3, 3bis and 4 this shall be achieved at the maximum output power.</w:t>
            </w:r>
          </w:p>
          <w:p>
            <w:pPr>
              <w:pStyle w:val="TAN"/>
              <w:rPr/>
            </w:pPr>
            <w:r>
              <w:rPr>
                <w:lang w:eastAsia="en-US"/>
              </w:rPr>
              <w:t>NOTE 2</w:t>
              <w:tab/>
              <w:t>Applicable for dual-mode GSM/UMTS.</w:t>
            </w:r>
          </w:p>
          <w:p>
            <w:pPr>
              <w:pStyle w:val="TAN"/>
              <w:rPr>
                <w:lang w:eastAsia="en-US"/>
              </w:rPr>
            </w:pPr>
            <w:r>
              <w:rPr>
                <w:lang w:eastAsia="en-US"/>
              </w:rPr>
              <w:t>NOTE 3</w:t>
              <w:tab/>
              <w:t>Applicable for USB plug-in devices.</w:t>
            </w:r>
          </w:p>
        </w:tc>
      </w:tr>
    </w:tbl>
    <w:p>
      <w:pPr>
        <w:pStyle w:val="Normal"/>
        <w:rPr/>
      </w:pPr>
      <w:r>
        <w:rPr/>
      </w:r>
    </w:p>
    <w:p>
      <w:pPr>
        <w:pStyle w:val="Normal"/>
        <w:rPr/>
      </w:pPr>
      <w:r>
        <w:rPr/>
        <w:t>The normative reference for this clause is TS</w:t>
      </w:r>
      <w:r>
        <w:rPr>
          <w:lang w:eastAsia="zh-TW"/>
        </w:rPr>
        <w:t xml:space="preserve"> 37</w:t>
      </w:r>
      <w:r>
        <w:rPr/>
        <w:t>.144</w:t>
      </w:r>
      <w:r>
        <w:rPr>
          <w:lang w:eastAsia="zh-TW"/>
        </w:rPr>
        <w:t xml:space="preserve"> [12] Subclause </w:t>
      </w:r>
      <w:r>
        <w:rPr/>
        <w:t>7</w:t>
      </w:r>
      <w:r>
        <w:rPr>
          <w:lang w:eastAsia="zh-TW"/>
        </w:rPr>
        <w:t>.2.2</w:t>
      </w:r>
      <w:r>
        <w:rPr/>
        <w:t>.</w:t>
      </w:r>
    </w:p>
    <w:p>
      <w:pPr>
        <w:pStyle w:val="Heading4"/>
        <w:ind w:left="1418" w:hanging="1418"/>
        <w:rPr/>
      </w:pPr>
      <w:bookmarkStart w:id="312" w:name="__RefHeading___Toc68601244"/>
      <w:bookmarkEnd w:id="312"/>
      <w:r>
        <w:rPr/>
        <w:t>7.2.1.3</w:t>
        <w:tab/>
        <w:t>Test purpose</w:t>
      </w:r>
    </w:p>
    <w:p>
      <w:pPr>
        <w:pStyle w:val="Normal"/>
        <w:rPr/>
      </w:pPr>
      <w:r>
        <w:rPr/>
        <w:t xml:space="preserve">The purpose of this test is to ensure that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max</m:t>
            </m:r>
          </m:sub>
        </m:sSub>
      </m:oMath>
      <w:r>
        <w:rPr/>
        <w:t xml:space="preserve"> of the UE is above specified limit. The lack of the reception sensitivity decreases the coverage area at the far side from Node B.</w:t>
      </w:r>
    </w:p>
    <w:p>
      <w:pPr>
        <w:pStyle w:val="Heading4"/>
        <w:ind w:left="1418" w:hanging="1418"/>
        <w:rPr/>
      </w:pPr>
      <w:bookmarkStart w:id="313" w:name="__RefHeading___Toc68601245"/>
      <w:bookmarkEnd w:id="313"/>
      <w:r>
        <w:rPr/>
        <w:t>7.2.1.4</w:t>
        <w:tab/>
        <w:t>Method of test</w:t>
      </w:r>
    </w:p>
    <w:p>
      <w:pPr>
        <w:pStyle w:val="Heading4"/>
        <w:ind w:left="1418" w:hanging="1418"/>
        <w:rPr/>
      </w:pPr>
      <w:bookmarkStart w:id="314" w:name="__RefHeading___Toc68601246"/>
      <w:bookmarkEnd w:id="314"/>
      <w:r>
        <w:rPr>
          <w:lang w:eastAsia="zh-TW"/>
        </w:rPr>
        <w:t>7.2.1</w:t>
      </w:r>
      <w:r>
        <w:rPr/>
        <w:t>.4.1</w:t>
        <w:tab/>
        <w:t>Initial conditions</w:t>
      </w:r>
    </w:p>
    <w:p>
      <w:pPr>
        <w:pStyle w:val="Normal"/>
        <w:rPr/>
      </w:pPr>
      <w:r>
        <w:rPr/>
        <w:t xml:space="preserve">A radio communications tester or a corresponding device is used as a NB simulator to setup calls to the DUT. The NB simulator is also used to send test signals to the UE and measure the BER levels of the radio link and the information on the dedicated channel needed to extract the DUT receiver performances. </w:t>
      </w:r>
    </w:p>
    <w:p>
      <w:pPr>
        <w:pStyle w:val="Normal"/>
        <w:rPr/>
      </w:pPr>
      <w:r>
        <w:rPr>
          <w:lang w:eastAsia="ja-JP"/>
        </w:rPr>
        <w:t>Chamber environment constraints and coordinate system shall be the same as described in Subclause A.3.</w:t>
      </w:r>
    </w:p>
    <w:p>
      <w:pPr>
        <w:pStyle w:val="Normal"/>
        <w:rPr>
          <w:lang w:eastAsia="zh-TW"/>
        </w:rPr>
      </w:pPr>
      <w:r>
        <w:rPr>
          <w:lang w:eastAsia="ja-JP"/>
        </w:rPr>
        <w:t xml:space="preserve">Phantom Specifications shall be the same as described in </w:t>
      </w:r>
      <w:r>
        <w:rPr/>
        <w:t>Subclause A.2.</w:t>
      </w:r>
      <w:r>
        <w:rPr>
          <w:lang w:eastAsia="zh-TW"/>
        </w:rPr>
        <w:t>3</w:t>
      </w:r>
      <w:r>
        <w:rPr/>
        <w:t>.</w:t>
      </w:r>
    </w:p>
    <w:p>
      <w:pPr>
        <w:pStyle w:val="Normal"/>
        <w:rPr/>
      </w:pPr>
      <w:r>
        <w:rPr/>
        <w:t>Test environment: normal; see TS</w:t>
      </w:r>
      <w:r>
        <w:rPr>
          <w:lang w:eastAsia="zh-TW"/>
        </w:rPr>
        <w:t xml:space="preserve"> </w:t>
      </w:r>
      <w:r>
        <w:rPr/>
        <w:t>36.508 [10] Subclause 4.1.1.</w:t>
      </w:r>
    </w:p>
    <w:p>
      <w:pPr>
        <w:pStyle w:val="Normal"/>
        <w:rPr/>
      </w:pPr>
      <w:r>
        <w:rPr/>
        <w:t>Frequencies to be tested: low range, mid range, high range; see Table 5.1-2.</w:t>
      </w:r>
      <w:r>
        <w:rPr>
          <w:lang w:eastAsia="ja-JP"/>
        </w:rPr>
        <w:t xml:space="preserve"> </w:t>
      </w:r>
    </w:p>
    <w:p>
      <w:pPr>
        <w:pStyle w:val="Normal"/>
        <w:rPr>
          <w:lang w:eastAsia="ja-JP"/>
        </w:rPr>
      </w:pPr>
      <w:r>
        <w:rPr>
          <w:lang w:eastAsia="ja-JP"/>
        </w:rPr>
        <w:t>Positioning Requirements shall be the same as described in Subclause 4.3.</w:t>
      </w:r>
    </w:p>
    <w:p>
      <w:pPr>
        <w:pStyle w:val="B1"/>
        <w:rPr/>
      </w:pPr>
      <w:r>
        <w:rPr/>
        <w:t>1)</w:t>
        <w:tab/>
        <w:t xml:space="preserve">Position the plug-in UE according to the DUT positioning </w:t>
      </w:r>
      <w:r>
        <w:rPr>
          <w:lang w:eastAsia="zh-TW"/>
        </w:rPr>
        <w:t>on laptop ground plane phantom</w:t>
      </w:r>
      <w:r>
        <w:rPr/>
        <w:t xml:space="preserve"> specified in Subclause 4.3.</w:t>
      </w:r>
      <w:r>
        <w:rPr>
          <w:lang w:eastAsia="zh-TW"/>
        </w:rPr>
        <w:t>2</w:t>
      </w:r>
      <w:r>
        <w:rPr/>
        <w:t>.</w:t>
      </w:r>
    </w:p>
    <w:p>
      <w:pPr>
        <w:pStyle w:val="B1"/>
        <w:rPr/>
      </w:pPr>
      <w:r>
        <w:rPr/>
        <w:t>2)</w:t>
        <w:tab/>
        <w:t>Set the SS downlink physical channels according to settings in Table 7.</w:t>
      </w:r>
      <w:r>
        <w:rPr>
          <w:lang w:eastAsia="zh-TW"/>
        </w:rPr>
        <w:t>2</w:t>
      </w:r>
      <w:r>
        <w:rPr/>
        <w:t>.1.4.1-1.</w:t>
      </w:r>
    </w:p>
    <w:p>
      <w:pPr>
        <w:pStyle w:val="B1"/>
        <w:rPr/>
      </w:pPr>
      <w:r>
        <w:rPr/>
        <w:t>3)</w:t>
        <w:tab/>
        <w:t>Power on the plug-in UE. The real functional laptop supplies power to the plug-in UE.</w:t>
      </w:r>
    </w:p>
    <w:p>
      <w:pPr>
        <w:pStyle w:val="B1"/>
        <w:rPr/>
      </w:pPr>
      <w:r>
        <w:rPr/>
        <w:t>4)</w:t>
        <w:tab/>
        <w:t>A call is set up according to the Generic call setup procedure. The power control algorithm shall be set to Power Control Algorithm 2. Compressed mode shall be set to OFF.</w:t>
      </w:r>
    </w:p>
    <w:p>
      <w:pPr>
        <w:pStyle w:val="B1"/>
        <w:rPr>
          <w:lang w:eastAsia="zh-TW"/>
        </w:rPr>
      </w:pPr>
      <w:r>
        <w:rPr/>
        <w:t>5)</w:t>
        <w:tab/>
        <w:t>Enter the UE into loopback test mode 2 and start the loopback test.</w:t>
      </w:r>
    </w:p>
    <w:p>
      <w:pPr>
        <w:pStyle w:val="Normal"/>
        <w:rPr/>
      </w:pPr>
      <w:r>
        <w:rPr/>
        <w:t>See TS 34.108 [</w:t>
      </w:r>
      <w:r>
        <w:rPr>
          <w:lang w:eastAsia="zh-TW"/>
        </w:rPr>
        <w:t>4</w:t>
      </w:r>
      <w:r>
        <w:rPr/>
        <w:t>] and TS 34.109 [</w:t>
      </w:r>
      <w:r>
        <w:rPr>
          <w:lang w:eastAsia="zh-TW"/>
        </w:rPr>
        <w:t>5</w:t>
      </w:r>
      <w:r>
        <w:rPr/>
        <w:t>] for details regarding generic call setup procedure and loopback test.</w:t>
      </w:r>
    </w:p>
    <w:p>
      <w:pPr>
        <w:pStyle w:val="TH"/>
        <w:rPr/>
      </w:pPr>
      <w:r>
        <w:rPr/>
        <w:t xml:space="preserve">Table </w:t>
      </w:r>
      <w:r>
        <w:rPr>
          <w:lang w:eastAsia="zh-TW"/>
        </w:rPr>
        <w:t>7.2.1.4.1-1</w:t>
      </w:r>
      <w:r>
        <w:rPr/>
        <w:t>: Downlink Physical Channels transmitted during a connection</w:t>
      </w:r>
    </w:p>
    <w:tbl>
      <w:tblPr>
        <w:tblW w:w="7087" w:type="dxa"/>
        <w:jc w:val="left"/>
        <w:tblInd w:w="1553" w:type="dxa"/>
        <w:tblLayout w:type="fixed"/>
        <w:tblCellMar>
          <w:top w:w="0" w:type="dxa"/>
          <w:left w:w="108" w:type="dxa"/>
          <w:bottom w:w="0" w:type="dxa"/>
          <w:right w:w="108" w:type="dxa"/>
        </w:tblCellMar>
      </w:tblPr>
      <w:tblGrid>
        <w:gridCol w:w="2301"/>
        <w:gridCol w:w="2660"/>
        <w:gridCol w:w="2126"/>
      </w:tblGrid>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Physical Channel</w:t>
            </w:r>
          </w:p>
        </w:tc>
        <w:tc>
          <w:tcPr>
            <w:tcW w:w="2660" w:type="dxa"/>
            <w:tcBorders>
              <w:top w:val="single" w:sz="6" w:space="0" w:color="000000"/>
              <w:left w:val="single" w:sz="6" w:space="0" w:color="000000"/>
              <w:bottom w:val="single" w:sz="6" w:space="0" w:color="000000"/>
              <w:right w:val="single" w:sz="6" w:space="0" w:color="000000"/>
            </w:tcBorders>
          </w:tcPr>
          <w:p>
            <w:pPr>
              <w:pStyle w:val="TAH"/>
              <w:snapToGrid w:val="false"/>
              <w:rPr>
                <w:lang w:eastAsia="en-US"/>
              </w:rPr>
            </w:pPr>
            <w:r>
              <w:rPr>
                <w:lang w:eastAsia="en-US"/>
              </w:rPr>
            </w:r>
          </w:p>
        </w:tc>
        <w:tc>
          <w:tcPr>
            <w:tcW w:w="2126"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Power</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CPICH</w:t>
            </w:r>
          </w:p>
        </w:tc>
        <w:tc>
          <w:tcPr>
            <w:tcW w:w="2660"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CPICH_Ec / DPCH_Ec</w:t>
            </w:r>
          </w:p>
        </w:tc>
        <w:tc>
          <w:tcPr>
            <w:tcW w:w="2126"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7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P-CCPCH</w:t>
            </w:r>
          </w:p>
        </w:tc>
        <w:tc>
          <w:tcPr>
            <w:tcW w:w="2660"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P-CCPCH_Ec/ DPCH_Ec</w:t>
            </w:r>
          </w:p>
        </w:tc>
        <w:tc>
          <w:tcPr>
            <w:tcW w:w="2126"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5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SCH</w:t>
            </w:r>
          </w:p>
        </w:tc>
        <w:tc>
          <w:tcPr>
            <w:tcW w:w="2660"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SCH_Ec / DPCH_Ec</w:t>
            </w:r>
          </w:p>
        </w:tc>
        <w:tc>
          <w:tcPr>
            <w:tcW w:w="2126"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5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PICH</w:t>
            </w:r>
          </w:p>
        </w:tc>
        <w:tc>
          <w:tcPr>
            <w:tcW w:w="2660"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PICH_Ec / DPCH_Ec</w:t>
            </w:r>
          </w:p>
        </w:tc>
        <w:tc>
          <w:tcPr>
            <w:tcW w:w="2126"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2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DPCH</w:t>
            </w:r>
          </w:p>
        </w:tc>
        <w:tc>
          <w:tcPr>
            <w:tcW w:w="2660"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Test dependent power</w:t>
            </w:r>
          </w:p>
        </w:tc>
        <w:tc>
          <w:tcPr>
            <w:tcW w:w="2126"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w:t>
            </w:r>
          </w:p>
        </w:tc>
      </w:tr>
    </w:tbl>
    <w:p>
      <w:pPr>
        <w:pStyle w:val="Normal"/>
        <w:rPr/>
      </w:pPr>
      <w:r>
        <w:rPr/>
      </w:r>
    </w:p>
    <w:p>
      <w:pPr>
        <w:pStyle w:val="Heading4"/>
        <w:ind w:left="1418" w:hanging="1418"/>
        <w:rPr/>
      </w:pPr>
      <w:bookmarkStart w:id="315" w:name="__RefHeading___Toc68601247"/>
      <w:bookmarkEnd w:id="315"/>
      <w:r>
        <w:rPr>
          <w:lang w:eastAsia="zh-TW"/>
        </w:rPr>
        <w:t>7.2.1</w:t>
      </w:r>
      <w:r>
        <w:rPr/>
        <w:t>.4.2</w:t>
        <w:tab/>
        <w:t>Procedure</w:t>
      </w:r>
    </w:p>
    <w:p>
      <w:pPr>
        <w:pStyle w:val="B1"/>
        <w:rPr/>
      </w:pPr>
      <w:r>
        <w:rPr/>
        <w:t>1)</w:t>
        <w:tab/>
        <w:t>Send continuously Up power control commands to the plug-in UE.</w:t>
      </w:r>
    </w:p>
    <w:p>
      <w:pPr>
        <w:pStyle w:val="B1"/>
        <w:rPr/>
      </w:pPr>
      <w:r>
        <w:rPr/>
        <w:t>2)</w:t>
        <w:tab/>
        <w:t>As the plug-in UE reaches maximum power, start sending PN15 data pattern.</w:t>
      </w:r>
    </w:p>
    <w:p>
      <w:pPr>
        <w:pStyle w:val="B1"/>
        <w:rPr/>
      </w:pPr>
      <w:r>
        <w:rPr/>
        <w:t>3)</w:t>
        <w:tab/>
        <w:t>Position the plug-in UE into the USB connector in accordance with the manufacturer recommended primary mechanical mode. In the absence of such a recommendation position the plug-in UE so that it is horizontally plugged into the horizontal USB connector.</w:t>
      </w:r>
    </w:p>
    <w:p>
      <w:pPr>
        <w:pStyle w:val="B1"/>
        <w:rPr/>
      </w:pPr>
      <w:r>
        <w:rPr/>
        <w:t>4)</w:t>
        <w:tab/>
        <w:t xml:space="preserve">Measure EIS from one measurement point. EIS is the power transmitted from one specific direction to the plug-in UE causing BER value of 1% </w:t>
      </w:r>
      <w:r>
        <w:rPr>
          <w:rFonts w:eastAsia="Symbol" w:cs="Symbol" w:ascii="Symbol" w:hAnsi="Symbol"/>
        </w:rPr>
        <w:t></w:t>
      </w:r>
      <w:r>
        <w:rPr/>
        <w:t xml:space="preserve"> 0.2% using 20000 or more bits</w:t>
      </w:r>
      <w:r>
        <w:rPr>
          <w:lang w:eastAsia="zh-TW"/>
        </w:rPr>
        <w:t>;</w:t>
      </w:r>
      <w:r>
        <w:rPr/>
        <w:t xml:space="preserve"> see Annex E.20.</w:t>
      </w:r>
    </w:p>
    <w:p>
      <w:pPr>
        <w:pStyle w:val="B1"/>
        <w:ind w:left="568" w:hanging="0"/>
        <w:rPr/>
      </w:pPr>
      <w:r>
        <w:rPr/>
        <w:t xml:space="preserve">NOTE: To meet BER value target DL power level can be changed using user’s freely selectable algorithm. </w:t>
      </w:r>
    </w:p>
    <w:p>
      <w:pPr>
        <w:pStyle w:val="B1"/>
        <w:ind w:left="284" w:hanging="0"/>
        <w:rPr/>
      </w:pPr>
      <w:r>
        <w:rPr/>
        <w:t>5)</w:t>
        <w:tab/>
        <w:t>Measure the EIS for every direction of selected sampling gird using two orthogonal polarizations to obtain TRS.</w:t>
      </w:r>
    </w:p>
    <w:p>
      <w:pPr>
        <w:pStyle w:val="B1"/>
        <w:rPr/>
      </w:pPr>
      <w:r>
        <w:rPr/>
        <w:t>6)</w:t>
        <w:tab/>
        <w:t xml:space="preserve">Calculate TRS using equations from clause </w:t>
      </w:r>
      <w:r>
        <w:rPr>
          <w:lang w:eastAsia="zh-TW"/>
        </w:rPr>
        <w:t>7.2.1</w:t>
      </w:r>
      <w:r>
        <w:rPr/>
        <w:t>.1</w:t>
      </w:r>
    </w:p>
    <w:p>
      <w:pPr>
        <w:pStyle w:val="Normal"/>
        <w:ind w:left="1170" w:hanging="900"/>
        <w:rPr/>
      </w:pPr>
      <w:r>
        <w:rPr/>
        <w:t>NOTE:</w:t>
        <w:tab/>
        <w:t>To speed up sensitivity measurements non standard setting (i.e. data speed, PCL, BER target) can be used in the measurements. However to obtain TRS result the measured EIS figures shall be normalized by</w:t>
      </w:r>
    </w:p>
    <w:p>
      <w:pPr>
        <w:pStyle w:val="EQ"/>
        <w:jc w:val="center"/>
        <w:rPr>
          <w:lang w:val="en-GB" w:eastAsia="en-GB"/>
        </w:rPr>
      </w:pPr>
      <w:r>
        <w:rPr>
          <w:lang w:val="en-GB" w:eastAsia="en-GB"/>
        </w:rPr>
      </w:r>
      <m:oMathPara xmlns:m="http://schemas.openxmlformats.org/officeDocument/2006/math">
        <m:oMathParaPr>
          <m:jc m:val="center"/>
        </m:oMathParaPr>
        <m:oMath>
          <m:r>
            <w:rPr>
              <w:rFonts w:ascii="Cambria Math" w:hAnsi="Cambria Math"/>
            </w:rPr>
            <m:t xml:space="preserve">Δ</m:t>
          </m:r>
          <m:bar>
            <m:barPr>
              <m:pos m:val="top"/>
            </m:barPr>
            <m:e>
              <m:r>
                <m:rPr>
                  <m:lit/>
                  <m:nor/>
                </m:rPr>
                <w:rPr>
                  <w:rFonts w:ascii="Cambria Math" w:hAnsi="Cambria Math"/>
                </w:rPr>
                <m:t xml:space="preserve">EIS</m:t>
              </m:r>
            </m:e>
          </m:ba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m:rPr>
                          <m:lit/>
                          <m:nor/>
                        </m:rPr>
                        <w:rPr>
                          <w:rFonts w:ascii="Cambria Math" w:hAnsi="Cambria Math"/>
                        </w:rPr>
                        <m:t xml:space="preserve">EISstd</m:t>
                      </m:r>
                    </m:e>
                    <m:sub>
                      <m:r>
                        <w:rPr>
                          <w:rFonts w:ascii="Cambria Math" w:hAnsi="Cambria Math"/>
                        </w:rPr>
                        <m:t xml:space="preserve">i</m:t>
                      </m:r>
                    </m:sub>
                  </m:sSub>
                  <m:r>
                    <w:rPr>
                      <w:rFonts w:ascii="Cambria Math" w:hAnsi="Cambria Math"/>
                    </w:rPr>
                    <m:t xml:space="preserve">−</m:t>
                  </m:r>
                  <m:sSub>
                    <m:e>
                      <m:r>
                        <m:rPr>
                          <m:lit/>
                          <m:nor/>
                        </m:rPr>
                        <w:rPr>
                          <w:rFonts w:ascii="Cambria Math" w:hAnsi="Cambria Math"/>
                        </w:rPr>
                        <m:t xml:space="preserve">EISnstd</m:t>
                      </m:r>
                    </m:e>
                    <m:sub>
                      <m:r>
                        <w:rPr>
                          <w:rFonts w:ascii="Cambria Math" w:hAnsi="Cambria Math"/>
                        </w:rPr>
                        <m:t xml:space="preserve">i</m:t>
                      </m:r>
                    </m:sub>
                  </m:sSub>
                </m:e>
              </m:d>
            </m:e>
          </m:nary>
        </m:oMath>
      </m:oMathPara>
    </w:p>
    <w:p>
      <w:pPr>
        <w:pStyle w:val="Normal"/>
        <w:rPr/>
      </w:pPr>
      <w:r>
        <w:rPr/>
        <w:t xml:space="preserve">Where </w:t>
      </w:r>
      <w:r>
        <w:rPr/>
      </w:r>
      <m:oMath xmlns:m="http://schemas.openxmlformats.org/officeDocument/2006/math">
        <m:sSub>
          <m:e>
            <m:r>
              <m:rPr>
                <m:lit/>
                <m:nor/>
              </m:rPr>
              <w:rPr>
                <w:rFonts w:ascii="Cambria Math" w:hAnsi="Cambria Math"/>
              </w:rPr>
              <m:t xml:space="preserve">EISstd</m:t>
            </m:r>
          </m:e>
          <m:sub>
            <m:r>
              <w:rPr>
                <w:rFonts w:ascii="Cambria Math" w:hAnsi="Cambria Math"/>
              </w:rPr>
              <m:t xml:space="preserve">i</m:t>
            </m:r>
          </m:sub>
        </m:sSub>
      </m:oMath>
      <w:r>
        <w:rPr/>
        <w:t xml:space="preserve"> is sensitivity measurement done with standard setting. </w:t>
      </w:r>
      <w:r>
        <w:rPr/>
      </w:r>
      <m:oMath xmlns:m="http://schemas.openxmlformats.org/officeDocument/2006/math">
        <m:sSub>
          <m:e>
            <m:r>
              <m:rPr>
                <m:lit/>
                <m:nor/>
              </m:rPr>
              <w:rPr>
                <w:rFonts w:ascii="Cambria Math" w:hAnsi="Cambria Math"/>
              </w:rPr>
              <m:t xml:space="preserve">EISnstd</m:t>
            </m:r>
          </m:e>
          <m:sub>
            <m:r>
              <w:rPr>
                <w:rFonts w:ascii="Cambria Math" w:hAnsi="Cambria Math"/>
              </w:rPr>
              <m:t xml:space="preserve">i</m:t>
            </m:r>
          </m:sub>
        </m:sSub>
      </m:oMath>
      <w:r>
        <w:rPr/>
        <w:t xml:space="preserve"> is sensitivity measurement done with non standard settings. </w:t>
      </w:r>
      <w:r>
        <w:rPr/>
      </w:r>
      <m:oMath xmlns:m="http://schemas.openxmlformats.org/officeDocument/2006/math">
        <m:r>
          <w:rPr>
            <w:rFonts w:ascii="Cambria Math" w:hAnsi="Cambria Math"/>
          </w:rPr>
          <m:t xml:space="preserve">n</m:t>
        </m:r>
      </m:oMath>
      <w:r>
        <w:rPr/>
        <w:t xml:space="preserve"> is amount of reference measurement points.</w:t>
      </w:r>
    </w:p>
    <w:p>
      <w:pPr>
        <w:pStyle w:val="Normal"/>
        <w:rPr/>
      </w:pPr>
      <w:r>
        <w:rPr/>
        <w:t>To ensure accuracy of TRS, the amount of reference points measured should be at least 4. It is recommended to spread the reference measurements equally during the measurement time.</w:t>
      </w:r>
    </w:p>
    <w:p>
      <w:pPr>
        <w:pStyle w:val="Normal"/>
        <w:rPr>
          <w:lang w:eastAsia="zh-TW"/>
        </w:rPr>
      </w:pPr>
      <w:r>
        <w:rPr/>
        <w:t>The measurement procedure is based on the measurement of the spherical sensitivity pattern of the DUT. The sensitivity values of the DUT at a predefined BER level are sampled in far field in a group of points located on a spherical surface enclosing the DUT. The EIS samples are taken using a constant sample step of 30° both in theta (</w:t>
      </w:r>
      <w:r>
        <w:rPr>
          <w:rFonts w:eastAsia="Symbol" w:cs="Symbol" w:ascii="Symbol" w:hAnsi="Symbol"/>
        </w:rPr>
        <w:t></w:t>
      </w:r>
      <w:r>
        <w:rPr/>
        <w:t>) and phi (</w:t>
      </w:r>
      <w:r>
        <w:rPr>
          <w:rFonts w:eastAsia="Symbol" w:cs="Symbol" w:ascii="Symbol" w:hAnsi="Symbol"/>
        </w:rPr>
        <w:t></w:t>
      </w:r>
      <w:r>
        <w:rPr/>
        <w:t xml:space="preserve">) directions. All the EIS samples are taken with two orthogonal polarizations,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-polarisations</w:t>
      </w:r>
      <w:r>
        <w:rPr>
          <w:lang w:eastAsia="zh-TW"/>
        </w:rPr>
        <w:t xml:space="preserve"> (See Subclause 4.4)</w:t>
      </w:r>
      <w:r>
        <w:rPr/>
        <w:t>.</w:t>
      </w:r>
    </w:p>
    <w:p>
      <w:pPr>
        <w:pStyle w:val="Normal"/>
        <w:rPr/>
      </w:pPr>
      <w:r>
        <w:rPr/>
        <w:t xml:space="preserve">The Total Radiated Sensitivity is calculated from the measured data by equation in </w:t>
      </w:r>
      <w:r>
        <w:rPr>
          <w:lang w:eastAsia="zh-TW"/>
        </w:rPr>
        <w:t>Sub</w:t>
      </w:r>
      <w:r>
        <w:rPr/>
        <w:t xml:space="preserve">clause </w:t>
      </w:r>
      <w:r>
        <w:rPr>
          <w:lang w:eastAsia="zh-TW"/>
        </w:rPr>
        <w:t>7.2.1.2</w:t>
      </w:r>
      <w:r>
        <w:rPr/>
        <w:t>.</w:t>
      </w:r>
    </w:p>
    <w:p>
      <w:pPr>
        <w:pStyle w:val="Heading4"/>
        <w:ind w:left="1418" w:hanging="1418"/>
        <w:rPr/>
      </w:pPr>
      <w:bookmarkStart w:id="316" w:name="__RefHeading___Toc68601248"/>
      <w:bookmarkEnd w:id="316"/>
      <w:r>
        <w:rPr>
          <w:rFonts w:cs="Arial"/>
          <w:lang w:eastAsia="zh-TW"/>
        </w:rPr>
        <w:t>7.2.1</w:t>
      </w:r>
      <w:r>
        <w:rPr>
          <w:rFonts w:cs="Arial"/>
        </w:rPr>
        <w:t>.4.3</w:t>
        <w:tab/>
        <w:t>Test procedure, reverberation chamber method</w:t>
      </w:r>
    </w:p>
    <w:p>
      <w:pPr>
        <w:pStyle w:val="Normal"/>
        <w:rPr/>
      </w:pPr>
      <w:r>
        <w:rPr/>
        <w:t>TBD</w:t>
      </w:r>
    </w:p>
    <w:p>
      <w:pPr>
        <w:pStyle w:val="Heading4"/>
        <w:ind w:left="1418" w:hanging="1418"/>
        <w:rPr/>
      </w:pPr>
      <w:bookmarkStart w:id="317" w:name="__RefHeading___Toc68601249"/>
      <w:bookmarkEnd w:id="317"/>
      <w:r>
        <w:rPr/>
        <w:t>7.2.1.5</w:t>
        <w:tab/>
        <w:t>Test requirements</w:t>
      </w:r>
    </w:p>
    <w:p>
      <w:pPr>
        <w:pStyle w:val="Normal"/>
        <w:jc w:val="both"/>
        <w:rPr/>
      </w:pPr>
      <w:r>
        <w:rPr/>
        <w:t xml:space="preserve">The average TRS of low, mid and high channel for 1% BER with 12.2kbps DL reference channel as defined in Annex C.3 of </w:t>
      </w:r>
      <w:r>
        <w:rPr>
          <w:lang w:eastAsia="zh-TW"/>
        </w:rPr>
        <w:t xml:space="preserve">TS 25.101 </w:t>
      </w:r>
      <w:r>
        <w:rPr/>
        <w:t xml:space="preserve">[2] shall be lower than test requirements for roaming bands shown in Table </w:t>
      </w:r>
      <w:r>
        <w:rPr>
          <w:lang w:eastAsia="zh-TW"/>
        </w:rPr>
        <w:t>7.2.1.5-1</w:t>
      </w:r>
      <w:r>
        <w:rPr/>
        <w:t>. The averaging shall be done in linear scale for the TRS results.</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3</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den>
                  </m:f>
                </m:e>
              </m:d>
            </m:e>
          </m:d>
        </m:oMath>
      </m:oMathPara>
    </w:p>
    <w:p>
      <w:pPr>
        <w:pStyle w:val="Normal"/>
        <w:rPr/>
      </w:pPr>
      <w:r>
        <w:rPr/>
        <w:t>In addition the maximum TRS of each measured channel shall be better than minimum performance requirements for roaming bands shown in the columns “Max”</w:t>
      </w:r>
      <w:r>
        <w:rPr>
          <w:lang w:eastAsia="zh-TW"/>
        </w:rPr>
        <w:t xml:space="preserve"> on the requirement tables</w:t>
      </w:r>
      <w:r>
        <w:rPr/>
        <w:t>.</w:t>
      </w:r>
    </w:p>
    <w:p>
      <w:pPr>
        <w:pStyle w:val="EQ"/>
        <w:jc w:val="center"/>
        <w:rPr>
          <w:lang w:val="en-GB" w:eastAsia="en-GB"/>
        </w:rPr>
      </w:pPr>
      <w:r>
        <w:rPr>
          <w:lang w:val="en-GB" w:eastAsia="en-GB"/>
        </w:rPr>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TRS</m:t>
              </m:r>
            </m:e>
            <m:sub>
              <m:r>
                <m:rPr>
                  <m:lit/>
                  <m:nor/>
                </m:rPr>
                <w:rPr>
                  <w:rFonts w:ascii="Cambria Math" w:hAnsi="Cambria Math"/>
                </w:rPr>
                <m:t xml:space="preserve">max</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m:rPr>
                  <m:lit/>
                  <m:nor/>
                </m:rPr>
                <w:rPr>
                  <w:rFonts w:ascii="Cambria Math" w:hAnsi="Cambria Math"/>
                </w:rPr>
                <m:t xml:space="preserve">max</m:t>
              </m:r>
              <m:d>
                <m:dPr>
                  <m:begChr m:val="("/>
                  <m:endChr m:val=")"/>
                </m:dPr>
                <m:e>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e>
              </m:d>
            </m:e>
          </m:d>
        </m:oMath>
      </m:oMathPara>
    </w:p>
    <w:p>
      <w:pPr>
        <w:pStyle w:val="TH"/>
        <w:rPr/>
      </w:pPr>
      <w:r>
        <w:rPr/>
        <w:t xml:space="preserve">Table </w:t>
      </w:r>
      <w:r>
        <w:rPr>
          <w:lang w:eastAsia="zh-TW"/>
        </w:rPr>
        <w:t>7.2.1.5-1</w:t>
      </w:r>
      <w:r>
        <w:rPr/>
        <w:t xml:space="preserve">: TRS test requirements for UTRA FDD roaming mode for </w:t>
      </w:r>
      <w:r>
        <w:rPr>
          <w:lang w:eastAsia="zh-TW"/>
        </w:rPr>
        <w:t>LME</w:t>
      </w:r>
      <w:r>
        <w:rPr/>
        <w:t xml:space="preserve"> devices in the data transfers position and the primary mechanical mode</w:t>
      </w:r>
    </w:p>
    <w:tbl>
      <w:tblPr>
        <w:tblW w:w="6051" w:type="dxa"/>
        <w:jc w:val="center"/>
        <w:tblInd w:w="0" w:type="dxa"/>
        <w:tblLayout w:type="fixed"/>
        <w:tblCellMar>
          <w:top w:w="0" w:type="dxa"/>
          <w:left w:w="28" w:type="dxa"/>
          <w:bottom w:w="0" w:type="dxa"/>
          <w:right w:w="28" w:type="dxa"/>
        </w:tblCellMar>
      </w:tblPr>
      <w:tblGrid>
        <w:gridCol w:w="1472"/>
        <w:gridCol w:w="1744"/>
        <w:gridCol w:w="1418"/>
        <w:gridCol w:w="1417"/>
      </w:tblGrid>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Operating Band</w:t>
            </w:r>
          </w:p>
        </w:tc>
        <w:tc>
          <w:tcPr>
            <w:tcW w:w="1744"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Unit</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pPr>
            <w:r>
              <w:rPr>
                <w:lang w:eastAsia="en-US"/>
              </w:rPr>
              <w:t>&lt;REFÎ</w:t>
            </w:r>
            <w:r>
              <w:rPr>
                <w:vertAlign w:val="subscript"/>
                <w:lang w:eastAsia="en-US"/>
              </w:rPr>
              <w:t>or</w:t>
            </w:r>
            <w:r>
              <w:rPr>
                <w:lang w:eastAsia="en-US"/>
              </w:rPr>
              <w:t>&gt;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744" w:type="dxa"/>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141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Max</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 TT</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 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 TT</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 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 TT</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 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IV</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 TT</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 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 TT</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 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 TT</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 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 TT</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 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VIII</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 TT</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 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IX</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 TT</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 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XIX</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 TT</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 + TT</w:t>
            </w:r>
          </w:p>
        </w:tc>
      </w:tr>
      <w:tr>
        <w:trPr>
          <w:trHeight w:val="57" w:hRule="atLeast"/>
          <w:cantSplit w:val="true"/>
        </w:trPr>
        <w:tc>
          <w:tcPr>
            <w:tcW w:w="6051" w:type="dxa"/>
            <w:gridSpan w:val="4"/>
            <w:tcBorders>
              <w:top w:val="single" w:sz="4" w:space="0" w:color="000000"/>
              <w:left w:val="single" w:sz="4" w:space="0" w:color="000000"/>
              <w:bottom w:val="single" w:sz="4" w:space="0" w:color="000000"/>
              <w:right w:val="single" w:sz="4" w:space="0" w:color="000000"/>
            </w:tcBorders>
          </w:tcPr>
          <w:p>
            <w:pPr>
              <w:pStyle w:val="TAN"/>
              <w:rPr/>
            </w:pPr>
            <w:r>
              <w:rPr>
                <w:lang w:eastAsia="en-US"/>
              </w:rPr>
              <w:t>NOTE 1</w:t>
              <w:tab/>
              <w:t>For Power Class 3, 3bis and 4 this shall be achieved at the maximum output power.</w:t>
            </w:r>
          </w:p>
          <w:p>
            <w:pPr>
              <w:pStyle w:val="TAN"/>
              <w:rPr>
                <w:lang w:eastAsia="en-US"/>
              </w:rPr>
            </w:pPr>
            <w:r>
              <w:rPr>
                <w:lang w:eastAsia="en-US"/>
              </w:rPr>
              <w:t>NOTE 2</w:t>
              <w:tab/>
              <w:t>Applicable for dual-mode GSM/UMTS.</w:t>
            </w:r>
          </w:p>
          <w:p>
            <w:pPr>
              <w:pStyle w:val="TAN"/>
              <w:rPr>
                <w:lang w:eastAsia="en-US"/>
              </w:rPr>
            </w:pPr>
            <w:r>
              <w:rPr>
                <w:lang w:eastAsia="en-US"/>
              </w:rPr>
              <w:t>NOTE 3</w:t>
              <w:tab/>
              <w:t>Applicable for USB plug-in devices.</w:t>
            </w:r>
          </w:p>
        </w:tc>
      </w:tr>
    </w:tbl>
    <w:p>
      <w:pPr>
        <w:pStyle w:val="Normal"/>
        <w:ind w:left="1170" w:hanging="900"/>
        <w:rPr/>
      </w:pPr>
      <w:r>
        <w:rPr/>
      </w:r>
    </w:p>
    <w:p>
      <w:pPr>
        <w:pStyle w:val="Normal"/>
        <w:ind w:left="1170" w:right="606" w:hanging="900"/>
        <w:rPr>
          <w:rFonts w:ascii="Arial" w:hAnsi="Arial" w:cs="Arial"/>
          <w:lang w:eastAsia="zh-TW"/>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r>
        <w:rPr>
          <w:lang w:eastAsia="zh-TW"/>
        </w:rPr>
        <w:t>.2</w:t>
      </w:r>
      <w:r>
        <w:rPr/>
        <w:t>.</w:t>
      </w:r>
    </w:p>
    <w:p>
      <w:pPr>
        <w:pStyle w:val="Heading3"/>
        <w:rPr>
          <w:szCs w:val="16"/>
          <w:lang w:eastAsia="zh-CN"/>
        </w:rPr>
      </w:pPr>
      <w:bookmarkStart w:id="318" w:name="__RefHeading___Toc68601250"/>
      <w:bookmarkEnd w:id="318"/>
      <w:r>
        <w:rPr>
          <w:lang w:eastAsia="zh-CN"/>
        </w:rPr>
        <w:t>7</w:t>
      </w:r>
      <w:r>
        <w:rPr/>
        <w:t>.</w:t>
      </w:r>
      <w:r>
        <w:rPr>
          <w:lang w:eastAsia="zh-CN"/>
        </w:rPr>
        <w:t>2</w:t>
      </w:r>
      <w:r>
        <w:rPr/>
        <w:t>.2</w:t>
        <w:tab/>
      </w:r>
      <w:r>
        <w:rPr>
          <w:rFonts w:cs="Arial"/>
          <w:color w:val="000000"/>
          <w:szCs w:val="16"/>
        </w:rPr>
        <w:t>Total Radiated Sensitivity (TRS) for</w:t>
      </w:r>
      <w:r>
        <w:rPr>
          <w:szCs w:val="16"/>
        </w:rPr>
        <w:t xml:space="preserve"> UTRA LCR TDD LME</w:t>
      </w:r>
    </w:p>
    <w:p>
      <w:pPr>
        <w:pStyle w:val="EditorsNote"/>
        <w:rPr/>
      </w:pPr>
      <w:r>
        <w:rPr/>
        <w:t>Editor’s notes: This subclause is incomplete. The following items are missing or incomplete:</w:t>
      </w:r>
    </w:p>
    <w:p>
      <w:pPr>
        <w:pStyle w:val="EditorsNote"/>
        <w:numPr>
          <w:ilvl w:val="0"/>
          <w:numId w:val="15"/>
        </w:numPr>
        <w:rPr/>
      </w:pPr>
      <w:r>
        <w:rPr/>
        <w:t>Table 7.</w:t>
      </w:r>
      <w:r>
        <w:rPr>
          <w:lang w:eastAsia="zh-TW"/>
        </w:rPr>
        <w:t>2</w:t>
      </w:r>
      <w:r>
        <w:rPr/>
        <w:t>.2.2-1 and 7.</w:t>
      </w:r>
      <w:r>
        <w:rPr>
          <w:lang w:eastAsia="zh-TW"/>
        </w:rPr>
        <w:t>2</w:t>
      </w:r>
      <w:r>
        <w:rPr/>
        <w:t>.2.5-1 as they are not specified in TS 37.144 yet</w:t>
      </w:r>
    </w:p>
    <w:p>
      <w:pPr>
        <w:pStyle w:val="EditorsNote"/>
        <w:numPr>
          <w:ilvl w:val="0"/>
          <w:numId w:val="15"/>
        </w:numPr>
        <w:rPr/>
      </w:pPr>
      <w:r>
        <w:rPr/>
        <w:t>Text for Subclause 7.</w:t>
      </w:r>
      <w:r>
        <w:rPr>
          <w:lang w:eastAsia="zh-TW"/>
        </w:rPr>
        <w:t>2</w:t>
      </w:r>
      <w:r>
        <w:rPr/>
        <w:t>.2.4.3</w:t>
        <w:tab/>
        <w:t xml:space="preserve"> Procedure, reverberation chamber method</w:t>
      </w:r>
    </w:p>
    <w:p>
      <w:pPr>
        <w:pStyle w:val="Heading4"/>
        <w:ind w:left="1418" w:hanging="1418"/>
        <w:rPr/>
      </w:pPr>
      <w:bookmarkStart w:id="319" w:name="__RefHeading___Toc68601251"/>
      <w:bookmarkEnd w:id="319"/>
      <w:r>
        <w:rPr>
          <w:lang w:eastAsia="zh-TW"/>
        </w:rPr>
        <w:t>7.2.2</w:t>
      </w:r>
      <w:r>
        <w:rPr/>
        <w:t>.1</w:t>
        <w:tab/>
        <w:t>Definition and applicability</w:t>
      </w:r>
    </w:p>
    <w:p>
      <w:pPr>
        <w:pStyle w:val="Normal"/>
        <w:rPr/>
      </w:pPr>
      <w:r>
        <w:rPr/>
        <w:t>The Total Radiated Sensitivity is defined as: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4</m:t>
              </m:r>
              <m:r>
                <w:rPr>
                  <w:rFonts w:ascii="Cambria Math" w:hAnsi="Cambria Math"/>
                </w:rPr>
                <m:t xml:space="preserve">π</m:t>
              </m:r>
            </m:num>
            <m:den>
              <m:nary>
                <m:naryPr>
                  <m:chr m:val="∮"/>
                  <m:subHide m:val="1"/>
                  <m:supHide m:val="1"/>
                </m:naryPr>
                <m:sub/>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e>
                  </m:d>
                </m:e>
              </m:nary>
              <m:r>
                <w:rPr>
                  <w:rFonts w:ascii="Cambria Math" w:hAnsi="Cambria Math"/>
                </w:rPr>
                <m:t xml:space="preserve">d</m:t>
              </m:r>
              <m:r>
                <w:rPr>
                  <w:rFonts w:ascii="Cambria Math" w:hAnsi="Cambria Math"/>
                </w:rPr>
                <m:t xml:space="preserve">Ω</m:t>
              </m:r>
            </m:den>
          </m:f>
        </m:oMath>
      </m:oMathPara>
    </w:p>
    <w:p>
      <w:pPr>
        <w:pStyle w:val="Normal"/>
        <w:rPr/>
      </w:pPr>
      <w:r>
        <w:rPr/>
        <w:t>Where the effective isotropic sensitivity (</w:t>
      </w:r>
      <w:r>
        <w:rPr>
          <w:i/>
          <w:iCs/>
        </w:rPr>
        <w:t>EIS</w:t>
      </w:r>
      <w:r>
        <w:rPr/>
        <w:t xml:space="preserve">) is defined as the power available at the antenna output such as the sensitivity threshold is achieved for each polarization.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r>
          <w:rPr>
            <w:rFonts w:ascii="Cambria Math" w:hAnsi="Cambria Math"/>
          </w:rPr>
          <m:t xml:space="preserve">f</m:t>
        </m:r>
      </m:oMath>
      <w:r>
        <w:rPr/>
        <w:t xml:space="preserve"> is frequency.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 are the orthogonal polarizations.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2</m:t>
              </m:r>
              <m:r>
                <m:rPr>
                  <m:lit/>
                  <m:nor/>
                </m:rPr>
                <w:rPr>
                  <w:rFonts w:ascii="Cambria Math" w:hAnsi="Cambria Math"/>
                </w:rPr>
                <m:t xml:space="preserve">NM</m:t>
              </m:r>
            </m:num>
            <m:den>
              <m:r>
                <w:rPr>
                  <w:rFonts w:ascii="Cambria Math" w:hAnsi="Cambria Math"/>
                </w:rPr>
                <m:t xml:space="preserve">π</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e>
                      </m:d>
                      <m:r>
                        <m:rPr>
                          <m:lit/>
                          <m:nor/>
                        </m:rPr>
                        <w:rPr>
                          <w:rFonts w:ascii="Cambria Math" w:hAnsi="Cambria Math"/>
                        </w:rPr>
                        <m:t xml:space="preserve">sin</m:t>
                      </m:r>
                      <m:d>
                        <m:dPr>
                          <m:begChr m:val="("/>
                          <m:endChr m:val=")"/>
                        </m:dPr>
                        <m:e>
                          <m:sSub>
                            <m:e>
                              <m:r>
                                <w:rPr>
                                  <w:rFonts w:ascii="Cambria Math" w:hAnsi="Cambria Math"/>
                                </w:rPr>
                                <m:t xml:space="preserve">θ</m:t>
                              </m:r>
                            </m:e>
                            <m:sub>
                              <m:r>
                                <w:rPr>
                                  <w:rFonts w:ascii="Cambria Math" w:hAnsi="Cambria Math"/>
                                </w:rPr>
                                <m:t xml:space="preserve">n</m:t>
                              </m:r>
                            </m:sub>
                          </m:sSub>
                        </m:e>
                      </m:d>
                    </m:e>
                  </m:nary>
                </m:e>
              </m:nary>
            </m:den>
          </m:f>
        </m:oMath>
      </m:oMathPara>
    </w:p>
    <w:p>
      <w:pPr>
        <w:pStyle w:val="Normal"/>
        <w:rPr/>
      </w:pPr>
      <w:r>
        <w:rPr/>
        <w:t xml:space="preserve">In these formulas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are the number of sampling intervals for theta and phi.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oMath>
      <w:r>
        <w:rPr/>
        <w:t xml:space="preserve"> are the measurement angles. The sampling intervals are discussed further in </w:t>
      </w:r>
      <w:r>
        <w:rPr>
          <w:lang w:eastAsia="zh-TW"/>
        </w:rPr>
        <w:t>Subclause 4.4</w:t>
      </w:r>
      <w:r>
        <w:rPr/>
        <w:t>.</w:t>
      </w:r>
    </w:p>
    <w:p>
      <w:pPr>
        <w:pStyle w:val="Normal"/>
        <w:rPr/>
      </w:pPr>
      <w:r>
        <w:rPr/>
        <w:t>The requirements and this test apply to all types of UTRA for the TDD UE for Release 11 and later releases that support LME.</w:t>
      </w:r>
    </w:p>
    <w:p>
      <w:pPr>
        <w:pStyle w:val="NO"/>
        <w:rPr/>
      </w:pPr>
      <w:r>
        <w:rPr/>
        <w:t>NOTE: This test case can be optionally executed for Release 7 and onward UE’s supporting LME feature.</w:t>
      </w:r>
    </w:p>
    <w:p>
      <w:pPr>
        <w:pStyle w:val="Heading4"/>
        <w:ind w:left="1418" w:hanging="1418"/>
        <w:rPr>
          <w:lang w:eastAsia="zh-TW"/>
        </w:rPr>
      </w:pPr>
      <w:bookmarkStart w:id="320" w:name="__RefHeading___Toc68601252"/>
      <w:bookmarkEnd w:id="320"/>
      <w:r>
        <w:rPr>
          <w:lang w:eastAsia="zh-TW"/>
        </w:rPr>
        <w:t>7.2.2.2</w:t>
        <w:tab/>
        <w:t>Minimum Requirements</w:t>
      </w:r>
    </w:p>
    <w:p>
      <w:pPr>
        <w:pStyle w:val="Normal"/>
        <w:jc w:val="both"/>
        <w:rPr/>
      </w:pPr>
      <w:r>
        <w:rPr/>
        <w:t>The average TRS of low, mid and high channel for 1% BER with 12.2kbps DL reference channel as defined in Annex C.3 of TS 34.122 [</w:t>
      </w:r>
      <w:r>
        <w:rPr>
          <w:lang w:eastAsia="zh-TW"/>
        </w:rPr>
        <w:t>8</w:t>
      </w:r>
      <w:r>
        <w:rPr/>
        <w:t xml:space="preserve">] shall be lower than minimum performance requirements for roaming bands shown in Table </w:t>
      </w:r>
      <w:r>
        <w:rPr>
          <w:lang w:eastAsia="zh-TW"/>
        </w:rPr>
        <w:t>7.2.2.2-1</w:t>
      </w:r>
      <w:r>
        <w:rPr/>
        <w:t>. The averaging shall be done in linear scale for the TRS results.</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3</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den>
                  </m:f>
                </m:e>
              </m:d>
            </m:e>
          </m:d>
        </m:oMath>
      </m:oMathPara>
    </w:p>
    <w:p>
      <w:pPr>
        <w:pStyle w:val="Normal"/>
        <w:rPr/>
      </w:pPr>
      <w:r>
        <w:rPr/>
        <w:t>In addition the maximum TRS of each measured channel shall be better than minimum performance requirements for roaming bands shown in the columns “Max”</w:t>
      </w:r>
      <w:r>
        <w:rPr>
          <w:lang w:eastAsia="zh-TW"/>
        </w:rPr>
        <w:t xml:space="preserve"> on the requirement tables</w:t>
      </w:r>
      <w:r>
        <w:rPr/>
        <w:t>.</w:t>
      </w:r>
    </w:p>
    <w:p>
      <w:pPr>
        <w:pStyle w:val="EQ"/>
        <w:jc w:val="center"/>
        <w:rPr>
          <w:lang w:val="en-GB" w:eastAsia="en-GB"/>
        </w:rPr>
      </w:pPr>
      <w:r>
        <w:rPr>
          <w:lang w:val="en-GB" w:eastAsia="en-GB"/>
        </w:rPr>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TRS</m:t>
              </m:r>
            </m:e>
            <m:sub>
              <m:r>
                <m:rPr>
                  <m:lit/>
                  <m:nor/>
                </m:rPr>
                <w:rPr>
                  <w:rFonts w:ascii="Cambria Math" w:hAnsi="Cambria Math"/>
                </w:rPr>
                <m:t xml:space="preserve">max</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m:rPr>
                  <m:lit/>
                  <m:nor/>
                </m:rPr>
                <w:rPr>
                  <w:rFonts w:ascii="Cambria Math" w:hAnsi="Cambria Math"/>
                </w:rPr>
                <m:t xml:space="preserve">max</m:t>
              </m:r>
              <m:d>
                <m:dPr>
                  <m:begChr m:val="("/>
                  <m:endChr m:val=")"/>
                </m:dPr>
                <m:e>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e>
              </m:d>
            </m:e>
          </m:d>
        </m:oMath>
      </m:oMathPara>
    </w:p>
    <w:p>
      <w:pPr>
        <w:pStyle w:val="TH"/>
        <w:rPr/>
      </w:pPr>
      <w:r>
        <w:rPr/>
        <w:t xml:space="preserve">Table </w:t>
      </w:r>
      <w:r>
        <w:rPr>
          <w:lang w:eastAsia="zh-TW"/>
        </w:rPr>
        <w:t>7.2.2.2-1</w:t>
      </w:r>
      <w:r>
        <w:rPr/>
        <w:t xml:space="preserve">: TRS minimum requirements for UTRA LCR TDD roaming mode for </w:t>
      </w:r>
      <w:r>
        <w:rPr>
          <w:lang w:eastAsia="zh-TW"/>
        </w:rPr>
        <w:t>LME</w:t>
      </w:r>
      <w:r>
        <w:rPr/>
        <w:t xml:space="preserve"> devices in the data transfers position and the primary mechanical mode</w:t>
      </w:r>
    </w:p>
    <w:tbl>
      <w:tblPr>
        <w:tblW w:w="8046" w:type="dxa"/>
        <w:jc w:val="center"/>
        <w:tblInd w:w="0" w:type="dxa"/>
        <w:tblLayout w:type="fixed"/>
        <w:tblCellMar>
          <w:top w:w="0" w:type="dxa"/>
          <w:left w:w="108" w:type="dxa"/>
          <w:bottom w:w="0" w:type="dxa"/>
          <w:right w:w="108" w:type="dxa"/>
        </w:tblCellMar>
      </w:tblPr>
      <w:tblGrid>
        <w:gridCol w:w="2529"/>
        <w:gridCol w:w="2691"/>
        <w:gridCol w:w="1278"/>
        <w:gridCol w:w="1548"/>
      </w:tblGrid>
      <w:tr>
        <w:trPr>
          <w:trHeight w:val="317" w:hRule="atLeast"/>
        </w:trPr>
        <w:tc>
          <w:tcPr>
            <w:tcW w:w="252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Operating Band</w:t>
            </w:r>
          </w:p>
        </w:tc>
        <w:tc>
          <w:tcPr>
            <w:tcW w:w="269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Unit</w:t>
            </w:r>
          </w:p>
        </w:tc>
        <w:tc>
          <w:tcPr>
            <w:tcW w:w="2826"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&lt;REFÎor&gt; </w:t>
            </w:r>
          </w:p>
        </w:tc>
      </w:tr>
      <w:tr>
        <w:trPr>
          <w:trHeight w:val="266" w:hRule="atLeast"/>
        </w:trPr>
        <w:tc>
          <w:tcPr>
            <w:tcW w:w="252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w:t>
            </w:r>
          </w:p>
        </w:tc>
        <w:tc>
          <w:tcPr>
            <w:tcW w:w="269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w:t>
            </w:r>
          </w:p>
        </w:tc>
        <w:tc>
          <w:tcPr>
            <w:tcW w:w="1278" w:type="dxa"/>
            <w:tcBorders>
              <w:top w:val="single" w:sz="4" w:space="0" w:color="000000"/>
              <w:left w:val="single" w:sz="4" w:space="0" w:color="000000"/>
              <w:bottom w:val="single" w:sz="4" w:space="0" w:color="000000"/>
              <w:right w:val="single" w:sz="4" w:space="0" w:color="000000"/>
            </w:tcBorders>
          </w:tcPr>
          <w:p>
            <w:pPr>
              <w:pStyle w:val="TAH"/>
              <w:rPr>
                <w:sz w:val="20"/>
                <w:lang w:eastAsia="en-US"/>
              </w:rPr>
            </w:pPr>
            <w:r>
              <w:rPr>
                <w:sz w:val="20"/>
                <w:lang w:eastAsia="en-US"/>
              </w:rPr>
              <w:t xml:space="preserve">Average </w:t>
            </w:r>
          </w:p>
        </w:tc>
        <w:tc>
          <w:tcPr>
            <w:tcW w:w="1548" w:type="dxa"/>
            <w:tcBorders>
              <w:top w:val="single" w:sz="4" w:space="0" w:color="000000"/>
              <w:left w:val="single" w:sz="4" w:space="0" w:color="000000"/>
              <w:bottom w:val="single" w:sz="4" w:space="0" w:color="000000"/>
              <w:right w:val="single" w:sz="4" w:space="0" w:color="000000"/>
            </w:tcBorders>
          </w:tcPr>
          <w:p>
            <w:pPr>
              <w:pStyle w:val="TAH"/>
              <w:rPr>
                <w:sz w:val="20"/>
                <w:lang w:eastAsia="en-US"/>
              </w:rPr>
            </w:pPr>
            <w:r>
              <w:rPr>
                <w:sz w:val="20"/>
                <w:lang w:eastAsia="en-US"/>
              </w:rPr>
              <w:t xml:space="preserve">Max </w:t>
            </w:r>
          </w:p>
        </w:tc>
      </w:tr>
      <w:tr>
        <w:trPr>
          <w:trHeight w:val="218" w:hRule="atLeast"/>
        </w:trPr>
        <w:tc>
          <w:tcPr>
            <w:tcW w:w="252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a</w:t>
            </w:r>
          </w:p>
        </w:tc>
        <w:tc>
          <w:tcPr>
            <w:tcW w:w="269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 xml:space="preserve">dBm/1.28 MHz </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54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18" w:hRule="atLeast"/>
        </w:trPr>
        <w:tc>
          <w:tcPr>
            <w:tcW w:w="252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b</w:t>
            </w:r>
          </w:p>
        </w:tc>
        <w:tc>
          <w:tcPr>
            <w:tcW w:w="269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dBm/1.28 MHz</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54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18" w:hRule="atLeast"/>
        </w:trPr>
        <w:tc>
          <w:tcPr>
            <w:tcW w:w="252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c</w:t>
            </w:r>
          </w:p>
        </w:tc>
        <w:tc>
          <w:tcPr>
            <w:tcW w:w="269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dBm/1.28 MHz</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54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18" w:hRule="atLeast"/>
        </w:trPr>
        <w:tc>
          <w:tcPr>
            <w:tcW w:w="252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w:t>
            </w:r>
          </w:p>
        </w:tc>
        <w:tc>
          <w:tcPr>
            <w:tcW w:w="269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dBm/1.28 MHz</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54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18" w:hRule="atLeast"/>
        </w:trPr>
        <w:tc>
          <w:tcPr>
            <w:tcW w:w="252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e</w:t>
            </w:r>
          </w:p>
        </w:tc>
        <w:tc>
          <w:tcPr>
            <w:tcW w:w="269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dBm/1.28 MHz</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54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18" w:hRule="atLeast"/>
        </w:trPr>
        <w:tc>
          <w:tcPr>
            <w:tcW w:w="252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f</w:t>
            </w:r>
          </w:p>
        </w:tc>
        <w:tc>
          <w:tcPr>
            <w:tcW w:w="269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dBm/1.28 MHz</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54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r>
      <w:tr>
        <w:trPr>
          <w:trHeight w:val="220" w:hRule="atLeast"/>
        </w:trPr>
        <w:tc>
          <w:tcPr>
            <w:tcW w:w="8046" w:type="dxa"/>
            <w:gridSpan w:val="4"/>
            <w:tcBorders>
              <w:left w:val="single" w:sz="4" w:space="0" w:color="000000"/>
              <w:bottom w:val="single" w:sz="4" w:space="0" w:color="000000"/>
              <w:right w:val="single" w:sz="4" w:space="0" w:color="000000"/>
            </w:tcBorders>
            <w:vAlign w:val="center"/>
          </w:tcPr>
          <w:p>
            <w:pPr>
              <w:pStyle w:val="TAN"/>
              <w:rPr>
                <w:lang w:eastAsia="en-US"/>
              </w:rPr>
            </w:pPr>
            <w:r>
              <w:rPr>
                <w:lang w:eastAsia="en-US"/>
              </w:rPr>
              <w:t>NOTE 1:</w:t>
              <w:tab/>
              <w:t>Applicable for dual-mode GSM/UTRA LCR TDD.</w:t>
            </w:r>
          </w:p>
          <w:p>
            <w:pPr>
              <w:pStyle w:val="TAN"/>
              <w:rPr>
                <w:lang w:eastAsia="en-US"/>
              </w:rPr>
            </w:pPr>
            <w:r>
              <w:rPr>
                <w:lang w:eastAsia="en-US"/>
              </w:rPr>
              <w:t>NOTE 2:</w:t>
              <w:tab/>
              <w:t>Applicable for USB plug-in devices.</w:t>
            </w:r>
          </w:p>
        </w:tc>
      </w:tr>
    </w:tbl>
    <w:p>
      <w:pPr>
        <w:pStyle w:val="Normal"/>
        <w:rPr/>
      </w:pPr>
      <w:r>
        <w:rPr/>
      </w:r>
    </w:p>
    <w:p>
      <w:pPr>
        <w:pStyle w:val="Normal"/>
        <w:rPr/>
      </w:pPr>
      <w:r>
        <w:rPr/>
        <w:t>The normative reference for this clause is TS</w:t>
      </w:r>
      <w:r>
        <w:rPr>
          <w:lang w:eastAsia="zh-TW"/>
        </w:rPr>
        <w:t xml:space="preserve"> 37</w:t>
      </w:r>
      <w:r>
        <w:rPr/>
        <w:t>.144 [</w:t>
      </w:r>
      <w:r>
        <w:rPr>
          <w:lang w:eastAsia="zh-TW"/>
        </w:rPr>
        <w:t>12</w:t>
      </w:r>
      <w:r>
        <w:rPr/>
        <w:t>] section 7.</w:t>
      </w:r>
      <w:r>
        <w:rPr>
          <w:lang w:eastAsia="zh-TW"/>
        </w:rPr>
        <w:t>2.</w:t>
      </w:r>
      <w:r>
        <w:rPr/>
        <w:t>3.</w:t>
      </w:r>
    </w:p>
    <w:p>
      <w:pPr>
        <w:pStyle w:val="Heading4"/>
        <w:ind w:left="1418" w:hanging="1418"/>
        <w:rPr>
          <w:lang w:eastAsia="zh-TW"/>
        </w:rPr>
      </w:pPr>
      <w:bookmarkStart w:id="321" w:name="__RefHeading___Toc68601253"/>
      <w:bookmarkEnd w:id="321"/>
      <w:r>
        <w:rPr>
          <w:lang w:eastAsia="zh-TW"/>
        </w:rPr>
        <w:t>7.2.2.3</w:t>
        <w:tab/>
        <w:t>Test purpose</w:t>
      </w:r>
    </w:p>
    <w:p>
      <w:pPr>
        <w:pStyle w:val="Normal"/>
        <w:rPr/>
      </w:pPr>
      <w:r>
        <w:rPr/>
        <w:t xml:space="preserve">The purpose of this test is to ensure that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max</m:t>
            </m:r>
          </m:sub>
        </m:sSub>
      </m:oMath>
      <w:r>
        <w:rPr/>
        <w:t xml:space="preserve"> of the UE is above specified limit. The lack of the reception sensitivity decreases the coverage area at the far side from Node B.</w:t>
      </w:r>
    </w:p>
    <w:p>
      <w:pPr>
        <w:pStyle w:val="Heading4"/>
        <w:ind w:left="1418" w:hanging="1418"/>
        <w:rPr>
          <w:lang w:eastAsia="zh-TW"/>
        </w:rPr>
      </w:pPr>
      <w:bookmarkStart w:id="322" w:name="__RefHeading___Toc68601254"/>
      <w:bookmarkEnd w:id="322"/>
      <w:r>
        <w:rPr>
          <w:lang w:eastAsia="zh-TW"/>
        </w:rPr>
        <w:t>7.2.2.4</w:t>
        <w:tab/>
        <w:t>Method of test</w:t>
      </w:r>
    </w:p>
    <w:p>
      <w:pPr>
        <w:pStyle w:val="Heading4"/>
        <w:ind w:left="1418" w:hanging="1418"/>
        <w:rPr/>
      </w:pPr>
      <w:bookmarkStart w:id="323" w:name="__RefHeading___Toc68601255"/>
      <w:bookmarkEnd w:id="323"/>
      <w:r>
        <w:rPr>
          <w:lang w:eastAsia="zh-TW"/>
        </w:rPr>
        <w:t>7.2.2</w:t>
      </w:r>
      <w:r>
        <w:rPr/>
        <w:t>.4.1</w:t>
        <w:tab/>
        <w:t>Initial conditions</w:t>
      </w:r>
    </w:p>
    <w:p>
      <w:pPr>
        <w:pStyle w:val="Normal"/>
        <w:rPr/>
      </w:pPr>
      <w:r>
        <w:rPr/>
        <w:t xml:space="preserve">A radio communications tester or a corresponding device is used as a NB simulator to setup calls to the DUT. The NB simulator is also used to send test signals to the UE and measure the BER levels of the radio link and the information on the dedicated channel needed to extract the DUT receiver performances. </w:t>
      </w:r>
    </w:p>
    <w:p>
      <w:pPr>
        <w:pStyle w:val="Normal"/>
        <w:rPr>
          <w:lang w:eastAsia="ja-JP"/>
        </w:rPr>
      </w:pPr>
      <w:r>
        <w:rPr>
          <w:lang w:eastAsia="ja-JP"/>
        </w:rPr>
        <w:t>Chamber environment constraints and coordinate system shall be the same as described in Subclause A.3.</w:t>
      </w:r>
    </w:p>
    <w:p>
      <w:pPr>
        <w:pStyle w:val="Normal"/>
        <w:rPr>
          <w:lang w:eastAsia="zh-TW"/>
        </w:rPr>
      </w:pPr>
      <w:r>
        <w:rPr>
          <w:lang w:eastAsia="ja-JP"/>
        </w:rPr>
        <w:t xml:space="preserve">Phantom Specifications shall be the same as described in </w:t>
      </w:r>
      <w:r>
        <w:rPr/>
        <w:t>Subclause A.2.</w:t>
      </w:r>
      <w:r>
        <w:rPr>
          <w:lang w:eastAsia="zh-TW"/>
        </w:rPr>
        <w:t>3</w:t>
      </w:r>
      <w:r>
        <w:rPr/>
        <w:t>.</w:t>
      </w:r>
    </w:p>
    <w:p>
      <w:pPr>
        <w:pStyle w:val="Normal"/>
        <w:rPr/>
      </w:pPr>
      <w:r>
        <w:rPr/>
        <w:t>Test environment: normal; see TS36.508 [10] Subclause 4.1.1.</w:t>
      </w:r>
    </w:p>
    <w:p>
      <w:pPr>
        <w:pStyle w:val="Normal"/>
        <w:rPr/>
      </w:pPr>
      <w:r>
        <w:rPr/>
        <w:t>Frequencies to be tested: low range, mid range, high range; see Table 5.2-2.</w:t>
      </w:r>
      <w:r>
        <w:rPr>
          <w:lang w:eastAsia="ja-JP"/>
        </w:rPr>
        <w:t xml:space="preserve"> </w:t>
      </w:r>
    </w:p>
    <w:p>
      <w:pPr>
        <w:pStyle w:val="Normal"/>
        <w:rPr>
          <w:lang w:eastAsia="ja-JP"/>
        </w:rPr>
      </w:pPr>
      <w:r>
        <w:rPr>
          <w:lang w:eastAsia="ja-JP"/>
        </w:rPr>
        <w:t>Positioning Requirements shall be the same as described in Subclause 4.3.</w:t>
      </w:r>
    </w:p>
    <w:p>
      <w:pPr>
        <w:pStyle w:val="B1"/>
        <w:rPr/>
      </w:pPr>
      <w:r>
        <w:rPr/>
        <w:t>1)</w:t>
        <w:tab/>
        <w:t xml:space="preserve">Position the plug-in UE according to the DUT positioning </w:t>
      </w:r>
      <w:r>
        <w:rPr>
          <w:lang w:eastAsia="zh-TW"/>
        </w:rPr>
        <w:t>on laptop ground plane phantom</w:t>
      </w:r>
      <w:r>
        <w:rPr/>
        <w:t xml:space="preserve"> specified in Subclause 4.3.</w:t>
      </w:r>
      <w:r>
        <w:rPr>
          <w:lang w:eastAsia="zh-TW"/>
        </w:rPr>
        <w:t>2</w:t>
      </w:r>
      <w:r>
        <w:rPr/>
        <w:t>.</w:t>
      </w:r>
    </w:p>
    <w:p>
      <w:pPr>
        <w:pStyle w:val="B1"/>
        <w:rPr/>
      </w:pPr>
      <w:r>
        <w:rPr/>
        <w:t>2)</w:t>
        <w:tab/>
        <w:t>Set the SS downlink physical channels according to settings in Table 7.</w:t>
      </w:r>
      <w:r>
        <w:rPr>
          <w:lang w:eastAsia="zh-TW"/>
        </w:rPr>
        <w:t>2</w:t>
      </w:r>
      <w:r>
        <w:rPr/>
        <w:t>.2.4.1-1.</w:t>
      </w:r>
    </w:p>
    <w:p>
      <w:pPr>
        <w:pStyle w:val="B1"/>
        <w:rPr/>
      </w:pPr>
      <w:r>
        <w:rPr/>
        <w:t>3)</w:t>
        <w:tab/>
        <w:t>Power on the plug-in UE. The real functional laptop supplies power to the plug-in UE.</w:t>
      </w:r>
    </w:p>
    <w:p>
      <w:pPr>
        <w:pStyle w:val="B1"/>
        <w:rPr/>
      </w:pPr>
      <w:r>
        <w:rPr/>
        <w:t>4)</w:t>
        <w:tab/>
        <w:t>A call is set up according to the Generic call setup procedure. The power control algorithm shall be set to Power Control Algorithm 2. Compressed mode shall be set to OFF.</w:t>
      </w:r>
    </w:p>
    <w:p>
      <w:pPr>
        <w:pStyle w:val="B1"/>
        <w:rPr/>
      </w:pPr>
      <w:r>
        <w:rPr/>
        <w:t>5)</w:t>
        <w:tab/>
        <w:t>Enter the UE into loopback test mode 2 and start the loopback test.</w:t>
      </w:r>
    </w:p>
    <w:p>
      <w:pPr>
        <w:pStyle w:val="Normal"/>
        <w:rPr/>
      </w:pPr>
      <w:r>
        <w:rPr/>
        <w:t>See TS 34.108 [</w:t>
      </w:r>
      <w:r>
        <w:rPr>
          <w:lang w:eastAsia="zh-TW"/>
        </w:rPr>
        <w:t>4</w:t>
      </w:r>
      <w:r>
        <w:rPr/>
        <w:t>] and TS 34.109 [</w:t>
      </w:r>
      <w:r>
        <w:rPr>
          <w:lang w:eastAsia="zh-TW"/>
        </w:rPr>
        <w:t>5</w:t>
      </w:r>
      <w:r>
        <w:rPr/>
        <w:t xml:space="preserve">] </w:t>
      </w:r>
      <w:r>
        <w:rPr>
          <w:lang w:eastAsia="zh-CN"/>
        </w:rPr>
        <w:t>and Annex C of TS 34.122 [</w:t>
      </w:r>
      <w:r>
        <w:rPr>
          <w:lang w:eastAsia="zh-TW"/>
        </w:rPr>
        <w:t>8</w:t>
      </w:r>
      <w:r>
        <w:rPr>
          <w:lang w:eastAsia="zh-CN"/>
        </w:rPr>
        <w:t xml:space="preserve">] </w:t>
      </w:r>
      <w:r>
        <w:rPr/>
        <w:t>for details regarding generic call setup procedure and loopback test.</w:t>
      </w:r>
    </w:p>
    <w:p>
      <w:pPr>
        <w:pStyle w:val="TH"/>
        <w:rPr/>
      </w:pPr>
      <w:r>
        <w:rPr/>
        <w:t>Table 6.7.2: Downlink Physical Channels transmitted during a connection</w:t>
      </w:r>
    </w:p>
    <w:tbl>
      <w:tblPr>
        <w:tblW w:w="7087" w:type="dxa"/>
        <w:jc w:val="left"/>
        <w:tblInd w:w="1553" w:type="dxa"/>
        <w:tblLayout w:type="fixed"/>
        <w:tblCellMar>
          <w:top w:w="0" w:type="dxa"/>
          <w:left w:w="108" w:type="dxa"/>
          <w:bottom w:w="0" w:type="dxa"/>
          <w:right w:w="108" w:type="dxa"/>
        </w:tblCellMar>
      </w:tblPr>
      <w:tblGrid>
        <w:gridCol w:w="2301"/>
        <w:gridCol w:w="2660"/>
        <w:gridCol w:w="2126"/>
      </w:tblGrid>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jc w:val="center"/>
              <w:rPr>
                <w:b/>
                <w:b/>
                <w:lang w:eastAsia="en-US"/>
              </w:rPr>
            </w:pPr>
            <w:r>
              <w:rPr>
                <w:b/>
                <w:lang w:eastAsia="en-US"/>
              </w:rPr>
              <w:t>Physical Channel</w:t>
            </w:r>
          </w:p>
        </w:tc>
        <w:tc>
          <w:tcPr>
            <w:tcW w:w="2660" w:type="dxa"/>
            <w:tcBorders>
              <w:top w:val="single" w:sz="6" w:space="0" w:color="000000"/>
              <w:left w:val="single" w:sz="6" w:space="0" w:color="000000"/>
              <w:bottom w:val="single" w:sz="6" w:space="0" w:color="000000"/>
              <w:right w:val="single" w:sz="6" w:space="0" w:color="000000"/>
            </w:tcBorders>
          </w:tcPr>
          <w:p>
            <w:pPr>
              <w:pStyle w:val="TAL1"/>
              <w:snapToGrid w:val="false"/>
              <w:jc w:val="center"/>
              <w:rPr>
                <w:b/>
                <w:b/>
                <w:lang w:eastAsia="en-US"/>
              </w:rPr>
            </w:pPr>
            <w:r>
              <w:rPr>
                <w:b/>
                <w:lang w:eastAsia="en-US"/>
              </w:rPr>
            </w:r>
          </w:p>
        </w:tc>
        <w:tc>
          <w:tcPr>
            <w:tcW w:w="2126" w:type="dxa"/>
            <w:tcBorders>
              <w:top w:val="single" w:sz="6" w:space="0" w:color="000000"/>
              <w:left w:val="single" w:sz="6" w:space="0" w:color="000000"/>
              <w:bottom w:val="single" w:sz="6" w:space="0" w:color="000000"/>
              <w:right w:val="single" w:sz="6" w:space="0" w:color="000000"/>
            </w:tcBorders>
          </w:tcPr>
          <w:p>
            <w:pPr>
              <w:pStyle w:val="TAL1"/>
              <w:jc w:val="center"/>
              <w:rPr>
                <w:b/>
                <w:b/>
                <w:lang w:eastAsia="en-US"/>
              </w:rPr>
            </w:pPr>
            <w:r>
              <w:rPr>
                <w:b/>
                <w:lang w:eastAsia="en-US"/>
              </w:rPr>
              <w:t>Power</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Ior</w:t>
            </w:r>
          </w:p>
        </w:tc>
        <w:tc>
          <w:tcPr>
            <w:tcW w:w="2660"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rFonts w:eastAsia="Arial"/>
                <w:lang w:eastAsia="en-US"/>
              </w:rPr>
              <w:t xml:space="preserve"> </w:t>
            </w:r>
            <w:r>
              <w:rPr>
                <w:lang w:eastAsia="en-US"/>
              </w:rPr>
              <w:t>-75 dBm</w:t>
            </w:r>
          </w:p>
        </w:tc>
        <w:tc>
          <w:tcPr>
            <w:tcW w:w="2126"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DwPCH</w:t>
            </w:r>
          </w:p>
        </w:tc>
        <w:tc>
          <w:tcPr>
            <w:tcW w:w="2660"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DwPCH_Ec / Ior</w:t>
            </w:r>
          </w:p>
        </w:tc>
        <w:tc>
          <w:tcPr>
            <w:tcW w:w="2126"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0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PCCPCH</w:t>
            </w:r>
          </w:p>
        </w:tc>
        <w:tc>
          <w:tcPr>
            <w:tcW w:w="2660"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w:t>
            </w:r>
            <w:r>
              <w:rPr>
                <w:lang w:eastAsia="en-US"/>
              </w:rPr>
              <w:t>P-CCPCH_Ec / Ior</w:t>
            </w:r>
          </w:p>
        </w:tc>
        <w:tc>
          <w:tcPr>
            <w:tcW w:w="2126" w:type="dxa"/>
            <w:tcBorders>
              <w:top w:val="single" w:sz="6" w:space="0" w:color="000000"/>
              <w:left w:val="single" w:sz="6" w:space="0" w:color="000000"/>
              <w:bottom w:val="single" w:sz="6" w:space="0" w:color="000000"/>
              <w:right w:val="single" w:sz="6" w:space="0" w:color="000000"/>
            </w:tcBorders>
          </w:tcPr>
          <w:p>
            <w:pPr>
              <w:pStyle w:val="TAL1"/>
              <w:rPr/>
            </w:pPr>
            <w:r>
              <w:rPr>
                <w:lang w:eastAsia="en-US"/>
              </w:rPr>
              <w:t>-3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SCCPCH</w:t>
            </w:r>
          </w:p>
        </w:tc>
        <w:tc>
          <w:tcPr>
            <w:tcW w:w="2660"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w:t>
            </w:r>
            <w:r>
              <w:rPr>
                <w:lang w:eastAsia="en-US"/>
              </w:rPr>
              <w:t>S-CCPCH_Ec / Ior</w:t>
            </w:r>
          </w:p>
        </w:tc>
        <w:tc>
          <w:tcPr>
            <w:tcW w:w="2126"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-6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PICH</w:t>
            </w:r>
          </w:p>
        </w:tc>
        <w:tc>
          <w:tcPr>
            <w:tcW w:w="2660"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w:t>
            </w:r>
            <w:r>
              <w:rPr>
                <w:lang w:eastAsia="en-US"/>
              </w:rPr>
              <w:t>PICH_Ec / Ior</w:t>
            </w:r>
          </w:p>
        </w:tc>
        <w:tc>
          <w:tcPr>
            <w:tcW w:w="2126"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-6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FPACH</w:t>
            </w:r>
          </w:p>
        </w:tc>
        <w:tc>
          <w:tcPr>
            <w:tcW w:w="2660"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FPACH_Ec / Ior</w:t>
            </w:r>
          </w:p>
        </w:tc>
        <w:tc>
          <w:tcPr>
            <w:tcW w:w="2126"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-6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DL DPCH</w:t>
            </w:r>
          </w:p>
        </w:tc>
        <w:tc>
          <w:tcPr>
            <w:tcW w:w="2660"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w:t>
            </w:r>
            <w:r>
              <w:rPr>
                <w:lang w:eastAsia="en-US"/>
              </w:rPr>
              <w:t>DPCH_Ec / Ior</w:t>
            </w:r>
          </w:p>
        </w:tc>
        <w:tc>
          <w:tcPr>
            <w:tcW w:w="2126"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0 dB</w:t>
            </w:r>
          </w:p>
        </w:tc>
      </w:tr>
    </w:tbl>
    <w:p>
      <w:pPr>
        <w:pStyle w:val="Normal"/>
        <w:rPr/>
      </w:pPr>
      <w:r>
        <w:rPr/>
      </w:r>
    </w:p>
    <w:p>
      <w:pPr>
        <w:pStyle w:val="Heading4"/>
        <w:ind w:left="1418" w:hanging="1418"/>
        <w:rPr/>
      </w:pPr>
      <w:bookmarkStart w:id="324" w:name="__RefHeading___Toc68601256"/>
      <w:bookmarkEnd w:id="324"/>
      <w:r>
        <w:rPr>
          <w:lang w:eastAsia="zh-TW"/>
        </w:rPr>
        <w:t>7.2.2</w:t>
      </w:r>
      <w:r>
        <w:rPr/>
        <w:t>.4.2</w:t>
        <w:tab/>
        <w:t>Procedure</w:t>
      </w:r>
    </w:p>
    <w:p>
      <w:pPr>
        <w:pStyle w:val="B1"/>
        <w:rPr/>
      </w:pPr>
      <w:r>
        <w:rPr/>
        <w:t>1)</w:t>
        <w:tab/>
        <w:t>Send continuously Up power control commands to the plug-in UE.</w:t>
      </w:r>
    </w:p>
    <w:p>
      <w:pPr>
        <w:pStyle w:val="B1"/>
        <w:rPr/>
      </w:pPr>
      <w:r>
        <w:rPr/>
        <w:t>2)</w:t>
        <w:tab/>
        <w:t>As the plug-in UE reaches maximum power, start sending PN15 data pattern.</w:t>
      </w:r>
    </w:p>
    <w:p>
      <w:pPr>
        <w:pStyle w:val="B1"/>
        <w:rPr/>
      </w:pPr>
      <w:r>
        <w:rPr/>
        <w:t>3)</w:t>
        <w:tab/>
        <w:t>Position the plug-in UE into the USB connector in accordance with the manufacturer recommended primary mechanical mode. In the absence of such a recommendation position the plug-in UE so that it is horizontally plugged into the horizontal USB connector.</w:t>
      </w:r>
    </w:p>
    <w:p>
      <w:pPr>
        <w:pStyle w:val="B1"/>
        <w:rPr/>
      </w:pPr>
      <w:r>
        <w:rPr/>
        <w:t>4)</w:t>
        <w:tab/>
        <w:t xml:space="preserve">Measure EIS from one measurement point. EIS is the power transmitted from one specific direction to the UE causing BER value of 1% </w:t>
      </w:r>
      <w:r>
        <w:rPr>
          <w:rFonts w:eastAsia="Symbol" w:cs="Symbol" w:ascii="Symbol" w:hAnsi="Symbol"/>
        </w:rPr>
        <w:t></w:t>
      </w:r>
      <w:r>
        <w:rPr/>
        <w:t xml:space="preserve"> 0.2% using 40000 or more bits</w:t>
      </w:r>
      <w:r>
        <w:rPr>
          <w:lang w:eastAsia="zh-TW"/>
        </w:rPr>
        <w:t xml:space="preserve">; </w:t>
      </w:r>
      <w:r>
        <w:rPr/>
        <w:t xml:space="preserve">see Annex E.20. </w:t>
      </w:r>
      <w:r>
        <w:rPr>
          <w:color w:val="000000"/>
          <w:lang w:eastAsia="zh-CN"/>
        </w:rPr>
        <w:t>The DL power step size shall be no bigger than 0.5dB when the RF level is near the TDD UE sensitivity level.</w:t>
      </w:r>
    </w:p>
    <w:p>
      <w:pPr>
        <w:pStyle w:val="NO"/>
        <w:rPr/>
      </w:pPr>
      <w:r>
        <w:rPr/>
        <w:t>NOTE:</w:t>
        <w:tab/>
        <w:t xml:space="preserve">To meet BER value target DL power level can be changed using user’s freely selectable algorithm. </w:t>
      </w:r>
    </w:p>
    <w:p>
      <w:pPr>
        <w:pStyle w:val="B1"/>
        <w:ind w:left="284" w:hanging="0"/>
        <w:rPr/>
      </w:pPr>
      <w:r>
        <w:rPr/>
        <w:t>5)</w:t>
        <w:tab/>
        <w:t>Measure the EIS for every direction of selected sampling gird using two orthogonal polarizations to obtain TRS.</w:t>
      </w:r>
    </w:p>
    <w:p>
      <w:pPr>
        <w:pStyle w:val="B1"/>
        <w:rPr/>
      </w:pPr>
      <w:r>
        <w:rPr/>
        <w:t>6)</w:t>
        <w:tab/>
        <w:t xml:space="preserve">Calculate TRS using equations from </w:t>
      </w:r>
      <w:r>
        <w:rPr>
          <w:lang w:eastAsia="zh-TW"/>
        </w:rPr>
        <w:t>Subclause 7.2.2.1.</w:t>
      </w:r>
    </w:p>
    <w:p>
      <w:pPr>
        <w:pStyle w:val="Normal"/>
        <w:ind w:left="1170" w:hanging="886"/>
        <w:rPr/>
      </w:pPr>
      <w:r>
        <w:rPr/>
        <w:t xml:space="preserve">NOTE: </w:t>
        <w:tab/>
        <w:t>To speed up sensitivity measurements non standard setting (i.e. data speed, PCL, BER target) can be used in the measurements. However to obtain TRS result the measured EIS figures shall be normalized by</w:t>
      </w:r>
    </w:p>
    <w:p>
      <w:pPr>
        <w:pStyle w:val="EQ"/>
        <w:jc w:val="center"/>
        <w:rPr>
          <w:lang w:val="en-GB" w:eastAsia="en-GB"/>
        </w:rPr>
      </w:pPr>
      <w:r>
        <w:rPr>
          <w:lang w:val="en-GB" w:eastAsia="en-GB"/>
        </w:rPr>
      </w:r>
      <m:oMathPara xmlns:m="http://schemas.openxmlformats.org/officeDocument/2006/math">
        <m:oMathParaPr>
          <m:jc m:val="center"/>
        </m:oMathParaPr>
        <m:oMath>
          <m:r>
            <w:rPr>
              <w:rFonts w:ascii="Cambria Math" w:hAnsi="Cambria Math"/>
            </w:rPr>
            <m:t xml:space="preserve">Δ</m:t>
          </m:r>
          <m:bar>
            <m:barPr>
              <m:pos m:val="top"/>
            </m:barPr>
            <m:e>
              <m:r>
                <m:rPr>
                  <m:lit/>
                  <m:nor/>
                </m:rPr>
                <w:rPr>
                  <w:rFonts w:ascii="Cambria Math" w:hAnsi="Cambria Math"/>
                </w:rPr>
                <m:t xml:space="preserve">EIS</m:t>
              </m:r>
            </m:e>
          </m:ba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m:rPr>
                          <m:lit/>
                          <m:nor/>
                        </m:rPr>
                        <w:rPr>
                          <w:rFonts w:ascii="Cambria Math" w:hAnsi="Cambria Math"/>
                        </w:rPr>
                        <m:t xml:space="preserve">EISstd</m:t>
                      </m:r>
                    </m:e>
                    <m:sub>
                      <m:r>
                        <w:rPr>
                          <w:rFonts w:ascii="Cambria Math" w:hAnsi="Cambria Math"/>
                        </w:rPr>
                        <m:t xml:space="preserve">i</m:t>
                      </m:r>
                    </m:sub>
                  </m:sSub>
                  <m:r>
                    <w:rPr>
                      <w:rFonts w:ascii="Cambria Math" w:hAnsi="Cambria Math"/>
                    </w:rPr>
                    <m:t xml:space="preserve">−</m:t>
                  </m:r>
                  <m:sSub>
                    <m:e>
                      <m:r>
                        <m:rPr>
                          <m:lit/>
                          <m:nor/>
                        </m:rPr>
                        <w:rPr>
                          <w:rFonts w:ascii="Cambria Math" w:hAnsi="Cambria Math"/>
                        </w:rPr>
                        <m:t xml:space="preserve">EISnstd</m:t>
                      </m:r>
                    </m:e>
                    <m:sub>
                      <m:r>
                        <w:rPr>
                          <w:rFonts w:ascii="Cambria Math" w:hAnsi="Cambria Math"/>
                        </w:rPr>
                        <m:t xml:space="preserve">i</m:t>
                      </m:r>
                    </m:sub>
                  </m:sSub>
                </m:e>
              </m:d>
            </m:e>
          </m:nary>
        </m:oMath>
      </m:oMathPara>
    </w:p>
    <w:p>
      <w:pPr>
        <w:pStyle w:val="Normal"/>
        <w:rPr/>
      </w:pPr>
      <w:r>
        <w:rPr/>
        <w:t xml:space="preserve">Where </w:t>
      </w:r>
      <w:r>
        <w:rPr/>
      </w:r>
      <m:oMath xmlns:m="http://schemas.openxmlformats.org/officeDocument/2006/math">
        <m:sSub>
          <m:e>
            <m:r>
              <m:rPr>
                <m:lit/>
                <m:nor/>
              </m:rPr>
              <w:rPr>
                <w:rFonts w:ascii="Cambria Math" w:hAnsi="Cambria Math"/>
              </w:rPr>
              <m:t xml:space="preserve">EISstd</m:t>
            </m:r>
          </m:e>
          <m:sub>
            <m:r>
              <w:rPr>
                <w:rFonts w:ascii="Cambria Math" w:hAnsi="Cambria Math"/>
              </w:rPr>
              <m:t xml:space="preserve">i</m:t>
            </m:r>
          </m:sub>
        </m:sSub>
      </m:oMath>
      <w:r>
        <w:rPr/>
        <w:t xml:space="preserve"> is sensitivity measurement done with standard setting. </w:t>
      </w:r>
      <w:r>
        <w:rPr/>
      </w:r>
      <m:oMath xmlns:m="http://schemas.openxmlformats.org/officeDocument/2006/math">
        <m:sSub>
          <m:e>
            <m:r>
              <m:rPr>
                <m:lit/>
                <m:nor/>
              </m:rPr>
              <w:rPr>
                <w:rFonts w:ascii="Cambria Math" w:hAnsi="Cambria Math"/>
              </w:rPr>
              <m:t xml:space="preserve">EISnstd</m:t>
            </m:r>
          </m:e>
          <m:sub>
            <m:r>
              <w:rPr>
                <w:rFonts w:ascii="Cambria Math" w:hAnsi="Cambria Math"/>
              </w:rPr>
              <m:t xml:space="preserve">i</m:t>
            </m:r>
          </m:sub>
        </m:sSub>
      </m:oMath>
      <w:r>
        <w:rPr/>
        <w:t xml:space="preserve"> is sensitivity measurement done with non standard settings. </w:t>
      </w:r>
      <w:r>
        <w:rPr/>
      </w:r>
      <m:oMath xmlns:m="http://schemas.openxmlformats.org/officeDocument/2006/math">
        <m:r>
          <w:rPr>
            <w:rFonts w:ascii="Cambria Math" w:hAnsi="Cambria Math"/>
          </w:rPr>
          <m:t xml:space="preserve">n</m:t>
        </m:r>
      </m:oMath>
      <w:r>
        <w:rPr/>
        <w:t xml:space="preserve"> is amount of reference measurement points.</w:t>
      </w:r>
    </w:p>
    <w:p>
      <w:pPr>
        <w:pStyle w:val="Normal"/>
        <w:rPr/>
      </w:pPr>
      <w:r>
        <w:rPr/>
        <w:t>To ensure accuracy of TRS, the amount of reference points measured should be at least 4. It is recommended to spread the reference measurements equally during the measurement time.</w:t>
      </w:r>
    </w:p>
    <w:p>
      <w:pPr>
        <w:pStyle w:val="Normal"/>
        <w:rPr>
          <w:lang w:eastAsia="zh-TW"/>
        </w:rPr>
      </w:pPr>
      <w:r>
        <w:rPr/>
        <w:t>The measurement procedure is based on the measurement of the spherical sensitivity pattern of the DUT. The sensitivity values of the DUT at a predefined BER level are sampled in far field in a group of points located on a spherical surface enclosing the DUT. The EIS samples are taken using a constant sample step of 30° both in theta (</w:t>
      </w:r>
      <w:r>
        <w:rPr>
          <w:rFonts w:eastAsia="Symbol" w:cs="Symbol" w:ascii="Symbol" w:hAnsi="Symbol"/>
        </w:rPr>
        <w:t></w:t>
      </w:r>
      <w:r>
        <w:rPr/>
        <w:t>) and phi (</w:t>
      </w:r>
      <w:r>
        <w:rPr>
          <w:rFonts w:eastAsia="Symbol" w:cs="Symbol" w:ascii="Symbol" w:hAnsi="Symbol"/>
        </w:rPr>
        <w:t></w:t>
      </w:r>
      <w:r>
        <w:rPr/>
        <w:t xml:space="preserve">) directions. All the EIS samples are taken with two orthogonal polarizations,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-polarisations</w:t>
      </w:r>
      <w:r>
        <w:rPr>
          <w:lang w:eastAsia="zh-TW"/>
        </w:rPr>
        <w:t xml:space="preserve"> (See Subclause 4.4)</w:t>
      </w:r>
      <w:r>
        <w:rPr/>
        <w:t>.</w:t>
      </w:r>
    </w:p>
    <w:p>
      <w:pPr>
        <w:pStyle w:val="Normal"/>
        <w:rPr/>
      </w:pPr>
      <w:r>
        <w:rPr/>
        <w:t xml:space="preserve">The Total Radiated Sensitivity is calculated from the measured data by equation in </w:t>
      </w:r>
      <w:r>
        <w:rPr>
          <w:lang w:eastAsia="zh-TW"/>
        </w:rPr>
        <w:t>Sub</w:t>
      </w:r>
      <w:r>
        <w:rPr/>
        <w:t xml:space="preserve">clause </w:t>
      </w:r>
      <w:r>
        <w:rPr>
          <w:lang w:eastAsia="zh-TW"/>
        </w:rPr>
        <w:t>7.2.2.2</w:t>
      </w:r>
      <w:r>
        <w:rPr/>
        <w:t>.</w:t>
      </w:r>
    </w:p>
    <w:p>
      <w:pPr>
        <w:pStyle w:val="Heading4"/>
        <w:ind w:left="1418" w:hanging="1418"/>
        <w:rPr/>
      </w:pPr>
      <w:bookmarkStart w:id="325" w:name="__RefHeading___Toc68601257"/>
      <w:bookmarkEnd w:id="325"/>
      <w:r>
        <w:rPr>
          <w:lang w:eastAsia="zh-TW"/>
        </w:rPr>
        <w:t>7.2.2</w:t>
      </w:r>
      <w:r>
        <w:rPr>
          <w:rFonts w:cs="Arial"/>
        </w:rPr>
        <w:t>.4.3</w:t>
        <w:tab/>
        <w:t>Test procedure, reverberation chamber method</w:t>
      </w:r>
    </w:p>
    <w:p>
      <w:pPr>
        <w:pStyle w:val="Normal"/>
        <w:rPr/>
      </w:pPr>
      <w:r>
        <w:rPr/>
        <w:t>TBD</w:t>
      </w:r>
    </w:p>
    <w:p>
      <w:pPr>
        <w:pStyle w:val="Heading4"/>
        <w:ind w:left="1418" w:hanging="1418"/>
        <w:rPr>
          <w:lang w:eastAsia="zh-TW"/>
        </w:rPr>
      </w:pPr>
      <w:bookmarkStart w:id="326" w:name="__RefHeading___Toc68601258"/>
      <w:bookmarkEnd w:id="326"/>
      <w:r>
        <w:rPr>
          <w:lang w:eastAsia="zh-TW"/>
        </w:rPr>
        <w:t>7.2.2.5</w:t>
        <w:tab/>
        <w:t>Test requirements</w:t>
      </w:r>
    </w:p>
    <w:p>
      <w:pPr>
        <w:pStyle w:val="Normal"/>
        <w:jc w:val="both"/>
        <w:rPr/>
      </w:pPr>
      <w:r>
        <w:rPr/>
        <w:t>The average TRS of low, mid and high channel for 1% BER with 12.2kbps DL reference channel as defined in Annex C.3 of TS 34.122 [</w:t>
      </w:r>
      <w:r>
        <w:rPr>
          <w:lang w:eastAsia="zh-TW"/>
        </w:rPr>
        <w:t>8</w:t>
      </w:r>
      <w:r>
        <w:rPr/>
        <w:t xml:space="preserve">] shall be lower than test requirements for roaming bands shown in Table </w:t>
      </w:r>
      <w:r>
        <w:rPr>
          <w:lang w:eastAsia="zh-TW"/>
        </w:rPr>
        <w:t>7.2.2.5-1</w:t>
      </w:r>
      <w:r>
        <w:rPr/>
        <w:t>. The averaging shall be done in linear scale for the TRS results.</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3</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den>
                  </m:f>
                </m:e>
              </m:d>
            </m:e>
          </m:d>
        </m:oMath>
      </m:oMathPara>
    </w:p>
    <w:p>
      <w:pPr>
        <w:pStyle w:val="Normal"/>
        <w:rPr/>
      </w:pPr>
      <w:r>
        <w:rPr/>
        <w:t>In addition the maximum TRS of each measured channel shall be better than minimum performance requirements for roaming bands shown in the columns “Max”</w:t>
      </w:r>
      <w:r>
        <w:rPr>
          <w:lang w:eastAsia="zh-TW"/>
        </w:rPr>
        <w:t xml:space="preserve"> on the requirement tables</w:t>
      </w:r>
      <w:r>
        <w:rPr/>
        <w:t>.</w:t>
      </w:r>
    </w:p>
    <w:p>
      <w:pPr>
        <w:pStyle w:val="EQ"/>
        <w:jc w:val="center"/>
        <w:rPr>
          <w:lang w:val="en-GB" w:eastAsia="en-GB"/>
        </w:rPr>
      </w:pPr>
      <w:r>
        <w:rPr>
          <w:lang w:val="en-GB" w:eastAsia="en-GB"/>
        </w:rPr>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TRS</m:t>
              </m:r>
            </m:e>
            <m:sub>
              <m:r>
                <m:rPr>
                  <m:lit/>
                  <m:nor/>
                </m:rPr>
                <w:rPr>
                  <w:rFonts w:ascii="Cambria Math" w:hAnsi="Cambria Math"/>
                </w:rPr>
                <m:t xml:space="preserve">max</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m:rPr>
                  <m:lit/>
                  <m:nor/>
                </m:rPr>
                <w:rPr>
                  <w:rFonts w:ascii="Cambria Math" w:hAnsi="Cambria Math"/>
                </w:rPr>
                <m:t xml:space="preserve">max</m:t>
              </m:r>
              <m:d>
                <m:dPr>
                  <m:begChr m:val="("/>
                  <m:endChr m:val=")"/>
                </m:dPr>
                <m:e>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e>
              </m:d>
            </m:e>
          </m:d>
        </m:oMath>
      </m:oMathPara>
    </w:p>
    <w:p>
      <w:pPr>
        <w:pStyle w:val="TH"/>
        <w:rPr/>
      </w:pPr>
      <w:r>
        <w:rPr/>
        <w:t xml:space="preserve">Table </w:t>
      </w:r>
      <w:r>
        <w:rPr>
          <w:lang w:eastAsia="zh-TW"/>
        </w:rPr>
        <w:t>7.2.2.5-1</w:t>
      </w:r>
      <w:r>
        <w:rPr/>
        <w:t xml:space="preserve">: TRS test requirements for UTRA LCR TDD roaming mode for </w:t>
      </w:r>
      <w:r>
        <w:rPr>
          <w:lang w:eastAsia="zh-TW"/>
        </w:rPr>
        <w:t>LME</w:t>
      </w:r>
      <w:r>
        <w:rPr/>
        <w:t xml:space="preserve"> devices in the data transfers position and the primary mechanical mode</w:t>
      </w:r>
    </w:p>
    <w:tbl>
      <w:tblPr>
        <w:tblW w:w="8046" w:type="dxa"/>
        <w:jc w:val="center"/>
        <w:tblInd w:w="0" w:type="dxa"/>
        <w:tblLayout w:type="fixed"/>
        <w:tblCellMar>
          <w:top w:w="0" w:type="dxa"/>
          <w:left w:w="108" w:type="dxa"/>
          <w:bottom w:w="0" w:type="dxa"/>
          <w:right w:w="108" w:type="dxa"/>
        </w:tblCellMar>
      </w:tblPr>
      <w:tblGrid>
        <w:gridCol w:w="2529"/>
        <w:gridCol w:w="2691"/>
        <w:gridCol w:w="1278"/>
        <w:gridCol w:w="1548"/>
      </w:tblGrid>
      <w:tr>
        <w:trPr>
          <w:trHeight w:val="317" w:hRule="atLeast"/>
        </w:trPr>
        <w:tc>
          <w:tcPr>
            <w:tcW w:w="252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Operating Band</w:t>
            </w:r>
          </w:p>
        </w:tc>
        <w:tc>
          <w:tcPr>
            <w:tcW w:w="269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Unit</w:t>
            </w:r>
          </w:p>
        </w:tc>
        <w:tc>
          <w:tcPr>
            <w:tcW w:w="2826"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&lt;REFÎor&gt;</w:t>
            </w:r>
          </w:p>
        </w:tc>
      </w:tr>
      <w:tr>
        <w:trPr>
          <w:trHeight w:val="266" w:hRule="atLeast"/>
        </w:trPr>
        <w:tc>
          <w:tcPr>
            <w:tcW w:w="252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w:t>
            </w:r>
          </w:p>
        </w:tc>
        <w:tc>
          <w:tcPr>
            <w:tcW w:w="269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w:t>
            </w:r>
          </w:p>
        </w:tc>
        <w:tc>
          <w:tcPr>
            <w:tcW w:w="1278" w:type="dxa"/>
            <w:tcBorders>
              <w:top w:val="single" w:sz="4" w:space="0" w:color="000000"/>
              <w:left w:val="single" w:sz="4" w:space="0" w:color="000000"/>
              <w:bottom w:val="single" w:sz="4" w:space="0" w:color="000000"/>
              <w:right w:val="single" w:sz="4" w:space="0" w:color="000000"/>
            </w:tcBorders>
          </w:tcPr>
          <w:p>
            <w:pPr>
              <w:pStyle w:val="TAH"/>
              <w:rPr>
                <w:sz w:val="20"/>
                <w:lang w:eastAsia="en-US"/>
              </w:rPr>
            </w:pPr>
            <w:r>
              <w:rPr>
                <w:sz w:val="20"/>
                <w:lang w:eastAsia="en-US"/>
              </w:rPr>
              <w:t xml:space="preserve">Average </w:t>
            </w:r>
          </w:p>
        </w:tc>
        <w:tc>
          <w:tcPr>
            <w:tcW w:w="1548" w:type="dxa"/>
            <w:tcBorders>
              <w:top w:val="single" w:sz="4" w:space="0" w:color="000000"/>
              <w:left w:val="single" w:sz="4" w:space="0" w:color="000000"/>
              <w:bottom w:val="single" w:sz="4" w:space="0" w:color="000000"/>
              <w:right w:val="single" w:sz="4" w:space="0" w:color="000000"/>
            </w:tcBorders>
          </w:tcPr>
          <w:p>
            <w:pPr>
              <w:pStyle w:val="TAH"/>
              <w:rPr>
                <w:sz w:val="20"/>
                <w:lang w:eastAsia="en-US"/>
              </w:rPr>
            </w:pPr>
            <w:r>
              <w:rPr>
                <w:sz w:val="20"/>
                <w:lang w:eastAsia="en-US"/>
              </w:rPr>
              <w:t xml:space="preserve">Max </w:t>
            </w:r>
          </w:p>
        </w:tc>
      </w:tr>
      <w:tr>
        <w:trPr>
          <w:trHeight w:val="218" w:hRule="atLeast"/>
        </w:trPr>
        <w:tc>
          <w:tcPr>
            <w:tcW w:w="252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a</w:t>
            </w:r>
          </w:p>
        </w:tc>
        <w:tc>
          <w:tcPr>
            <w:tcW w:w="269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 xml:space="preserve">dBm/1.28 MHz </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 TT</w:t>
            </w:r>
          </w:p>
        </w:tc>
        <w:tc>
          <w:tcPr>
            <w:tcW w:w="154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 TT</w:t>
            </w:r>
          </w:p>
        </w:tc>
      </w:tr>
      <w:tr>
        <w:trPr>
          <w:trHeight w:val="218" w:hRule="atLeast"/>
        </w:trPr>
        <w:tc>
          <w:tcPr>
            <w:tcW w:w="252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b</w:t>
            </w:r>
          </w:p>
        </w:tc>
        <w:tc>
          <w:tcPr>
            <w:tcW w:w="269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dBm/1.28 MHz</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 TT</w:t>
            </w:r>
          </w:p>
        </w:tc>
        <w:tc>
          <w:tcPr>
            <w:tcW w:w="154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 TT</w:t>
            </w:r>
          </w:p>
        </w:tc>
      </w:tr>
      <w:tr>
        <w:trPr>
          <w:trHeight w:val="218" w:hRule="atLeast"/>
        </w:trPr>
        <w:tc>
          <w:tcPr>
            <w:tcW w:w="252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c</w:t>
            </w:r>
          </w:p>
        </w:tc>
        <w:tc>
          <w:tcPr>
            <w:tcW w:w="269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dBm/1.28 MHz</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 TT</w:t>
            </w:r>
          </w:p>
        </w:tc>
        <w:tc>
          <w:tcPr>
            <w:tcW w:w="154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 TT</w:t>
            </w:r>
          </w:p>
        </w:tc>
      </w:tr>
      <w:tr>
        <w:trPr>
          <w:trHeight w:val="218" w:hRule="atLeast"/>
        </w:trPr>
        <w:tc>
          <w:tcPr>
            <w:tcW w:w="252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w:t>
            </w:r>
          </w:p>
        </w:tc>
        <w:tc>
          <w:tcPr>
            <w:tcW w:w="269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dBm/1.28 MHz</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 TT</w:t>
            </w:r>
          </w:p>
        </w:tc>
        <w:tc>
          <w:tcPr>
            <w:tcW w:w="154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 TT</w:t>
            </w:r>
          </w:p>
        </w:tc>
      </w:tr>
      <w:tr>
        <w:trPr>
          <w:trHeight w:val="218" w:hRule="atLeast"/>
        </w:trPr>
        <w:tc>
          <w:tcPr>
            <w:tcW w:w="252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e</w:t>
            </w:r>
          </w:p>
        </w:tc>
        <w:tc>
          <w:tcPr>
            <w:tcW w:w="269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dBm/1.28 MHz</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 TT</w:t>
            </w:r>
          </w:p>
        </w:tc>
        <w:tc>
          <w:tcPr>
            <w:tcW w:w="154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 TT</w:t>
            </w:r>
          </w:p>
        </w:tc>
      </w:tr>
      <w:tr>
        <w:trPr>
          <w:trHeight w:val="218" w:hRule="atLeast"/>
        </w:trPr>
        <w:tc>
          <w:tcPr>
            <w:tcW w:w="252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f</w:t>
            </w:r>
          </w:p>
        </w:tc>
        <w:tc>
          <w:tcPr>
            <w:tcW w:w="269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dBm/1.28 MHz</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 TT</w:t>
            </w:r>
          </w:p>
        </w:tc>
        <w:tc>
          <w:tcPr>
            <w:tcW w:w="154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 + TT</w:t>
            </w:r>
          </w:p>
        </w:tc>
      </w:tr>
      <w:tr>
        <w:trPr>
          <w:trHeight w:val="220" w:hRule="atLeast"/>
        </w:trPr>
        <w:tc>
          <w:tcPr>
            <w:tcW w:w="8046" w:type="dxa"/>
            <w:gridSpan w:val="4"/>
            <w:tcBorders>
              <w:left w:val="single" w:sz="4" w:space="0" w:color="000000"/>
              <w:bottom w:val="single" w:sz="4" w:space="0" w:color="000000"/>
              <w:right w:val="single" w:sz="4" w:space="0" w:color="000000"/>
            </w:tcBorders>
            <w:vAlign w:val="center"/>
          </w:tcPr>
          <w:p>
            <w:pPr>
              <w:pStyle w:val="TAN"/>
              <w:rPr>
                <w:lang w:eastAsia="en-US"/>
              </w:rPr>
            </w:pPr>
            <w:r>
              <w:rPr>
                <w:lang w:eastAsia="en-US"/>
              </w:rPr>
              <w:t xml:space="preserve">NOTE 1: </w:t>
              <w:tab/>
              <w:t>Applicable for dual-mode GSM/UTRA LCR TDD.</w:t>
            </w:r>
          </w:p>
          <w:p>
            <w:pPr>
              <w:pStyle w:val="TAN"/>
              <w:rPr>
                <w:lang w:eastAsia="en-US"/>
              </w:rPr>
            </w:pPr>
            <w:r>
              <w:rPr>
                <w:lang w:eastAsia="en-US"/>
              </w:rPr>
              <w:t xml:space="preserve">NOTE 2: </w:t>
              <w:tab/>
              <w:t>Applicable for USB plug-in devices.</w:t>
            </w:r>
          </w:p>
        </w:tc>
      </w:tr>
    </w:tbl>
    <w:p>
      <w:pPr>
        <w:pStyle w:val="Normal"/>
        <w:rPr/>
      </w:pPr>
      <w:r>
        <w:rPr/>
      </w:r>
    </w:p>
    <w:p>
      <w:pPr>
        <w:pStyle w:val="Normal"/>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D.2.</w:t>
      </w:r>
    </w:p>
    <w:p>
      <w:pPr>
        <w:pStyle w:val="Normal"/>
        <w:rPr/>
      </w:pPr>
      <w:r>
        <w:rPr/>
      </w:r>
    </w:p>
    <w:p>
      <w:pPr>
        <w:pStyle w:val="Heading3"/>
        <w:rPr>
          <w:szCs w:val="16"/>
          <w:lang w:eastAsia="zh-CN"/>
        </w:rPr>
      </w:pPr>
      <w:bookmarkStart w:id="327" w:name="__RefHeading___Toc68601259"/>
      <w:bookmarkEnd w:id="327"/>
      <w:r>
        <w:rPr>
          <w:lang w:eastAsia="zh-CN"/>
        </w:rPr>
        <w:t>7</w:t>
      </w:r>
      <w:r>
        <w:rPr/>
        <w:t>.</w:t>
      </w:r>
      <w:r>
        <w:rPr>
          <w:lang w:eastAsia="zh-CN"/>
        </w:rPr>
        <w:t>2</w:t>
      </w:r>
      <w:r>
        <w:rPr/>
        <w:t>.3</w:t>
        <w:tab/>
      </w:r>
      <w:r>
        <w:rPr>
          <w:rFonts w:cs="Arial"/>
          <w:color w:val="000000"/>
          <w:szCs w:val="16"/>
        </w:rPr>
        <w:t>Total Radiated Sensitivity (TRS) for</w:t>
      </w:r>
      <w:r>
        <w:rPr>
          <w:szCs w:val="16"/>
        </w:rPr>
        <w:t xml:space="preserve"> E-UTRA FDD LME</w:t>
      </w:r>
    </w:p>
    <w:p>
      <w:pPr>
        <w:pStyle w:val="EditorsNote"/>
        <w:rPr/>
      </w:pPr>
      <w:r>
        <w:rPr/>
        <w:t>Editor’s notes: This subclause is incomplete. The following items are missing or incomplete:</w:t>
      </w:r>
    </w:p>
    <w:p>
      <w:pPr>
        <w:pStyle w:val="EditorsNote"/>
        <w:rPr/>
      </w:pPr>
      <w:r>
        <w:rPr/>
        <w:t>- Table 7.</w:t>
      </w:r>
      <w:r>
        <w:rPr>
          <w:lang w:eastAsia="zh-TW"/>
        </w:rPr>
        <w:t>2</w:t>
      </w:r>
      <w:r>
        <w:rPr/>
        <w:t>.3.2-1 and 7.</w:t>
      </w:r>
      <w:r>
        <w:rPr>
          <w:lang w:eastAsia="zh-TW"/>
        </w:rPr>
        <w:t>2</w:t>
      </w:r>
      <w:r>
        <w:rPr/>
        <w:t>.3.5-1 as they are not specified in TS 37.144 yet</w:t>
      </w:r>
    </w:p>
    <w:p>
      <w:pPr>
        <w:pStyle w:val="EditorsNote"/>
        <w:rPr/>
      </w:pPr>
      <w:r>
        <w:rPr/>
        <w:t>- Text for Subclause 7.</w:t>
      </w:r>
      <w:r>
        <w:rPr>
          <w:lang w:eastAsia="zh-TW"/>
        </w:rPr>
        <w:t>2</w:t>
      </w:r>
      <w:r>
        <w:rPr/>
        <w:t>.3.4.3</w:t>
        <w:tab/>
        <w:t xml:space="preserve"> Procedure, reverberation chamber method</w:t>
      </w:r>
    </w:p>
    <w:p>
      <w:pPr>
        <w:pStyle w:val="EditorsNote"/>
        <w:rPr/>
      </w:pPr>
      <w:r>
        <w:rPr/>
        <w:t xml:space="preserve">- Applicability </w:t>
      </w:r>
    </w:p>
    <w:p>
      <w:pPr>
        <w:pStyle w:val="Heading4"/>
        <w:ind w:left="1418" w:hanging="1418"/>
        <w:rPr/>
      </w:pPr>
      <w:bookmarkStart w:id="328" w:name="__RefHeading___Toc68601260"/>
      <w:bookmarkEnd w:id="328"/>
      <w:r>
        <w:rPr/>
        <w:t>7.</w:t>
      </w:r>
      <w:r>
        <w:rPr>
          <w:lang w:eastAsia="zh-TW"/>
        </w:rPr>
        <w:t>2</w:t>
      </w:r>
      <w:r>
        <w:rPr/>
        <w:t>.3.1</w:t>
      </w:r>
      <w:r>
        <w:rPr>
          <w:rFonts w:cs="Calibri" w:ascii="Calibri" w:hAnsi="Calibri"/>
          <w:sz w:val="22"/>
          <w:szCs w:val="22"/>
        </w:rPr>
        <w:tab/>
      </w:r>
      <w:r>
        <w:rPr/>
        <w:t>Definition and applicability</w:t>
      </w:r>
    </w:p>
    <w:p>
      <w:pPr>
        <w:pStyle w:val="Normal"/>
        <w:rPr/>
      </w:pPr>
      <w:r>
        <w:rPr/>
        <w:t>The Total Radiated Sensitivity is defined as: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4</m:t>
              </m:r>
              <m:r>
                <w:rPr>
                  <w:rFonts w:ascii="Cambria Math" w:hAnsi="Cambria Math"/>
                </w:rPr>
                <m:t xml:space="preserve">π</m:t>
              </m:r>
            </m:num>
            <m:den>
              <m:nary>
                <m:naryPr>
                  <m:chr m:val="∮"/>
                  <m:subHide m:val="1"/>
                  <m:supHide m:val="1"/>
                </m:naryPr>
                <m:sub/>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e>
                  </m:d>
                </m:e>
              </m:nary>
              <m:r>
                <w:rPr>
                  <w:rFonts w:ascii="Cambria Math" w:hAnsi="Cambria Math"/>
                </w:rPr>
                <m:t xml:space="preserve">d</m:t>
              </m:r>
              <m:r>
                <w:rPr>
                  <w:rFonts w:ascii="Cambria Math" w:hAnsi="Cambria Math"/>
                </w:rPr>
                <m:t xml:space="preserve">Ω</m:t>
              </m:r>
            </m:den>
          </m:f>
        </m:oMath>
      </m:oMathPara>
    </w:p>
    <w:p>
      <w:pPr>
        <w:pStyle w:val="Normal"/>
        <w:rPr/>
      </w:pPr>
      <w:r>
        <w:rPr/>
        <w:t>Where the effective isotropic sensitivity (</w:t>
      </w:r>
      <w:r>
        <w:rPr>
          <w:i/>
          <w:iCs/>
        </w:rPr>
        <w:t>EIS</w:t>
      </w:r>
      <w:r>
        <w:rPr/>
        <w:t xml:space="preserve">) is defined as the power available at the antenna output such as the sensitivity threshold is achieved for each polarization.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r>
          <w:rPr>
            <w:rFonts w:ascii="Cambria Math" w:hAnsi="Cambria Math"/>
          </w:rPr>
          <m:t xml:space="preserve">f</m:t>
        </m:r>
      </m:oMath>
      <w:r>
        <w:rPr/>
        <w:t xml:space="preserve"> is frequency.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 are the orthogonal polarizations.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2</m:t>
              </m:r>
              <m:r>
                <m:rPr>
                  <m:lit/>
                  <m:nor/>
                </m:rPr>
                <w:rPr>
                  <w:rFonts w:ascii="Cambria Math" w:hAnsi="Cambria Math"/>
                </w:rPr>
                <m:t xml:space="preserve">NM</m:t>
              </m:r>
            </m:num>
            <m:den>
              <m:r>
                <w:rPr>
                  <w:rFonts w:ascii="Cambria Math" w:hAnsi="Cambria Math"/>
                </w:rPr>
                <m:t xml:space="preserve">π</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e>
                      </m:d>
                      <m:r>
                        <m:rPr>
                          <m:lit/>
                          <m:nor/>
                        </m:rPr>
                        <w:rPr>
                          <w:rFonts w:ascii="Cambria Math" w:hAnsi="Cambria Math"/>
                        </w:rPr>
                        <m:t xml:space="preserve">sin</m:t>
                      </m:r>
                      <m:d>
                        <m:dPr>
                          <m:begChr m:val="("/>
                          <m:endChr m:val=")"/>
                        </m:dPr>
                        <m:e>
                          <m:sSub>
                            <m:e>
                              <m:r>
                                <w:rPr>
                                  <w:rFonts w:ascii="Cambria Math" w:hAnsi="Cambria Math"/>
                                </w:rPr>
                                <m:t xml:space="preserve">θ</m:t>
                              </m:r>
                            </m:e>
                            <m:sub>
                              <m:r>
                                <w:rPr>
                                  <w:rFonts w:ascii="Cambria Math" w:hAnsi="Cambria Math"/>
                                </w:rPr>
                                <m:t xml:space="preserve">n</m:t>
                              </m:r>
                            </m:sub>
                          </m:sSub>
                        </m:e>
                      </m:d>
                    </m:e>
                  </m:nary>
                </m:e>
              </m:nary>
            </m:den>
          </m:f>
        </m:oMath>
      </m:oMathPara>
    </w:p>
    <w:p>
      <w:pPr>
        <w:pStyle w:val="Normal"/>
        <w:rPr/>
      </w:pPr>
      <w:r>
        <w:rPr/>
        <w:t xml:space="preserve">In these formulas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are the number of sampling intervals for theta and phi.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oMath>
      <w:r>
        <w:rPr/>
        <w:t xml:space="preserve"> are the measurement angles. The sampling intervals are discussed further in Subclause 4.4.</w:t>
      </w:r>
    </w:p>
    <w:p>
      <w:pPr>
        <w:pStyle w:val="Normal"/>
        <w:rPr/>
      </w:pPr>
      <w:r>
        <w:rPr/>
        <w:t>[Applicability is TBD]</w:t>
      </w:r>
    </w:p>
    <w:p>
      <w:pPr>
        <w:pStyle w:val="Heading4"/>
        <w:ind w:left="1418" w:hanging="1418"/>
        <w:rPr/>
      </w:pPr>
      <w:bookmarkStart w:id="329" w:name="__RefHeading___Toc68601261"/>
      <w:bookmarkEnd w:id="329"/>
      <w:r>
        <w:rPr/>
        <w:t>7.</w:t>
      </w:r>
      <w:r>
        <w:rPr>
          <w:lang w:eastAsia="zh-TW"/>
        </w:rPr>
        <w:t>2</w:t>
      </w:r>
      <w:r>
        <w:rPr/>
        <w:t>.3.2</w:t>
      </w:r>
      <w:r>
        <w:rPr>
          <w:rFonts w:cs="Calibri" w:ascii="Calibri" w:hAnsi="Calibri"/>
          <w:sz w:val="22"/>
          <w:szCs w:val="22"/>
        </w:rPr>
        <w:tab/>
      </w:r>
      <w:r>
        <w:rPr/>
        <w:t>Minimum Requirements</w:t>
      </w:r>
    </w:p>
    <w:p>
      <w:pPr>
        <w:pStyle w:val="Normal"/>
        <w:jc w:val="both"/>
        <w:rPr/>
      </w:pPr>
      <w:r>
        <w:rPr/>
        <w:t>The average measured total radiated sensitivity (TRS) of low, mid and high channel for handheld UE shall be lower than the average TRS requirement specified in Table 7.</w:t>
      </w:r>
      <w:r>
        <w:rPr>
          <w:lang w:eastAsia="zh-TW"/>
        </w:rPr>
        <w:t>2</w:t>
      </w:r>
      <w:r>
        <w:rPr/>
        <w:t>.3.2-1. The averaging shall be done in linear scale for the TRS results. Average TRS requirement is shown in the column “Average” on the requirement tables.</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6</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e>
              </m:d>
            </m:e>
          </m:d>
        </m:oMath>
      </m:oMathPara>
    </w:p>
    <w:p>
      <w:pPr>
        <w:pStyle w:val="Normal"/>
        <w:rPr/>
      </w:pPr>
      <w:r>
        <w:rPr/>
        <w:t>In addition the highest TRS of each measured channel shall be lower than maximum TRS requirement specified in Table 7.</w:t>
      </w:r>
      <w:r>
        <w:rPr>
          <w:lang w:eastAsia="zh-TW"/>
        </w:rPr>
        <w:t>2</w:t>
      </w:r>
      <w:r>
        <w:rPr/>
        <w:t>.3.2-1. Maximum TRS requirement is shown in the column “Max” on the requirement tables.</w:t>
      </w:r>
    </w:p>
    <w:p>
      <w:pPr>
        <w:pStyle w:val="Normal"/>
        <w:keepLines/>
        <w:tabs>
          <w:tab w:val="clear" w:pos="284"/>
          <w:tab w:val="center" w:pos="4536" w:leader="none"/>
          <w:tab w:val="right" w:pos="9072" w:leader="none"/>
        </w:tabs>
        <w:jc w:val="center"/>
        <w:rPr/>
      </w:pPr>
      <w:r>
        <w:rPr/>
        <w:drawing>
          <wp:inline distT="0" distB="0" distL="0" distR="0">
            <wp:extent cx="5283200" cy="241300"/>
            <wp:effectExtent l="0" t="0" r="0" b="0"/>
            <wp:docPr id="44"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7" descr=""/>
                    <pic:cNvPicPr>
                      <a:picLocks noChangeAspect="1" noChangeArrowheads="1"/>
                    </pic:cNvPicPr>
                  </pic:nvPicPr>
                  <pic:blipFill>
                    <a:blip r:embed="rId36"/>
                    <a:srcRect l="-7" t="-149" r="-7" b="-149"/>
                    <a:stretch>
                      <a:fillRect/>
                    </a:stretch>
                  </pic:blipFill>
                  <pic:spPr bwMode="auto">
                    <a:xfrm>
                      <a:off x="0" y="0"/>
                      <a:ext cx="5283200" cy="241300"/>
                    </a:xfrm>
                    <a:prstGeom prst="rect">
                      <a:avLst/>
                    </a:prstGeom>
                  </pic:spPr>
                </pic:pic>
              </a:graphicData>
            </a:graphic>
          </wp:inline>
        </w:drawing>
      </w:r>
    </w:p>
    <w:p>
      <w:pPr>
        <w:pStyle w:val="Normal"/>
        <w:keepNext w:val="true"/>
        <w:keepLines/>
        <w:spacing w:before="60" w:after="180"/>
        <w:jc w:val="center"/>
        <w:rPr/>
      </w:pPr>
      <w:r>
        <w:rPr>
          <w:rFonts w:cs="Arial" w:ascii="Arial" w:hAnsi="Arial"/>
          <w:b/>
          <w:bCs/>
        </w:rPr>
        <w:t>Table 7.</w:t>
      </w:r>
      <w:r>
        <w:rPr>
          <w:rFonts w:cs="Arial" w:ascii="Arial" w:hAnsi="Arial"/>
          <w:b/>
          <w:bCs/>
          <w:lang w:eastAsia="zh-TW"/>
        </w:rPr>
        <w:t>2</w:t>
      </w:r>
      <w:r>
        <w:rPr>
          <w:rFonts w:cs="Arial" w:ascii="Arial" w:hAnsi="Arial"/>
          <w:b/>
          <w:bCs/>
        </w:rPr>
        <w:t xml:space="preserve">.3.2-1: TRS minimum performance requirement for E-UTRA FDD roaming mode for </w:t>
      </w:r>
      <w:r>
        <w:rPr>
          <w:rFonts w:cs="Arial" w:ascii="Arial" w:hAnsi="Arial"/>
          <w:b/>
          <w:bCs/>
          <w:lang w:eastAsia="zh-TW"/>
        </w:rPr>
        <w:t>LME</w:t>
      </w:r>
      <w:r>
        <w:rPr>
          <w:rFonts w:cs="Arial" w:ascii="Arial" w:hAnsi="Arial"/>
          <w:b/>
          <w:bCs/>
        </w:rPr>
        <w:t xml:space="preserve"> devices in the data transfers position and</w:t>
      </w:r>
      <w:r>
        <w:rPr>
          <w:rFonts w:cs="Arial" w:ascii="Arial" w:hAnsi="Arial"/>
          <w:b/>
          <w:bCs/>
          <w:lang w:eastAsia="ja-JP"/>
        </w:rPr>
        <w:t xml:space="preserve"> the primary mechanical mode</w:t>
      </w:r>
    </w:p>
    <w:p>
      <w:pPr>
        <w:pStyle w:val="Normal"/>
        <w:rPr>
          <w:b/>
          <w:b/>
        </w:rPr>
      </w:pPr>
      <w:r>
        <w:rPr/>
        <w:t>TBD</w:t>
      </w:r>
    </w:p>
    <w:p>
      <w:pPr>
        <w:pStyle w:val="Normal"/>
        <w:rPr>
          <w:b/>
          <w:b/>
        </w:rPr>
      </w:pPr>
      <w:r>
        <w:rPr>
          <w:b/>
        </w:rPr>
      </w:r>
    </w:p>
    <w:p>
      <w:pPr>
        <w:pStyle w:val="Normal"/>
        <w:rPr/>
      </w:pPr>
      <w:r>
        <w:rPr/>
        <w:t>The normative reference for this clause is TS 37.144 [</w:t>
      </w:r>
      <w:r>
        <w:rPr>
          <w:lang w:eastAsia="zh-TW"/>
        </w:rPr>
        <w:t>12</w:t>
      </w:r>
      <w:r>
        <w:rPr/>
        <w:t>] Subclause 7.</w:t>
      </w:r>
      <w:r>
        <w:rPr>
          <w:lang w:eastAsia="zh-TW"/>
        </w:rPr>
        <w:t>2</w:t>
      </w:r>
      <w:r>
        <w:rPr/>
        <w:t>.4.</w:t>
      </w:r>
    </w:p>
    <w:p>
      <w:pPr>
        <w:pStyle w:val="Heading4"/>
        <w:ind w:left="1418" w:hanging="1418"/>
        <w:rPr/>
      </w:pPr>
      <w:bookmarkStart w:id="330" w:name="__RefHeading___Toc68601262"/>
      <w:bookmarkEnd w:id="330"/>
      <w:r>
        <w:rPr/>
        <w:t>7.</w:t>
      </w:r>
      <w:r>
        <w:rPr>
          <w:lang w:eastAsia="zh-TW"/>
        </w:rPr>
        <w:t>2</w:t>
      </w:r>
      <w:r>
        <w:rPr/>
        <w:t>.3.3</w:t>
      </w:r>
      <w:r>
        <w:rPr>
          <w:rFonts w:cs="Calibri" w:ascii="Calibri" w:hAnsi="Calibri"/>
          <w:sz w:val="22"/>
          <w:szCs w:val="22"/>
        </w:rPr>
        <w:tab/>
      </w:r>
      <w:r>
        <w:rPr/>
        <w:t>Test purpose</w:t>
      </w:r>
    </w:p>
    <w:p>
      <w:pPr>
        <w:pStyle w:val="Normal"/>
        <w:rPr/>
      </w:pPr>
      <w:r>
        <w:rPr/>
        <w:t xml:space="preserve">The purpose of this test is to ensure that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max</m:t>
            </m:r>
          </m:sub>
        </m:sSub>
      </m:oMath>
      <w:r>
        <w:rPr/>
        <w:t xml:space="preserve"> of the UE is above specified limit. The lack of the reception sensitivity decreases the coverage area at the far side from Node B.</w:t>
      </w:r>
    </w:p>
    <w:p>
      <w:pPr>
        <w:pStyle w:val="Heading4"/>
        <w:ind w:left="1418" w:hanging="1418"/>
        <w:rPr/>
      </w:pPr>
      <w:bookmarkStart w:id="331" w:name="__RefHeading___Toc68601263"/>
      <w:bookmarkEnd w:id="331"/>
      <w:r>
        <w:rPr/>
        <w:t>7.</w:t>
      </w:r>
      <w:r>
        <w:rPr>
          <w:lang w:eastAsia="zh-TW"/>
        </w:rPr>
        <w:t>2</w:t>
      </w:r>
      <w:r>
        <w:rPr/>
        <w:t>.3.4</w:t>
      </w:r>
      <w:r>
        <w:rPr>
          <w:rFonts w:cs="Calibri" w:ascii="Calibri" w:hAnsi="Calibri"/>
          <w:sz w:val="22"/>
          <w:szCs w:val="22"/>
        </w:rPr>
        <w:tab/>
      </w:r>
      <w:r>
        <w:rPr/>
        <w:t>Method of test</w:t>
      </w:r>
    </w:p>
    <w:p>
      <w:pPr>
        <w:pStyle w:val="Heading4"/>
        <w:ind w:left="1418" w:hanging="1418"/>
        <w:rPr/>
      </w:pPr>
      <w:bookmarkStart w:id="332" w:name="__RefHeading___Toc68601264"/>
      <w:bookmarkEnd w:id="332"/>
      <w:r>
        <w:rPr/>
        <w:t>7.</w:t>
      </w:r>
      <w:r>
        <w:rPr>
          <w:lang w:eastAsia="zh-TW"/>
        </w:rPr>
        <w:t>2</w:t>
      </w:r>
      <w:r>
        <w:rPr/>
        <w:t>.3.4.1</w:t>
      </w:r>
      <w:r>
        <w:rPr>
          <w:rFonts w:cs="Calibri" w:ascii="Calibri" w:hAnsi="Calibri"/>
          <w:sz w:val="22"/>
          <w:szCs w:val="22"/>
        </w:rPr>
        <w:tab/>
      </w:r>
      <w:r>
        <w:rPr/>
        <w:t>Initial conditions</w:t>
      </w:r>
    </w:p>
    <w:p>
      <w:pPr>
        <w:pStyle w:val="Normal"/>
        <w:rPr/>
      </w:pPr>
      <w:r>
        <w:rPr/>
        <w:t xml:space="preserve">A radio communications tester or a corresponding device is used as a NB simulator to setup calls to the DUT. The NB simulator is also used to send test signals to the UE and measure the BER levels of the radio link and the information on the dedicated channel needed to extract the DUT receiver performances. </w:t>
      </w:r>
    </w:p>
    <w:p>
      <w:pPr>
        <w:pStyle w:val="Normal"/>
        <w:rPr/>
      </w:pPr>
      <w:r>
        <w:rPr>
          <w:lang w:eastAsia="ja-JP"/>
        </w:rPr>
        <w:t>Chamber environment constraints and coordinate system shall be the same as described in Subclause A.3.</w:t>
      </w:r>
    </w:p>
    <w:p>
      <w:pPr>
        <w:pStyle w:val="Normal"/>
        <w:rPr/>
      </w:pPr>
      <w:r>
        <w:rPr>
          <w:lang w:eastAsia="ja-JP"/>
        </w:rPr>
        <w:t xml:space="preserve">Phantom Specifications shall be the same as described in </w:t>
      </w:r>
      <w:r>
        <w:rPr/>
        <w:t>Subclause A.2.</w:t>
      </w:r>
      <w:r>
        <w:rPr>
          <w:lang w:eastAsia="zh-TW"/>
        </w:rPr>
        <w:t>3</w:t>
      </w:r>
      <w:r>
        <w:rPr/>
        <w:t>.</w:t>
      </w:r>
    </w:p>
    <w:p>
      <w:pPr>
        <w:pStyle w:val="Normal"/>
        <w:rPr/>
      </w:pPr>
      <w:r>
        <w:rPr/>
        <w:t>Test environment: normal; see TS36.508 [10] Subclause 4.1.1.</w:t>
      </w:r>
    </w:p>
    <w:p>
      <w:pPr>
        <w:pStyle w:val="Normal"/>
        <w:rPr/>
      </w:pPr>
      <w:r>
        <w:rPr/>
        <w:t>Frequencies to be tested: low range, mid range, high range; see Table 5.3-2.</w:t>
      </w:r>
      <w:r>
        <w:rPr>
          <w:lang w:eastAsia="ja-JP"/>
        </w:rPr>
        <w:t xml:space="preserve"> </w:t>
      </w:r>
    </w:p>
    <w:p>
      <w:pPr>
        <w:pStyle w:val="Normal"/>
        <w:rPr/>
      </w:pPr>
      <w:r>
        <w:rPr>
          <w:lang w:eastAsia="ja-JP"/>
        </w:rPr>
        <w:t>Positioning Requirements shall be the same as described in Subclause 4.3.</w:t>
      </w:r>
    </w:p>
    <w:p>
      <w:pPr>
        <w:pStyle w:val="B1"/>
        <w:rPr>
          <w:lang w:eastAsia="zh-TW"/>
        </w:rPr>
      </w:pPr>
      <w:r>
        <w:rPr/>
        <w:t>1)</w:t>
        <w:tab/>
        <w:t xml:space="preserve">Position the plug-in UE according to the DUT positioning </w:t>
      </w:r>
      <w:r>
        <w:rPr>
          <w:lang w:eastAsia="zh-TW"/>
        </w:rPr>
        <w:t>on laptop ground plane phantom</w:t>
      </w:r>
      <w:r>
        <w:rPr/>
        <w:t xml:space="preserve"> specified in Subclause 4.3.</w:t>
      </w:r>
      <w:r>
        <w:rPr>
          <w:lang w:eastAsia="zh-TW"/>
        </w:rPr>
        <w:t>2</w:t>
      </w:r>
      <w:r>
        <w:rPr/>
        <w:t>.</w:t>
      </w:r>
    </w:p>
    <w:p>
      <w:pPr>
        <w:pStyle w:val="Normal"/>
        <w:ind w:left="568" w:hanging="284"/>
        <w:rPr/>
      </w:pPr>
      <w:r>
        <w:rPr/>
        <w:t>2)</w:t>
        <w:tab/>
        <w:t>Power on the plug-in UE. The real functional laptop supplies power to the plug-in UE.</w:t>
      </w:r>
    </w:p>
    <w:p>
      <w:pPr>
        <w:pStyle w:val="Normal"/>
        <w:ind w:left="568" w:hanging="284"/>
        <w:rPr/>
      </w:pPr>
      <w:r>
        <w:rPr/>
        <w:t>3)</w:t>
        <w:tab/>
        <w:t>Set the initial conditions as per Subclause 7.3 of 3GPP TS 36.521-1 [</w:t>
      </w:r>
      <w:r>
        <w:rPr>
          <w:lang w:eastAsia="zh-TW"/>
        </w:rPr>
        <w:t>11</w:t>
      </w:r>
      <w:r>
        <w:rPr/>
        <w:t>], with the following exception: set the carrier frequency, channel bandwidth, RB length and RB location as per Table 5.3-2 for FDD mode. For DUTs with more than one receiver port, all the tests should be performed using both (all) antenna ports simultaneously.</w:t>
      </w:r>
    </w:p>
    <w:p>
      <w:pPr>
        <w:pStyle w:val="Heading4"/>
        <w:ind w:left="1418" w:hanging="1418"/>
        <w:rPr/>
      </w:pPr>
      <w:bookmarkStart w:id="333" w:name="__RefHeading___Toc68601265"/>
      <w:bookmarkEnd w:id="333"/>
      <w:r>
        <w:rPr/>
        <w:t>7.</w:t>
      </w:r>
      <w:r>
        <w:rPr>
          <w:lang w:eastAsia="zh-TW"/>
        </w:rPr>
        <w:t>2</w:t>
      </w:r>
      <w:r>
        <w:rPr/>
        <w:t>.3.4.2</w:t>
      </w:r>
      <w:r>
        <w:rPr>
          <w:rFonts w:cs="Calibri" w:ascii="Calibri" w:hAnsi="Calibri"/>
          <w:sz w:val="22"/>
          <w:szCs w:val="22"/>
        </w:rPr>
        <w:tab/>
      </w:r>
      <w:r>
        <w:rPr/>
        <w:t>Procedure</w:t>
      </w:r>
    </w:p>
    <w:p>
      <w:pPr>
        <w:pStyle w:val="B1"/>
        <w:rPr/>
      </w:pPr>
      <w:r>
        <w:rPr/>
        <w:t>1)</w:t>
        <w:tab/>
        <w:t>Follow Steps 1 through 4 in Subclause 7.3.4.2 of 3GPP TS 36.521-1 [</w:t>
      </w:r>
      <w:r>
        <w:rPr>
          <w:lang w:eastAsia="zh-TW"/>
        </w:rPr>
        <w:t>11</w:t>
      </w:r>
      <w:r>
        <w:rPr/>
        <w:t>], with the following exception: measure the receiver sensitivity by adjusting the downlink signal level to 95 % throughput of the maximum throughput of the reference channel (maximum throughput is per Annex A of 3GPP TS 36.521-1 [</w:t>
      </w:r>
      <w:r>
        <w:rPr>
          <w:lang w:eastAsia="zh-TW"/>
        </w:rPr>
        <w:t>11</w:t>
      </w:r>
      <w:r>
        <w:rPr/>
        <w:t xml:space="preserve">]). </w:t>
      </w:r>
    </w:p>
    <w:p>
      <w:pPr>
        <w:pStyle w:val="B1"/>
        <w:rPr/>
      </w:pPr>
      <w:r>
        <w:rPr/>
        <w:t>2)</w:t>
        <w:tab/>
        <w:t>For the anechoic chamber based methodologies, repeat Step 1) with 3-D sampling grid specified in Subclause 4.4. The minimum RF power level resulting in a data throughput greater than or equal to 95 % throughput of the maximum throughput for each test shall be recorded for integration pursuant to Subclause 7.</w:t>
      </w:r>
      <w:r>
        <w:rPr>
          <w:lang w:eastAsia="zh-TW"/>
        </w:rPr>
        <w:t>2</w:t>
      </w:r>
      <w:r>
        <w:rPr/>
        <w:t>.3.1 to calculate TRS.</w:t>
      </w:r>
    </w:p>
    <w:p>
      <w:pPr>
        <w:pStyle w:val="Normal"/>
        <w:ind w:left="568" w:hanging="284"/>
        <w:rPr/>
      </w:pPr>
      <w:r>
        <w:rPr/>
        <w:t>3)</w:t>
        <w:tab/>
        <w:t>Repeat the measurement of the DUT for low, mid and high channels.</w:t>
      </w:r>
    </w:p>
    <w:p>
      <w:pPr>
        <w:pStyle w:val="B1"/>
        <w:rPr/>
      </w:pPr>
      <w:r>
        <w:rPr/>
        <w:t>4)</w:t>
        <w:tab/>
        <w:t>Calculate the average and minimum TRS as per Subclause 7.</w:t>
      </w:r>
      <w:r>
        <w:rPr>
          <w:lang w:eastAsia="zh-TW"/>
        </w:rPr>
        <w:t>2</w:t>
      </w:r>
      <w:r>
        <w:rPr/>
        <w:t>.3.2.</w:t>
      </w:r>
    </w:p>
    <w:p>
      <w:pPr>
        <w:pStyle w:val="Heading4"/>
        <w:ind w:left="1418" w:hanging="1418"/>
        <w:rPr/>
      </w:pPr>
      <w:bookmarkStart w:id="334" w:name="__RefHeading___Toc68601266"/>
      <w:bookmarkEnd w:id="334"/>
      <w:r>
        <w:rPr/>
        <w:t>7.</w:t>
      </w:r>
      <w:r>
        <w:rPr>
          <w:lang w:eastAsia="zh-TW"/>
        </w:rPr>
        <w:t>2</w:t>
      </w:r>
      <w:r>
        <w:rPr/>
        <w:t>.3.4.3</w:t>
      </w:r>
      <w:r>
        <w:rPr>
          <w:rFonts w:cs="Calibri" w:ascii="Calibri" w:hAnsi="Calibri"/>
          <w:sz w:val="22"/>
          <w:szCs w:val="22"/>
        </w:rPr>
        <w:tab/>
      </w:r>
      <w:r>
        <w:rPr/>
        <w:t>Procedure, reverberation chamber method</w:t>
      </w:r>
    </w:p>
    <w:p>
      <w:pPr>
        <w:pStyle w:val="Normal"/>
        <w:rPr/>
      </w:pPr>
      <w:r>
        <w:rPr/>
        <w:t>TBD</w:t>
      </w:r>
    </w:p>
    <w:p>
      <w:pPr>
        <w:pStyle w:val="Heading4"/>
        <w:ind w:left="1418" w:hanging="1418"/>
        <w:rPr/>
      </w:pPr>
      <w:bookmarkStart w:id="335" w:name="__RefHeading___Toc68601267"/>
      <w:bookmarkEnd w:id="335"/>
      <w:r>
        <w:rPr/>
        <w:t>7.</w:t>
      </w:r>
      <w:r>
        <w:rPr>
          <w:lang w:eastAsia="zh-TW"/>
        </w:rPr>
        <w:t>2</w:t>
      </w:r>
      <w:r>
        <w:rPr/>
        <w:t>.3.5</w:t>
      </w:r>
      <w:r>
        <w:rPr>
          <w:rFonts w:cs="Calibri" w:ascii="Calibri" w:hAnsi="Calibri"/>
          <w:sz w:val="22"/>
          <w:szCs w:val="22"/>
        </w:rPr>
        <w:tab/>
      </w:r>
      <w:r>
        <w:rPr/>
        <w:t>Test requirements</w:t>
      </w:r>
    </w:p>
    <w:p>
      <w:pPr>
        <w:pStyle w:val="Normal"/>
        <w:jc w:val="both"/>
        <w:rPr/>
      </w:pPr>
      <w:r>
        <w:rPr/>
        <w:t>The average measured total radiated sensitivity (TRS) of low, mid and high channel for handheld UE shall be lower than the average TRS requirement specified in Table 7.</w:t>
      </w:r>
      <w:r>
        <w:rPr>
          <w:lang w:eastAsia="zh-TW"/>
        </w:rPr>
        <w:t>2</w:t>
      </w:r>
      <w:r>
        <w:rPr/>
        <w:t>.3.5-1</w:t>
      </w:r>
      <w:r>
        <w:rPr>
          <w:lang w:eastAsia="zh-TW"/>
        </w:rPr>
        <w:t>.</w:t>
      </w:r>
      <w:r>
        <w:rPr/>
        <w:t xml:space="preserve"> The averaging shall be done in linear scale for the TRS results. Average TRS requirement is shown in the column “Average” on the requirement tables.</w:t>
      </w:r>
    </w:p>
    <w:p>
      <w:pPr>
        <w:pStyle w:val="Normal"/>
        <w:keepLines/>
        <w:tabs>
          <w:tab w:val="clear" w:pos="284"/>
          <w:tab w:val="center" w:pos="4536" w:leader="none"/>
          <w:tab w:val="right" w:pos="9072" w:leader="none"/>
        </w:tabs>
        <w:jc w:val="center"/>
        <w:rPr/>
      </w:pPr>
      <w:r>
        <w:rPr/>
      </w:r>
      <m:oMathPara xmlns:m="http://schemas.openxmlformats.org/officeDocument/2006/math">
        <m:oMathParaPr>
          <m:jc m:val="center"/>
        </m:oMathParaPr>
        <m:o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6</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e>
              </m:d>
            </m:e>
          </m:d>
        </m:oMath>
      </m:oMathPara>
    </w:p>
    <w:p>
      <w:pPr>
        <w:pStyle w:val="Normal"/>
        <w:rPr/>
      </w:pPr>
      <w:r>
        <w:rPr/>
        <w:t>In addition the highest TRS of each measured channel shall be lower than maximum TRS requirement specified in Table 7.</w:t>
      </w:r>
      <w:r>
        <w:rPr>
          <w:lang w:eastAsia="zh-TW"/>
        </w:rPr>
        <w:t>2</w:t>
      </w:r>
      <w:r>
        <w:rPr/>
        <w:t>.3.5-1. Maximum TRS requirement is shown in the column “Max” on the requirement tables.</w:t>
      </w:r>
    </w:p>
    <w:p>
      <w:pPr>
        <w:pStyle w:val="Normal"/>
        <w:keepLines/>
        <w:tabs>
          <w:tab w:val="clear" w:pos="284"/>
          <w:tab w:val="center" w:pos="4536" w:leader="none"/>
          <w:tab w:val="right" w:pos="9072" w:leader="none"/>
        </w:tabs>
        <w:jc w:val="center"/>
        <w:rPr/>
      </w:pPr>
      <w:r>
        <w:rPr/>
        <w:drawing>
          <wp:inline distT="0" distB="0" distL="0" distR="0">
            <wp:extent cx="5283200" cy="241300"/>
            <wp:effectExtent l="0" t="0" r="0" b="0"/>
            <wp:docPr id="45"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8" descr=""/>
                    <pic:cNvPicPr>
                      <a:picLocks noChangeAspect="1" noChangeArrowheads="1"/>
                    </pic:cNvPicPr>
                  </pic:nvPicPr>
                  <pic:blipFill>
                    <a:blip r:embed="rId37"/>
                    <a:srcRect l="-7" t="-149" r="-7" b="-149"/>
                    <a:stretch>
                      <a:fillRect/>
                    </a:stretch>
                  </pic:blipFill>
                  <pic:spPr bwMode="auto">
                    <a:xfrm>
                      <a:off x="0" y="0"/>
                      <a:ext cx="5283200" cy="241300"/>
                    </a:xfrm>
                    <a:prstGeom prst="rect">
                      <a:avLst/>
                    </a:prstGeom>
                  </pic:spPr>
                </pic:pic>
              </a:graphicData>
            </a:graphic>
          </wp:inline>
        </w:drawing>
      </w:r>
    </w:p>
    <w:p>
      <w:pPr>
        <w:pStyle w:val="Normal"/>
        <w:keepNext w:val="true"/>
        <w:keepLines/>
        <w:spacing w:before="60" w:after="180"/>
        <w:jc w:val="center"/>
        <w:rPr/>
      </w:pPr>
      <w:r>
        <w:rPr>
          <w:rFonts w:cs="Arial" w:ascii="Arial" w:hAnsi="Arial"/>
          <w:b/>
          <w:bCs/>
        </w:rPr>
        <w:t>Table 7.</w:t>
      </w:r>
      <w:r>
        <w:rPr>
          <w:rFonts w:cs="Arial" w:ascii="Arial" w:hAnsi="Arial"/>
          <w:b/>
          <w:bCs/>
          <w:lang w:eastAsia="zh-TW"/>
        </w:rPr>
        <w:t>2</w:t>
      </w:r>
      <w:r>
        <w:rPr>
          <w:rFonts w:cs="Arial" w:ascii="Arial" w:hAnsi="Arial"/>
          <w:b/>
          <w:bCs/>
        </w:rPr>
        <w:t xml:space="preserve">.3.5-1: TRS minimum requirement for E-UTRA FDD roaming mode for </w:t>
      </w:r>
      <w:r>
        <w:rPr>
          <w:rFonts w:cs="Arial" w:ascii="Arial" w:hAnsi="Arial"/>
          <w:b/>
          <w:bCs/>
          <w:lang w:eastAsia="zh-TW"/>
        </w:rPr>
        <w:t>LME</w:t>
      </w:r>
      <w:r>
        <w:rPr>
          <w:rFonts w:cs="Arial" w:ascii="Arial" w:hAnsi="Arial"/>
          <w:b/>
          <w:bCs/>
        </w:rPr>
        <w:t xml:space="preserve"> devices in the data transfers position and</w:t>
      </w:r>
      <w:r>
        <w:rPr>
          <w:rFonts w:cs="Arial" w:ascii="Arial" w:hAnsi="Arial"/>
          <w:b/>
          <w:bCs/>
          <w:lang w:eastAsia="ja-JP"/>
        </w:rPr>
        <w:t xml:space="preserve"> the primary mechanical mode</w:t>
      </w:r>
    </w:p>
    <w:p>
      <w:pPr>
        <w:pStyle w:val="Normal"/>
        <w:rPr>
          <w:lang w:eastAsia="zh-TW"/>
        </w:rPr>
      </w:pPr>
      <w:r>
        <w:rPr/>
        <w:t>TBD</w:t>
      </w:r>
    </w:p>
    <w:p>
      <w:pPr>
        <w:pStyle w:val="Normal"/>
        <w:rPr>
          <w:b/>
          <w:b/>
          <w:lang w:eastAsia="zh-TW"/>
        </w:rPr>
      </w:pPr>
      <w:r>
        <w:rPr>
          <w:b/>
          <w:lang w:eastAsia="zh-TW"/>
        </w:rPr>
      </w:r>
    </w:p>
    <w:p>
      <w:pPr>
        <w:pStyle w:val="NO"/>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D.2.</w:t>
      </w:r>
    </w:p>
    <w:p>
      <w:pPr>
        <w:pStyle w:val="Heading3"/>
        <w:rPr/>
      </w:pPr>
      <w:bookmarkStart w:id="336" w:name="__RefHeading___Toc68601268"/>
      <w:bookmarkEnd w:id="336"/>
      <w:r>
        <w:rPr>
          <w:lang w:eastAsia="zh-CN"/>
        </w:rPr>
        <w:t>7</w:t>
      </w:r>
      <w:r>
        <w:rPr/>
        <w:t>.</w:t>
      </w:r>
      <w:r>
        <w:rPr>
          <w:lang w:eastAsia="zh-CN"/>
        </w:rPr>
        <w:t>2</w:t>
      </w:r>
      <w:r>
        <w:rPr/>
        <w:t>.4</w:t>
        <w:tab/>
      </w:r>
      <w:r>
        <w:rPr>
          <w:rFonts w:cs="Arial"/>
          <w:color w:val="000000"/>
          <w:szCs w:val="16"/>
        </w:rPr>
        <w:t>Total Radiated Sensitivity (TRS) for</w:t>
      </w:r>
      <w:r>
        <w:rPr>
          <w:szCs w:val="16"/>
        </w:rPr>
        <w:t xml:space="preserve"> E-UTRA TDD LME</w:t>
      </w:r>
    </w:p>
    <w:p>
      <w:pPr>
        <w:pStyle w:val="EditorsNote"/>
        <w:rPr/>
      </w:pPr>
      <w:r>
        <w:rPr/>
        <w:t>Editor’s notes: This subclause is incomplete. The following items are missing or incomplete:</w:t>
      </w:r>
    </w:p>
    <w:p>
      <w:pPr>
        <w:pStyle w:val="EditorsNote"/>
        <w:rPr/>
      </w:pPr>
      <w:r>
        <w:rPr/>
        <w:t>- Table 7.</w:t>
      </w:r>
      <w:r>
        <w:rPr>
          <w:lang w:eastAsia="zh-TW"/>
        </w:rPr>
        <w:t>2</w:t>
      </w:r>
      <w:r>
        <w:rPr/>
        <w:t>.4.2-1 and 7.</w:t>
      </w:r>
      <w:r>
        <w:rPr>
          <w:lang w:eastAsia="zh-TW"/>
        </w:rPr>
        <w:t>2</w:t>
      </w:r>
      <w:r>
        <w:rPr/>
        <w:t>.4.5-1 as they are not specified in TS 37.144 yet</w:t>
      </w:r>
    </w:p>
    <w:p>
      <w:pPr>
        <w:pStyle w:val="EditorsNote"/>
        <w:rPr/>
      </w:pPr>
      <w:r>
        <w:rPr/>
        <w:t>- Text for Subclause 7.</w:t>
      </w:r>
      <w:r>
        <w:rPr>
          <w:lang w:eastAsia="zh-TW"/>
        </w:rPr>
        <w:t>2</w:t>
      </w:r>
      <w:r>
        <w:rPr/>
        <w:t>.4.4.3</w:t>
        <w:tab/>
        <w:t xml:space="preserve"> Procedure, reverberation chamber method</w:t>
      </w:r>
    </w:p>
    <w:p>
      <w:pPr>
        <w:pStyle w:val="EditorsNote"/>
        <w:rPr/>
      </w:pPr>
      <w:r>
        <w:rPr/>
        <w:t>- Applicability</w:t>
      </w:r>
    </w:p>
    <w:p>
      <w:pPr>
        <w:pStyle w:val="Heading4"/>
        <w:ind w:left="1418" w:hanging="1418"/>
        <w:rPr/>
      </w:pPr>
      <w:bookmarkStart w:id="337" w:name="__RefHeading___Toc68601269"/>
      <w:bookmarkEnd w:id="337"/>
      <w:r>
        <w:rPr/>
        <w:t>7.</w:t>
      </w:r>
      <w:r>
        <w:rPr>
          <w:lang w:eastAsia="zh-TW"/>
        </w:rPr>
        <w:t>2</w:t>
      </w:r>
      <w:r>
        <w:rPr/>
        <w:t>.4.1</w:t>
      </w:r>
      <w:r>
        <w:rPr>
          <w:rFonts w:cs="Calibri" w:ascii="Calibri" w:hAnsi="Calibri"/>
          <w:sz w:val="22"/>
          <w:szCs w:val="22"/>
        </w:rPr>
        <w:tab/>
      </w:r>
      <w:r>
        <w:rPr/>
        <w:t>Definition and applicability</w:t>
      </w:r>
    </w:p>
    <w:p>
      <w:pPr>
        <w:pStyle w:val="Normal"/>
        <w:rPr/>
      </w:pPr>
      <w:r>
        <w:rPr/>
        <w:t>The Total Radiated Sensitivity is defined as: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4</m:t>
              </m:r>
              <m:r>
                <w:rPr>
                  <w:rFonts w:ascii="Cambria Math" w:hAnsi="Cambria Math"/>
                </w:rPr>
                <m:t xml:space="preserve">π</m:t>
              </m:r>
            </m:num>
            <m:den>
              <m:nary>
                <m:naryPr>
                  <m:chr m:val="∮"/>
                  <m:subHide m:val="1"/>
                  <m:supHide m:val="1"/>
                </m:naryPr>
                <m:sub/>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e>
                  </m:d>
                </m:e>
              </m:nary>
              <m:r>
                <w:rPr>
                  <w:rFonts w:ascii="Cambria Math" w:hAnsi="Cambria Math"/>
                </w:rPr>
                <m:t xml:space="preserve">d</m:t>
              </m:r>
              <m:r>
                <w:rPr>
                  <w:rFonts w:ascii="Cambria Math" w:hAnsi="Cambria Math"/>
                </w:rPr>
                <m:t xml:space="preserve">Ω</m:t>
              </m:r>
            </m:den>
          </m:f>
        </m:oMath>
      </m:oMathPara>
    </w:p>
    <w:p>
      <w:pPr>
        <w:pStyle w:val="Normal"/>
        <w:rPr/>
      </w:pPr>
      <w:r>
        <w:rPr/>
        <w:t>Where the effective isotropic sensitivity (</w:t>
      </w:r>
      <w:r>
        <w:rPr>
          <w:i/>
          <w:iCs/>
        </w:rPr>
        <w:t>EIS</w:t>
      </w:r>
      <w:r>
        <w:rPr/>
        <w:t xml:space="preserve">) is defined as the power available at the antenna output such as the sensitivity threshold is achieved for each polarization.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r>
          <w:rPr>
            <w:rFonts w:ascii="Cambria Math" w:hAnsi="Cambria Math"/>
          </w:rPr>
          <m:t xml:space="preserve">f</m:t>
        </m:r>
      </m:oMath>
      <w:r>
        <w:rPr/>
        <w:t xml:space="preserve"> is frequency.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 are the orthogonal polarizations.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2</m:t>
              </m:r>
              <m:r>
                <m:rPr>
                  <m:lit/>
                  <m:nor/>
                </m:rPr>
                <w:rPr>
                  <w:rFonts w:ascii="Cambria Math" w:hAnsi="Cambria Math"/>
                </w:rPr>
                <m:t xml:space="preserve">NM</m:t>
              </m:r>
            </m:num>
            <m:den>
              <m:r>
                <w:rPr>
                  <w:rFonts w:ascii="Cambria Math" w:hAnsi="Cambria Math"/>
                </w:rPr>
                <m:t xml:space="preserve">π</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e>
                      </m:d>
                      <m:r>
                        <m:rPr>
                          <m:lit/>
                          <m:nor/>
                        </m:rPr>
                        <w:rPr>
                          <w:rFonts w:ascii="Cambria Math" w:hAnsi="Cambria Math"/>
                        </w:rPr>
                        <m:t xml:space="preserve">sin</m:t>
                      </m:r>
                      <m:d>
                        <m:dPr>
                          <m:begChr m:val="("/>
                          <m:endChr m:val=")"/>
                        </m:dPr>
                        <m:e>
                          <m:sSub>
                            <m:e>
                              <m:r>
                                <w:rPr>
                                  <w:rFonts w:ascii="Cambria Math" w:hAnsi="Cambria Math"/>
                                </w:rPr>
                                <m:t xml:space="preserve">θ</m:t>
                              </m:r>
                            </m:e>
                            <m:sub>
                              <m:r>
                                <w:rPr>
                                  <w:rFonts w:ascii="Cambria Math" w:hAnsi="Cambria Math"/>
                                </w:rPr>
                                <m:t xml:space="preserve">n</m:t>
                              </m:r>
                            </m:sub>
                          </m:sSub>
                        </m:e>
                      </m:d>
                    </m:e>
                  </m:nary>
                </m:e>
              </m:nary>
            </m:den>
          </m:f>
        </m:oMath>
      </m:oMathPara>
    </w:p>
    <w:p>
      <w:pPr>
        <w:pStyle w:val="Normal"/>
        <w:rPr/>
      </w:pPr>
      <w:r>
        <w:rPr/>
        <w:t xml:space="preserve">In these formulas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are the number of sampling intervals for theta and phi.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oMath>
      <w:r>
        <w:rPr/>
        <w:t xml:space="preserve"> are the measurement angles. The sampling intervals are discussed further in Subclause 4.4.</w:t>
      </w:r>
    </w:p>
    <w:p>
      <w:pPr>
        <w:pStyle w:val="Normal"/>
        <w:rPr/>
      </w:pPr>
      <w:r>
        <w:rPr/>
        <w:t>[Applicability is TBD]</w:t>
      </w:r>
    </w:p>
    <w:p>
      <w:pPr>
        <w:pStyle w:val="Heading4"/>
        <w:ind w:left="1418" w:hanging="1418"/>
        <w:rPr/>
      </w:pPr>
      <w:bookmarkStart w:id="338" w:name="__RefHeading___Toc68601270"/>
      <w:bookmarkEnd w:id="338"/>
      <w:r>
        <w:rPr/>
        <w:t>7.</w:t>
      </w:r>
      <w:r>
        <w:rPr>
          <w:lang w:eastAsia="zh-TW"/>
        </w:rPr>
        <w:t>2</w:t>
      </w:r>
      <w:r>
        <w:rPr/>
        <w:t>.4.2</w:t>
      </w:r>
      <w:r>
        <w:rPr>
          <w:rFonts w:cs="Calibri" w:ascii="Calibri" w:hAnsi="Calibri"/>
          <w:sz w:val="22"/>
          <w:szCs w:val="22"/>
        </w:rPr>
        <w:tab/>
      </w:r>
      <w:r>
        <w:rPr/>
        <w:t>Minimum Requirements</w:t>
      </w:r>
    </w:p>
    <w:p>
      <w:pPr>
        <w:pStyle w:val="Normal"/>
        <w:jc w:val="both"/>
        <w:rPr/>
      </w:pPr>
      <w:r>
        <w:rPr/>
        <w:t>The average measured total radiated sensitivity (TRS) of low, mid and high channel for handheld UE shall be lower than the average TRS requirement specified in Table 7.</w:t>
      </w:r>
      <w:r>
        <w:rPr>
          <w:lang w:eastAsia="zh-TW"/>
        </w:rPr>
        <w:t>2</w:t>
      </w:r>
      <w:r>
        <w:rPr/>
        <w:t>.4.2-1. The averaging shall be done in linear scale for the TRS results. Average TRS requirement is shown in the column “Average” on the requirement tables.</w:t>
      </w:r>
    </w:p>
    <w:p>
      <w:pPr>
        <w:pStyle w:val="Normal"/>
        <w:keepLines/>
        <w:tabs>
          <w:tab w:val="clear" w:pos="284"/>
          <w:tab w:val="center" w:pos="4536" w:leader="none"/>
          <w:tab w:val="right" w:pos="9072" w:leader="none"/>
        </w:tabs>
        <w:jc w:val="center"/>
        <w:rPr/>
      </w:pPr>
      <w:r>
        <w:rPr/>
        <w:drawing>
          <wp:inline distT="0" distB="0" distL="0" distR="0">
            <wp:extent cx="5730240" cy="457200"/>
            <wp:effectExtent l="0" t="0" r="0" b="0"/>
            <wp:docPr id="46"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9" descr=""/>
                    <pic:cNvPicPr>
                      <a:picLocks noChangeAspect="1" noChangeArrowheads="1"/>
                    </pic:cNvPicPr>
                  </pic:nvPicPr>
                  <pic:blipFill>
                    <a:blip r:embed="rId38"/>
                    <a:srcRect l="-6" t="-79" r="-6" b="-79"/>
                    <a:stretch>
                      <a:fillRect/>
                    </a:stretch>
                  </pic:blipFill>
                  <pic:spPr bwMode="auto">
                    <a:xfrm>
                      <a:off x="0" y="0"/>
                      <a:ext cx="5730240" cy="457200"/>
                    </a:xfrm>
                    <a:prstGeom prst="rect">
                      <a:avLst/>
                    </a:prstGeom>
                  </pic:spPr>
                </pic:pic>
              </a:graphicData>
            </a:graphic>
          </wp:inline>
        </w:drawing>
      </w:r>
    </w:p>
    <w:p>
      <w:pPr>
        <w:pStyle w:val="Normal"/>
        <w:rPr/>
      </w:pPr>
      <w:r>
        <w:rPr/>
        <w:t>In addition the highest TRS of each measured channel shall be lower than maximum TRS requirement specified in Table 7.</w:t>
      </w:r>
      <w:r>
        <w:rPr>
          <w:lang w:eastAsia="zh-TW"/>
        </w:rPr>
        <w:t>2</w:t>
      </w:r>
      <w:r>
        <w:rPr/>
        <w:t>.4.2-1. Maximum TRS requirement is shown in the column “Max” on the requirement tables.</w:t>
      </w:r>
    </w:p>
    <w:p>
      <w:pPr>
        <w:pStyle w:val="Normal"/>
        <w:keepLines/>
        <w:tabs>
          <w:tab w:val="clear" w:pos="284"/>
          <w:tab w:val="center" w:pos="4536" w:leader="none"/>
          <w:tab w:val="right" w:pos="9072" w:leader="none"/>
        </w:tabs>
        <w:jc w:val="center"/>
        <w:rPr/>
      </w:pPr>
      <w:r>
        <w:rPr/>
        <w:drawing>
          <wp:inline distT="0" distB="0" distL="0" distR="0">
            <wp:extent cx="5280660" cy="243840"/>
            <wp:effectExtent l="0" t="0" r="0" b="0"/>
            <wp:docPr id="47"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0" descr=""/>
                    <pic:cNvPicPr>
                      <a:picLocks noChangeAspect="1" noChangeArrowheads="1"/>
                    </pic:cNvPicPr>
                  </pic:nvPicPr>
                  <pic:blipFill>
                    <a:blip r:embed="rId39"/>
                    <a:srcRect l="-7" t="-149" r="-7" b="-149"/>
                    <a:stretch>
                      <a:fillRect/>
                    </a:stretch>
                  </pic:blipFill>
                  <pic:spPr bwMode="auto">
                    <a:xfrm>
                      <a:off x="0" y="0"/>
                      <a:ext cx="5280660" cy="243840"/>
                    </a:xfrm>
                    <a:prstGeom prst="rect">
                      <a:avLst/>
                    </a:prstGeom>
                  </pic:spPr>
                </pic:pic>
              </a:graphicData>
            </a:graphic>
          </wp:inline>
        </w:drawing>
      </w:r>
    </w:p>
    <w:p>
      <w:pPr>
        <w:pStyle w:val="Normal"/>
        <w:keepNext w:val="true"/>
        <w:keepLines/>
        <w:spacing w:before="60" w:after="180"/>
        <w:jc w:val="center"/>
        <w:rPr/>
      </w:pPr>
      <w:r>
        <w:rPr>
          <w:rFonts w:cs="Arial" w:ascii="Arial" w:hAnsi="Arial"/>
          <w:b/>
          <w:bCs/>
        </w:rPr>
        <w:t>Table 7.</w:t>
      </w:r>
      <w:r>
        <w:rPr>
          <w:rFonts w:cs="Arial" w:ascii="Arial" w:hAnsi="Arial"/>
          <w:b/>
          <w:bCs/>
          <w:lang w:eastAsia="zh-TW"/>
        </w:rPr>
        <w:t>2</w:t>
      </w:r>
      <w:r>
        <w:rPr>
          <w:rFonts w:cs="Arial" w:ascii="Arial" w:hAnsi="Arial"/>
          <w:b/>
          <w:bCs/>
        </w:rPr>
        <w:t xml:space="preserve">.4.2-1: TRS minimum performance requirement for E-UTRA TDD roaming mode for </w:t>
      </w:r>
      <w:r>
        <w:rPr>
          <w:rFonts w:cs="Arial" w:ascii="Arial" w:hAnsi="Arial"/>
          <w:b/>
          <w:bCs/>
          <w:lang w:eastAsia="zh-TW"/>
        </w:rPr>
        <w:t>LME</w:t>
      </w:r>
      <w:r>
        <w:rPr>
          <w:rFonts w:cs="Arial" w:ascii="Arial" w:hAnsi="Arial"/>
          <w:b/>
          <w:bCs/>
        </w:rPr>
        <w:t xml:space="preserve"> devices in the data transfers position and</w:t>
      </w:r>
      <w:r>
        <w:rPr>
          <w:rFonts w:cs="Arial" w:ascii="Arial" w:hAnsi="Arial"/>
          <w:b/>
          <w:bCs/>
          <w:lang w:eastAsia="ja-JP"/>
        </w:rPr>
        <w:t xml:space="preserve"> the primary mechanical mode</w:t>
      </w:r>
    </w:p>
    <w:p>
      <w:pPr>
        <w:pStyle w:val="Normal"/>
        <w:rPr>
          <w:b/>
          <w:b/>
        </w:rPr>
      </w:pPr>
      <w:r>
        <w:rPr/>
        <w:t>TBD</w:t>
      </w:r>
    </w:p>
    <w:p>
      <w:pPr>
        <w:pStyle w:val="Normal"/>
        <w:rPr>
          <w:b/>
          <w:b/>
        </w:rPr>
      </w:pPr>
      <w:r>
        <w:rPr>
          <w:b/>
        </w:rPr>
      </w:r>
    </w:p>
    <w:p>
      <w:pPr>
        <w:pStyle w:val="Normal"/>
        <w:rPr/>
      </w:pPr>
      <w:r>
        <w:rPr/>
        <w:t>The normative reference for this clause is TS 37.144 [</w:t>
      </w:r>
      <w:r>
        <w:rPr>
          <w:lang w:eastAsia="zh-TW"/>
        </w:rPr>
        <w:t>12</w:t>
      </w:r>
      <w:r>
        <w:rPr/>
        <w:t>] Subclause 7.</w:t>
      </w:r>
      <w:r>
        <w:rPr>
          <w:lang w:eastAsia="zh-TW"/>
        </w:rPr>
        <w:t>2</w:t>
      </w:r>
      <w:r>
        <w:rPr/>
        <w:t>.5.</w:t>
      </w:r>
    </w:p>
    <w:p>
      <w:pPr>
        <w:pStyle w:val="Heading4"/>
        <w:ind w:left="1418" w:hanging="1418"/>
        <w:rPr/>
      </w:pPr>
      <w:bookmarkStart w:id="339" w:name="__RefHeading___Toc68601271"/>
      <w:bookmarkEnd w:id="339"/>
      <w:r>
        <w:rPr/>
        <w:t>7.</w:t>
      </w:r>
      <w:r>
        <w:rPr>
          <w:lang w:eastAsia="zh-TW"/>
        </w:rPr>
        <w:t>2</w:t>
      </w:r>
      <w:r>
        <w:rPr/>
        <w:t>.4.3</w:t>
      </w:r>
      <w:r>
        <w:rPr>
          <w:rFonts w:cs="Calibri" w:ascii="Calibri" w:hAnsi="Calibri"/>
          <w:sz w:val="22"/>
          <w:szCs w:val="22"/>
        </w:rPr>
        <w:tab/>
      </w:r>
      <w:r>
        <w:rPr/>
        <w:t>Test purpose</w:t>
      </w:r>
    </w:p>
    <w:p>
      <w:pPr>
        <w:pStyle w:val="Normal"/>
        <w:rPr/>
      </w:pPr>
      <w:r>
        <w:rPr/>
        <w:t xml:space="preserve">The purpose of this test is to ensure that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max</m:t>
            </m:r>
          </m:sub>
        </m:sSub>
      </m:oMath>
      <w:r>
        <w:rPr/>
        <w:t xml:space="preserve"> of the UE is above specified limit. The lack of the reception sensitivity decreases the coverage area at the far side from Node B.</w:t>
      </w:r>
    </w:p>
    <w:p>
      <w:pPr>
        <w:pStyle w:val="Heading4"/>
        <w:ind w:left="1418" w:hanging="1418"/>
        <w:rPr/>
      </w:pPr>
      <w:bookmarkStart w:id="340" w:name="__RefHeading___Toc68601272"/>
      <w:bookmarkEnd w:id="340"/>
      <w:r>
        <w:rPr/>
        <w:t>7.</w:t>
      </w:r>
      <w:r>
        <w:rPr>
          <w:lang w:eastAsia="zh-TW"/>
        </w:rPr>
        <w:t>2</w:t>
      </w:r>
      <w:r>
        <w:rPr/>
        <w:t>.</w:t>
      </w:r>
      <w:r>
        <w:rPr>
          <w:lang w:eastAsia="zh-TW"/>
        </w:rPr>
        <w:t>4</w:t>
      </w:r>
      <w:r>
        <w:rPr/>
        <w:t>.4</w:t>
      </w:r>
      <w:r>
        <w:rPr>
          <w:rFonts w:cs="Calibri" w:ascii="Calibri" w:hAnsi="Calibri"/>
          <w:sz w:val="22"/>
          <w:szCs w:val="22"/>
        </w:rPr>
        <w:tab/>
      </w:r>
      <w:r>
        <w:rPr/>
        <w:t>Method of test</w:t>
      </w:r>
    </w:p>
    <w:p>
      <w:pPr>
        <w:pStyle w:val="Heading4"/>
        <w:ind w:left="1418" w:hanging="1418"/>
        <w:rPr/>
      </w:pPr>
      <w:bookmarkStart w:id="341" w:name="__RefHeading___Toc68601273"/>
      <w:bookmarkEnd w:id="341"/>
      <w:r>
        <w:rPr/>
        <w:t>7.</w:t>
      </w:r>
      <w:r>
        <w:rPr>
          <w:lang w:eastAsia="zh-TW"/>
        </w:rPr>
        <w:t>2</w:t>
      </w:r>
      <w:r>
        <w:rPr/>
        <w:t>.4.4.1</w:t>
      </w:r>
      <w:r>
        <w:rPr>
          <w:rFonts w:cs="Calibri" w:ascii="Calibri" w:hAnsi="Calibri"/>
          <w:sz w:val="22"/>
          <w:szCs w:val="22"/>
        </w:rPr>
        <w:tab/>
      </w:r>
      <w:r>
        <w:rPr/>
        <w:t>Initial conditions</w:t>
      </w:r>
    </w:p>
    <w:p>
      <w:pPr>
        <w:pStyle w:val="Normal"/>
        <w:rPr/>
      </w:pPr>
      <w:r>
        <w:rPr/>
        <w:t xml:space="preserve">A radio communications tester or a corresponding device is used as a NB simulator to setup calls to the DUT. The NB simulator is also used to send test signals to the UE and measure the BER levels of the radio link and the information on the dedicated channel needed to extract the DUT receiver performances. </w:t>
      </w:r>
    </w:p>
    <w:p>
      <w:pPr>
        <w:pStyle w:val="Normal"/>
        <w:rPr>
          <w:lang w:eastAsia="ja-JP"/>
        </w:rPr>
      </w:pPr>
      <w:r>
        <w:rPr>
          <w:lang w:eastAsia="ja-JP"/>
        </w:rPr>
        <w:t>Chamber environment constraints and coordinate system shall be the same as described in Subclause A.3.</w:t>
      </w:r>
    </w:p>
    <w:p>
      <w:pPr>
        <w:pStyle w:val="Normal"/>
        <w:rPr/>
      </w:pPr>
      <w:r>
        <w:rPr>
          <w:lang w:eastAsia="ja-JP"/>
        </w:rPr>
        <w:t xml:space="preserve">Phantom Specifications shall be the same as described in </w:t>
      </w:r>
      <w:r>
        <w:rPr/>
        <w:t>Subclause A.2.</w:t>
      </w:r>
      <w:r>
        <w:rPr>
          <w:lang w:eastAsia="zh-TW"/>
        </w:rPr>
        <w:t>3</w:t>
      </w:r>
      <w:r>
        <w:rPr/>
        <w:t>.</w:t>
      </w:r>
    </w:p>
    <w:p>
      <w:pPr>
        <w:pStyle w:val="Normal"/>
        <w:rPr/>
      </w:pPr>
      <w:r>
        <w:rPr/>
        <w:t>Test environment: normal; see TS36.508 [10] Subclause 4.1.1.</w:t>
      </w:r>
    </w:p>
    <w:p>
      <w:pPr>
        <w:pStyle w:val="Normal"/>
        <w:rPr/>
      </w:pPr>
      <w:r>
        <w:rPr/>
        <w:t>Frequencies to be tested: low range, mid range, high range; see Table 5.4-2.</w:t>
      </w:r>
      <w:r>
        <w:rPr>
          <w:lang w:eastAsia="ja-JP"/>
        </w:rPr>
        <w:t xml:space="preserve"> </w:t>
      </w:r>
    </w:p>
    <w:p>
      <w:pPr>
        <w:pStyle w:val="Normal"/>
        <w:rPr/>
      </w:pPr>
      <w:r>
        <w:rPr>
          <w:lang w:eastAsia="ja-JP"/>
        </w:rPr>
        <w:t>Positioning Requirements shall be the same as described in Subclause 4.3.</w:t>
      </w:r>
    </w:p>
    <w:p>
      <w:pPr>
        <w:pStyle w:val="B1"/>
        <w:rPr>
          <w:lang w:eastAsia="zh-TW"/>
        </w:rPr>
      </w:pPr>
      <w:r>
        <w:rPr/>
        <w:t>1)</w:t>
        <w:tab/>
        <w:t xml:space="preserve">Position the plug-in UE according to the DUT positioning </w:t>
      </w:r>
      <w:r>
        <w:rPr>
          <w:lang w:eastAsia="zh-TW"/>
        </w:rPr>
        <w:t>on laptop ground plane phantom</w:t>
      </w:r>
      <w:r>
        <w:rPr/>
        <w:t xml:space="preserve"> specified in Subclause 4.3.</w:t>
      </w:r>
      <w:r>
        <w:rPr>
          <w:lang w:eastAsia="zh-TW"/>
        </w:rPr>
        <w:t>2</w:t>
      </w:r>
      <w:r>
        <w:rPr/>
        <w:t>.</w:t>
      </w:r>
    </w:p>
    <w:p>
      <w:pPr>
        <w:pStyle w:val="Normal"/>
        <w:ind w:left="568" w:hanging="284"/>
        <w:rPr/>
      </w:pPr>
      <w:r>
        <w:rPr/>
        <w:t>2)</w:t>
        <w:tab/>
        <w:t>Power on the plug-in UE. The real functional laptop supplies power to the plug-in UE.</w:t>
      </w:r>
    </w:p>
    <w:p>
      <w:pPr>
        <w:pStyle w:val="Normal"/>
        <w:ind w:left="568" w:hanging="284"/>
        <w:rPr/>
      </w:pPr>
      <w:r>
        <w:rPr/>
        <w:t>3)</w:t>
        <w:tab/>
        <w:t>Set the initial conditions as per Subclause 7.3 of 3GPP TS 36.521-1 [11], with the following exception: set the carrier frequency, channel bandwidth, RB length and RB location as per Table 5.5-2 for TDD mode. For DUTs with more than one receiver port, all the tests should be performed using both (all) antenna ports simultaneously.</w:t>
      </w:r>
    </w:p>
    <w:p>
      <w:pPr>
        <w:pStyle w:val="Heading4"/>
        <w:ind w:left="1418" w:hanging="1418"/>
        <w:rPr/>
      </w:pPr>
      <w:bookmarkStart w:id="342" w:name="__RefHeading___Toc68601274"/>
      <w:bookmarkEnd w:id="342"/>
      <w:r>
        <w:rPr/>
        <w:t>7.</w:t>
      </w:r>
      <w:r>
        <w:rPr>
          <w:lang w:eastAsia="zh-TW"/>
        </w:rPr>
        <w:t>2</w:t>
      </w:r>
      <w:r>
        <w:rPr/>
        <w:t>.4.4.2</w:t>
      </w:r>
      <w:r>
        <w:rPr>
          <w:rFonts w:cs="Calibri" w:ascii="Calibri" w:hAnsi="Calibri"/>
          <w:sz w:val="22"/>
          <w:szCs w:val="22"/>
        </w:rPr>
        <w:tab/>
      </w:r>
      <w:r>
        <w:rPr/>
        <w:t>Procedure</w:t>
      </w:r>
    </w:p>
    <w:p>
      <w:pPr>
        <w:pStyle w:val="B1"/>
        <w:rPr/>
      </w:pPr>
      <w:r>
        <w:rPr/>
        <w:t>1)</w:t>
        <w:tab/>
        <w:t>Follow Steps 1 through 4 in Subclause 7.3.4.2 of 3GPP TS 36.521-1 [</w:t>
      </w:r>
      <w:r>
        <w:rPr>
          <w:lang w:eastAsia="zh-TW"/>
        </w:rPr>
        <w:t>11</w:t>
      </w:r>
      <w:r>
        <w:rPr/>
        <w:t>], with the following exception: measure the receiver sensitivity by adjusting the downlink signal level to 95 % throughput of the maximum throughput of the reference channel (maximum throughput is per Annex A of 3GPP TS 36.521-1 [</w:t>
      </w:r>
      <w:r>
        <w:rPr>
          <w:lang w:eastAsia="zh-TW"/>
        </w:rPr>
        <w:t>11</w:t>
      </w:r>
      <w:r>
        <w:rPr/>
        <w:t xml:space="preserve">]). </w:t>
      </w:r>
    </w:p>
    <w:p>
      <w:pPr>
        <w:pStyle w:val="B1"/>
        <w:rPr/>
      </w:pPr>
      <w:r>
        <w:rPr/>
        <w:t>2)</w:t>
        <w:tab/>
        <w:t>For the anechoic chamber based methodologies, repeat Step 1) with 3-D sampling grid specified in Subclause 4.4. The minimum RF power level resulting in a data throughput greater than or equal to 95 % throughput of the maximum throughput for each test shall be recorded for integration pursuant to Subclause 7.</w:t>
      </w:r>
      <w:r>
        <w:rPr>
          <w:lang w:eastAsia="zh-TW"/>
        </w:rPr>
        <w:t>2</w:t>
      </w:r>
      <w:r>
        <w:rPr/>
        <w:t>.4.1 to calculate TRS.</w:t>
      </w:r>
    </w:p>
    <w:p>
      <w:pPr>
        <w:pStyle w:val="Normal"/>
        <w:ind w:left="568" w:hanging="284"/>
        <w:rPr/>
      </w:pPr>
      <w:r>
        <w:rPr/>
        <w:t>3)</w:t>
        <w:tab/>
        <w:t>Repeat the measurement of the DUT for low, mid and high channels.</w:t>
      </w:r>
    </w:p>
    <w:p>
      <w:pPr>
        <w:pStyle w:val="B1"/>
        <w:rPr/>
      </w:pPr>
      <w:r>
        <w:rPr/>
        <w:t>4)</w:t>
        <w:tab/>
        <w:t>Calculate the average and minimum TRS as per Subclause 7.</w:t>
      </w:r>
      <w:r>
        <w:rPr>
          <w:lang w:eastAsia="zh-TW"/>
        </w:rPr>
        <w:t>2</w:t>
      </w:r>
      <w:r>
        <w:rPr/>
        <w:t>.4.2.</w:t>
      </w:r>
    </w:p>
    <w:p>
      <w:pPr>
        <w:pStyle w:val="Heading4"/>
        <w:ind w:left="1418" w:hanging="1418"/>
        <w:rPr/>
      </w:pPr>
      <w:bookmarkStart w:id="343" w:name="__RefHeading___Toc68601275"/>
      <w:bookmarkEnd w:id="343"/>
      <w:r>
        <w:rPr/>
        <w:t>7.</w:t>
      </w:r>
      <w:r>
        <w:rPr>
          <w:lang w:eastAsia="zh-TW"/>
        </w:rPr>
        <w:t>2</w:t>
      </w:r>
      <w:r>
        <w:rPr/>
        <w:t>.4.4.3</w:t>
      </w:r>
      <w:r>
        <w:rPr>
          <w:rFonts w:cs="Calibri" w:ascii="Calibri" w:hAnsi="Calibri"/>
          <w:sz w:val="22"/>
          <w:szCs w:val="22"/>
        </w:rPr>
        <w:tab/>
      </w:r>
      <w:r>
        <w:rPr/>
        <w:t>Procedure, reverberation chamber method</w:t>
      </w:r>
    </w:p>
    <w:p>
      <w:pPr>
        <w:pStyle w:val="Normal"/>
        <w:rPr/>
      </w:pPr>
      <w:r>
        <w:rPr/>
        <w:t>TBD</w:t>
      </w:r>
    </w:p>
    <w:p>
      <w:pPr>
        <w:pStyle w:val="Heading4"/>
        <w:ind w:left="1418" w:hanging="1418"/>
        <w:rPr/>
      </w:pPr>
      <w:bookmarkStart w:id="344" w:name="__RefHeading___Toc68601276"/>
      <w:bookmarkEnd w:id="344"/>
      <w:r>
        <w:rPr/>
        <w:t>7.</w:t>
      </w:r>
      <w:r>
        <w:rPr>
          <w:lang w:eastAsia="zh-TW"/>
        </w:rPr>
        <w:t>2</w:t>
      </w:r>
      <w:r>
        <w:rPr/>
        <w:t>.4.5</w:t>
      </w:r>
      <w:r>
        <w:rPr>
          <w:rFonts w:cs="Calibri" w:ascii="Calibri" w:hAnsi="Calibri"/>
          <w:sz w:val="22"/>
          <w:szCs w:val="22"/>
        </w:rPr>
        <w:tab/>
      </w:r>
      <w:r>
        <w:rPr/>
        <w:t>Test requirements</w:t>
      </w:r>
    </w:p>
    <w:p>
      <w:pPr>
        <w:pStyle w:val="Normal"/>
        <w:jc w:val="both"/>
        <w:rPr/>
      </w:pPr>
      <w:r>
        <w:rPr/>
        <w:t>The average measured total radiated sensitivity (TRS) of low, mid and high channel for handheld UE shall be lower than the average TRS requirement specified in Table 7.</w:t>
      </w:r>
      <w:r>
        <w:rPr>
          <w:lang w:eastAsia="zh-TW"/>
        </w:rPr>
        <w:t>2</w:t>
      </w:r>
      <w:r>
        <w:rPr/>
        <w:t>.4.5-1. The averaging shall be done in linear scale for the TRS results. Average TRS requirement is shown in the column “Average” on the requirement tables.</w:t>
      </w:r>
    </w:p>
    <w:p>
      <w:pPr>
        <w:pStyle w:val="Normal"/>
        <w:keepLines/>
        <w:tabs>
          <w:tab w:val="clear" w:pos="284"/>
          <w:tab w:val="center" w:pos="4536" w:leader="none"/>
          <w:tab w:val="right" w:pos="9072" w:leader="none"/>
        </w:tabs>
        <w:jc w:val="center"/>
        <w:rPr/>
      </w:pPr>
      <w:r>
        <w:rPr/>
        <w:drawing>
          <wp:inline distT="0" distB="0" distL="0" distR="0">
            <wp:extent cx="5730240" cy="457200"/>
            <wp:effectExtent l="0" t="0" r="0" b="0"/>
            <wp:docPr id="48"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1" descr=""/>
                    <pic:cNvPicPr>
                      <a:picLocks noChangeAspect="1" noChangeArrowheads="1"/>
                    </pic:cNvPicPr>
                  </pic:nvPicPr>
                  <pic:blipFill>
                    <a:blip r:embed="rId40"/>
                    <a:srcRect l="-6" t="-79" r="-6" b="-79"/>
                    <a:stretch>
                      <a:fillRect/>
                    </a:stretch>
                  </pic:blipFill>
                  <pic:spPr bwMode="auto">
                    <a:xfrm>
                      <a:off x="0" y="0"/>
                      <a:ext cx="5730240" cy="457200"/>
                    </a:xfrm>
                    <a:prstGeom prst="rect">
                      <a:avLst/>
                    </a:prstGeom>
                  </pic:spPr>
                </pic:pic>
              </a:graphicData>
            </a:graphic>
          </wp:inline>
        </w:drawing>
      </w:r>
    </w:p>
    <w:p>
      <w:pPr>
        <w:pStyle w:val="Normal"/>
        <w:rPr/>
      </w:pPr>
      <w:r>
        <w:rPr/>
        <w:t>In addition the highest TRS of each measured channel shall be lower than maximum TRS requirement specified in Table 7.</w:t>
      </w:r>
      <w:r>
        <w:rPr>
          <w:lang w:eastAsia="zh-TW"/>
        </w:rPr>
        <w:t>2</w:t>
      </w:r>
      <w:r>
        <w:rPr/>
        <w:t>.4.5-1. Maximum TRS requirement is shown in the column “Max” on the requirement tables.</w:t>
      </w:r>
    </w:p>
    <w:p>
      <w:pPr>
        <w:pStyle w:val="Normal"/>
        <w:keepLines/>
        <w:tabs>
          <w:tab w:val="clear" w:pos="284"/>
          <w:tab w:val="center" w:pos="4536" w:leader="none"/>
          <w:tab w:val="right" w:pos="9072" w:leader="none"/>
        </w:tabs>
        <w:jc w:val="center"/>
        <w:rPr/>
      </w:pPr>
      <w:r>
        <w:rPr/>
        <w:drawing>
          <wp:inline distT="0" distB="0" distL="0" distR="0">
            <wp:extent cx="5280660" cy="243840"/>
            <wp:effectExtent l="0" t="0" r="0" b="0"/>
            <wp:docPr id="49"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2" descr=""/>
                    <pic:cNvPicPr>
                      <a:picLocks noChangeAspect="1" noChangeArrowheads="1"/>
                    </pic:cNvPicPr>
                  </pic:nvPicPr>
                  <pic:blipFill>
                    <a:blip r:embed="rId41"/>
                    <a:srcRect l="-7" t="-149" r="-7" b="-149"/>
                    <a:stretch>
                      <a:fillRect/>
                    </a:stretch>
                  </pic:blipFill>
                  <pic:spPr bwMode="auto">
                    <a:xfrm>
                      <a:off x="0" y="0"/>
                      <a:ext cx="5280660" cy="243840"/>
                    </a:xfrm>
                    <a:prstGeom prst="rect">
                      <a:avLst/>
                    </a:prstGeom>
                  </pic:spPr>
                </pic:pic>
              </a:graphicData>
            </a:graphic>
          </wp:inline>
        </w:drawing>
      </w:r>
    </w:p>
    <w:p>
      <w:pPr>
        <w:pStyle w:val="Normal"/>
        <w:keepNext w:val="true"/>
        <w:keepLines/>
        <w:spacing w:before="60" w:after="180"/>
        <w:jc w:val="center"/>
        <w:rPr/>
      </w:pPr>
      <w:r>
        <w:rPr>
          <w:rFonts w:cs="Arial" w:ascii="Arial" w:hAnsi="Arial"/>
          <w:b/>
          <w:bCs/>
        </w:rPr>
        <w:t>Table 7.</w:t>
      </w:r>
      <w:r>
        <w:rPr>
          <w:rFonts w:cs="Arial" w:ascii="Arial" w:hAnsi="Arial"/>
          <w:b/>
          <w:bCs/>
          <w:lang w:eastAsia="zh-TW"/>
        </w:rPr>
        <w:t>2</w:t>
      </w:r>
      <w:r>
        <w:rPr>
          <w:rFonts w:cs="Arial" w:ascii="Arial" w:hAnsi="Arial"/>
          <w:b/>
          <w:bCs/>
        </w:rPr>
        <w:t xml:space="preserve">.4.5-1: TRS minimum requirement for E-UTRA TDD roaming mode for </w:t>
      </w:r>
      <w:r>
        <w:rPr>
          <w:rFonts w:cs="Arial" w:ascii="Arial" w:hAnsi="Arial"/>
          <w:b/>
          <w:bCs/>
          <w:lang w:eastAsia="zh-TW"/>
        </w:rPr>
        <w:t>LME</w:t>
      </w:r>
      <w:r>
        <w:rPr>
          <w:rFonts w:cs="Arial" w:ascii="Arial" w:hAnsi="Arial"/>
          <w:b/>
          <w:bCs/>
        </w:rPr>
        <w:t xml:space="preserve"> devices in the data transfers position and</w:t>
      </w:r>
      <w:r>
        <w:rPr>
          <w:rFonts w:cs="Arial" w:ascii="Arial" w:hAnsi="Arial"/>
          <w:b/>
          <w:bCs/>
          <w:lang w:eastAsia="ja-JP"/>
        </w:rPr>
        <w:t xml:space="preserve"> the primary mechanical mode</w:t>
      </w:r>
    </w:p>
    <w:p>
      <w:pPr>
        <w:pStyle w:val="Normal"/>
        <w:rPr>
          <w:b/>
          <w:b/>
        </w:rPr>
      </w:pPr>
      <w:r>
        <w:rPr/>
        <w:t>TBD</w:t>
      </w:r>
    </w:p>
    <w:p>
      <w:pPr>
        <w:pStyle w:val="NO"/>
        <w:rPr>
          <w:rFonts w:ascii="Arial" w:hAnsi="Arial" w:cs="Arial"/>
          <w:lang w:eastAsia="zh-TW"/>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r>
        <w:rPr>
          <w:lang w:eastAsia="zh-TW"/>
        </w:rPr>
        <w:t>.2</w:t>
      </w:r>
      <w:r>
        <w:rPr/>
        <w:t>.</w:t>
      </w:r>
    </w:p>
    <w:p>
      <w:pPr>
        <w:pStyle w:val="Heading2"/>
        <w:rPr/>
      </w:pPr>
      <w:bookmarkStart w:id="345" w:name="__RefHeading___Toc68601277"/>
      <w:bookmarkEnd w:id="345"/>
      <w:r>
        <w:rPr/>
        <w:t>7.3</w:t>
        <w:tab/>
        <w:t>Performance for LEE</w:t>
      </w:r>
    </w:p>
    <w:p>
      <w:pPr>
        <w:pStyle w:val="Heading3"/>
        <w:rPr>
          <w:szCs w:val="16"/>
          <w:lang w:eastAsia="zh-CN"/>
        </w:rPr>
      </w:pPr>
      <w:bookmarkStart w:id="346" w:name="__RefHeading___Toc68601278"/>
      <w:bookmarkEnd w:id="346"/>
      <w:r>
        <w:rPr>
          <w:lang w:eastAsia="zh-CN"/>
        </w:rPr>
        <w:t>7</w:t>
      </w:r>
      <w:r>
        <w:rPr/>
        <w:t>.</w:t>
      </w:r>
      <w:r>
        <w:rPr>
          <w:lang w:eastAsia="zh-CN"/>
        </w:rPr>
        <w:t>3</w:t>
      </w:r>
      <w:r>
        <w:rPr/>
        <w:t>.1</w:t>
        <w:tab/>
      </w:r>
      <w:r>
        <w:rPr>
          <w:rFonts w:cs="Arial"/>
          <w:color w:val="000000"/>
          <w:szCs w:val="16"/>
        </w:rPr>
        <w:t>Total Radiated Sensitivity (TRS) for</w:t>
      </w:r>
      <w:r>
        <w:rPr>
          <w:szCs w:val="16"/>
        </w:rPr>
        <w:t xml:space="preserve"> UTRA FDD LEE</w:t>
      </w:r>
    </w:p>
    <w:p>
      <w:pPr>
        <w:pStyle w:val="EditorsNote"/>
        <w:rPr/>
      </w:pPr>
      <w:r>
        <w:rPr/>
        <w:t>Editor’s notes: This subclause is incomplete. The following items are missing or incomplete:</w:t>
      </w:r>
    </w:p>
    <w:p>
      <w:pPr>
        <w:pStyle w:val="EditorsNote"/>
        <w:numPr>
          <w:ilvl w:val="0"/>
          <w:numId w:val="15"/>
        </w:numPr>
        <w:rPr/>
      </w:pPr>
      <w:r>
        <w:rPr/>
        <w:t>Table 7.3.1.2-1 and 7.3.1.5-1 as they are not specified in TS 37.144 yet</w:t>
      </w:r>
    </w:p>
    <w:p>
      <w:pPr>
        <w:pStyle w:val="EditorsNote"/>
        <w:numPr>
          <w:ilvl w:val="0"/>
          <w:numId w:val="15"/>
        </w:numPr>
        <w:rPr>
          <w:lang w:eastAsia="en-US"/>
        </w:rPr>
      </w:pPr>
      <w:r>
        <w:rPr/>
        <w:t>Applicability</w:t>
      </w:r>
    </w:p>
    <w:p>
      <w:pPr>
        <w:pStyle w:val="Heading4"/>
        <w:ind w:left="1418" w:hanging="1418"/>
        <w:rPr/>
      </w:pPr>
      <w:bookmarkStart w:id="347" w:name="__RefHeading___Toc68601279"/>
      <w:bookmarkEnd w:id="347"/>
      <w:r>
        <w:rPr/>
        <w:t>7.3.1.1</w:t>
      </w:r>
      <w:r>
        <w:rPr>
          <w:rFonts w:cs="Calibri" w:ascii="Calibri" w:hAnsi="Calibri"/>
          <w:sz w:val="22"/>
          <w:szCs w:val="22"/>
        </w:rPr>
        <w:tab/>
      </w:r>
      <w:r>
        <w:rPr/>
        <w:t>Definition and applicability</w:t>
      </w:r>
    </w:p>
    <w:p>
      <w:pPr>
        <w:pStyle w:val="Normal"/>
        <w:rPr/>
      </w:pPr>
      <w:r>
        <w:rPr/>
        <w:t>The Total Radiated Sensitivity is defined as: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4</m:t>
              </m:r>
              <m:r>
                <w:rPr>
                  <w:rFonts w:ascii="Cambria Math" w:hAnsi="Cambria Math"/>
                </w:rPr>
                <m:t xml:space="preserve">π</m:t>
              </m:r>
            </m:num>
            <m:den>
              <m:nary>
                <m:naryPr>
                  <m:chr m:val="∮"/>
                  <m:subHide m:val="1"/>
                  <m:supHide m:val="1"/>
                </m:naryPr>
                <m:sub/>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e>
                  </m:d>
                </m:e>
              </m:nary>
              <m:r>
                <w:rPr>
                  <w:rFonts w:ascii="Cambria Math" w:hAnsi="Cambria Math"/>
                </w:rPr>
                <m:t xml:space="preserve">d</m:t>
              </m:r>
              <m:r>
                <w:rPr>
                  <w:rFonts w:ascii="Cambria Math" w:hAnsi="Cambria Math"/>
                </w:rPr>
                <m:t xml:space="preserve">Ω</m:t>
              </m:r>
            </m:den>
          </m:f>
        </m:oMath>
      </m:oMathPara>
    </w:p>
    <w:p>
      <w:pPr>
        <w:pStyle w:val="Normal"/>
        <w:rPr/>
      </w:pPr>
      <w:r>
        <w:rPr/>
        <w:t>Where the effective isotropic sensitivity (</w:t>
      </w:r>
      <w:r>
        <w:rPr>
          <w:i/>
          <w:iCs/>
        </w:rPr>
        <w:t>EIS</w:t>
      </w:r>
      <w:r>
        <w:rPr/>
        <w:t xml:space="preserve">) is defined as the power available at the antenna output such as the sensitivity threshold is achieved for each polarization.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r>
          <w:rPr>
            <w:rFonts w:ascii="Cambria Math" w:hAnsi="Cambria Math"/>
          </w:rPr>
          <m:t xml:space="preserve">f</m:t>
        </m:r>
      </m:oMath>
      <w:r>
        <w:rPr/>
        <w:t xml:space="preserve"> is frequency.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 are the orthogonal polarizations.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2</m:t>
              </m:r>
              <m:r>
                <m:rPr>
                  <m:lit/>
                  <m:nor/>
                </m:rPr>
                <w:rPr>
                  <w:rFonts w:ascii="Cambria Math" w:hAnsi="Cambria Math"/>
                </w:rPr>
                <m:t xml:space="preserve">NM</m:t>
              </m:r>
            </m:num>
            <m:den>
              <m:r>
                <w:rPr>
                  <w:rFonts w:ascii="Cambria Math" w:hAnsi="Cambria Math"/>
                </w:rPr>
                <m:t xml:space="preserve">π</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e>
                      </m:d>
                      <m:r>
                        <m:rPr>
                          <m:lit/>
                          <m:nor/>
                        </m:rPr>
                        <w:rPr>
                          <w:rFonts w:ascii="Cambria Math" w:hAnsi="Cambria Math"/>
                        </w:rPr>
                        <m:t xml:space="preserve">sin</m:t>
                      </m:r>
                      <m:d>
                        <m:dPr>
                          <m:begChr m:val="("/>
                          <m:endChr m:val=")"/>
                        </m:dPr>
                        <m:e>
                          <m:sSub>
                            <m:e>
                              <m:r>
                                <w:rPr>
                                  <w:rFonts w:ascii="Cambria Math" w:hAnsi="Cambria Math"/>
                                </w:rPr>
                                <m:t xml:space="preserve">θ</m:t>
                              </m:r>
                            </m:e>
                            <m:sub>
                              <m:r>
                                <w:rPr>
                                  <w:rFonts w:ascii="Cambria Math" w:hAnsi="Cambria Math"/>
                                </w:rPr>
                                <m:t xml:space="preserve">n</m:t>
                              </m:r>
                            </m:sub>
                          </m:sSub>
                        </m:e>
                      </m:d>
                    </m:e>
                  </m:nary>
                </m:e>
              </m:nary>
            </m:den>
          </m:f>
        </m:oMath>
      </m:oMathPara>
    </w:p>
    <w:p>
      <w:pPr>
        <w:pStyle w:val="Normal"/>
        <w:rPr/>
      </w:pPr>
      <w:r>
        <w:rPr/>
        <w:t xml:space="preserve">In these formulas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are the number of sampling intervals for theta and phi.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oMath>
      <w:r>
        <w:rPr/>
        <w:t xml:space="preserve"> are the measurement angles. The sampling intervals are discussed further in Subclause 4.4.</w:t>
      </w:r>
    </w:p>
    <w:p>
      <w:pPr>
        <w:pStyle w:val="Normal"/>
        <w:rPr/>
      </w:pPr>
      <w:r>
        <w:rPr/>
        <w:t>The TRS can also be calculated from measurements in a Rayleigh fading 3 dimensional isotropic environment with in average uniform elevation and azimuth distribution. The calculation of the TRS is in this case based on searching for the lowest power received by the UE/MS for a discrete number of field combinations in the chamber that gives a BER that is better than the specified target BER level. By calibrating the average power transfer function, an absolute value of the TRS can be obtained. The following expression can be used to find the TRS.</w:t>
      </w:r>
    </w:p>
    <w:p>
      <w:pPr>
        <w:pStyle w:val="EQ"/>
        <w:rPr>
          <w:lang w:val="en-GB" w:eastAsia="en-GB"/>
        </w:rPr>
      </w:pPr>
      <w:r>
        <w:rPr>
          <w:lang w:val="en-GB" w:eastAsia="en-GB"/>
        </w:rPr>
      </w:r>
      <m:oMathPara xmlns:m="http://schemas.openxmlformats.org/officeDocument/2006/math">
        <m:oMathParaPr>
          <m:jc m:val="left"/>
        </m:oMathParaPr>
        <m:oMath>
          <m:r>
            <m:rPr>
              <m:lit/>
              <m:nor/>
            </m:rPr>
            <w:rPr>
              <w:rFonts w:ascii="Cambria Math" w:hAnsi="Cambria Math"/>
            </w:rPr>
            <m:t xml:space="preserve">TRS</m:t>
          </m:r>
          <m:r>
            <w:rPr>
              <w:rFonts w:ascii="Cambria Math" w:hAnsi="Cambria Math"/>
            </w:rPr>
            <m:t xml:space="preserve">≈</m:t>
          </m:r>
          <m:r>
            <w:rPr>
              <w:rFonts w:ascii="Cambria Math" w:hAnsi="Cambria Math"/>
            </w:rPr>
            <m:t xml:space="preserve">2</m:t>
          </m:r>
          <m:r>
            <w:rPr>
              <w:rFonts w:ascii="Cambria Math" w:hAnsi="Cambria Math"/>
            </w:rPr>
            <m:t xml:space="preserve">N</m:t>
          </m:r>
          <m:f>
            <m:num>
              <m:sSup>
                <m:e>
                  <m:d>
                    <m:dPr>
                      <m:begChr m:val="("/>
                      <m:endChr m:val=")"/>
                    </m:dPr>
                    <m:e>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w:rPr>
                                      <w:rFonts w:ascii="Cambria Math" w:hAnsi="Cambria Math"/>
                                    </w:rPr>
                                    <m:t xml:space="preserve">C</m:t>
                                  </m:r>
                                </m:e>
                                <m:sub>
                                  <m:r>
                                    <w:rPr>
                                      <w:rFonts w:ascii="Cambria Math" w:hAnsi="Cambria Math"/>
                                    </w:rPr>
                                    <m:t xml:space="preserve">n</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sSub>
                                <m:e>
                                  <m:r>
                                    <w:rPr>
                                      <w:rFonts w:ascii="Cambria Math" w:hAnsi="Cambria Math"/>
                                    </w:rPr>
                                    <m:t xml:space="preserve">P</m:t>
                                  </m:r>
                                </m:e>
                                <m:sub>
                                  <m:r>
                                    <m:rPr>
                                      <m:lit/>
                                      <m:nor/>
                                    </m:rPr>
                                    <w:rPr>
                                      <w:rFonts w:ascii="Cambria Math" w:hAnsi="Cambria Math"/>
                                    </w:rPr>
                                    <m:t xml:space="preserve">thres</m:t>
                                  </m:r>
                                  <m:r>
                                    <w:rPr>
                                      <w:rFonts w:ascii="Cambria Math" w:hAnsi="Cambria Math"/>
                                    </w:rPr>
                                    <m:t xml:space="preserve">,</m:t>
                                  </m:r>
                                  <m:r>
                                    <w:rPr>
                                      <w:rFonts w:ascii="Cambria Math" w:hAnsi="Cambria Math"/>
                                    </w:rPr>
                                    <m:t xml:space="preserve">n</m:t>
                                  </m:r>
                                </m:sub>
                              </m:sSub>
                            </m:e>
                          </m:d>
                        </m:e>
                      </m:nary>
                    </m:e>
                  </m:d>
                </m:e>
                <m:sup>
                  <m:r>
                    <w:rPr>
                      <w:rFonts w:ascii="Cambria Math" w:hAnsi="Cambria Math"/>
                    </w:rPr>
                    <m:t xml:space="preserve">−</m:t>
                  </m:r>
                  <m:r>
                    <w:rPr>
                      <w:rFonts w:ascii="Cambria Math" w:hAnsi="Cambria Math"/>
                    </w:rPr>
                    <m:t xml:space="preserve">1</m:t>
                  </m:r>
                </m:sup>
              </m:sSup>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e>
              </m:nary>
            </m:den>
          </m:f>
        </m:oMath>
      </m:oMathPara>
    </w:p>
    <w:p>
      <w:pPr>
        <w:pStyle w:val="Normal"/>
        <w:rPr/>
      </w:pPr>
      <w:r>
        <w:rPr/>
        <w:t xml:space="preserve">where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oMath>
      <w:r>
        <w:rPr/>
        <w:t xml:space="preserve"> is the reference power transfer function for fixed measurement antenna n, </w:t>
      </w:r>
      <w:r>
        <w:rPr/>
      </w:r>
      <m:oMath xmlns:m="http://schemas.openxmlformats.org/officeDocument/2006/math">
        <m:sSub>
          <m:e>
            <m:r>
              <w:rPr>
                <w:rFonts w:ascii="Cambria Math" w:hAnsi="Cambria Math"/>
              </w:rPr>
              <m:t xml:space="preserve">R</m:t>
            </m:r>
          </m:e>
          <m:sub>
            <m:r>
              <w:rPr>
                <w:rFonts w:ascii="Cambria Math" w:hAnsi="Cambria Math"/>
              </w:rPr>
              <m:t xml:space="preserve">n</m:t>
            </m:r>
          </m:sub>
        </m:sSub>
      </m:oMath>
      <w:r>
        <w:rPr/>
        <w:t xml:space="preserve"> is the reflection coefficient for fixed measurement antenna n and </w:t>
      </w:r>
      <w:r>
        <w:rPr/>
      </w:r>
      <m:oMath xmlns:m="http://schemas.openxmlformats.org/officeDocument/2006/math">
        <m:sSub>
          <m:e>
            <m:r>
              <w:rPr>
                <w:rFonts w:ascii="Cambria Math" w:hAnsi="Cambria Math"/>
              </w:rPr>
              <m:t xml:space="preserve">C</m:t>
            </m:r>
          </m:e>
          <m:sub>
            <m:r>
              <w:rPr>
                <w:rFonts w:ascii="Cambria Math" w:hAnsi="Cambria Math"/>
              </w:rPr>
              <m:t xml:space="preserve">n</m:t>
            </m:r>
          </m:sub>
        </m:sSub>
      </m:oMath>
      <w:r>
        <w:rPr/>
        <w:t xml:space="preserve"> is the path loss in the cables connecting the measurement receiver to fixed measurement antenna n. These parameters are calculated from the calibration measurement and are further discussed in Annex B.2.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thres</m:t>
            </m:r>
            <m:r>
              <w:rPr>
                <w:rFonts w:ascii="Cambria Math" w:hAnsi="Cambria Math"/>
              </w:rPr>
              <m:t xml:space="preserve">,</m:t>
            </m:r>
            <m:r>
              <w:rPr>
                <w:rFonts w:ascii="Cambria Math" w:hAnsi="Cambria Math"/>
              </w:rPr>
              <m:t xml:space="preserve">n</m:t>
            </m:r>
          </m:sub>
        </m:sSub>
      </m:oMath>
      <w:r>
        <w:rPr/>
        <w:t xml:space="preserve"> is calculated by using the following equation:</w:t>
      </w:r>
    </w:p>
    <w:p>
      <w:pPr>
        <w:pStyle w:val="EQ"/>
        <w:rPr>
          <w:lang w:val="en-GB" w:eastAsia="en-GB"/>
        </w:rPr>
      </w:pPr>
      <w:r>
        <w:rPr>
          <w:lang w:val="en-GB" w:eastAsia="en-GB"/>
        </w:rPr>
      </w:r>
      <m:oMathPara xmlns:m="http://schemas.openxmlformats.org/officeDocument/2006/math">
        <m:oMathParaPr>
          <m:jc m:val="left"/>
        </m:oMathParaPr>
        <m:oMath>
          <m:sSub>
            <m:e>
              <m:r>
                <w:rPr>
                  <w:rFonts w:ascii="Cambria Math" w:hAnsi="Cambria Math"/>
                </w:rPr>
                <m:t xml:space="preserve">P</m:t>
              </m:r>
            </m:e>
            <m:sub>
              <m:r>
                <m:rPr>
                  <m:lit/>
                  <m:nor/>
                </m:rPr>
                <w:rPr>
                  <w:rFonts w:ascii="Cambria Math" w:hAnsi="Cambria Math"/>
                </w:rPr>
                <m:t xml:space="preserve">thres</m:t>
              </m:r>
              <m:r>
                <w:rPr>
                  <w:rFonts w:ascii="Cambria Math" w:hAnsi="Cambria Math"/>
                </w:rPr>
                <m:t xml:space="preserve">,</m:t>
              </m:r>
              <m:r>
                <w:rPr>
                  <w:rFonts w:ascii="Cambria Math" w:hAnsi="Cambria Math"/>
                </w:rPr>
                <m:t xml:space="preserve">n</m:t>
              </m:r>
            </m:sub>
          </m:sSub>
          <m:r>
            <w:rPr>
              <w:rFonts w:ascii="Cambria Math" w:hAnsi="Cambria Math"/>
            </w:rPr>
            <m:t xml:space="preserve">=</m:t>
          </m:r>
          <m:f>
            <m:num>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f>
                    <m:num>
                      <m:r>
                        <w:rPr>
                          <w:rFonts w:ascii="Cambria Math" w:hAnsi="Cambria Math"/>
                        </w:rPr>
                        <m:t xml:space="preserve">1</m:t>
                      </m:r>
                    </m:num>
                    <m:den>
                      <m:sSup>
                        <m:e>
                          <m:d>
                            <m:dPr>
                              <m:begChr m:val="|"/>
                              <m:endChr m:val="|"/>
                            </m:dPr>
                            <m:e>
                              <m:sSubSup>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up>
                                  <m:r>
                                    <m:rPr>
                                      <m:lit/>
                                      <m:nor/>
                                    </m:rPr>
                                    <w:rPr>
                                      <w:rFonts w:ascii="Cambria Math" w:hAnsi="Cambria Math"/>
                                    </w:rPr>
                                    <m:t xml:space="preserve">thres</m:t>
                                  </m:r>
                                </m:sup>
                              </m:sSubSup>
                            </m:e>
                          </m:d>
                        </m:e>
                        <m:sup>
                          <m:r>
                            <w:rPr>
                              <w:rFonts w:ascii="Cambria Math" w:hAnsi="Cambria Math"/>
                            </w:rPr>
                            <m:t xml:space="preserve">2</m:t>
                          </m:r>
                        </m:sup>
                      </m:sSup>
                    </m:den>
                  </m:f>
                </m:e>
              </m:nary>
            </m:num>
            <m:den>
              <m:r>
                <w:rPr>
                  <w:rFonts w:ascii="Cambria Math" w:hAnsi="Cambria Math"/>
                </w:rPr>
                <m:t xml:space="preserve">M</m:t>
              </m:r>
            </m:den>
          </m:f>
        </m:oMath>
      </m:oMathPara>
    </w:p>
    <w:p>
      <w:pPr>
        <w:pStyle w:val="Normal"/>
        <w:rPr/>
      </w:pPr>
      <w:r>
        <w:rPr/>
        <w:t xml:space="preserve">where </w:t>
      </w:r>
      <w:r>
        <w:rPr/>
      </w:r>
      <m:oMath xmlns:m="http://schemas.openxmlformats.org/officeDocument/2006/math">
        <m:sSubSup>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up>
            <m:r>
              <m:rPr>
                <m:lit/>
                <m:nor/>
              </m:rPr>
              <w:rPr>
                <w:rFonts w:ascii="Cambria Math" w:hAnsi="Cambria Math"/>
              </w:rPr>
              <m:t xml:space="preserve">thres</m:t>
            </m:r>
          </m:sup>
        </m:sSubSup>
      </m:oMath>
      <w:r>
        <w:rPr/>
        <w:t xml:space="preserve"> is the m:th value of the transfer function for fixed measurement antenna n, which gives the BER threshold. </w:t>
      </w:r>
      <w:r>
        <w:rPr/>
      </w:r>
      <m:oMath xmlns:m="http://schemas.openxmlformats.org/officeDocument/2006/math">
        <m:r>
          <w:rPr>
            <w:rFonts w:ascii="Cambria Math" w:hAnsi="Cambria Math"/>
          </w:rPr>
          <m:t xml:space="preserve">M</m:t>
        </m:r>
      </m:oMath>
      <w:r>
        <w:rPr/>
        <w:t xml:space="preserve"> is the total number of values of the BER threshold power measured for each fixed measurement antenna.</w:t>
      </w:r>
    </w:p>
    <w:p>
      <w:pPr>
        <w:pStyle w:val="Normal"/>
        <w:rPr/>
      </w:pPr>
      <w:r>
        <w:rPr/>
        <w:t>[Applicability is TBD]</w:t>
      </w:r>
    </w:p>
    <w:p>
      <w:pPr>
        <w:pStyle w:val="Heading4"/>
        <w:ind w:left="1418" w:hanging="1418"/>
        <w:rPr/>
      </w:pPr>
      <w:bookmarkStart w:id="348" w:name="__RefHeading___Toc68601280"/>
      <w:bookmarkEnd w:id="348"/>
      <w:r>
        <w:rPr/>
        <w:t>7.3.1.2</w:t>
      </w:r>
      <w:r>
        <w:rPr>
          <w:rFonts w:cs="Calibri" w:ascii="Calibri" w:hAnsi="Calibri"/>
          <w:sz w:val="22"/>
          <w:szCs w:val="22"/>
        </w:rPr>
        <w:tab/>
      </w:r>
      <w:r>
        <w:rPr/>
        <w:t>Minimum Requirements</w:t>
      </w:r>
    </w:p>
    <w:p>
      <w:pPr>
        <w:pStyle w:val="Normal"/>
        <w:jc w:val="both"/>
        <w:rPr/>
      </w:pPr>
      <w:r>
        <w:rPr/>
        <w:t>The average TRS of low, mid and high channel of the LEE in the data transfers position for 1% BER with 12.2kbps DL reference channel as defined in Annex C.3 of TS25.101 [2] shall be lower than minimum performance requirements for roaming bands shown in Table 7.3.1.2-1 for notebook devices and in Table 7.3.1.2-2 for tablet devices. The averaging shall be done in linear scale for the TRS results.</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3</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den>
                  </m:f>
                </m:e>
              </m:d>
            </m:e>
          </m:d>
        </m:oMath>
      </m:oMathPara>
    </w:p>
    <w:p>
      <w:pPr>
        <w:pStyle w:val="Normal"/>
        <w:rPr/>
      </w:pPr>
      <w:r>
        <w:rPr/>
        <w:t>In addition the maximum TRS of each measured channel in the data transfers position shall be better than minimum performance requirements for roaming bands shown in the columns “Max”.</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TRS</m:t>
              </m:r>
            </m:e>
            <m:sub>
              <m:r>
                <m:rPr>
                  <m:lit/>
                  <m:nor/>
                </m:rPr>
                <w:rPr>
                  <w:rFonts w:ascii="Cambria Math" w:hAnsi="Cambria Math"/>
                </w:rPr>
                <m:t xml:space="preserve">max</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m:rPr>
                  <m:lit/>
                  <m:nor/>
                </m:rPr>
                <w:rPr>
                  <w:rFonts w:ascii="Cambria Math" w:hAnsi="Cambria Math"/>
                </w:rPr>
                <m:t xml:space="preserve">max</m:t>
              </m:r>
              <m:d>
                <m:dPr>
                  <m:begChr m:val="("/>
                  <m:endChr m:val=")"/>
                </m:dPr>
                <m:e>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e>
              </m:d>
            </m:e>
          </m:d>
        </m:oMath>
      </m:oMathPara>
    </w:p>
    <w:p>
      <w:pPr>
        <w:pStyle w:val="TH"/>
        <w:rPr/>
      </w:pPr>
      <w:r>
        <w:rPr/>
        <w:t>Table 7.3.1.2-1: TRS minimum requirements for UTRA FDD roaming mode for notebook devices in the data transfers position and the primary mechanical mode</w:t>
      </w:r>
    </w:p>
    <w:tbl>
      <w:tblPr>
        <w:tblW w:w="6051" w:type="dxa"/>
        <w:jc w:val="center"/>
        <w:tblInd w:w="0" w:type="dxa"/>
        <w:tblLayout w:type="fixed"/>
        <w:tblCellMar>
          <w:top w:w="0" w:type="dxa"/>
          <w:left w:w="28" w:type="dxa"/>
          <w:bottom w:w="0" w:type="dxa"/>
          <w:right w:w="28" w:type="dxa"/>
        </w:tblCellMar>
      </w:tblPr>
      <w:tblGrid>
        <w:gridCol w:w="1472"/>
        <w:gridCol w:w="1744"/>
        <w:gridCol w:w="1418"/>
        <w:gridCol w:w="1417"/>
      </w:tblGrid>
      <w:tr>
        <w:trPr>
          <w:trHeight w:val="57" w:hRule="atLeast"/>
          <w:cantSplit w:val="true"/>
        </w:trPr>
        <w:tc>
          <w:tcPr>
            <w:tcW w:w="1472" w:type="dxa"/>
            <w:vMerge w:val="restart"/>
            <w:tcBorders>
              <w:top w:val="single" w:sz="4" w:space="0" w:color="000000"/>
              <w:left w:val="single" w:sz="4" w:space="0" w:color="000000"/>
              <w:bottom w:val="single" w:sz="4" w:space="0" w:color="000000"/>
              <w:right w:val="single" w:sz="4" w:space="0" w:color="000000"/>
            </w:tcBorders>
          </w:tcPr>
          <w:p>
            <w:pPr>
              <w:pStyle w:val="TAH"/>
              <w:rPr/>
            </w:pPr>
            <w:r>
              <w:rPr/>
              <w:t>Operating band</w:t>
            </w:r>
          </w:p>
        </w:tc>
        <w:tc>
          <w:tcPr>
            <w:tcW w:w="1744" w:type="dxa"/>
            <w:vMerge w:val="restart"/>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pPr>
            <w:r>
              <w:rPr/>
              <w:t>&lt;REFÎ</w:t>
            </w:r>
            <w:r>
              <w:rPr>
                <w:vertAlign w:val="subscript"/>
              </w:rPr>
              <w:t>or</w:t>
            </w:r>
            <w:r>
              <w:rPr/>
              <w:t>&gt;</w:t>
            </w:r>
          </w:p>
        </w:tc>
      </w:tr>
      <w:tr>
        <w:trPr>
          <w:trHeight w:val="57" w:hRule="atLeast"/>
          <w:cantSplit w:val="true"/>
        </w:trPr>
        <w:tc>
          <w:tcPr>
            <w:tcW w:w="147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744"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Max</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-103.5</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-102.0</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II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III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IV</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V</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VI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-101.5</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-99.5</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VII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VIII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-101.5</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-99.5</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IX</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XIX</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-101.5</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-99.5</w:t>
            </w:r>
          </w:p>
        </w:tc>
      </w:tr>
      <w:tr>
        <w:trPr>
          <w:trHeight w:val="57" w:hRule="atLeast"/>
          <w:cantSplit w:val="true"/>
        </w:trPr>
        <w:tc>
          <w:tcPr>
            <w:tcW w:w="6051"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For power class 3, 3bis and 4 this shall be achieved at the maximum output power.</w:t>
            </w:r>
          </w:p>
          <w:p>
            <w:pPr>
              <w:pStyle w:val="TAN"/>
              <w:rPr/>
            </w:pPr>
            <w:r>
              <w:rPr/>
              <w:t xml:space="preserve">NOTE 2: </w:t>
              <w:tab/>
              <w:t>Applicable for dual-mode GSM/UMTS.</w:t>
            </w:r>
          </w:p>
          <w:p>
            <w:pPr>
              <w:pStyle w:val="TAN"/>
              <w:rPr/>
            </w:pPr>
            <w:r>
              <w:rPr/>
              <w:t xml:space="preserve">NOTE 3: </w:t>
              <w:tab/>
              <w:t>Applicable for notebook devices.</w:t>
            </w:r>
          </w:p>
        </w:tc>
      </w:tr>
    </w:tbl>
    <w:p>
      <w:pPr>
        <w:pStyle w:val="Normal"/>
        <w:rPr/>
      </w:pPr>
      <w:r>
        <w:rPr/>
      </w:r>
    </w:p>
    <w:p>
      <w:pPr>
        <w:pStyle w:val="Normal"/>
        <w:rPr/>
      </w:pPr>
      <w:r>
        <w:rPr/>
        <w:t>NOTE: TRS minimum performance requirements in Table 7.3.1.2-1 apply to HSPA and LTE UEs supporting only single carrier operation. Their applicability to multi-carrier operation is FFS. This is because it has not been verified whether the UEs measured to derive the requirements supported carrier aggregation or not.</w:t>
      </w:r>
    </w:p>
    <w:p>
      <w:pPr>
        <w:pStyle w:val="TH"/>
        <w:rPr/>
      </w:pPr>
      <w:r>
        <w:rPr/>
        <w:t>Table 7.3.1.2-2: TRS minimum requirements for UTRA FDD roaming mode for tablet devices in the data transfers position and the primary mechanical mode</w:t>
      </w:r>
    </w:p>
    <w:tbl>
      <w:tblPr>
        <w:tblW w:w="6051" w:type="dxa"/>
        <w:jc w:val="center"/>
        <w:tblInd w:w="0" w:type="dxa"/>
        <w:tblLayout w:type="fixed"/>
        <w:tblCellMar>
          <w:top w:w="0" w:type="dxa"/>
          <w:left w:w="28" w:type="dxa"/>
          <w:bottom w:w="0" w:type="dxa"/>
          <w:right w:w="28" w:type="dxa"/>
        </w:tblCellMar>
      </w:tblPr>
      <w:tblGrid>
        <w:gridCol w:w="1472"/>
        <w:gridCol w:w="1744"/>
        <w:gridCol w:w="1418"/>
        <w:gridCol w:w="1417"/>
      </w:tblGrid>
      <w:tr>
        <w:trPr>
          <w:trHeight w:val="57" w:hRule="atLeast"/>
          <w:cantSplit w:val="true"/>
        </w:trPr>
        <w:tc>
          <w:tcPr>
            <w:tcW w:w="1472" w:type="dxa"/>
            <w:vMerge w:val="restart"/>
            <w:tcBorders>
              <w:top w:val="single" w:sz="4" w:space="0" w:color="000000"/>
              <w:left w:val="single" w:sz="4" w:space="0" w:color="000000"/>
              <w:bottom w:val="single" w:sz="4" w:space="0" w:color="000000"/>
              <w:right w:val="single" w:sz="4" w:space="0" w:color="000000"/>
            </w:tcBorders>
          </w:tcPr>
          <w:p>
            <w:pPr>
              <w:pStyle w:val="TAH"/>
              <w:rPr/>
            </w:pPr>
            <w:r>
              <w:rPr/>
              <w:t>Operating band</w:t>
            </w:r>
          </w:p>
        </w:tc>
        <w:tc>
          <w:tcPr>
            <w:tcW w:w="1744" w:type="dxa"/>
            <w:vMerge w:val="restart"/>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pPr>
            <w:r>
              <w:rPr/>
              <w:t>&lt;REFÎ</w:t>
            </w:r>
            <w:r>
              <w:rPr>
                <w:vertAlign w:val="subscript"/>
              </w:rPr>
              <w:t>or</w:t>
            </w:r>
            <w:r>
              <w:rPr/>
              <w:t>&gt;</w:t>
            </w:r>
          </w:p>
        </w:tc>
      </w:tr>
      <w:tr>
        <w:trPr>
          <w:trHeight w:val="57" w:hRule="atLeast"/>
          <w:cantSplit w:val="true"/>
        </w:trPr>
        <w:tc>
          <w:tcPr>
            <w:tcW w:w="147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744"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Max</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-105.75</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-104.25</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II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III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IV</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V</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-103.0</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-101.0</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VI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VII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VIII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IX</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XIX</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t>-103.0</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t>-</w:t>
            </w:r>
            <w:r>
              <w:rPr>
                <w:lang w:eastAsia="en-US"/>
              </w:rPr>
              <w:t>101.0</w:t>
            </w:r>
          </w:p>
        </w:tc>
      </w:tr>
      <w:tr>
        <w:trPr>
          <w:trHeight w:val="57" w:hRule="atLeast"/>
          <w:cantSplit w:val="true"/>
        </w:trPr>
        <w:tc>
          <w:tcPr>
            <w:tcW w:w="6051"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For power class 3, 3bis and 4 this shall be achieved at the maximum output power.</w:t>
            </w:r>
          </w:p>
          <w:p>
            <w:pPr>
              <w:pStyle w:val="TAN"/>
              <w:rPr/>
            </w:pPr>
            <w:r>
              <w:rPr/>
              <w:t xml:space="preserve">NOTE 2: </w:t>
              <w:tab/>
              <w:t>Applicable for dual-mode GSM/UMTS.</w:t>
            </w:r>
          </w:p>
          <w:p>
            <w:pPr>
              <w:pStyle w:val="TAN"/>
              <w:rPr/>
            </w:pPr>
            <w:r>
              <w:rPr/>
              <w:t xml:space="preserve">NOTE 3: </w:t>
              <w:tab/>
              <w:t>Applicable for tablet devices with two antennas.</w:t>
            </w:r>
          </w:p>
        </w:tc>
      </w:tr>
    </w:tbl>
    <w:p>
      <w:pPr>
        <w:pStyle w:val="Normal"/>
        <w:rPr/>
      </w:pPr>
      <w:r>
        <w:rPr/>
      </w:r>
    </w:p>
    <w:p>
      <w:pPr>
        <w:pStyle w:val="Normal"/>
        <w:rPr/>
      </w:pPr>
      <w:r>
        <w:rPr/>
        <w:t>The normative reference for this clause is TS 37.144 [12] Subclause 7.3.2.</w:t>
      </w:r>
    </w:p>
    <w:p>
      <w:pPr>
        <w:pStyle w:val="Heading4"/>
        <w:ind w:left="1418" w:hanging="1418"/>
        <w:rPr/>
      </w:pPr>
      <w:bookmarkStart w:id="349" w:name="__RefHeading___Toc68601281"/>
      <w:bookmarkEnd w:id="349"/>
      <w:r>
        <w:rPr/>
        <w:t>7.3.1.3</w:t>
      </w:r>
      <w:r>
        <w:rPr>
          <w:rFonts w:cs="Calibri" w:ascii="Calibri" w:hAnsi="Calibri"/>
          <w:sz w:val="22"/>
          <w:szCs w:val="22"/>
        </w:rPr>
        <w:tab/>
      </w:r>
      <w:r>
        <w:rPr/>
        <w:t>Test purpose</w:t>
      </w:r>
    </w:p>
    <w:p>
      <w:pPr>
        <w:pStyle w:val="Normal"/>
        <w:rPr/>
      </w:pPr>
      <w:r>
        <w:rPr/>
        <w:t xml:space="preserve">The purpose of this test is to ensure that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max</m:t>
            </m:r>
          </m:sub>
        </m:sSub>
      </m:oMath>
      <w:r>
        <w:rPr/>
        <w:t xml:space="preserve"> of the UE is above specified limit. The lack of the reception sensitivity decreases the coverage area at the far side from Node B.</w:t>
      </w:r>
    </w:p>
    <w:p>
      <w:pPr>
        <w:pStyle w:val="Heading4"/>
        <w:ind w:left="1418" w:hanging="1418"/>
        <w:rPr/>
      </w:pPr>
      <w:bookmarkStart w:id="350" w:name="__RefHeading___Toc68601282"/>
      <w:bookmarkEnd w:id="350"/>
      <w:r>
        <w:rPr/>
        <w:t>7.3.1.4</w:t>
      </w:r>
      <w:r>
        <w:rPr>
          <w:rFonts w:cs="Calibri" w:ascii="Calibri" w:hAnsi="Calibri"/>
          <w:sz w:val="22"/>
          <w:szCs w:val="22"/>
        </w:rPr>
        <w:tab/>
      </w:r>
      <w:r>
        <w:rPr/>
        <w:t>Method of test</w:t>
      </w:r>
    </w:p>
    <w:p>
      <w:pPr>
        <w:pStyle w:val="Heading4"/>
        <w:ind w:left="1418" w:hanging="1418"/>
        <w:rPr/>
      </w:pPr>
      <w:bookmarkStart w:id="351" w:name="__RefHeading___Toc68601283"/>
      <w:bookmarkEnd w:id="351"/>
      <w:r>
        <w:rPr/>
        <w:t>7.3.1.4.1</w:t>
      </w:r>
      <w:r>
        <w:rPr>
          <w:rFonts w:cs="Calibri" w:ascii="Calibri" w:hAnsi="Calibri"/>
          <w:sz w:val="22"/>
          <w:szCs w:val="22"/>
        </w:rPr>
        <w:tab/>
      </w:r>
      <w:r>
        <w:rPr/>
        <w:t>Initial conditions</w:t>
      </w:r>
    </w:p>
    <w:p>
      <w:pPr>
        <w:pStyle w:val="Normal"/>
        <w:rPr/>
      </w:pPr>
      <w:r>
        <w:rPr/>
        <w:t xml:space="preserve">A radio communications tester or a corresponding device is used as a NB simulator to setup calls to the DUT. The NB simulator is also used to send test signals to the UE and measure the BER levels of the radio link and the information on the dedicated channel needed to extract the DUT receiver performances. </w:t>
      </w:r>
    </w:p>
    <w:p>
      <w:pPr>
        <w:pStyle w:val="Normal"/>
        <w:rPr>
          <w:lang w:eastAsia="ja-JP"/>
        </w:rPr>
      </w:pPr>
      <w:r>
        <w:rPr>
          <w:lang w:eastAsia="ja-JP"/>
        </w:rPr>
        <w:t>Chamber environment constraints and coordinate system shall be the same as described in Subclause A.3.</w:t>
      </w:r>
    </w:p>
    <w:p>
      <w:pPr>
        <w:pStyle w:val="Normal"/>
        <w:rPr>
          <w:lang w:eastAsia="zh-CN"/>
        </w:rPr>
      </w:pPr>
      <w:r>
        <w:rPr>
          <w:lang w:eastAsia="ja-JP"/>
        </w:rPr>
        <w:t xml:space="preserve">Phantom Specifications shall be the same as described in </w:t>
      </w:r>
      <w:r>
        <w:rPr/>
        <w:t>Subclause A.2.4. Parameters required for Notebooks are specified in Annex A.2.4.2 and those for Tablets are specified in Annex A.2.4.3.</w:t>
      </w:r>
    </w:p>
    <w:p>
      <w:pPr>
        <w:pStyle w:val="Normal"/>
        <w:rPr/>
      </w:pPr>
      <w:r>
        <w:rPr/>
        <w:t>Test environment: normal; see TS36.508 [10] Subclause 4.1.1.</w:t>
      </w:r>
    </w:p>
    <w:p>
      <w:pPr>
        <w:pStyle w:val="Normal"/>
        <w:rPr/>
      </w:pPr>
      <w:r>
        <w:rPr/>
        <w:t>Frequencies to be tested: low range, mid range, high range; see Table 5.1-2.</w:t>
      </w:r>
      <w:r>
        <w:rPr>
          <w:lang w:eastAsia="ja-JP"/>
        </w:rPr>
        <w:t xml:space="preserve"> </w:t>
      </w:r>
    </w:p>
    <w:p>
      <w:pPr>
        <w:pStyle w:val="Normal"/>
        <w:rPr>
          <w:lang w:eastAsia="ja-JP"/>
        </w:rPr>
      </w:pPr>
      <w:r>
        <w:rPr>
          <w:lang w:eastAsia="ja-JP"/>
        </w:rPr>
        <w:t>Positioning Requirements shall be the same as described in Subclause 4.3.</w:t>
      </w:r>
    </w:p>
    <w:p>
      <w:pPr>
        <w:pStyle w:val="B1"/>
        <w:rPr/>
      </w:pPr>
      <w:r>
        <w:rPr/>
        <w:t>1)</w:t>
        <w:tab/>
        <w:t>Position the UE according to the DUT positioning for devices with embedded modules specified in Subclause 4.3.5.</w:t>
      </w:r>
    </w:p>
    <w:p>
      <w:pPr>
        <w:pStyle w:val="B1"/>
        <w:rPr/>
      </w:pPr>
      <w:r>
        <w:rPr/>
        <w:t>2)</w:t>
        <w:tab/>
        <w:t>Set the SS downlink physical channels according to settings in Table 7.3.1.4.1-1.</w:t>
      </w:r>
    </w:p>
    <w:p>
      <w:pPr>
        <w:pStyle w:val="B1"/>
        <w:rPr/>
      </w:pPr>
      <w:r>
        <w:rPr/>
        <w:t>3)</w:t>
        <w:tab/>
        <w:t>Power on the UE.</w:t>
      </w:r>
    </w:p>
    <w:p>
      <w:pPr>
        <w:pStyle w:val="B1"/>
        <w:rPr/>
      </w:pPr>
      <w:r>
        <w:rPr/>
        <w:t>4)</w:t>
        <w:tab/>
        <w:t>A call is set up according to the Generic call setup procedure. The power control algorithm shall be set to Power Control Algorithm 2. Compressed mode shall be set to OFF.</w:t>
      </w:r>
    </w:p>
    <w:p>
      <w:pPr>
        <w:pStyle w:val="B1"/>
        <w:rPr/>
      </w:pPr>
      <w:r>
        <w:rPr/>
        <w:t>5)</w:t>
        <w:tab/>
        <w:t>Enter the UE into loopback test mode 2 and start the loopback test.</w:t>
      </w:r>
    </w:p>
    <w:p>
      <w:pPr>
        <w:pStyle w:val="Normal"/>
        <w:rPr/>
      </w:pPr>
      <w:r>
        <w:rPr/>
        <w:t>See TS 34.108 [4] and TS 34.109 [5] for details regarding generic call setup procedure and loopback test.</w:t>
      </w:r>
    </w:p>
    <w:p>
      <w:pPr>
        <w:pStyle w:val="TH"/>
        <w:rPr/>
      </w:pPr>
      <w:r>
        <w:rPr/>
        <w:t>Table 7.3.1.4.1-1: Downlink Physical Channels transmitted during a connection</w:t>
      </w:r>
    </w:p>
    <w:tbl>
      <w:tblPr>
        <w:tblW w:w="6612" w:type="dxa"/>
        <w:jc w:val="left"/>
        <w:tblInd w:w="1553" w:type="dxa"/>
        <w:tblLayout w:type="fixed"/>
        <w:tblCellMar>
          <w:top w:w="0" w:type="dxa"/>
          <w:left w:w="108" w:type="dxa"/>
          <w:bottom w:w="0" w:type="dxa"/>
          <w:right w:w="108" w:type="dxa"/>
        </w:tblCellMar>
      </w:tblPr>
      <w:tblGrid>
        <w:gridCol w:w="2301"/>
        <w:gridCol w:w="4311"/>
      </w:tblGrid>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Physical Channel</w:t>
            </w:r>
          </w:p>
        </w:tc>
        <w:tc>
          <w:tcPr>
            <w:tcW w:w="431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Power</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CPICH</w:t>
            </w:r>
          </w:p>
        </w:tc>
        <w:tc>
          <w:tcPr>
            <w:tcW w:w="431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CPICH_Ec / DPCH_Ec</w:t>
              <w:tab/>
              <w:t>= 7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P-CCPCH</w:t>
            </w:r>
          </w:p>
        </w:tc>
        <w:tc>
          <w:tcPr>
            <w:tcW w:w="431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P-CCPCH_Ec/ DPCH_Ec</w:t>
              <w:tab/>
              <w:t>= 5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SCH</w:t>
            </w:r>
          </w:p>
        </w:tc>
        <w:tc>
          <w:tcPr>
            <w:tcW w:w="431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SCH_Ec / DPCH_Ec</w:t>
              <w:tab/>
              <w:t>= 5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PICH</w:t>
            </w:r>
          </w:p>
        </w:tc>
        <w:tc>
          <w:tcPr>
            <w:tcW w:w="431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PICH_Ec / DPCH_Ec</w:t>
              <w:tab/>
              <w:t>= 2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DPCH</w:t>
            </w:r>
          </w:p>
        </w:tc>
        <w:tc>
          <w:tcPr>
            <w:tcW w:w="431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Test dependent power</w:t>
            </w:r>
          </w:p>
        </w:tc>
      </w:tr>
    </w:tbl>
    <w:p>
      <w:pPr>
        <w:pStyle w:val="Normal"/>
        <w:rPr/>
      </w:pPr>
      <w:r>
        <w:rPr/>
      </w:r>
    </w:p>
    <w:p>
      <w:pPr>
        <w:pStyle w:val="Heading4"/>
        <w:ind w:left="1418" w:hanging="1418"/>
        <w:rPr/>
      </w:pPr>
      <w:bookmarkStart w:id="352" w:name="__RefHeading___Toc68601284"/>
      <w:bookmarkEnd w:id="352"/>
      <w:r>
        <w:rPr/>
        <w:t>7.3.1.4.2</w:t>
      </w:r>
      <w:r>
        <w:rPr>
          <w:rFonts w:cs="Calibri" w:ascii="Calibri" w:hAnsi="Calibri"/>
          <w:sz w:val="22"/>
          <w:szCs w:val="22"/>
        </w:rPr>
        <w:tab/>
      </w:r>
      <w:r>
        <w:rPr/>
        <w:t>Procedure</w:t>
      </w:r>
    </w:p>
    <w:p>
      <w:pPr>
        <w:pStyle w:val="B1"/>
        <w:rPr/>
      </w:pPr>
      <w:r>
        <w:rPr/>
        <w:t>1)</w:t>
        <w:tab/>
        <w:t>Send continuously Up power control commands to the UE.</w:t>
      </w:r>
    </w:p>
    <w:p>
      <w:pPr>
        <w:pStyle w:val="B1"/>
        <w:rPr/>
      </w:pPr>
      <w:r>
        <w:rPr/>
        <w:t>2)</w:t>
        <w:tab/>
        <w:t>As the UE reaches maximum power, start sending PN15 data pattern.</w:t>
      </w:r>
    </w:p>
    <w:p>
      <w:pPr>
        <w:pStyle w:val="B1"/>
        <w:rPr/>
      </w:pPr>
      <w:r>
        <w:rPr/>
        <w:t>3)</w:t>
        <w:tab/>
        <w:t xml:space="preserve">Measure EIS from one measurement point. EIS is the power transmitted from one specific direction to the UE causing BER value of 1% </w:t>
      </w:r>
      <w:r>
        <w:rPr>
          <w:rFonts w:eastAsia="Symbol" w:cs="Symbol" w:ascii="Symbol" w:hAnsi="Symbol"/>
        </w:rPr>
        <w:t></w:t>
      </w:r>
      <w:r>
        <w:rPr/>
        <w:t xml:space="preserve"> 0.2% using 20000 or more bits; see Annex E.20.</w:t>
      </w:r>
    </w:p>
    <w:p>
      <w:pPr>
        <w:pStyle w:val="B1"/>
        <w:ind w:left="568" w:hanging="0"/>
        <w:rPr/>
      </w:pPr>
      <w:r>
        <w:rPr/>
        <w:t xml:space="preserve">NOTE: To meet BER value target DL power level can be changed using user’s freely selectable algorithm. </w:t>
      </w:r>
    </w:p>
    <w:p>
      <w:pPr>
        <w:pStyle w:val="B1"/>
        <w:ind w:left="284" w:hanging="0"/>
        <w:rPr/>
      </w:pPr>
      <w:r>
        <w:rPr/>
        <w:t>4)</w:t>
        <w:tab/>
        <w:t>Measure the EIS for every direction of selected sampling gird using two orthogonal polarizations to obtain TRS.</w:t>
      </w:r>
    </w:p>
    <w:p>
      <w:pPr>
        <w:pStyle w:val="B1"/>
        <w:rPr/>
      </w:pPr>
      <w:r>
        <w:rPr/>
        <w:t>5)</w:t>
        <w:tab/>
        <w:t>Calculate TRS using equations from Subclause 7.3.1.1.</w:t>
      </w:r>
    </w:p>
    <w:p>
      <w:pPr>
        <w:pStyle w:val="NO"/>
        <w:rPr/>
      </w:pPr>
      <w:r>
        <w:rPr/>
        <w:t>NOTE: To speed up sensitivity measurements non standard setting (i.e. data speed, PCL, BER target) can be used in the measurements. However to obtain TRS result the measured EIS figures shall be normalized by</w:t>
      </w:r>
    </w:p>
    <w:p>
      <w:pPr>
        <w:pStyle w:val="EQ"/>
        <w:jc w:val="center"/>
        <w:rPr>
          <w:lang w:val="en-GB" w:eastAsia="en-GB"/>
        </w:rPr>
      </w:pPr>
      <w:r>
        <w:rPr>
          <w:lang w:val="en-GB" w:eastAsia="en-GB"/>
        </w:rPr>
      </w:r>
      <m:oMathPara xmlns:m="http://schemas.openxmlformats.org/officeDocument/2006/math">
        <m:oMathParaPr>
          <m:jc m:val="center"/>
        </m:oMathParaPr>
        <m:oMath>
          <m:r>
            <w:rPr>
              <w:rFonts w:ascii="Cambria Math" w:hAnsi="Cambria Math"/>
            </w:rPr>
            <m:t xml:space="preserve">Δ</m:t>
          </m:r>
          <m:bar>
            <m:barPr>
              <m:pos m:val="top"/>
            </m:barPr>
            <m:e>
              <m:r>
                <m:rPr>
                  <m:lit/>
                  <m:nor/>
                </m:rPr>
                <w:rPr>
                  <w:rFonts w:ascii="Cambria Math" w:hAnsi="Cambria Math"/>
                </w:rPr>
                <m:t xml:space="preserve">EIS</m:t>
              </m:r>
            </m:e>
          </m:ba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m:rPr>
                          <m:lit/>
                          <m:nor/>
                        </m:rPr>
                        <w:rPr>
                          <w:rFonts w:ascii="Cambria Math" w:hAnsi="Cambria Math"/>
                        </w:rPr>
                        <m:t xml:space="preserve">EISstd</m:t>
                      </m:r>
                    </m:e>
                    <m:sub>
                      <m:r>
                        <w:rPr>
                          <w:rFonts w:ascii="Cambria Math" w:hAnsi="Cambria Math"/>
                        </w:rPr>
                        <m:t xml:space="preserve">i</m:t>
                      </m:r>
                    </m:sub>
                  </m:sSub>
                  <m:r>
                    <w:rPr>
                      <w:rFonts w:ascii="Cambria Math" w:hAnsi="Cambria Math"/>
                    </w:rPr>
                    <m:t xml:space="preserve">−</m:t>
                  </m:r>
                  <m:sSub>
                    <m:e>
                      <m:r>
                        <m:rPr>
                          <m:lit/>
                          <m:nor/>
                        </m:rPr>
                        <w:rPr>
                          <w:rFonts w:ascii="Cambria Math" w:hAnsi="Cambria Math"/>
                        </w:rPr>
                        <m:t xml:space="preserve">EISnstd</m:t>
                      </m:r>
                    </m:e>
                    <m:sub>
                      <m:r>
                        <w:rPr>
                          <w:rFonts w:ascii="Cambria Math" w:hAnsi="Cambria Math"/>
                        </w:rPr>
                        <m:t xml:space="preserve">i</m:t>
                      </m:r>
                    </m:sub>
                  </m:sSub>
                </m:e>
              </m:d>
            </m:e>
          </m:nary>
        </m:oMath>
      </m:oMathPara>
    </w:p>
    <w:p>
      <w:pPr>
        <w:pStyle w:val="Normal"/>
        <w:ind w:left="284" w:hanging="0"/>
        <w:rPr/>
      </w:pPr>
      <w:r>
        <w:rPr/>
        <w:t xml:space="preserve">Where </w:t>
      </w:r>
      <w:r>
        <w:rPr/>
      </w:r>
      <m:oMath xmlns:m="http://schemas.openxmlformats.org/officeDocument/2006/math">
        <m:sSub>
          <m:e>
            <m:r>
              <m:rPr>
                <m:lit/>
                <m:nor/>
              </m:rPr>
              <w:rPr>
                <w:rFonts w:ascii="Cambria Math" w:hAnsi="Cambria Math"/>
              </w:rPr>
              <m:t xml:space="preserve">EISstd</m:t>
            </m:r>
          </m:e>
          <m:sub>
            <m:r>
              <w:rPr>
                <w:rFonts w:ascii="Cambria Math" w:hAnsi="Cambria Math"/>
              </w:rPr>
              <m:t xml:space="preserve">i</m:t>
            </m:r>
          </m:sub>
        </m:sSub>
      </m:oMath>
      <w:r>
        <w:rPr/>
        <w:t xml:space="preserve"> is sensitivity measurement done with standard setting, </w:t>
      </w:r>
      <w:r>
        <w:rPr/>
      </w:r>
      <m:oMath xmlns:m="http://schemas.openxmlformats.org/officeDocument/2006/math">
        <m:sSub>
          <m:e>
            <m:r>
              <m:rPr>
                <m:lit/>
                <m:nor/>
              </m:rPr>
              <w:rPr>
                <w:rFonts w:ascii="Cambria Math" w:hAnsi="Cambria Math"/>
              </w:rPr>
              <m:t xml:space="preserve">EISnstd</m:t>
            </m:r>
          </m:e>
          <m:sub>
            <m:r>
              <w:rPr>
                <w:rFonts w:ascii="Cambria Math" w:hAnsi="Cambria Math"/>
              </w:rPr>
              <m:t xml:space="preserve">i</m:t>
            </m:r>
          </m:sub>
        </m:sSub>
      </m:oMath>
      <w:r>
        <w:rPr/>
        <w:t xml:space="preserve"> is sensitivity measurement done with non standard settings. </w:t>
      </w:r>
      <w:r>
        <w:rPr/>
      </w:r>
      <m:oMath xmlns:m="http://schemas.openxmlformats.org/officeDocument/2006/math">
        <m:r>
          <w:rPr>
            <w:rFonts w:ascii="Cambria Math" w:hAnsi="Cambria Math"/>
          </w:rPr>
          <m:t xml:space="preserve">n</m:t>
        </m:r>
      </m:oMath>
      <w:r>
        <w:rPr/>
        <w:t xml:space="preserve"> is amount of reference measurement points.</w:t>
      </w:r>
    </w:p>
    <w:p>
      <w:pPr>
        <w:pStyle w:val="Normal"/>
        <w:rPr/>
      </w:pPr>
      <w:r>
        <w:rPr/>
        <w:t>To ensure accuracy of TRS, the amount of reference points measured should be at least 4. It is recommended to spread the reference measurements equally during the measurement time.</w:t>
      </w:r>
    </w:p>
    <w:p>
      <w:pPr>
        <w:pStyle w:val="Normal"/>
        <w:rPr/>
      </w:pPr>
      <w:r>
        <w:rPr/>
        <w:t>The measurement procedure is based on the measurement of the spherical sensitivity pattern of the DUT. The sensitivity values of the DUT at a predefined BER level are sampled in far field in a group of points located on a spherical surface enclosing the DUT. The EIS samples are taken using a constant sample step of 30° both in theta (</w:t>
      </w:r>
      <w:r>
        <w:rPr>
          <w:rFonts w:eastAsia="Symbol" w:cs="Symbol" w:ascii="Symbol" w:hAnsi="Symbol"/>
        </w:rPr>
        <w:t></w:t>
      </w:r>
      <w:r>
        <w:rPr/>
        <w:t>) and phi (</w:t>
      </w:r>
      <w:r>
        <w:rPr>
          <w:rFonts w:eastAsia="Symbol" w:cs="Symbol" w:ascii="Symbol" w:hAnsi="Symbol"/>
        </w:rPr>
        <w:t></w:t>
      </w:r>
      <w:r>
        <w:rPr/>
        <w:t xml:space="preserve">) directions. All the EIS samples are taken with two orthogonal polarizations,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-polarisations (See Subclause 4.4).</w:t>
      </w:r>
    </w:p>
    <w:p>
      <w:pPr>
        <w:pStyle w:val="Normal"/>
        <w:rPr/>
      </w:pPr>
      <w:r>
        <w:rPr/>
        <w:t>The Total Radiated Sensitivity is calculated from the measured data by equation in Subclause 7.3.1.2.</w:t>
      </w:r>
    </w:p>
    <w:p>
      <w:pPr>
        <w:pStyle w:val="Heading4"/>
        <w:ind w:left="1418" w:hanging="1418"/>
        <w:rPr/>
      </w:pPr>
      <w:bookmarkStart w:id="353" w:name="__RefHeading___Toc68601285"/>
      <w:bookmarkEnd w:id="353"/>
      <w:r>
        <w:rPr/>
        <w:t>7.3.1.4.3</w:t>
      </w:r>
      <w:r>
        <w:rPr>
          <w:rFonts w:cs="Calibri" w:ascii="Calibri" w:hAnsi="Calibri"/>
          <w:sz w:val="22"/>
          <w:szCs w:val="22"/>
        </w:rPr>
        <w:tab/>
      </w:r>
      <w:r>
        <w:rPr/>
        <w:t>Procedure, reverberation chamber method</w:t>
      </w:r>
    </w:p>
    <w:p>
      <w:pPr>
        <w:pStyle w:val="B1"/>
        <w:rPr/>
      </w:pPr>
      <w:r>
        <w:rPr/>
        <w:t>1)</w:t>
        <w:tab/>
        <w:t>Send continuously Up power control commands to the UE.</w:t>
      </w:r>
    </w:p>
    <w:p>
      <w:pPr>
        <w:pStyle w:val="B1"/>
        <w:rPr/>
      </w:pPr>
      <w:r>
        <w:rPr/>
        <w:t>2)</w:t>
        <w:tab/>
        <w:t>As the UE reaches maximum power, start sending PN15 data pattern.</w:t>
      </w:r>
    </w:p>
    <w:p>
      <w:pPr>
        <w:pStyle w:val="B1"/>
        <w:rPr/>
      </w:pPr>
      <w:r>
        <w:rPr/>
        <w:t>3)</w:t>
        <w:tab/>
        <w:t>Set the base station simulator to a specific output power and perform a BER measurement.</w:t>
      </w:r>
    </w:p>
    <w:p>
      <w:pPr>
        <w:pStyle w:val="B1"/>
        <w:rPr/>
      </w:pPr>
      <w:r>
        <w:rPr/>
        <w:t>4)</w:t>
        <w:tab/>
        <w:t xml:space="preserve">Increase or decrease the base station output power as needed, and repeat step 4 until the lowest output power is found that gives a BER value of 1% </w:t>
      </w:r>
      <w:r>
        <w:rPr>
          <w:rFonts w:eastAsia="Symbol" w:cs="Symbol" w:ascii="Symbol" w:hAnsi="Symbol"/>
        </w:rPr>
        <w:t></w:t>
      </w:r>
      <w:r>
        <w:rPr/>
        <w:t xml:space="preserve"> 0.2% using 20000 or more bits, see Annex E.20. This corresponds to </w:t>
      </w:r>
      <w:r>
        <w:rPr/>
      </w:r>
      <m:oMath xmlns:m="http://schemas.openxmlformats.org/officeDocument/2006/math">
        <m:sSup>
          <m:e>
            <m:d>
              <m:dPr>
                <m:begChr m:val="|"/>
                <m:endChr m:val="|"/>
              </m:dPr>
              <m:e>
                <m:sSubSup>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up>
                    <m:r>
                      <m:rPr>
                        <m:lit/>
                        <m:nor/>
                      </m:rPr>
                      <w:rPr>
                        <w:rFonts w:ascii="Cambria Math" w:hAnsi="Cambria Math"/>
                      </w:rPr>
                      <m:t xml:space="preserve">thres</m:t>
                    </m:r>
                  </m:sup>
                </m:sSubSup>
              </m:e>
            </m:d>
          </m:e>
          <m:sup>
            <m:r>
              <w:rPr>
                <w:rFonts w:ascii="Cambria Math" w:hAnsi="Cambria Math"/>
              </w:rPr>
              <m:t xml:space="preserve">2</m:t>
            </m:r>
          </m:sup>
        </m:sSup>
      </m:oMath>
      <w:r>
        <w:rPr/>
        <w:t>.</w:t>
      </w:r>
    </w:p>
    <w:p>
      <w:pPr>
        <w:pStyle w:val="B1"/>
        <w:ind w:left="568" w:hanging="0"/>
        <w:rPr/>
      </w:pPr>
      <w:r>
        <w:rPr/>
        <w:t xml:space="preserve">NOTE: To meet BER value target DL power level can be changed using user’s freely selectable algorithm. </w:t>
      </w:r>
    </w:p>
    <w:p>
      <w:pPr>
        <w:pStyle w:val="B1"/>
        <w:rPr/>
      </w:pPr>
      <w:r>
        <w:rPr/>
        <w:t>5)</w:t>
        <w:tab/>
        <w:t xml:space="preserve">Repeat step 3 and 4 until a sufficient number of independent samples (see section 4.5) of </w:t>
      </w:r>
      <w:r>
        <w:rPr/>
      </w:r>
      <m:oMath xmlns:m="http://schemas.openxmlformats.org/officeDocument/2006/math">
        <m:sSup>
          <m:e>
            <m:d>
              <m:dPr>
                <m:begChr m:val="|"/>
                <m:endChr m:val="|"/>
              </m:dPr>
              <m:e>
                <m:sSubSup>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up>
                    <m:r>
                      <m:rPr>
                        <m:lit/>
                        <m:nor/>
                      </m:rPr>
                      <w:rPr>
                        <w:rFonts w:ascii="Cambria Math" w:hAnsi="Cambria Math"/>
                      </w:rPr>
                      <m:t xml:space="preserve">thres</m:t>
                    </m:r>
                  </m:sup>
                </m:sSubSup>
              </m:e>
            </m:d>
          </m:e>
          <m:sup>
            <m:r>
              <w:rPr>
                <w:rFonts w:ascii="Cambria Math" w:hAnsi="Cambria Math"/>
              </w:rPr>
              <m:t xml:space="preserve">2</m:t>
            </m:r>
          </m:sup>
        </m:sSup>
      </m:oMath>
      <w:r>
        <w:rPr/>
        <w:t xml:space="preserve"> has been measured.</w:t>
      </w:r>
    </w:p>
    <w:p>
      <w:pPr>
        <w:pStyle w:val="B1"/>
        <w:rPr/>
      </w:pPr>
      <w:r>
        <w:rPr/>
        <w:t>7)</w:t>
        <w:tab/>
        <w:t>Calculate TRS using equations from chapter 7.3.1.1.</w:t>
      </w:r>
    </w:p>
    <w:p>
      <w:pPr>
        <w:pStyle w:val="NO"/>
        <w:rPr/>
      </w:pPr>
      <w:r>
        <w:rPr/>
        <w:t>NOTE 1:</w:t>
        <w:tab/>
        <w:t>The measurement procedure is based on samples of the received signal power at the UE/MS from a full 3 dimensional isotropic environment with uniform elevation and azimuth field distribution. The power received by the DUT is undergoing Rayleigh fading and is transmitted by the fixed measurement antennas. Moreover, it is important that the samples collected are independent, in order to get sufficient accuracy of the estimated TRS value.</w:t>
      </w:r>
    </w:p>
    <w:p>
      <w:pPr>
        <w:pStyle w:val="Normal"/>
        <w:rPr/>
      </w:pPr>
      <w:r>
        <w:rPr/>
        <w:t>The Total Radiated Sensitivity is calculated from the measured data by equation in Subclause 7.3.1.2.</w:t>
      </w:r>
    </w:p>
    <w:p>
      <w:pPr>
        <w:pStyle w:val="Normal"/>
        <w:rPr/>
      </w:pPr>
      <w:r>
        <w:rPr/>
      </w:r>
    </w:p>
    <w:p>
      <w:pPr>
        <w:pStyle w:val="Heading4"/>
        <w:ind w:left="1418" w:hanging="1418"/>
        <w:rPr/>
      </w:pPr>
      <w:bookmarkStart w:id="354" w:name="__RefHeading___Toc68601286"/>
      <w:bookmarkEnd w:id="354"/>
      <w:r>
        <w:rPr/>
        <w:t>7.3.1.5</w:t>
      </w:r>
      <w:r>
        <w:rPr>
          <w:rFonts w:cs="Calibri" w:ascii="Calibri" w:hAnsi="Calibri"/>
          <w:sz w:val="22"/>
          <w:szCs w:val="22"/>
        </w:rPr>
        <w:tab/>
      </w:r>
      <w:r>
        <w:rPr/>
        <w:t>Test requirements</w:t>
      </w:r>
    </w:p>
    <w:p>
      <w:pPr>
        <w:pStyle w:val="Normal"/>
        <w:jc w:val="both"/>
        <w:rPr/>
      </w:pPr>
      <w:r>
        <w:rPr/>
        <w:t>The average TRS of low, mid and high channel in the data transfers position for 1% BER with 12.2kbps DL reference channel as defined in Annex C.3 of TS 25.101 [2] shall be lower than test requirements for roaming bands shown in Table 7.3.1.5-1 for notebook devices and in Table 7.3.1.5-2 for tablet devices. The averaging shall be done in linear scale for the TRS results.</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3</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den>
                  </m:f>
                </m:e>
              </m:d>
            </m:e>
          </m:d>
        </m:oMath>
      </m:oMathPara>
    </w:p>
    <w:p>
      <w:pPr>
        <w:pStyle w:val="Normal"/>
        <w:rPr/>
      </w:pPr>
      <w:r>
        <w:rPr/>
        <w:t>In addition the maximum TRS of each measured channel in the data transfers position shall be better than minimum performance requirements for roaming bands shown in the columns “Max”.</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TRS</m:t>
              </m:r>
            </m:e>
            <m:sub>
              <m:r>
                <m:rPr>
                  <m:lit/>
                  <m:nor/>
                </m:rPr>
                <w:rPr>
                  <w:rFonts w:ascii="Cambria Math" w:hAnsi="Cambria Math"/>
                </w:rPr>
                <m:t xml:space="preserve">max</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m:rPr>
                  <m:lit/>
                  <m:nor/>
                </m:rPr>
                <w:rPr>
                  <w:rFonts w:ascii="Cambria Math" w:hAnsi="Cambria Math"/>
                </w:rPr>
                <m:t xml:space="preserve">max</m:t>
              </m:r>
              <m:d>
                <m:dPr>
                  <m:begChr m:val="("/>
                  <m:endChr m:val=")"/>
                </m:dPr>
                <m:e>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e>
              </m:d>
            </m:e>
          </m:d>
        </m:oMath>
      </m:oMathPara>
    </w:p>
    <w:p>
      <w:pPr>
        <w:pStyle w:val="TH"/>
        <w:rPr/>
      </w:pPr>
      <w:r>
        <w:rPr/>
        <w:t>Table 7.3.1.5-1: TRS test requirements for UTRA FDD roaming mode for notebook devices in the data transfers position and the primary mechanical mode</w:t>
      </w:r>
    </w:p>
    <w:tbl>
      <w:tblPr>
        <w:tblW w:w="6051" w:type="dxa"/>
        <w:jc w:val="center"/>
        <w:tblInd w:w="0" w:type="dxa"/>
        <w:tblLayout w:type="fixed"/>
        <w:tblCellMar>
          <w:top w:w="0" w:type="dxa"/>
          <w:left w:w="28" w:type="dxa"/>
          <w:bottom w:w="0" w:type="dxa"/>
          <w:right w:w="28" w:type="dxa"/>
        </w:tblCellMar>
      </w:tblPr>
      <w:tblGrid>
        <w:gridCol w:w="1472"/>
        <w:gridCol w:w="1744"/>
        <w:gridCol w:w="1418"/>
        <w:gridCol w:w="1417"/>
      </w:tblGrid>
      <w:tr>
        <w:trPr>
          <w:trHeight w:val="57" w:hRule="atLeast"/>
          <w:cantSplit w:val="true"/>
        </w:trPr>
        <w:tc>
          <w:tcPr>
            <w:tcW w:w="1472" w:type="dxa"/>
            <w:vMerge w:val="restart"/>
            <w:tcBorders>
              <w:top w:val="single" w:sz="4" w:space="0" w:color="000000"/>
              <w:left w:val="single" w:sz="4" w:space="0" w:color="000000"/>
              <w:bottom w:val="single" w:sz="4" w:space="0" w:color="000000"/>
              <w:right w:val="single" w:sz="4" w:space="0" w:color="000000"/>
            </w:tcBorders>
          </w:tcPr>
          <w:p>
            <w:pPr>
              <w:pStyle w:val="TAH"/>
              <w:rPr/>
            </w:pPr>
            <w:r>
              <w:rPr/>
              <w:t>Operating band</w:t>
            </w:r>
          </w:p>
        </w:tc>
        <w:tc>
          <w:tcPr>
            <w:tcW w:w="1744" w:type="dxa"/>
            <w:vMerge w:val="restart"/>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pPr>
            <w:r>
              <w:rPr/>
              <w:t>&lt;REFÎ</w:t>
            </w:r>
            <w:r>
              <w:rPr>
                <w:vertAlign w:val="subscript"/>
              </w:rPr>
              <w:t>or</w:t>
            </w:r>
            <w:r>
              <w:rPr/>
              <w:t>&gt;</w:t>
            </w:r>
          </w:p>
        </w:tc>
      </w:tr>
      <w:tr>
        <w:trPr>
          <w:trHeight w:val="57" w:hRule="atLeast"/>
          <w:cantSplit w:val="true"/>
        </w:trPr>
        <w:tc>
          <w:tcPr>
            <w:tcW w:w="147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744"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Max</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-103.5+TT</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II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TBD+TT</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III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TBD+TT</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IV</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TBD+TT</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V</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TBD+TT</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VI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-101.5+TT</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VII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TBD+TT</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VIII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-101.5+TT</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IX</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TBD+TT</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XIX</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t>-101.5+TT</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r>
              <w:rPr/>
              <w:t>+TT</w:t>
            </w:r>
          </w:p>
        </w:tc>
      </w:tr>
      <w:tr>
        <w:trPr>
          <w:trHeight w:val="57" w:hRule="atLeast"/>
          <w:cantSplit w:val="true"/>
        </w:trPr>
        <w:tc>
          <w:tcPr>
            <w:tcW w:w="6051"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For power class 3, 3bis and 4 this shall be achieved at the maximum output power.</w:t>
            </w:r>
          </w:p>
          <w:p>
            <w:pPr>
              <w:pStyle w:val="TAN"/>
              <w:rPr/>
            </w:pPr>
            <w:r>
              <w:rPr/>
              <w:t xml:space="preserve">NOTE 2: </w:t>
              <w:tab/>
              <w:t>Applicable for dual-mode GSM/UMTS.</w:t>
            </w:r>
          </w:p>
          <w:p>
            <w:pPr>
              <w:pStyle w:val="TAN"/>
              <w:rPr/>
            </w:pPr>
            <w:r>
              <w:rPr/>
              <w:t xml:space="preserve">NOTE 3: </w:t>
              <w:tab/>
              <w:t>Applicable for notebook devices.</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TH"/>
        <w:rPr/>
      </w:pPr>
      <w:r>
        <w:rPr/>
        <w:t>Table 7.3.1.5-2: TRS test requirements for UTRA FDD roaming mode for tablet devices in the data transfers position and the primary mechanical mode</w:t>
      </w:r>
    </w:p>
    <w:tbl>
      <w:tblPr>
        <w:tblW w:w="6051" w:type="dxa"/>
        <w:jc w:val="center"/>
        <w:tblInd w:w="0" w:type="dxa"/>
        <w:tblLayout w:type="fixed"/>
        <w:tblCellMar>
          <w:top w:w="0" w:type="dxa"/>
          <w:left w:w="28" w:type="dxa"/>
          <w:bottom w:w="0" w:type="dxa"/>
          <w:right w:w="28" w:type="dxa"/>
        </w:tblCellMar>
      </w:tblPr>
      <w:tblGrid>
        <w:gridCol w:w="1472"/>
        <w:gridCol w:w="1744"/>
        <w:gridCol w:w="1418"/>
        <w:gridCol w:w="1417"/>
      </w:tblGrid>
      <w:tr>
        <w:trPr>
          <w:trHeight w:val="57" w:hRule="atLeast"/>
          <w:cantSplit w:val="true"/>
        </w:trPr>
        <w:tc>
          <w:tcPr>
            <w:tcW w:w="1472" w:type="dxa"/>
            <w:vMerge w:val="restart"/>
            <w:tcBorders>
              <w:top w:val="single" w:sz="4" w:space="0" w:color="000000"/>
              <w:left w:val="single" w:sz="4" w:space="0" w:color="000000"/>
              <w:bottom w:val="single" w:sz="4" w:space="0" w:color="000000"/>
              <w:right w:val="single" w:sz="4" w:space="0" w:color="000000"/>
            </w:tcBorders>
          </w:tcPr>
          <w:p>
            <w:pPr>
              <w:pStyle w:val="TAH"/>
              <w:rPr/>
            </w:pPr>
            <w:r>
              <w:rPr/>
              <w:t>Operating band</w:t>
            </w:r>
          </w:p>
        </w:tc>
        <w:tc>
          <w:tcPr>
            <w:tcW w:w="1744" w:type="dxa"/>
            <w:vMerge w:val="restart"/>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pPr>
            <w:r>
              <w:rPr/>
              <w:t>&lt;REFÎ</w:t>
            </w:r>
            <w:r>
              <w:rPr>
                <w:vertAlign w:val="subscript"/>
              </w:rPr>
              <w:t>or</w:t>
            </w:r>
            <w:r>
              <w:rPr/>
              <w:t>&gt;</w:t>
            </w:r>
          </w:p>
        </w:tc>
      </w:tr>
      <w:tr>
        <w:trPr>
          <w:trHeight w:val="57" w:hRule="atLeast"/>
          <w:cantSplit w:val="true"/>
        </w:trPr>
        <w:tc>
          <w:tcPr>
            <w:tcW w:w="147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744"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Max</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-105.75+TT</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-104.25+TT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II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TBD+TT</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III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TBD+TT</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IV</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TBD+TT</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V</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-103.0+TT</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-101.0+TT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VI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TBD+TT</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VII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TBD+TT</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VIII</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TBD+TT</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pPr>
            <w:r>
              <w:rPr/>
              <w:t>IX</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TBD+TT</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TBD+TT</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XIX</w:t>
            </w:r>
          </w:p>
        </w:tc>
        <w:tc>
          <w:tcPr>
            <w:tcW w:w="1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t>-103.0+TT</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t>-</w:t>
            </w:r>
            <w:r>
              <w:rPr>
                <w:lang w:eastAsia="en-US"/>
              </w:rPr>
              <w:t>101.0</w:t>
            </w:r>
            <w:r>
              <w:rPr/>
              <w:t>+TT</w:t>
            </w:r>
          </w:p>
        </w:tc>
      </w:tr>
      <w:tr>
        <w:trPr>
          <w:trHeight w:val="57" w:hRule="atLeast"/>
          <w:cantSplit w:val="true"/>
        </w:trPr>
        <w:tc>
          <w:tcPr>
            <w:tcW w:w="6051"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For power class 3, 3bis and 4 this shall be achieved at the maximum output power.</w:t>
            </w:r>
          </w:p>
          <w:p>
            <w:pPr>
              <w:pStyle w:val="TAN"/>
              <w:rPr/>
            </w:pPr>
            <w:r>
              <w:rPr/>
              <w:t xml:space="preserve">NOTE 2: </w:t>
              <w:tab/>
              <w:t>Applicable for dual-mode GSM/UMTS.</w:t>
            </w:r>
          </w:p>
          <w:p>
            <w:pPr>
              <w:pStyle w:val="TAN"/>
              <w:rPr/>
            </w:pPr>
            <w:r>
              <w:rPr/>
              <w:t xml:space="preserve">NOTE 3: </w:t>
              <w:tab/>
              <w:t>Applicable for tablet devices with two antennas.</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Heading3"/>
        <w:rPr>
          <w:szCs w:val="16"/>
          <w:lang w:eastAsia="zh-CN"/>
        </w:rPr>
      </w:pPr>
      <w:bookmarkStart w:id="355" w:name="__RefHeading___Toc68601287"/>
      <w:bookmarkEnd w:id="355"/>
      <w:r>
        <w:rPr>
          <w:lang w:eastAsia="zh-CN"/>
        </w:rPr>
        <w:t>7</w:t>
      </w:r>
      <w:r>
        <w:rPr/>
        <w:t>.</w:t>
      </w:r>
      <w:r>
        <w:rPr>
          <w:lang w:eastAsia="zh-CN"/>
        </w:rPr>
        <w:t>3</w:t>
      </w:r>
      <w:r>
        <w:rPr/>
        <w:t>.2</w:t>
        <w:tab/>
      </w:r>
      <w:r>
        <w:rPr>
          <w:rFonts w:cs="Arial"/>
          <w:color w:val="000000"/>
          <w:szCs w:val="16"/>
        </w:rPr>
        <w:t>Total Radiated Sensitivity (TRS) for</w:t>
      </w:r>
      <w:r>
        <w:rPr>
          <w:szCs w:val="16"/>
        </w:rPr>
        <w:t xml:space="preserve"> UTRA LCR TDD LEE</w:t>
      </w:r>
    </w:p>
    <w:p>
      <w:pPr>
        <w:pStyle w:val="EditorsNote"/>
        <w:rPr/>
      </w:pPr>
      <w:r>
        <w:rPr/>
        <w:t>Editor’s notes: This subclause is incomplete. The following items are missing or incomplete:</w:t>
      </w:r>
    </w:p>
    <w:p>
      <w:pPr>
        <w:pStyle w:val="EditorsNote"/>
        <w:numPr>
          <w:ilvl w:val="0"/>
          <w:numId w:val="15"/>
        </w:numPr>
        <w:rPr/>
      </w:pPr>
      <w:r>
        <w:rPr/>
        <w:t>Table 7.3.2.2-1 and 7.3.2.5-1 as they are not specified in TS 37.144 yet</w:t>
      </w:r>
    </w:p>
    <w:p>
      <w:pPr>
        <w:pStyle w:val="EditorsNote"/>
        <w:numPr>
          <w:ilvl w:val="0"/>
          <w:numId w:val="15"/>
        </w:numPr>
        <w:rPr/>
      </w:pPr>
      <w:r>
        <w:rPr/>
        <w:t>Text for Subclause 7.3.2.4.3</w:t>
        <w:tab/>
        <w:t xml:space="preserve"> Procedure, reverberation chamber method</w:t>
      </w:r>
    </w:p>
    <w:p>
      <w:pPr>
        <w:pStyle w:val="EditorsNote"/>
        <w:numPr>
          <w:ilvl w:val="0"/>
          <w:numId w:val="15"/>
        </w:numPr>
        <w:rPr>
          <w:lang w:eastAsia="en-US"/>
        </w:rPr>
      </w:pPr>
      <w:r>
        <w:rPr/>
        <w:t>Applicability</w:t>
      </w:r>
    </w:p>
    <w:p>
      <w:pPr>
        <w:pStyle w:val="Heading4"/>
        <w:ind w:left="1418" w:hanging="1418"/>
        <w:rPr/>
      </w:pPr>
      <w:bookmarkStart w:id="356" w:name="__RefHeading___Toc68601288"/>
      <w:bookmarkEnd w:id="356"/>
      <w:r>
        <w:rPr/>
        <w:t>7.3.2.1</w:t>
      </w:r>
      <w:r>
        <w:rPr>
          <w:rFonts w:cs="Calibri" w:ascii="Calibri" w:hAnsi="Calibri"/>
          <w:sz w:val="22"/>
          <w:szCs w:val="22"/>
        </w:rPr>
        <w:tab/>
      </w:r>
      <w:r>
        <w:rPr/>
        <w:t>Definition and applicability</w:t>
      </w:r>
    </w:p>
    <w:p>
      <w:pPr>
        <w:pStyle w:val="Normal"/>
        <w:rPr/>
      </w:pPr>
      <w:r>
        <w:rPr/>
        <w:t>The Total Radiated Sensitivity is defined as: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4</m:t>
              </m:r>
              <m:r>
                <w:rPr>
                  <w:rFonts w:ascii="Cambria Math" w:hAnsi="Cambria Math"/>
                </w:rPr>
                <m:t xml:space="preserve">π</m:t>
              </m:r>
            </m:num>
            <m:den>
              <m:nary>
                <m:naryPr>
                  <m:chr m:val="∮"/>
                  <m:subHide m:val="1"/>
                  <m:supHide m:val="1"/>
                </m:naryPr>
                <m:sub/>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e>
                  </m:d>
                </m:e>
              </m:nary>
              <m:r>
                <w:rPr>
                  <w:rFonts w:ascii="Cambria Math" w:hAnsi="Cambria Math"/>
                </w:rPr>
                <m:t xml:space="preserve">d</m:t>
              </m:r>
              <m:r>
                <w:rPr>
                  <w:rFonts w:ascii="Cambria Math" w:hAnsi="Cambria Math"/>
                </w:rPr>
                <m:t xml:space="preserve">Ω</m:t>
              </m:r>
            </m:den>
          </m:f>
        </m:oMath>
      </m:oMathPara>
    </w:p>
    <w:p>
      <w:pPr>
        <w:pStyle w:val="Normal"/>
        <w:rPr/>
      </w:pPr>
      <w:r>
        <w:rPr/>
        <w:t>Where the effective isotropic sensitivity (</w:t>
      </w:r>
      <w:r>
        <w:rPr>
          <w:i/>
          <w:iCs/>
        </w:rPr>
        <w:t>EIS</w:t>
      </w:r>
      <w:r>
        <w:rPr/>
        <w:t xml:space="preserve">) is defined as the power available at the antenna output such as the sensitivity threshold is achieved for each polarization.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r>
          <w:rPr>
            <w:rFonts w:ascii="Cambria Math" w:hAnsi="Cambria Math"/>
          </w:rPr>
          <m:t xml:space="preserve">f</m:t>
        </m:r>
      </m:oMath>
      <w:r>
        <w:rPr/>
        <w:t xml:space="preserve"> is frequency.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 are the orthogonal polarizations.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2</m:t>
              </m:r>
              <m:r>
                <m:rPr>
                  <m:lit/>
                  <m:nor/>
                </m:rPr>
                <w:rPr>
                  <w:rFonts w:ascii="Cambria Math" w:hAnsi="Cambria Math"/>
                </w:rPr>
                <m:t xml:space="preserve">NM</m:t>
              </m:r>
            </m:num>
            <m:den>
              <m:r>
                <w:rPr>
                  <w:rFonts w:ascii="Cambria Math" w:hAnsi="Cambria Math"/>
                </w:rPr>
                <m:t xml:space="preserve">π</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e>
                      </m:d>
                      <m:r>
                        <m:rPr>
                          <m:lit/>
                          <m:nor/>
                        </m:rPr>
                        <w:rPr>
                          <w:rFonts w:ascii="Cambria Math" w:hAnsi="Cambria Math"/>
                        </w:rPr>
                        <m:t xml:space="preserve">sin</m:t>
                      </m:r>
                      <m:d>
                        <m:dPr>
                          <m:begChr m:val="("/>
                          <m:endChr m:val=")"/>
                        </m:dPr>
                        <m:e>
                          <m:sSub>
                            <m:e>
                              <m:r>
                                <w:rPr>
                                  <w:rFonts w:ascii="Cambria Math" w:hAnsi="Cambria Math"/>
                                </w:rPr>
                                <m:t xml:space="preserve">θ</m:t>
                              </m:r>
                            </m:e>
                            <m:sub>
                              <m:r>
                                <w:rPr>
                                  <w:rFonts w:ascii="Cambria Math" w:hAnsi="Cambria Math"/>
                                </w:rPr>
                                <m:t xml:space="preserve">n</m:t>
                              </m:r>
                            </m:sub>
                          </m:sSub>
                        </m:e>
                      </m:d>
                    </m:e>
                  </m:nary>
                </m:e>
              </m:nary>
            </m:den>
          </m:f>
        </m:oMath>
      </m:oMathPara>
    </w:p>
    <w:p>
      <w:pPr>
        <w:pStyle w:val="Normal"/>
        <w:rPr/>
      </w:pPr>
      <w:r>
        <w:rPr/>
        <w:t xml:space="preserve">In these formulas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are the number of sampling intervals for theta and phi.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oMath>
      <w:r>
        <w:rPr/>
        <w:t xml:space="preserve"> are the measurement angles. The sampling intervals are discussed further in Subclause 4.4.</w:t>
      </w:r>
    </w:p>
    <w:p>
      <w:pPr>
        <w:pStyle w:val="Normal"/>
        <w:rPr/>
      </w:pPr>
      <w:r>
        <w:rPr/>
        <w:t>The TRS can also be calculated from measurements in a Rayleigh fading 3 dimensional isotropic environment with in average uniform elevation and azimuth distribution. The calculation of the TRS is in this case based on searching for the lowest power received by the UE/MS for a discrete number of field combinations in the chamber that gives a BER that is better than the specified target BER level. By calibrating the average power transfer function, an absolute value of the TRS can be obtained. The following expression can be used to find the TRS.</w:t>
      </w:r>
    </w:p>
    <w:p>
      <w:pPr>
        <w:pStyle w:val="EQ"/>
        <w:rPr>
          <w:lang w:val="en-GB" w:eastAsia="en-GB"/>
        </w:rPr>
      </w:pPr>
      <w:r>
        <w:rPr>
          <w:lang w:val="en-GB" w:eastAsia="en-GB"/>
        </w:rPr>
      </w:r>
      <m:oMathPara xmlns:m="http://schemas.openxmlformats.org/officeDocument/2006/math">
        <m:oMathParaPr>
          <m:jc m:val="left"/>
        </m:oMathParaPr>
        <m:oMath>
          <m:r>
            <m:rPr>
              <m:lit/>
              <m:nor/>
            </m:rPr>
            <w:rPr>
              <w:rFonts w:ascii="Cambria Math" w:hAnsi="Cambria Math"/>
            </w:rPr>
            <m:t xml:space="preserve">TRS</m:t>
          </m:r>
          <m:r>
            <w:rPr>
              <w:rFonts w:ascii="Cambria Math" w:hAnsi="Cambria Math"/>
            </w:rPr>
            <m:t xml:space="preserve">≈</m:t>
          </m:r>
          <m:r>
            <w:rPr>
              <w:rFonts w:ascii="Cambria Math" w:hAnsi="Cambria Math"/>
            </w:rPr>
            <m:t xml:space="preserve">2</m:t>
          </m:r>
          <m:r>
            <w:rPr>
              <w:rFonts w:ascii="Cambria Math" w:hAnsi="Cambria Math"/>
            </w:rPr>
            <m:t xml:space="preserve">N</m:t>
          </m:r>
          <m:f>
            <m:num>
              <m:sSup>
                <m:e>
                  <m:d>
                    <m:dPr>
                      <m:begChr m:val="("/>
                      <m:endChr m:val=")"/>
                    </m:dPr>
                    <m:e>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w:rPr>
                                      <w:rFonts w:ascii="Cambria Math" w:hAnsi="Cambria Math"/>
                                    </w:rPr>
                                    <m:t xml:space="preserve">C</m:t>
                                  </m:r>
                                </m:e>
                                <m:sub>
                                  <m:r>
                                    <w:rPr>
                                      <w:rFonts w:ascii="Cambria Math" w:hAnsi="Cambria Math"/>
                                    </w:rPr>
                                    <m:t xml:space="preserve">n</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sSub>
                                <m:e>
                                  <m:r>
                                    <w:rPr>
                                      <w:rFonts w:ascii="Cambria Math" w:hAnsi="Cambria Math"/>
                                    </w:rPr>
                                    <m:t xml:space="preserve">P</m:t>
                                  </m:r>
                                </m:e>
                                <m:sub>
                                  <m:r>
                                    <m:rPr>
                                      <m:lit/>
                                      <m:nor/>
                                    </m:rPr>
                                    <w:rPr>
                                      <w:rFonts w:ascii="Cambria Math" w:hAnsi="Cambria Math"/>
                                    </w:rPr>
                                    <m:t xml:space="preserve">thres</m:t>
                                  </m:r>
                                  <m:r>
                                    <w:rPr>
                                      <w:rFonts w:ascii="Cambria Math" w:hAnsi="Cambria Math"/>
                                    </w:rPr>
                                    <m:t xml:space="preserve">,</m:t>
                                  </m:r>
                                  <m:r>
                                    <w:rPr>
                                      <w:rFonts w:ascii="Cambria Math" w:hAnsi="Cambria Math"/>
                                    </w:rPr>
                                    <m:t xml:space="preserve">n</m:t>
                                  </m:r>
                                </m:sub>
                              </m:sSub>
                            </m:e>
                          </m:d>
                        </m:e>
                      </m:nary>
                    </m:e>
                  </m:d>
                </m:e>
                <m:sup>
                  <m:r>
                    <w:rPr>
                      <w:rFonts w:ascii="Cambria Math" w:hAnsi="Cambria Math"/>
                    </w:rPr>
                    <m:t xml:space="preserve">−</m:t>
                  </m:r>
                  <m:r>
                    <w:rPr>
                      <w:rFonts w:ascii="Cambria Math" w:hAnsi="Cambria Math"/>
                    </w:rPr>
                    <m:t xml:space="preserve">1</m:t>
                  </m:r>
                </m:sup>
              </m:sSup>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e>
              </m:nary>
            </m:den>
          </m:f>
        </m:oMath>
      </m:oMathPara>
    </w:p>
    <w:p>
      <w:pPr>
        <w:pStyle w:val="Normal"/>
        <w:rPr/>
      </w:pPr>
      <w:r>
        <w:rPr/>
        <w:t xml:space="preserve">where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oMath>
      <w:r>
        <w:rPr/>
        <w:t xml:space="preserve"> is the reference power transfer function for fixed measurement antenna n, </w:t>
      </w:r>
      <w:r>
        <w:rPr/>
      </w:r>
      <m:oMath xmlns:m="http://schemas.openxmlformats.org/officeDocument/2006/math">
        <m:sSub>
          <m:e>
            <m:r>
              <w:rPr>
                <w:rFonts w:ascii="Cambria Math" w:hAnsi="Cambria Math"/>
              </w:rPr>
              <m:t xml:space="preserve">R</m:t>
            </m:r>
          </m:e>
          <m:sub>
            <m:r>
              <w:rPr>
                <w:rFonts w:ascii="Cambria Math" w:hAnsi="Cambria Math"/>
              </w:rPr>
              <m:t xml:space="preserve">n</m:t>
            </m:r>
          </m:sub>
        </m:sSub>
      </m:oMath>
      <w:r>
        <w:rPr/>
        <w:t xml:space="preserve"> is the reflection coefficient for fixed measurement antenna n and </w:t>
      </w:r>
      <w:r>
        <w:rPr/>
      </w:r>
      <m:oMath xmlns:m="http://schemas.openxmlformats.org/officeDocument/2006/math">
        <m:sSub>
          <m:e>
            <m:r>
              <w:rPr>
                <w:rFonts w:ascii="Cambria Math" w:hAnsi="Cambria Math"/>
              </w:rPr>
              <m:t xml:space="preserve">C</m:t>
            </m:r>
          </m:e>
          <m:sub>
            <m:r>
              <w:rPr>
                <w:rFonts w:ascii="Cambria Math" w:hAnsi="Cambria Math"/>
              </w:rPr>
              <m:t xml:space="preserve">n</m:t>
            </m:r>
          </m:sub>
        </m:sSub>
      </m:oMath>
      <w:r>
        <w:rPr/>
        <w:t xml:space="preserve"> is the path loss in the cables connecting the measurement receiver to fixed measurement antenna n. These parameters are calculated from the calibration measurement and are further discussed in Annex B.2.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thres</m:t>
            </m:r>
            <m:r>
              <w:rPr>
                <w:rFonts w:ascii="Cambria Math" w:hAnsi="Cambria Math"/>
              </w:rPr>
              <m:t xml:space="preserve">,</m:t>
            </m:r>
            <m:r>
              <w:rPr>
                <w:rFonts w:ascii="Cambria Math" w:hAnsi="Cambria Math"/>
              </w:rPr>
              <m:t xml:space="preserve">n</m:t>
            </m:r>
          </m:sub>
        </m:sSub>
      </m:oMath>
      <w:r>
        <w:rPr/>
        <w:t xml:space="preserve"> is calculated by using the following equation:</w:t>
      </w:r>
    </w:p>
    <w:p>
      <w:pPr>
        <w:pStyle w:val="EQ"/>
        <w:rPr>
          <w:lang w:val="en-GB" w:eastAsia="en-GB"/>
        </w:rPr>
      </w:pPr>
      <w:r>
        <w:rPr>
          <w:lang w:val="en-GB" w:eastAsia="en-GB"/>
        </w:rPr>
      </w:r>
      <m:oMathPara xmlns:m="http://schemas.openxmlformats.org/officeDocument/2006/math">
        <m:oMathParaPr>
          <m:jc m:val="left"/>
        </m:oMathParaPr>
        <m:oMath>
          <m:sSub>
            <m:e>
              <m:r>
                <w:rPr>
                  <w:rFonts w:ascii="Cambria Math" w:hAnsi="Cambria Math"/>
                </w:rPr>
                <m:t xml:space="preserve">P</m:t>
              </m:r>
            </m:e>
            <m:sub>
              <m:r>
                <m:rPr>
                  <m:lit/>
                  <m:nor/>
                </m:rPr>
                <w:rPr>
                  <w:rFonts w:ascii="Cambria Math" w:hAnsi="Cambria Math"/>
                </w:rPr>
                <m:t xml:space="preserve">thres</m:t>
              </m:r>
              <m:r>
                <w:rPr>
                  <w:rFonts w:ascii="Cambria Math" w:hAnsi="Cambria Math"/>
                </w:rPr>
                <m:t xml:space="preserve">,</m:t>
              </m:r>
              <m:r>
                <w:rPr>
                  <w:rFonts w:ascii="Cambria Math" w:hAnsi="Cambria Math"/>
                </w:rPr>
                <m:t xml:space="preserve">n</m:t>
              </m:r>
            </m:sub>
          </m:sSub>
          <m:r>
            <w:rPr>
              <w:rFonts w:ascii="Cambria Math" w:hAnsi="Cambria Math"/>
            </w:rPr>
            <m:t xml:space="preserve">=</m:t>
          </m:r>
          <m:f>
            <m:num>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f>
                    <m:num>
                      <m:r>
                        <w:rPr>
                          <w:rFonts w:ascii="Cambria Math" w:hAnsi="Cambria Math"/>
                        </w:rPr>
                        <m:t xml:space="preserve">1</m:t>
                      </m:r>
                    </m:num>
                    <m:den>
                      <m:sSup>
                        <m:e>
                          <m:d>
                            <m:dPr>
                              <m:begChr m:val="|"/>
                              <m:endChr m:val="|"/>
                            </m:dPr>
                            <m:e>
                              <m:sSubSup>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up>
                                  <m:r>
                                    <m:rPr>
                                      <m:lit/>
                                      <m:nor/>
                                    </m:rPr>
                                    <w:rPr>
                                      <w:rFonts w:ascii="Cambria Math" w:hAnsi="Cambria Math"/>
                                    </w:rPr>
                                    <m:t xml:space="preserve">thres</m:t>
                                  </m:r>
                                </m:sup>
                              </m:sSubSup>
                            </m:e>
                          </m:d>
                        </m:e>
                        <m:sup>
                          <m:r>
                            <w:rPr>
                              <w:rFonts w:ascii="Cambria Math" w:hAnsi="Cambria Math"/>
                            </w:rPr>
                            <m:t xml:space="preserve">2</m:t>
                          </m:r>
                        </m:sup>
                      </m:sSup>
                    </m:den>
                  </m:f>
                </m:e>
              </m:nary>
            </m:num>
            <m:den>
              <m:r>
                <w:rPr>
                  <w:rFonts w:ascii="Cambria Math" w:hAnsi="Cambria Math"/>
                </w:rPr>
                <m:t xml:space="preserve">M</m:t>
              </m:r>
            </m:den>
          </m:f>
        </m:oMath>
      </m:oMathPara>
    </w:p>
    <w:p>
      <w:pPr>
        <w:pStyle w:val="Normal"/>
        <w:rPr/>
      </w:pPr>
      <w:r>
        <w:rPr/>
        <w:t xml:space="preserve">where </w:t>
      </w:r>
      <w:r>
        <w:rPr/>
      </w:r>
      <m:oMath xmlns:m="http://schemas.openxmlformats.org/officeDocument/2006/math">
        <m:sSubSup>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up>
            <m:r>
              <m:rPr>
                <m:lit/>
                <m:nor/>
              </m:rPr>
              <w:rPr>
                <w:rFonts w:ascii="Cambria Math" w:hAnsi="Cambria Math"/>
              </w:rPr>
              <m:t xml:space="preserve">thres</m:t>
            </m:r>
          </m:sup>
        </m:sSubSup>
      </m:oMath>
      <w:r>
        <w:rPr/>
        <w:t xml:space="preserve"> is the m:th value of the transfer function for fixed measurement antenna n, which gives the BER threshold. </w:t>
      </w:r>
      <w:r>
        <w:rPr/>
      </w:r>
      <m:oMath xmlns:m="http://schemas.openxmlformats.org/officeDocument/2006/math">
        <m:r>
          <w:rPr>
            <w:rFonts w:ascii="Cambria Math" w:hAnsi="Cambria Math"/>
          </w:rPr>
          <m:t xml:space="preserve">M</m:t>
        </m:r>
      </m:oMath>
      <w:r>
        <w:rPr/>
        <w:t xml:space="preserve"> is the total number of values of the BER threshold power measured for each fixed measurement antenna.</w:t>
      </w:r>
    </w:p>
    <w:p>
      <w:pPr>
        <w:pStyle w:val="Normal"/>
        <w:rPr/>
      </w:pPr>
      <w:r>
        <w:rPr/>
        <w:t xml:space="preserve"> </w:t>
      </w:r>
      <w:r>
        <w:rPr/>
        <w:t>[Applicability is TBD]</w:t>
      </w:r>
    </w:p>
    <w:p>
      <w:pPr>
        <w:pStyle w:val="Heading4"/>
        <w:ind w:left="1418" w:hanging="1418"/>
        <w:rPr/>
      </w:pPr>
      <w:bookmarkStart w:id="357" w:name="__RefHeading___Toc68601289"/>
      <w:bookmarkEnd w:id="357"/>
      <w:r>
        <w:rPr/>
        <w:t>7.3.2.2</w:t>
      </w:r>
      <w:r>
        <w:rPr>
          <w:rFonts w:cs="Calibri" w:ascii="Calibri" w:hAnsi="Calibri"/>
          <w:sz w:val="22"/>
          <w:szCs w:val="22"/>
        </w:rPr>
        <w:tab/>
      </w:r>
      <w:r>
        <w:rPr/>
        <w:t>Minimum Requirements</w:t>
      </w:r>
    </w:p>
    <w:p>
      <w:pPr>
        <w:pStyle w:val="Normal"/>
        <w:jc w:val="both"/>
        <w:rPr/>
      </w:pPr>
      <w:r>
        <w:rPr/>
        <w:t>The average TRS of low, mid and high channel of the LEE in the data transfers position for 1% BER with 12.2kbps DL reference channel as defined in Annex C.3 of TS34.122 [8] shall be lower than minimum performance requirements for roaming bands shown in Table 7.3.2.2-1 for notebook devices and in Table 7.3.2.2-2 for tablet devices. The averaging shall be done in linear scale for the TRS results.</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3</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den>
                  </m:f>
                </m:e>
              </m:d>
            </m:e>
          </m:d>
        </m:oMath>
      </m:oMathPara>
    </w:p>
    <w:p>
      <w:pPr>
        <w:pStyle w:val="Normal"/>
        <w:rPr/>
      </w:pPr>
      <w:r>
        <w:rPr/>
        <w:t>In addition the maximum TRS of each measured channel in the data transfers position shall be better than minimum performance requirements for roaming bands shown in the columns “Max”.</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TRS</m:t>
              </m:r>
            </m:e>
            <m:sub>
              <m:r>
                <m:rPr>
                  <m:lit/>
                  <m:nor/>
                </m:rPr>
                <w:rPr>
                  <w:rFonts w:ascii="Cambria Math" w:hAnsi="Cambria Math"/>
                </w:rPr>
                <m:t xml:space="preserve">max</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m:rPr>
                  <m:lit/>
                  <m:nor/>
                </m:rPr>
                <w:rPr>
                  <w:rFonts w:ascii="Cambria Math" w:hAnsi="Cambria Math"/>
                </w:rPr>
                <m:t xml:space="preserve">max</m:t>
              </m:r>
              <m:d>
                <m:dPr>
                  <m:begChr m:val="("/>
                  <m:endChr m:val=")"/>
                </m:dPr>
                <m:e>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e>
              </m:d>
            </m:e>
          </m:d>
        </m:oMath>
      </m:oMathPara>
    </w:p>
    <w:p>
      <w:pPr>
        <w:pStyle w:val="TH"/>
        <w:rPr/>
      </w:pPr>
      <w:r>
        <w:rPr/>
        <w:t>Table 7.3.2.2-1: TRS minimum requirements for UTRA LCR TDD roaming mode for notebook devices in the data transfers position and the primary mechanical mode</w:t>
      </w:r>
    </w:p>
    <w:tbl>
      <w:tblPr>
        <w:tblW w:w="8046" w:type="dxa"/>
        <w:jc w:val="center"/>
        <w:tblInd w:w="0" w:type="dxa"/>
        <w:tblLayout w:type="fixed"/>
        <w:tblCellMar>
          <w:top w:w="0" w:type="dxa"/>
          <w:left w:w="108" w:type="dxa"/>
          <w:bottom w:w="0" w:type="dxa"/>
          <w:right w:w="108" w:type="dxa"/>
        </w:tblCellMar>
      </w:tblPr>
      <w:tblGrid>
        <w:gridCol w:w="2529"/>
        <w:gridCol w:w="2691"/>
        <w:gridCol w:w="1278"/>
        <w:gridCol w:w="1548"/>
      </w:tblGrid>
      <w:tr>
        <w:trPr>
          <w:trHeight w:val="317" w:hRule="atLeast"/>
        </w:trPr>
        <w:tc>
          <w:tcPr>
            <w:tcW w:w="252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Operating Band</w:t>
            </w:r>
          </w:p>
        </w:tc>
        <w:tc>
          <w:tcPr>
            <w:tcW w:w="269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Unit</w:t>
            </w:r>
          </w:p>
        </w:tc>
        <w:tc>
          <w:tcPr>
            <w:tcW w:w="2826"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&lt;REFÎor&gt;</w:t>
            </w:r>
          </w:p>
        </w:tc>
      </w:tr>
      <w:tr>
        <w:trPr>
          <w:trHeight w:val="266" w:hRule="atLeast"/>
        </w:trPr>
        <w:tc>
          <w:tcPr>
            <w:tcW w:w="252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w:t>
            </w:r>
          </w:p>
        </w:tc>
        <w:tc>
          <w:tcPr>
            <w:tcW w:w="269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w:t>
            </w:r>
          </w:p>
        </w:tc>
        <w:tc>
          <w:tcPr>
            <w:tcW w:w="1278" w:type="dxa"/>
            <w:tcBorders>
              <w:top w:val="single" w:sz="6" w:space="0" w:color="000000"/>
              <w:left w:val="single" w:sz="6" w:space="0" w:color="000000"/>
              <w:bottom w:val="single" w:sz="6" w:space="0" w:color="000000"/>
              <w:right w:val="single" w:sz="6" w:space="0" w:color="000000"/>
            </w:tcBorders>
          </w:tcPr>
          <w:p>
            <w:pPr>
              <w:pStyle w:val="TAH"/>
              <w:rPr>
                <w:sz w:val="20"/>
                <w:lang w:eastAsia="en-US"/>
              </w:rPr>
            </w:pPr>
            <w:r>
              <w:rPr>
                <w:sz w:val="20"/>
                <w:lang w:eastAsia="en-US"/>
              </w:rPr>
              <w:t xml:space="preserve">Average </w:t>
            </w:r>
          </w:p>
        </w:tc>
        <w:tc>
          <w:tcPr>
            <w:tcW w:w="1548" w:type="dxa"/>
            <w:tcBorders>
              <w:top w:val="single" w:sz="6" w:space="0" w:color="000000"/>
              <w:left w:val="single" w:sz="6" w:space="0" w:color="000000"/>
              <w:bottom w:val="single" w:sz="6" w:space="0" w:color="000000"/>
              <w:right w:val="single" w:sz="6" w:space="0" w:color="000000"/>
            </w:tcBorders>
          </w:tcPr>
          <w:p>
            <w:pPr>
              <w:pStyle w:val="TAH"/>
              <w:rPr>
                <w:sz w:val="20"/>
                <w:lang w:eastAsia="en-US"/>
              </w:rPr>
            </w:pPr>
            <w:r>
              <w:rPr>
                <w:sz w:val="20"/>
                <w:lang w:eastAsia="en-US"/>
              </w:rPr>
              <w:t>Max</w:t>
            </w:r>
          </w:p>
        </w:tc>
      </w:tr>
      <w:tr>
        <w:trPr>
          <w:trHeight w:val="218" w:hRule="atLeast"/>
        </w:trPr>
        <w:tc>
          <w:tcPr>
            <w:tcW w:w="2529"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a</w:t>
            </w:r>
          </w:p>
        </w:tc>
        <w:tc>
          <w:tcPr>
            <w:tcW w:w="269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 xml:space="preserve">dBm/1.28 MHz </w:t>
            </w:r>
          </w:p>
        </w:tc>
        <w:tc>
          <w:tcPr>
            <w:tcW w:w="127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w:t>
            </w:r>
          </w:p>
        </w:tc>
        <w:tc>
          <w:tcPr>
            <w:tcW w:w="154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w:t>
            </w:r>
          </w:p>
        </w:tc>
      </w:tr>
      <w:tr>
        <w:trPr>
          <w:trHeight w:val="218" w:hRule="atLeast"/>
        </w:trPr>
        <w:tc>
          <w:tcPr>
            <w:tcW w:w="2529"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b</w:t>
            </w:r>
          </w:p>
        </w:tc>
        <w:tc>
          <w:tcPr>
            <w:tcW w:w="269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dBm/1.28 MHz</w:t>
            </w:r>
          </w:p>
        </w:tc>
        <w:tc>
          <w:tcPr>
            <w:tcW w:w="127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w:t>
            </w:r>
          </w:p>
        </w:tc>
        <w:tc>
          <w:tcPr>
            <w:tcW w:w="154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w:t>
            </w:r>
          </w:p>
        </w:tc>
      </w:tr>
      <w:tr>
        <w:trPr>
          <w:trHeight w:val="218" w:hRule="atLeast"/>
        </w:trPr>
        <w:tc>
          <w:tcPr>
            <w:tcW w:w="2529"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c</w:t>
            </w:r>
          </w:p>
        </w:tc>
        <w:tc>
          <w:tcPr>
            <w:tcW w:w="269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dBm/1.28 MHz</w:t>
            </w:r>
          </w:p>
        </w:tc>
        <w:tc>
          <w:tcPr>
            <w:tcW w:w="127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w:t>
            </w:r>
          </w:p>
        </w:tc>
        <w:tc>
          <w:tcPr>
            <w:tcW w:w="154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w:t>
            </w:r>
          </w:p>
        </w:tc>
      </w:tr>
      <w:tr>
        <w:trPr>
          <w:trHeight w:val="218" w:hRule="atLeast"/>
        </w:trPr>
        <w:tc>
          <w:tcPr>
            <w:tcW w:w="2529"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d</w:t>
            </w:r>
          </w:p>
        </w:tc>
        <w:tc>
          <w:tcPr>
            <w:tcW w:w="269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dBm/1.28 MHz</w:t>
            </w:r>
          </w:p>
        </w:tc>
        <w:tc>
          <w:tcPr>
            <w:tcW w:w="127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w:t>
            </w:r>
          </w:p>
        </w:tc>
        <w:tc>
          <w:tcPr>
            <w:tcW w:w="154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w:t>
            </w:r>
          </w:p>
        </w:tc>
      </w:tr>
      <w:tr>
        <w:trPr>
          <w:trHeight w:val="218" w:hRule="atLeast"/>
        </w:trPr>
        <w:tc>
          <w:tcPr>
            <w:tcW w:w="2529"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w:t>
            </w:r>
          </w:p>
        </w:tc>
        <w:tc>
          <w:tcPr>
            <w:tcW w:w="269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dBm/1.28 MHz</w:t>
            </w:r>
          </w:p>
        </w:tc>
        <w:tc>
          <w:tcPr>
            <w:tcW w:w="127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w:t>
            </w:r>
          </w:p>
        </w:tc>
        <w:tc>
          <w:tcPr>
            <w:tcW w:w="154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w:t>
            </w:r>
          </w:p>
        </w:tc>
      </w:tr>
      <w:tr>
        <w:trPr>
          <w:trHeight w:val="218" w:hRule="atLeast"/>
        </w:trPr>
        <w:tc>
          <w:tcPr>
            <w:tcW w:w="2529"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f</w:t>
            </w:r>
          </w:p>
        </w:tc>
        <w:tc>
          <w:tcPr>
            <w:tcW w:w="2691" w:type="dxa"/>
            <w:tcBorders>
              <w:top w:val="single" w:sz="6" w:space="0" w:color="000000"/>
              <w:left w:val="single" w:sz="6" w:space="0" w:color="000000"/>
              <w:bottom w:val="single" w:sz="6" w:space="0" w:color="000000"/>
              <w:right w:val="single" w:sz="6" w:space="0" w:color="000000"/>
            </w:tcBorders>
            <w:vAlign w:val="center"/>
          </w:tcPr>
          <w:p>
            <w:pPr>
              <w:pStyle w:val="TAC"/>
              <w:rPr/>
            </w:pPr>
            <w:r>
              <w:rPr>
                <w:lang w:eastAsia="en-US"/>
              </w:rPr>
              <w:t>dBm/1.28 MHz</w:t>
            </w:r>
          </w:p>
        </w:tc>
        <w:tc>
          <w:tcPr>
            <w:tcW w:w="127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w:t>
            </w:r>
          </w:p>
        </w:tc>
        <w:tc>
          <w:tcPr>
            <w:tcW w:w="154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w:t>
            </w:r>
          </w:p>
        </w:tc>
      </w:tr>
      <w:tr>
        <w:trPr>
          <w:trHeight w:val="220" w:hRule="atLeast"/>
        </w:trPr>
        <w:tc>
          <w:tcPr>
            <w:tcW w:w="8046" w:type="dxa"/>
            <w:gridSpan w:val="4"/>
            <w:tcBorders>
              <w:left w:val="single" w:sz="6" w:space="0" w:color="000000"/>
              <w:bottom w:val="single" w:sz="6" w:space="0" w:color="000000"/>
              <w:right w:val="single" w:sz="6" w:space="0" w:color="000000"/>
            </w:tcBorders>
            <w:vAlign w:val="center"/>
          </w:tcPr>
          <w:p>
            <w:pPr>
              <w:pStyle w:val="TAN"/>
              <w:rPr>
                <w:lang w:eastAsia="en-US"/>
              </w:rPr>
            </w:pPr>
            <w:r>
              <w:rPr>
                <w:lang w:eastAsia="en-US"/>
              </w:rPr>
              <w:t xml:space="preserve">NOTE 1: </w:t>
              <w:tab/>
              <w:t>Applicable for dual-mode GSM/UTRA LCR TDD.</w:t>
            </w:r>
          </w:p>
          <w:p>
            <w:pPr>
              <w:pStyle w:val="TAN"/>
              <w:rPr>
                <w:lang w:eastAsia="en-US"/>
              </w:rPr>
            </w:pPr>
            <w:r>
              <w:rPr>
                <w:lang w:eastAsia="en-US"/>
              </w:rPr>
              <w:t xml:space="preserve">NOTE 2: </w:t>
              <w:tab/>
              <w:t>Applicable for notebook devices.</w:t>
            </w:r>
          </w:p>
        </w:tc>
      </w:tr>
    </w:tbl>
    <w:p>
      <w:pPr>
        <w:pStyle w:val="Normal"/>
        <w:rPr/>
      </w:pPr>
      <w:r>
        <w:rPr/>
      </w:r>
    </w:p>
    <w:p>
      <w:pPr>
        <w:pStyle w:val="TH"/>
        <w:rPr/>
      </w:pPr>
      <w:r>
        <w:rPr/>
        <w:t>Table 7.3.2.2-1: TRS minimum requirements for UTRA LCR TDD roaming mode for tablet devices in the data transfers position and the primary mechanical mode</w:t>
      </w:r>
    </w:p>
    <w:tbl>
      <w:tblPr>
        <w:tblW w:w="8046" w:type="dxa"/>
        <w:jc w:val="center"/>
        <w:tblInd w:w="0" w:type="dxa"/>
        <w:tblLayout w:type="fixed"/>
        <w:tblCellMar>
          <w:top w:w="0" w:type="dxa"/>
          <w:left w:w="108" w:type="dxa"/>
          <w:bottom w:w="0" w:type="dxa"/>
          <w:right w:w="108" w:type="dxa"/>
        </w:tblCellMar>
      </w:tblPr>
      <w:tblGrid>
        <w:gridCol w:w="2529"/>
        <w:gridCol w:w="2691"/>
        <w:gridCol w:w="1278"/>
        <w:gridCol w:w="1548"/>
      </w:tblGrid>
      <w:tr>
        <w:trPr>
          <w:trHeight w:val="317" w:hRule="atLeast"/>
        </w:trPr>
        <w:tc>
          <w:tcPr>
            <w:tcW w:w="252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Operating Band</w:t>
            </w:r>
          </w:p>
        </w:tc>
        <w:tc>
          <w:tcPr>
            <w:tcW w:w="269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Unit</w:t>
            </w:r>
          </w:p>
        </w:tc>
        <w:tc>
          <w:tcPr>
            <w:tcW w:w="2826"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&lt;REFÎor&gt;</w:t>
            </w:r>
          </w:p>
        </w:tc>
      </w:tr>
      <w:tr>
        <w:trPr>
          <w:trHeight w:val="266" w:hRule="atLeast"/>
        </w:trPr>
        <w:tc>
          <w:tcPr>
            <w:tcW w:w="252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w:t>
            </w:r>
          </w:p>
        </w:tc>
        <w:tc>
          <w:tcPr>
            <w:tcW w:w="269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w:t>
            </w:r>
          </w:p>
        </w:tc>
        <w:tc>
          <w:tcPr>
            <w:tcW w:w="1278" w:type="dxa"/>
            <w:tcBorders>
              <w:top w:val="single" w:sz="6" w:space="0" w:color="000000"/>
              <w:left w:val="single" w:sz="6" w:space="0" w:color="000000"/>
              <w:bottom w:val="single" w:sz="6" w:space="0" w:color="000000"/>
              <w:right w:val="single" w:sz="6" w:space="0" w:color="000000"/>
            </w:tcBorders>
          </w:tcPr>
          <w:p>
            <w:pPr>
              <w:pStyle w:val="TAH"/>
              <w:rPr>
                <w:sz w:val="20"/>
                <w:lang w:eastAsia="en-US"/>
              </w:rPr>
            </w:pPr>
            <w:r>
              <w:rPr>
                <w:sz w:val="20"/>
                <w:lang w:eastAsia="en-US"/>
              </w:rPr>
              <w:t xml:space="preserve">Average </w:t>
            </w:r>
          </w:p>
        </w:tc>
        <w:tc>
          <w:tcPr>
            <w:tcW w:w="1548" w:type="dxa"/>
            <w:tcBorders>
              <w:top w:val="single" w:sz="6" w:space="0" w:color="000000"/>
              <w:left w:val="single" w:sz="6" w:space="0" w:color="000000"/>
              <w:bottom w:val="single" w:sz="6" w:space="0" w:color="000000"/>
              <w:right w:val="single" w:sz="6" w:space="0" w:color="000000"/>
            </w:tcBorders>
          </w:tcPr>
          <w:p>
            <w:pPr>
              <w:pStyle w:val="TAH"/>
              <w:rPr>
                <w:sz w:val="20"/>
                <w:lang w:eastAsia="en-US"/>
              </w:rPr>
            </w:pPr>
            <w:r>
              <w:rPr>
                <w:sz w:val="20"/>
                <w:lang w:eastAsia="en-US"/>
              </w:rPr>
              <w:t>Max</w:t>
            </w:r>
          </w:p>
        </w:tc>
      </w:tr>
      <w:tr>
        <w:trPr>
          <w:trHeight w:val="218" w:hRule="atLeast"/>
        </w:trPr>
        <w:tc>
          <w:tcPr>
            <w:tcW w:w="2529"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a</w:t>
            </w:r>
          </w:p>
        </w:tc>
        <w:tc>
          <w:tcPr>
            <w:tcW w:w="269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 xml:space="preserve">dBm/1.28 MHz </w:t>
            </w:r>
          </w:p>
        </w:tc>
        <w:tc>
          <w:tcPr>
            <w:tcW w:w="127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w:t>
            </w:r>
          </w:p>
        </w:tc>
        <w:tc>
          <w:tcPr>
            <w:tcW w:w="154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w:t>
            </w:r>
          </w:p>
        </w:tc>
      </w:tr>
      <w:tr>
        <w:trPr>
          <w:trHeight w:val="218" w:hRule="atLeast"/>
        </w:trPr>
        <w:tc>
          <w:tcPr>
            <w:tcW w:w="2529"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b</w:t>
            </w:r>
          </w:p>
        </w:tc>
        <w:tc>
          <w:tcPr>
            <w:tcW w:w="269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dBm/1.28 MHz</w:t>
            </w:r>
          </w:p>
        </w:tc>
        <w:tc>
          <w:tcPr>
            <w:tcW w:w="127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w:t>
            </w:r>
          </w:p>
        </w:tc>
        <w:tc>
          <w:tcPr>
            <w:tcW w:w="154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w:t>
            </w:r>
          </w:p>
        </w:tc>
      </w:tr>
      <w:tr>
        <w:trPr>
          <w:trHeight w:val="218" w:hRule="atLeast"/>
        </w:trPr>
        <w:tc>
          <w:tcPr>
            <w:tcW w:w="2529"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c</w:t>
            </w:r>
          </w:p>
        </w:tc>
        <w:tc>
          <w:tcPr>
            <w:tcW w:w="269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dBm/1.28 MHz</w:t>
            </w:r>
          </w:p>
        </w:tc>
        <w:tc>
          <w:tcPr>
            <w:tcW w:w="127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w:t>
            </w:r>
          </w:p>
        </w:tc>
        <w:tc>
          <w:tcPr>
            <w:tcW w:w="154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w:t>
            </w:r>
          </w:p>
        </w:tc>
      </w:tr>
      <w:tr>
        <w:trPr>
          <w:trHeight w:val="218" w:hRule="atLeast"/>
        </w:trPr>
        <w:tc>
          <w:tcPr>
            <w:tcW w:w="2529"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d</w:t>
            </w:r>
          </w:p>
        </w:tc>
        <w:tc>
          <w:tcPr>
            <w:tcW w:w="269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dBm/1.28 MHz</w:t>
            </w:r>
          </w:p>
        </w:tc>
        <w:tc>
          <w:tcPr>
            <w:tcW w:w="127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w:t>
            </w:r>
          </w:p>
        </w:tc>
        <w:tc>
          <w:tcPr>
            <w:tcW w:w="154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w:t>
            </w:r>
          </w:p>
        </w:tc>
      </w:tr>
      <w:tr>
        <w:trPr>
          <w:trHeight w:val="218" w:hRule="atLeast"/>
        </w:trPr>
        <w:tc>
          <w:tcPr>
            <w:tcW w:w="2529"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w:t>
            </w:r>
          </w:p>
        </w:tc>
        <w:tc>
          <w:tcPr>
            <w:tcW w:w="269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dBm/1.28 MHz</w:t>
            </w:r>
          </w:p>
        </w:tc>
        <w:tc>
          <w:tcPr>
            <w:tcW w:w="127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w:t>
            </w:r>
          </w:p>
        </w:tc>
        <w:tc>
          <w:tcPr>
            <w:tcW w:w="154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w:t>
            </w:r>
          </w:p>
        </w:tc>
      </w:tr>
      <w:tr>
        <w:trPr>
          <w:trHeight w:val="218" w:hRule="atLeast"/>
        </w:trPr>
        <w:tc>
          <w:tcPr>
            <w:tcW w:w="2529"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f</w:t>
            </w:r>
          </w:p>
        </w:tc>
        <w:tc>
          <w:tcPr>
            <w:tcW w:w="269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dBm/1.28 MHz</w:t>
            </w:r>
          </w:p>
        </w:tc>
        <w:tc>
          <w:tcPr>
            <w:tcW w:w="127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w:t>
            </w:r>
          </w:p>
        </w:tc>
        <w:tc>
          <w:tcPr>
            <w:tcW w:w="154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w:t>
            </w:r>
          </w:p>
        </w:tc>
      </w:tr>
      <w:tr>
        <w:trPr>
          <w:trHeight w:val="220" w:hRule="atLeast"/>
        </w:trPr>
        <w:tc>
          <w:tcPr>
            <w:tcW w:w="8046" w:type="dxa"/>
            <w:gridSpan w:val="4"/>
            <w:tcBorders>
              <w:left w:val="single" w:sz="6" w:space="0" w:color="000000"/>
              <w:bottom w:val="single" w:sz="6" w:space="0" w:color="000000"/>
              <w:right w:val="single" w:sz="6" w:space="0" w:color="000000"/>
            </w:tcBorders>
            <w:vAlign w:val="center"/>
          </w:tcPr>
          <w:p>
            <w:pPr>
              <w:pStyle w:val="TAN"/>
              <w:rPr/>
            </w:pPr>
            <w:r>
              <w:rPr>
                <w:lang w:eastAsia="en-US"/>
              </w:rPr>
              <w:t xml:space="preserve">NOTE 1: </w:t>
              <w:tab/>
              <w:t>Applicable for dual-mode GSM/UTRA LCR TDD.</w:t>
            </w:r>
          </w:p>
          <w:p>
            <w:pPr>
              <w:pStyle w:val="TAN"/>
              <w:rPr/>
            </w:pPr>
            <w:r>
              <w:rPr>
                <w:lang w:eastAsia="en-US"/>
              </w:rPr>
              <w:t xml:space="preserve">NOTE 2: </w:t>
              <w:tab/>
              <w:t>Applicable for notebook devices.</w:t>
            </w:r>
          </w:p>
        </w:tc>
      </w:tr>
    </w:tbl>
    <w:p>
      <w:pPr>
        <w:pStyle w:val="Normal"/>
        <w:rPr/>
      </w:pPr>
      <w:r>
        <w:rPr/>
      </w:r>
    </w:p>
    <w:p>
      <w:pPr>
        <w:pStyle w:val="Normal"/>
        <w:rPr/>
      </w:pPr>
      <w:r>
        <w:rPr/>
        <w:t>The normative reference for this clause is TS 37.144 [12] Subclause 7.3.3.</w:t>
      </w:r>
    </w:p>
    <w:p>
      <w:pPr>
        <w:pStyle w:val="Heading4"/>
        <w:ind w:left="1418" w:hanging="1418"/>
        <w:rPr/>
      </w:pPr>
      <w:bookmarkStart w:id="358" w:name="__RefHeading___Toc68601290"/>
      <w:bookmarkEnd w:id="358"/>
      <w:r>
        <w:rPr/>
        <w:t>7.3.2.3</w:t>
      </w:r>
      <w:r>
        <w:rPr>
          <w:rFonts w:cs="Calibri" w:ascii="Calibri" w:hAnsi="Calibri"/>
          <w:sz w:val="22"/>
          <w:szCs w:val="22"/>
        </w:rPr>
        <w:tab/>
      </w:r>
      <w:r>
        <w:rPr/>
        <w:t>Test purpose</w:t>
      </w:r>
    </w:p>
    <w:p>
      <w:pPr>
        <w:pStyle w:val="Normal"/>
        <w:rPr/>
      </w:pPr>
      <w:r>
        <w:rPr/>
        <w:t xml:space="preserve">The purpose of this test is to ensure that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max</m:t>
            </m:r>
          </m:sub>
        </m:sSub>
      </m:oMath>
      <w:r>
        <w:rPr/>
        <w:t xml:space="preserve"> of the UE is above specified limit. The lack of the reception sensitivity decreases the coverage area at the far side from Node B.</w:t>
      </w:r>
    </w:p>
    <w:p>
      <w:pPr>
        <w:pStyle w:val="Heading4"/>
        <w:ind w:left="1418" w:hanging="1418"/>
        <w:rPr/>
      </w:pPr>
      <w:bookmarkStart w:id="359" w:name="__RefHeading___Toc68601291"/>
      <w:bookmarkEnd w:id="359"/>
      <w:r>
        <w:rPr/>
        <w:t>7.3.2.4</w:t>
      </w:r>
      <w:r>
        <w:rPr>
          <w:rFonts w:cs="Calibri" w:ascii="Calibri" w:hAnsi="Calibri"/>
          <w:sz w:val="22"/>
          <w:szCs w:val="22"/>
        </w:rPr>
        <w:tab/>
      </w:r>
      <w:r>
        <w:rPr/>
        <w:t>Method of test</w:t>
      </w:r>
    </w:p>
    <w:p>
      <w:pPr>
        <w:pStyle w:val="Heading4"/>
        <w:ind w:left="1418" w:hanging="1418"/>
        <w:rPr/>
      </w:pPr>
      <w:bookmarkStart w:id="360" w:name="__RefHeading___Toc68601292"/>
      <w:bookmarkEnd w:id="360"/>
      <w:r>
        <w:rPr/>
        <w:t>7.3.2.4.1</w:t>
      </w:r>
      <w:r>
        <w:rPr>
          <w:rFonts w:cs="Calibri" w:ascii="Calibri" w:hAnsi="Calibri"/>
          <w:sz w:val="22"/>
          <w:szCs w:val="22"/>
        </w:rPr>
        <w:tab/>
      </w:r>
      <w:r>
        <w:rPr/>
        <w:t>Initial conditions</w:t>
      </w:r>
    </w:p>
    <w:p>
      <w:pPr>
        <w:pStyle w:val="Normal"/>
        <w:rPr/>
      </w:pPr>
      <w:r>
        <w:rPr/>
        <w:t xml:space="preserve">A radio communications tester or a corresponding device is used as a NB simulator to setup calls to the DUT. The NB simulator is also used to send test signals to the UE and measure the BER levels of the radio link and the information on the dedicated channel needed to extract the DUT receiver performances. </w:t>
      </w:r>
    </w:p>
    <w:p>
      <w:pPr>
        <w:pStyle w:val="Normal"/>
        <w:rPr/>
      </w:pPr>
      <w:r>
        <w:rPr>
          <w:lang w:eastAsia="ja-JP"/>
        </w:rPr>
        <w:t>Chamber environment constraints and coordinate system shall be the same as described in Subclause A.3.</w:t>
      </w:r>
    </w:p>
    <w:p>
      <w:pPr>
        <w:pStyle w:val="Normal"/>
        <w:rPr>
          <w:lang w:eastAsia="zh-CN"/>
        </w:rPr>
      </w:pPr>
      <w:r>
        <w:rPr>
          <w:lang w:eastAsia="ja-JP"/>
        </w:rPr>
        <w:t xml:space="preserve">Phantom Specifications shall be the same as described in </w:t>
      </w:r>
      <w:r>
        <w:rPr/>
        <w:t>Subclause A.2.4. Parameters required for Notebooks are specified in Annex A.2.4.2 and those for Tablets are specified in Annex A.2.4.3.</w:t>
      </w:r>
    </w:p>
    <w:p>
      <w:pPr>
        <w:pStyle w:val="Normal"/>
        <w:rPr/>
      </w:pPr>
      <w:r>
        <w:rPr/>
        <w:t>Test environment: normal; see TS36.508 [10] Subclause 4.1.1.</w:t>
      </w:r>
    </w:p>
    <w:p>
      <w:pPr>
        <w:pStyle w:val="Normal"/>
        <w:rPr/>
      </w:pPr>
      <w:r>
        <w:rPr/>
        <w:t>Frequencies to be tested: low range, mid range, high range; see Table 5.2-2.</w:t>
      </w:r>
      <w:r>
        <w:rPr>
          <w:lang w:eastAsia="ja-JP"/>
        </w:rPr>
        <w:t xml:space="preserve"> </w:t>
      </w:r>
    </w:p>
    <w:p>
      <w:pPr>
        <w:pStyle w:val="Normal"/>
        <w:rPr>
          <w:lang w:eastAsia="ja-JP"/>
        </w:rPr>
      </w:pPr>
      <w:r>
        <w:rPr>
          <w:lang w:eastAsia="ja-JP"/>
        </w:rPr>
        <w:t>Positioning Requirements shall be the same as described in Subclause 4.3.</w:t>
      </w:r>
    </w:p>
    <w:p>
      <w:pPr>
        <w:pStyle w:val="B1"/>
        <w:rPr/>
      </w:pPr>
      <w:r>
        <w:rPr/>
        <w:t>1)</w:t>
        <w:tab/>
        <w:t>Position the UE according to the DUT positioning for devices with embedded modules specified in Subclause 4.3.5.</w:t>
      </w:r>
    </w:p>
    <w:p>
      <w:pPr>
        <w:pStyle w:val="B1"/>
        <w:rPr/>
      </w:pPr>
      <w:r>
        <w:rPr/>
        <w:t>2)</w:t>
        <w:tab/>
        <w:t>Set the SS downlink physical channels according to settings in Table 7.3.2.4.1-1.</w:t>
      </w:r>
    </w:p>
    <w:p>
      <w:pPr>
        <w:pStyle w:val="B1"/>
        <w:rPr/>
      </w:pPr>
      <w:r>
        <w:rPr/>
        <w:t>3)</w:t>
        <w:tab/>
        <w:t>Power on the UE.</w:t>
      </w:r>
    </w:p>
    <w:p>
      <w:pPr>
        <w:pStyle w:val="B1"/>
        <w:rPr/>
      </w:pPr>
      <w:r>
        <w:rPr/>
        <w:t>4)</w:t>
        <w:tab/>
        <w:t>A call is set up according to the Generic call setup procedure. The power control algorithm shall be set to Power Control Algorithm 2. Compressed mode shall be set to OFF.</w:t>
      </w:r>
    </w:p>
    <w:p>
      <w:pPr>
        <w:pStyle w:val="B1"/>
        <w:rPr/>
      </w:pPr>
      <w:r>
        <w:rPr/>
        <w:t>5)</w:t>
        <w:tab/>
        <w:t>Enter the UE into loopback test mode 2 and start the loopback test.</w:t>
      </w:r>
    </w:p>
    <w:p>
      <w:pPr>
        <w:pStyle w:val="Normal"/>
        <w:rPr/>
      </w:pPr>
      <w:r>
        <w:rPr/>
        <w:t xml:space="preserve">See TS 34.108 [4] and TS 34.109 [5] </w:t>
      </w:r>
      <w:r>
        <w:rPr>
          <w:lang w:eastAsia="zh-CN"/>
        </w:rPr>
        <w:t xml:space="preserve">and Annex C of TS 34.122 [8] </w:t>
      </w:r>
      <w:r>
        <w:rPr/>
        <w:t>for details regarding generic call setup procedure and loopback test.</w:t>
      </w:r>
    </w:p>
    <w:p>
      <w:pPr>
        <w:pStyle w:val="TH"/>
        <w:rPr/>
      </w:pPr>
      <w:r>
        <w:rPr/>
        <w:t>Table 7.3.2.4.1-1: Downlink Physical Channels transmitted during a connection</w:t>
      </w:r>
    </w:p>
    <w:tbl>
      <w:tblPr>
        <w:tblW w:w="7212" w:type="dxa"/>
        <w:jc w:val="center"/>
        <w:tblInd w:w="0" w:type="dxa"/>
        <w:tblLayout w:type="fixed"/>
        <w:tblCellMar>
          <w:top w:w="0" w:type="dxa"/>
          <w:left w:w="108" w:type="dxa"/>
          <w:bottom w:w="0" w:type="dxa"/>
          <w:right w:w="108" w:type="dxa"/>
        </w:tblCellMar>
      </w:tblPr>
      <w:tblGrid>
        <w:gridCol w:w="2301"/>
        <w:gridCol w:w="2297"/>
        <w:gridCol w:w="2614"/>
      </w:tblGrid>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Physical Channel</w:t>
            </w:r>
          </w:p>
        </w:tc>
        <w:tc>
          <w:tcPr>
            <w:tcW w:w="2297" w:type="dxa"/>
            <w:tcBorders>
              <w:top w:val="single" w:sz="6" w:space="0" w:color="000000"/>
              <w:left w:val="single" w:sz="6" w:space="0" w:color="000000"/>
              <w:bottom w:val="single" w:sz="6" w:space="0" w:color="000000"/>
              <w:right w:val="single" w:sz="6" w:space="0" w:color="000000"/>
            </w:tcBorders>
          </w:tcPr>
          <w:p>
            <w:pPr>
              <w:pStyle w:val="TAH"/>
              <w:snapToGrid w:val="false"/>
              <w:rPr>
                <w:lang w:eastAsia="en-US"/>
              </w:rPr>
            </w:pPr>
            <w:r>
              <w:rPr>
                <w:lang w:eastAsia="en-US"/>
              </w:rPr>
            </w:r>
          </w:p>
        </w:tc>
        <w:tc>
          <w:tcPr>
            <w:tcW w:w="261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Power</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Ior</w:t>
            </w:r>
          </w:p>
        </w:tc>
        <w:tc>
          <w:tcPr>
            <w:tcW w:w="2297"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-75 dBm</w:t>
            </w:r>
          </w:p>
        </w:tc>
        <w:tc>
          <w:tcPr>
            <w:tcW w:w="2614"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DwPCH</w:t>
            </w:r>
          </w:p>
        </w:tc>
        <w:tc>
          <w:tcPr>
            <w:tcW w:w="2297"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DwPCH_Ec / Ior</w:t>
            </w:r>
          </w:p>
        </w:tc>
        <w:tc>
          <w:tcPr>
            <w:tcW w:w="2614"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0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PCCPCH</w:t>
            </w:r>
          </w:p>
        </w:tc>
        <w:tc>
          <w:tcPr>
            <w:tcW w:w="2297"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rFonts w:cs="Arial"/>
                <w:lang w:eastAsia="en-US"/>
              </w:rPr>
              <w:t>∑</w:t>
            </w:r>
            <w:r>
              <w:rPr>
                <w:rFonts w:cs="Arial"/>
                <w:lang w:eastAsia="en-US"/>
              </w:rPr>
              <w:t>P-CCPCH_Ec / Ior</w:t>
            </w:r>
          </w:p>
        </w:tc>
        <w:tc>
          <w:tcPr>
            <w:tcW w:w="2614" w:type="dxa"/>
            <w:tcBorders>
              <w:top w:val="single" w:sz="6" w:space="0" w:color="000000"/>
              <w:left w:val="single" w:sz="6" w:space="0" w:color="000000"/>
              <w:bottom w:val="single" w:sz="6" w:space="0" w:color="000000"/>
              <w:right w:val="single" w:sz="6" w:space="0" w:color="000000"/>
            </w:tcBorders>
          </w:tcPr>
          <w:p>
            <w:pPr>
              <w:pStyle w:val="TAL1"/>
              <w:rPr>
                <w:rFonts w:cs="Arial"/>
                <w:lang w:eastAsia="en-US"/>
              </w:rPr>
            </w:pPr>
            <w:r>
              <w:rPr>
                <w:rFonts w:cs="Arial"/>
                <w:lang w:eastAsia="en-US"/>
              </w:rPr>
              <w:t>-3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SCCPCH</w:t>
            </w:r>
          </w:p>
        </w:tc>
        <w:tc>
          <w:tcPr>
            <w:tcW w:w="2297"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rFonts w:cs="Arial"/>
                <w:lang w:eastAsia="en-US"/>
              </w:rPr>
              <w:t>∑</w:t>
            </w:r>
            <w:r>
              <w:rPr>
                <w:rFonts w:cs="Arial"/>
                <w:lang w:eastAsia="en-US"/>
              </w:rPr>
              <w:t>S-CCPCH_Ec / Ior</w:t>
            </w:r>
          </w:p>
        </w:tc>
        <w:tc>
          <w:tcPr>
            <w:tcW w:w="2614" w:type="dxa"/>
            <w:tcBorders>
              <w:top w:val="single" w:sz="6" w:space="0" w:color="000000"/>
              <w:left w:val="single" w:sz="6" w:space="0" w:color="000000"/>
              <w:bottom w:val="single" w:sz="6" w:space="0" w:color="000000"/>
              <w:right w:val="single" w:sz="6" w:space="0" w:color="000000"/>
            </w:tcBorders>
          </w:tcPr>
          <w:p>
            <w:pPr>
              <w:pStyle w:val="TAL1"/>
              <w:rPr>
                <w:rFonts w:cs="Arial"/>
                <w:lang w:eastAsia="en-US"/>
              </w:rPr>
            </w:pPr>
            <w:r>
              <w:rPr>
                <w:rFonts w:cs="Arial"/>
                <w:lang w:eastAsia="en-US"/>
              </w:rPr>
              <w:t>-6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PICH</w:t>
            </w:r>
          </w:p>
        </w:tc>
        <w:tc>
          <w:tcPr>
            <w:tcW w:w="2297"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rFonts w:cs="Arial"/>
                <w:lang w:eastAsia="en-US"/>
              </w:rPr>
              <w:t>∑</w:t>
            </w:r>
            <w:r>
              <w:rPr>
                <w:rFonts w:cs="Arial"/>
                <w:lang w:eastAsia="en-US"/>
              </w:rPr>
              <w:t>PICH_Ec / Ior</w:t>
            </w:r>
          </w:p>
        </w:tc>
        <w:tc>
          <w:tcPr>
            <w:tcW w:w="2614" w:type="dxa"/>
            <w:tcBorders>
              <w:top w:val="single" w:sz="6" w:space="0" w:color="000000"/>
              <w:left w:val="single" w:sz="6" w:space="0" w:color="000000"/>
              <w:bottom w:val="single" w:sz="6" w:space="0" w:color="000000"/>
              <w:right w:val="single" w:sz="6" w:space="0" w:color="000000"/>
            </w:tcBorders>
          </w:tcPr>
          <w:p>
            <w:pPr>
              <w:pStyle w:val="TAL1"/>
              <w:rPr>
                <w:rFonts w:cs="Arial"/>
                <w:lang w:eastAsia="en-US"/>
              </w:rPr>
            </w:pPr>
            <w:r>
              <w:rPr>
                <w:rFonts w:cs="Arial"/>
                <w:lang w:eastAsia="en-US"/>
              </w:rPr>
              <w:t>-6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FPACH</w:t>
            </w:r>
          </w:p>
        </w:tc>
        <w:tc>
          <w:tcPr>
            <w:tcW w:w="2297"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rFonts w:cs="Arial"/>
                <w:lang w:eastAsia="en-US"/>
              </w:rPr>
              <w:t>FPACH_Ec / Ior</w:t>
            </w:r>
          </w:p>
        </w:tc>
        <w:tc>
          <w:tcPr>
            <w:tcW w:w="2614" w:type="dxa"/>
            <w:tcBorders>
              <w:top w:val="single" w:sz="6" w:space="0" w:color="000000"/>
              <w:left w:val="single" w:sz="6" w:space="0" w:color="000000"/>
              <w:bottom w:val="single" w:sz="6" w:space="0" w:color="000000"/>
              <w:right w:val="single" w:sz="6" w:space="0" w:color="000000"/>
            </w:tcBorders>
          </w:tcPr>
          <w:p>
            <w:pPr>
              <w:pStyle w:val="TAL1"/>
              <w:rPr>
                <w:rFonts w:cs="Arial"/>
                <w:lang w:eastAsia="en-US"/>
              </w:rPr>
            </w:pPr>
            <w:r>
              <w:rPr>
                <w:rFonts w:cs="Arial"/>
                <w:lang w:eastAsia="en-US"/>
              </w:rPr>
              <w:t>-6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lang w:eastAsia="en-US"/>
              </w:rPr>
              <w:t>DL DPCH</w:t>
            </w:r>
          </w:p>
        </w:tc>
        <w:tc>
          <w:tcPr>
            <w:tcW w:w="2297" w:type="dxa"/>
            <w:tcBorders>
              <w:top w:val="single" w:sz="6" w:space="0" w:color="000000"/>
              <w:left w:val="single" w:sz="6" w:space="0" w:color="000000"/>
              <w:bottom w:val="single" w:sz="6" w:space="0" w:color="000000"/>
              <w:right w:val="single" w:sz="6" w:space="0" w:color="000000"/>
            </w:tcBorders>
          </w:tcPr>
          <w:p>
            <w:pPr>
              <w:pStyle w:val="TAL1"/>
              <w:rPr>
                <w:lang w:eastAsia="en-US"/>
              </w:rPr>
            </w:pPr>
            <w:r>
              <w:rPr>
                <w:rFonts w:cs="Arial"/>
                <w:lang w:eastAsia="en-US"/>
              </w:rPr>
              <w:t>∑</w:t>
            </w:r>
            <w:r>
              <w:rPr>
                <w:rFonts w:cs="Arial"/>
                <w:lang w:eastAsia="en-US"/>
              </w:rPr>
              <w:t>DPCH_Ec / Ior</w:t>
            </w:r>
          </w:p>
        </w:tc>
        <w:tc>
          <w:tcPr>
            <w:tcW w:w="2614" w:type="dxa"/>
            <w:tcBorders>
              <w:top w:val="single" w:sz="6" w:space="0" w:color="000000"/>
              <w:left w:val="single" w:sz="6" w:space="0" w:color="000000"/>
              <w:bottom w:val="single" w:sz="6" w:space="0" w:color="000000"/>
              <w:right w:val="single" w:sz="6" w:space="0" w:color="000000"/>
            </w:tcBorders>
          </w:tcPr>
          <w:p>
            <w:pPr>
              <w:pStyle w:val="TAL1"/>
              <w:rPr>
                <w:rFonts w:cs="Arial"/>
                <w:lang w:eastAsia="en-US"/>
              </w:rPr>
            </w:pPr>
            <w:r>
              <w:rPr>
                <w:rFonts w:cs="Arial"/>
                <w:lang w:eastAsia="en-US"/>
              </w:rPr>
              <w:t>0 dB</w:t>
            </w:r>
          </w:p>
        </w:tc>
      </w:tr>
    </w:tbl>
    <w:p>
      <w:pPr>
        <w:pStyle w:val="Normal"/>
        <w:rPr/>
      </w:pPr>
      <w:r>
        <w:rPr/>
      </w:r>
    </w:p>
    <w:p>
      <w:pPr>
        <w:pStyle w:val="Heading4"/>
        <w:ind w:left="1418" w:hanging="1418"/>
        <w:rPr/>
      </w:pPr>
      <w:bookmarkStart w:id="361" w:name="__RefHeading___Toc68601293"/>
      <w:bookmarkEnd w:id="361"/>
      <w:r>
        <w:rPr/>
        <w:t>7.3.2.4.2</w:t>
      </w:r>
      <w:r>
        <w:rPr>
          <w:rFonts w:cs="Calibri" w:ascii="Calibri" w:hAnsi="Calibri"/>
          <w:sz w:val="22"/>
          <w:szCs w:val="22"/>
        </w:rPr>
        <w:tab/>
      </w:r>
      <w:r>
        <w:rPr/>
        <w:t>Procedure</w:t>
      </w:r>
    </w:p>
    <w:p>
      <w:pPr>
        <w:pStyle w:val="B1"/>
        <w:rPr/>
      </w:pPr>
      <w:r>
        <w:rPr/>
        <w:t>1)</w:t>
        <w:tab/>
        <w:t>Send continuously Up power control commands to the UE.</w:t>
      </w:r>
    </w:p>
    <w:p>
      <w:pPr>
        <w:pStyle w:val="B1"/>
        <w:rPr/>
      </w:pPr>
      <w:r>
        <w:rPr/>
        <w:t>2)</w:t>
        <w:tab/>
        <w:t>As the UE reaches maximum power, start sending PN15 data pattern.</w:t>
      </w:r>
    </w:p>
    <w:p>
      <w:pPr>
        <w:pStyle w:val="B1"/>
        <w:rPr/>
      </w:pPr>
      <w:r>
        <w:rPr/>
        <w:t>3)</w:t>
        <w:tab/>
        <w:t xml:space="preserve">Measure EIS from one measurement point. EIS is the power transmitted from one specific direction to the UE causing BER value of 1% </w:t>
      </w:r>
      <w:r>
        <w:rPr>
          <w:rFonts w:eastAsia="Symbol" w:cs="Symbol" w:ascii="Symbol" w:hAnsi="Symbol"/>
        </w:rPr>
        <w:t>±</w:t>
      </w:r>
      <w:r>
        <w:rPr/>
        <w:t xml:space="preserve"> 0.2% using 40000 or more bits; see Annex E.20. </w:t>
      </w:r>
      <w:r>
        <w:rPr>
          <w:color w:val="000000"/>
          <w:lang w:eastAsia="zh-CN"/>
        </w:rPr>
        <w:t>The DL power step size shall be no bigger than 0.5dB when the RF level is near the TDD UE sensitivity level.</w:t>
      </w:r>
    </w:p>
    <w:p>
      <w:pPr>
        <w:pStyle w:val="NO"/>
        <w:rPr/>
      </w:pPr>
      <w:r>
        <w:rPr/>
        <w:t xml:space="preserve">NOTE 1: To meet BER value target DL power level can be changed using user’s freely selectable algorithm. </w:t>
      </w:r>
    </w:p>
    <w:p>
      <w:pPr>
        <w:pStyle w:val="B1"/>
        <w:rPr/>
      </w:pPr>
      <w:r>
        <w:rPr/>
        <w:t>4)</w:t>
        <w:tab/>
        <w:t>Measure the EIS for every direction of selected sampling gird using two orthogonal polarizations to obtain TRS.</w:t>
      </w:r>
    </w:p>
    <w:p>
      <w:pPr>
        <w:pStyle w:val="B1"/>
        <w:rPr/>
      </w:pPr>
      <w:r>
        <w:rPr/>
        <w:t>5)</w:t>
        <w:tab/>
        <w:t>Calculate TRS using equations from Subclause 7.3.2.1.</w:t>
      </w:r>
    </w:p>
    <w:p>
      <w:pPr>
        <w:pStyle w:val="NO"/>
        <w:rPr/>
      </w:pPr>
      <w:r>
        <w:rPr/>
        <w:t>NOTE 2: To speed up sensitivity measurements non standard setting (i.e. data speed, PCL, BER target) can be used in the measurements. However to obtain TRS result the measured EIS figures shall be normalized by</w:t>
      </w:r>
    </w:p>
    <w:p>
      <w:pPr>
        <w:pStyle w:val="EQ"/>
        <w:jc w:val="center"/>
        <w:rPr>
          <w:lang w:val="en-GB" w:eastAsia="en-GB"/>
        </w:rPr>
      </w:pPr>
      <w:r>
        <w:rPr>
          <w:lang w:val="en-GB" w:eastAsia="en-GB"/>
        </w:rPr>
      </w:r>
      <m:oMathPara xmlns:m="http://schemas.openxmlformats.org/officeDocument/2006/math">
        <m:oMathParaPr>
          <m:jc m:val="center"/>
        </m:oMathParaPr>
        <m:oMath>
          <m:r>
            <w:rPr>
              <w:rFonts w:ascii="Cambria Math" w:hAnsi="Cambria Math"/>
            </w:rPr>
            <m:t xml:space="preserve">Δ</m:t>
          </m:r>
          <m:bar>
            <m:barPr>
              <m:pos m:val="top"/>
            </m:barPr>
            <m:e>
              <m:r>
                <m:rPr>
                  <m:lit/>
                  <m:nor/>
                </m:rPr>
                <w:rPr>
                  <w:rFonts w:ascii="Cambria Math" w:hAnsi="Cambria Math"/>
                </w:rPr>
                <m:t xml:space="preserve">EIS</m:t>
              </m:r>
            </m:e>
          </m:ba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m:rPr>
                          <m:lit/>
                          <m:nor/>
                        </m:rPr>
                        <w:rPr>
                          <w:rFonts w:ascii="Cambria Math" w:hAnsi="Cambria Math"/>
                        </w:rPr>
                        <m:t xml:space="preserve">EISstd</m:t>
                      </m:r>
                    </m:e>
                    <m:sub>
                      <m:r>
                        <w:rPr>
                          <w:rFonts w:ascii="Cambria Math" w:hAnsi="Cambria Math"/>
                        </w:rPr>
                        <m:t xml:space="preserve">i</m:t>
                      </m:r>
                    </m:sub>
                  </m:sSub>
                  <m:r>
                    <w:rPr>
                      <w:rFonts w:ascii="Cambria Math" w:hAnsi="Cambria Math"/>
                    </w:rPr>
                    <m:t xml:space="preserve">−</m:t>
                  </m:r>
                  <m:sSub>
                    <m:e>
                      <m:r>
                        <m:rPr>
                          <m:lit/>
                          <m:nor/>
                        </m:rPr>
                        <w:rPr>
                          <w:rFonts w:ascii="Cambria Math" w:hAnsi="Cambria Math"/>
                        </w:rPr>
                        <m:t xml:space="preserve">EISnstd</m:t>
                      </m:r>
                    </m:e>
                    <m:sub>
                      <m:r>
                        <w:rPr>
                          <w:rFonts w:ascii="Cambria Math" w:hAnsi="Cambria Math"/>
                        </w:rPr>
                        <m:t xml:space="preserve">i</m:t>
                      </m:r>
                    </m:sub>
                  </m:sSub>
                </m:e>
              </m:d>
            </m:e>
          </m:nary>
        </m:oMath>
      </m:oMathPara>
    </w:p>
    <w:p>
      <w:pPr>
        <w:pStyle w:val="Normal"/>
        <w:ind w:left="284" w:hanging="0"/>
        <w:rPr/>
      </w:pPr>
      <w:r>
        <w:rPr/>
        <w:t xml:space="preserve">Where </w:t>
      </w:r>
      <w:r>
        <w:rPr/>
      </w:r>
      <m:oMath xmlns:m="http://schemas.openxmlformats.org/officeDocument/2006/math">
        <m:sSub>
          <m:e>
            <m:r>
              <m:rPr>
                <m:lit/>
                <m:nor/>
              </m:rPr>
              <w:rPr>
                <w:rFonts w:ascii="Cambria Math" w:hAnsi="Cambria Math"/>
              </w:rPr>
              <m:t xml:space="preserve">EISstd</m:t>
            </m:r>
          </m:e>
          <m:sub>
            <m:r>
              <w:rPr>
                <w:rFonts w:ascii="Cambria Math" w:hAnsi="Cambria Math"/>
              </w:rPr>
              <m:t xml:space="preserve">i</m:t>
            </m:r>
          </m:sub>
        </m:sSub>
      </m:oMath>
      <w:r>
        <w:rPr/>
        <w:t xml:space="preserve"> is sensitivity measurement done with standard setting, </w:t>
      </w:r>
      <w:r>
        <w:rPr/>
      </w:r>
      <m:oMath xmlns:m="http://schemas.openxmlformats.org/officeDocument/2006/math">
        <m:sSub>
          <m:e>
            <m:r>
              <m:rPr>
                <m:lit/>
                <m:nor/>
              </m:rPr>
              <w:rPr>
                <w:rFonts w:ascii="Cambria Math" w:hAnsi="Cambria Math"/>
              </w:rPr>
              <m:t xml:space="preserve">EISnstd</m:t>
            </m:r>
          </m:e>
          <m:sub>
            <m:r>
              <w:rPr>
                <w:rFonts w:ascii="Cambria Math" w:hAnsi="Cambria Math"/>
              </w:rPr>
              <m:t xml:space="preserve">i</m:t>
            </m:r>
          </m:sub>
        </m:sSub>
      </m:oMath>
      <w:r>
        <w:rPr/>
        <w:t xml:space="preserve"> is sensitivity measurement done with non standard settings. </w:t>
      </w:r>
      <w:r>
        <w:rPr/>
      </w:r>
      <m:oMath xmlns:m="http://schemas.openxmlformats.org/officeDocument/2006/math">
        <m:r>
          <w:rPr>
            <w:rFonts w:ascii="Cambria Math" w:hAnsi="Cambria Math"/>
          </w:rPr>
          <m:t xml:space="preserve">n</m:t>
        </m:r>
      </m:oMath>
      <w:r>
        <w:rPr/>
        <w:t xml:space="preserve"> is amount of reference measurement points.</w:t>
      </w:r>
    </w:p>
    <w:p>
      <w:pPr>
        <w:pStyle w:val="Normal"/>
        <w:rPr/>
      </w:pPr>
      <w:r>
        <w:rPr/>
        <w:t>To ensure accuracy of TRS, the amount of reference points measured should be at least 4. It is recommended to spread the reference measurements equally during the measurement time.</w:t>
      </w:r>
    </w:p>
    <w:p>
      <w:pPr>
        <w:pStyle w:val="Normal"/>
        <w:rPr/>
      </w:pPr>
      <w:r>
        <w:rPr/>
        <w:t>The measurement procedure is based on the measurement of the spherical sensitivity pattern of the DUT. The sensitivity values of the DUT at a predefined BER level are sampled in far field in a group of points located on a spherical surface enclosing the DUT. The EIS samples are taken using a constant sample step of 30° both in theta (</w:t>
      </w:r>
      <w:r>
        <w:rPr>
          <w:rFonts w:eastAsia="Symbol" w:cs="Symbol" w:ascii="Symbol" w:hAnsi="Symbol"/>
        </w:rPr>
        <w:t>q</w:t>
      </w:r>
      <w:r>
        <w:rPr/>
        <w:t>) and phi (</w:t>
      </w:r>
      <w:r>
        <w:rPr>
          <w:rFonts w:eastAsia="Symbol" w:cs="Symbol" w:ascii="Symbol" w:hAnsi="Symbol"/>
        </w:rPr>
        <w:t>f</w:t>
      </w:r>
      <w:r>
        <w:rPr/>
        <w:t xml:space="preserve">) directions. All the EIS samples are taken with two orthogonal polarizations,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-polarisations (See Subclause 4.4).</w:t>
      </w:r>
    </w:p>
    <w:p>
      <w:pPr>
        <w:pStyle w:val="Normal"/>
        <w:rPr/>
      </w:pPr>
      <w:r>
        <w:rPr/>
        <w:t>The Total Radiated Sensitivity is calculated from the measured data by equation in Subclause 7.3.2.2.</w:t>
      </w:r>
    </w:p>
    <w:p>
      <w:pPr>
        <w:pStyle w:val="Heading4"/>
        <w:ind w:left="1418" w:hanging="1418"/>
        <w:rPr/>
      </w:pPr>
      <w:bookmarkStart w:id="362" w:name="__RefHeading___Toc68601294"/>
      <w:bookmarkEnd w:id="362"/>
      <w:r>
        <w:rPr/>
        <w:t>7.3.2.4.3</w:t>
      </w:r>
      <w:r>
        <w:rPr>
          <w:rFonts w:cs="Calibri" w:ascii="Calibri" w:hAnsi="Calibri"/>
          <w:sz w:val="22"/>
          <w:szCs w:val="22"/>
        </w:rPr>
        <w:tab/>
      </w:r>
      <w:r>
        <w:rPr/>
        <w:t>Procedure, reverberation chamber method</w:t>
      </w:r>
    </w:p>
    <w:p>
      <w:pPr>
        <w:pStyle w:val="B1"/>
        <w:rPr/>
      </w:pPr>
      <w:r>
        <w:rPr/>
        <w:t>1)</w:t>
        <w:tab/>
        <w:t>Send continuously Up power control commands to the UE.</w:t>
      </w:r>
    </w:p>
    <w:p>
      <w:pPr>
        <w:pStyle w:val="B1"/>
        <w:rPr/>
      </w:pPr>
      <w:r>
        <w:rPr/>
        <w:t>2)</w:t>
        <w:tab/>
        <w:t>As the UE reaches maximum power, start sending PN15 data pattern.</w:t>
      </w:r>
    </w:p>
    <w:p>
      <w:pPr>
        <w:pStyle w:val="B1"/>
        <w:rPr/>
      </w:pPr>
      <w:r>
        <w:rPr/>
        <w:t>3)</w:t>
        <w:tab/>
        <w:t>Set the base station simulator to a specific output power and perform a BER measurement.</w:t>
      </w:r>
    </w:p>
    <w:p>
      <w:pPr>
        <w:pStyle w:val="B1"/>
        <w:rPr/>
      </w:pPr>
      <w:r>
        <w:rPr/>
        <w:t>4)</w:t>
        <w:tab/>
        <w:t xml:space="preserve">Increase or decrease the base station output power as needed, and repeat step 4 until the lowest output power is found that gives a BER value of 1% </w:t>
      </w:r>
      <w:r>
        <w:rPr>
          <w:rFonts w:eastAsia="Symbol" w:cs="Symbol" w:ascii="Symbol" w:hAnsi="Symbol"/>
        </w:rPr>
        <w:t></w:t>
      </w:r>
      <w:r>
        <w:rPr/>
        <w:t xml:space="preserve"> 0.2% using 20000 or more bits, see Annex E.20. This corresponds to </w:t>
      </w:r>
      <w:r>
        <w:rPr/>
      </w:r>
      <m:oMath xmlns:m="http://schemas.openxmlformats.org/officeDocument/2006/math">
        <m:sSup>
          <m:e>
            <m:d>
              <m:dPr>
                <m:begChr m:val="|"/>
                <m:endChr m:val="|"/>
              </m:dPr>
              <m:e>
                <m:sSubSup>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up>
                    <m:r>
                      <m:rPr>
                        <m:lit/>
                        <m:nor/>
                      </m:rPr>
                      <w:rPr>
                        <w:rFonts w:ascii="Cambria Math" w:hAnsi="Cambria Math"/>
                      </w:rPr>
                      <m:t xml:space="preserve">thres</m:t>
                    </m:r>
                  </m:sup>
                </m:sSubSup>
              </m:e>
            </m:d>
          </m:e>
          <m:sup>
            <m:r>
              <w:rPr>
                <w:rFonts w:ascii="Cambria Math" w:hAnsi="Cambria Math"/>
              </w:rPr>
              <m:t xml:space="preserve">2</m:t>
            </m:r>
          </m:sup>
        </m:sSup>
      </m:oMath>
      <w:r>
        <w:rPr/>
        <w:t>.</w:t>
      </w:r>
    </w:p>
    <w:p>
      <w:pPr>
        <w:pStyle w:val="NO"/>
        <w:rPr/>
      </w:pPr>
      <w:r>
        <w:rPr/>
        <w:t xml:space="preserve">NOTE 1: To meet BER value target DL power level can be changed using user’s freely selectable algorithm. </w:t>
      </w:r>
    </w:p>
    <w:p>
      <w:pPr>
        <w:pStyle w:val="B1"/>
        <w:rPr/>
      </w:pPr>
      <w:r>
        <w:rPr/>
        <w:t>5)</w:t>
        <w:tab/>
        <w:t xml:space="preserve">Repeat step 3 and 4 until a sufficient number of independent samples (see section 4.5) of </w:t>
      </w:r>
      <w:r>
        <w:rPr/>
      </w:r>
      <m:oMath xmlns:m="http://schemas.openxmlformats.org/officeDocument/2006/math">
        <m:sSup>
          <m:e>
            <m:d>
              <m:dPr>
                <m:begChr m:val="|"/>
                <m:endChr m:val="|"/>
              </m:dPr>
              <m:e>
                <m:sSubSup>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up>
                    <m:r>
                      <m:rPr>
                        <m:lit/>
                        <m:nor/>
                      </m:rPr>
                      <w:rPr>
                        <w:rFonts w:ascii="Cambria Math" w:hAnsi="Cambria Math"/>
                      </w:rPr>
                      <m:t xml:space="preserve">thres</m:t>
                    </m:r>
                  </m:sup>
                </m:sSubSup>
              </m:e>
            </m:d>
          </m:e>
          <m:sup>
            <m:r>
              <w:rPr>
                <w:rFonts w:ascii="Cambria Math" w:hAnsi="Cambria Math"/>
              </w:rPr>
              <m:t xml:space="preserve">2</m:t>
            </m:r>
          </m:sup>
        </m:sSup>
      </m:oMath>
      <w:r>
        <w:rPr/>
        <w:t xml:space="preserve"> has been measured.</w:t>
      </w:r>
    </w:p>
    <w:p>
      <w:pPr>
        <w:pStyle w:val="B1"/>
        <w:rPr/>
      </w:pPr>
      <w:r>
        <w:rPr/>
        <w:t>6)</w:t>
        <w:tab/>
      </w:r>
    </w:p>
    <w:p>
      <w:pPr>
        <w:pStyle w:val="B1"/>
        <w:rPr/>
      </w:pPr>
      <w:r>
        <w:rPr/>
        <w:t>7)</w:t>
        <w:tab/>
        <w:t>Calculate TRS using equations from chapter 7.3.2.1.</w:t>
      </w:r>
    </w:p>
    <w:p>
      <w:pPr>
        <w:pStyle w:val="NO"/>
        <w:rPr/>
      </w:pPr>
      <w:r>
        <w:rPr/>
        <w:t>NOTE 2:</w:t>
        <w:tab/>
        <w:t>The measurement procedure is based on samples of the received signal power at the UE/MS from a full 3 dimensional isotropic environment with uniform elevation and azimuth field distribution. The power received by the DUT is undergoing Rayleigh fading and is transmitted by the fixed measurement antennas. Moreover, it is important that the samples collected are independent, in order to get sufficient accuracy of the estimated TRS value.</w:t>
      </w:r>
    </w:p>
    <w:p>
      <w:pPr>
        <w:pStyle w:val="Normal"/>
        <w:rPr>
          <w:lang w:eastAsia="zh-TW"/>
        </w:rPr>
      </w:pPr>
      <w:r>
        <w:rPr/>
        <w:t>The Total Radiated Sensitivity is calculated from the measured data by equation in Subclause 7.3.2.2.</w:t>
      </w:r>
    </w:p>
    <w:p>
      <w:pPr>
        <w:pStyle w:val="Normal"/>
        <w:rPr/>
      </w:pPr>
      <w:r>
        <w:rPr/>
        <w:t>...</w:t>
      </w:r>
    </w:p>
    <w:p>
      <w:pPr>
        <w:pStyle w:val="Heading4"/>
        <w:ind w:left="1418" w:hanging="1418"/>
        <w:rPr/>
      </w:pPr>
      <w:bookmarkStart w:id="363" w:name="__RefHeading___Toc68601295"/>
      <w:bookmarkEnd w:id="363"/>
      <w:r>
        <w:rPr/>
        <w:t>7.3.2.5</w:t>
      </w:r>
      <w:r>
        <w:rPr>
          <w:rFonts w:cs="Calibri" w:ascii="Calibri" w:hAnsi="Calibri"/>
          <w:sz w:val="22"/>
          <w:szCs w:val="22"/>
        </w:rPr>
        <w:tab/>
      </w:r>
      <w:r>
        <w:rPr/>
        <w:t>Test requirements</w:t>
      </w:r>
    </w:p>
    <w:p>
      <w:pPr>
        <w:pStyle w:val="Normal"/>
        <w:jc w:val="both"/>
        <w:rPr/>
      </w:pPr>
      <w:r>
        <w:rPr/>
        <w:t>The average TRS of low, mid and high channel for 1% BER with 12.2kbps DL reference channel as defined in Annex C.3 of TS 34.122 [8] shall be lower than test requirements for roaming bands shown in Table 7.3.2.5-1</w:t>
      </w:r>
      <w:r>
        <w:rPr>
          <w:rFonts w:cs="Arial" w:ascii="Arial" w:hAnsi="Arial"/>
          <w:b/>
        </w:rPr>
        <w:t xml:space="preserve"> </w:t>
      </w:r>
      <w:r>
        <w:rPr/>
        <w:t>for notebook devices and Table 7.3.2.5-2 for tablet devices. The averaging shall be done in linear scale for the TRS results.</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3</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den>
                  </m:f>
                </m:e>
              </m:d>
            </m:e>
          </m:d>
        </m:oMath>
      </m:oMathPara>
    </w:p>
    <w:p>
      <w:pPr>
        <w:pStyle w:val="Normal"/>
        <w:rPr/>
      </w:pPr>
      <w:r>
        <w:rPr/>
        <w:t>In addition the maximum TRS of each measured channel shall be better than minimum performance requirements for roaming bands shown in the columns “Max”.</w:t>
      </w:r>
    </w:p>
    <w:p>
      <w:pPr>
        <w:pStyle w:val="EQ"/>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TRS</m:t>
              </m:r>
            </m:e>
            <m:sub>
              <m:r>
                <m:rPr>
                  <m:lit/>
                  <m:nor/>
                </m:rPr>
                <w:rPr>
                  <w:rFonts w:ascii="Cambria Math" w:hAnsi="Cambria Math"/>
                </w:rPr>
                <m:t xml:space="preserve">max</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m:rPr>
                  <m:lit/>
                  <m:nor/>
                </m:rPr>
                <w:rPr>
                  <w:rFonts w:ascii="Cambria Math" w:hAnsi="Cambria Math"/>
                </w:rPr>
                <m:t xml:space="preserve">max</m:t>
              </m:r>
              <m:d>
                <m:dPr>
                  <m:begChr m:val="("/>
                  <m:endChr m:val=")"/>
                </m:dPr>
                <m:e>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e>
              </m:d>
            </m:e>
          </m:d>
        </m:oMath>
      </m:oMathPara>
    </w:p>
    <w:p>
      <w:pPr>
        <w:pStyle w:val="TH"/>
        <w:rPr/>
      </w:pPr>
      <w:r>
        <w:rPr/>
        <w:t>Table 7.3.2.5-1: TRS test requirements for UTRA LCR TDD roaming mode for notebook devices in the data transfers position and the primary mechanical mode</w:t>
      </w:r>
    </w:p>
    <w:tbl>
      <w:tblPr>
        <w:tblW w:w="8046" w:type="dxa"/>
        <w:jc w:val="center"/>
        <w:tblInd w:w="0" w:type="dxa"/>
        <w:tblLayout w:type="fixed"/>
        <w:tblCellMar>
          <w:top w:w="0" w:type="dxa"/>
          <w:left w:w="108" w:type="dxa"/>
          <w:bottom w:w="0" w:type="dxa"/>
          <w:right w:w="108" w:type="dxa"/>
        </w:tblCellMar>
      </w:tblPr>
      <w:tblGrid>
        <w:gridCol w:w="2529"/>
        <w:gridCol w:w="2691"/>
        <w:gridCol w:w="1278"/>
        <w:gridCol w:w="1548"/>
      </w:tblGrid>
      <w:tr>
        <w:trPr>
          <w:trHeight w:val="317" w:hRule="atLeast"/>
        </w:trPr>
        <w:tc>
          <w:tcPr>
            <w:tcW w:w="252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Operating Band</w:t>
            </w:r>
          </w:p>
        </w:tc>
        <w:tc>
          <w:tcPr>
            <w:tcW w:w="269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Unit</w:t>
            </w:r>
          </w:p>
        </w:tc>
        <w:tc>
          <w:tcPr>
            <w:tcW w:w="2826"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&lt;REFÎor&gt;</w:t>
            </w:r>
          </w:p>
        </w:tc>
      </w:tr>
      <w:tr>
        <w:trPr>
          <w:trHeight w:val="266" w:hRule="atLeast"/>
        </w:trPr>
        <w:tc>
          <w:tcPr>
            <w:tcW w:w="2529" w:type="dxa"/>
            <w:tcBorders>
              <w:top w:val="single" w:sz="6" w:space="0" w:color="000000"/>
              <w:left w:val="single" w:sz="6" w:space="0" w:color="000000"/>
              <w:bottom w:val="single" w:sz="6" w:space="0" w:color="000000"/>
              <w:right w:val="single" w:sz="6" w:space="0" w:color="000000"/>
            </w:tcBorders>
          </w:tcPr>
          <w:p>
            <w:pPr>
              <w:pStyle w:val="TAC"/>
              <w:snapToGrid w:val="false"/>
              <w:rPr>
                <w:rFonts w:ascii="CG Times (WN);Arial" w:hAnsi="CG Times (WN);Arial" w:cs="CG Times (WN);Arial"/>
                <w:lang w:eastAsia="en-US"/>
              </w:rPr>
            </w:pPr>
            <w:r>
              <w:rPr>
                <w:rFonts w:cs="CG Times (WN);Arial" w:ascii="CG Times (WN);Arial" w:hAnsi="CG Times (WN);Arial"/>
                <w:lang w:eastAsia="en-US"/>
              </w:rPr>
            </w:r>
          </w:p>
        </w:tc>
        <w:tc>
          <w:tcPr>
            <w:tcW w:w="2691"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1278" w:type="dxa"/>
            <w:tcBorders>
              <w:top w:val="single" w:sz="6" w:space="0" w:color="000000"/>
              <w:left w:val="single" w:sz="6" w:space="0" w:color="000000"/>
              <w:bottom w:val="single" w:sz="6" w:space="0" w:color="000000"/>
              <w:right w:val="single" w:sz="6" w:space="0" w:color="000000"/>
            </w:tcBorders>
          </w:tcPr>
          <w:p>
            <w:pPr>
              <w:pStyle w:val="TAH"/>
              <w:rPr>
                <w:sz w:val="20"/>
                <w:lang w:eastAsia="en-US"/>
              </w:rPr>
            </w:pPr>
            <w:r>
              <w:rPr>
                <w:sz w:val="20"/>
                <w:lang w:eastAsia="en-US"/>
              </w:rPr>
              <w:t>Average</w:t>
            </w:r>
          </w:p>
        </w:tc>
        <w:tc>
          <w:tcPr>
            <w:tcW w:w="1548" w:type="dxa"/>
            <w:tcBorders>
              <w:top w:val="single" w:sz="6" w:space="0" w:color="000000"/>
              <w:left w:val="single" w:sz="6" w:space="0" w:color="000000"/>
              <w:bottom w:val="single" w:sz="6" w:space="0" w:color="000000"/>
              <w:right w:val="single" w:sz="6" w:space="0" w:color="000000"/>
            </w:tcBorders>
          </w:tcPr>
          <w:p>
            <w:pPr>
              <w:pStyle w:val="TAH"/>
              <w:rPr>
                <w:sz w:val="20"/>
                <w:lang w:eastAsia="en-US"/>
              </w:rPr>
            </w:pPr>
            <w:r>
              <w:rPr>
                <w:sz w:val="20"/>
                <w:lang w:eastAsia="en-US"/>
              </w:rPr>
              <w:t>Max</w:t>
            </w:r>
          </w:p>
        </w:tc>
      </w:tr>
      <w:tr>
        <w:trPr>
          <w:trHeight w:val="218" w:hRule="atLeast"/>
        </w:trPr>
        <w:tc>
          <w:tcPr>
            <w:tcW w:w="2529"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a</w:t>
            </w:r>
          </w:p>
        </w:tc>
        <w:tc>
          <w:tcPr>
            <w:tcW w:w="269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 xml:space="preserve">dBm/1.28 MHz </w:t>
            </w:r>
          </w:p>
        </w:tc>
        <w:tc>
          <w:tcPr>
            <w:tcW w:w="127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 +TT</w:t>
            </w:r>
          </w:p>
        </w:tc>
        <w:tc>
          <w:tcPr>
            <w:tcW w:w="154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 +TT</w:t>
            </w:r>
          </w:p>
        </w:tc>
      </w:tr>
      <w:tr>
        <w:trPr>
          <w:trHeight w:val="218" w:hRule="atLeast"/>
        </w:trPr>
        <w:tc>
          <w:tcPr>
            <w:tcW w:w="2529"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b</w:t>
            </w:r>
          </w:p>
        </w:tc>
        <w:tc>
          <w:tcPr>
            <w:tcW w:w="269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dBm/1.28 MHz</w:t>
            </w:r>
          </w:p>
        </w:tc>
        <w:tc>
          <w:tcPr>
            <w:tcW w:w="127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 +TT</w:t>
            </w:r>
          </w:p>
        </w:tc>
        <w:tc>
          <w:tcPr>
            <w:tcW w:w="154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 +TT</w:t>
            </w:r>
          </w:p>
        </w:tc>
      </w:tr>
      <w:tr>
        <w:trPr>
          <w:trHeight w:val="218" w:hRule="atLeast"/>
        </w:trPr>
        <w:tc>
          <w:tcPr>
            <w:tcW w:w="2529"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c</w:t>
            </w:r>
          </w:p>
        </w:tc>
        <w:tc>
          <w:tcPr>
            <w:tcW w:w="269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dBm/1.28 MHz</w:t>
            </w:r>
          </w:p>
        </w:tc>
        <w:tc>
          <w:tcPr>
            <w:tcW w:w="127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 +TT</w:t>
            </w:r>
          </w:p>
        </w:tc>
        <w:tc>
          <w:tcPr>
            <w:tcW w:w="154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 +TT</w:t>
            </w:r>
          </w:p>
        </w:tc>
      </w:tr>
      <w:tr>
        <w:trPr>
          <w:trHeight w:val="218" w:hRule="atLeast"/>
        </w:trPr>
        <w:tc>
          <w:tcPr>
            <w:tcW w:w="2529"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d</w:t>
            </w:r>
          </w:p>
        </w:tc>
        <w:tc>
          <w:tcPr>
            <w:tcW w:w="269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dBm/1.28 MHz</w:t>
            </w:r>
          </w:p>
        </w:tc>
        <w:tc>
          <w:tcPr>
            <w:tcW w:w="127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 +TT</w:t>
            </w:r>
          </w:p>
        </w:tc>
        <w:tc>
          <w:tcPr>
            <w:tcW w:w="154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 +TT</w:t>
            </w:r>
          </w:p>
        </w:tc>
      </w:tr>
      <w:tr>
        <w:trPr>
          <w:trHeight w:val="218" w:hRule="atLeast"/>
        </w:trPr>
        <w:tc>
          <w:tcPr>
            <w:tcW w:w="2529"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w:t>
            </w:r>
          </w:p>
        </w:tc>
        <w:tc>
          <w:tcPr>
            <w:tcW w:w="269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dBm/1.28 MHz</w:t>
            </w:r>
          </w:p>
        </w:tc>
        <w:tc>
          <w:tcPr>
            <w:tcW w:w="127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 +TT</w:t>
            </w:r>
          </w:p>
        </w:tc>
        <w:tc>
          <w:tcPr>
            <w:tcW w:w="154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 +TT</w:t>
            </w:r>
          </w:p>
        </w:tc>
      </w:tr>
      <w:tr>
        <w:trPr>
          <w:trHeight w:val="218" w:hRule="atLeast"/>
        </w:trPr>
        <w:tc>
          <w:tcPr>
            <w:tcW w:w="2529"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f</w:t>
            </w:r>
          </w:p>
        </w:tc>
        <w:tc>
          <w:tcPr>
            <w:tcW w:w="269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dBm/1.28 MHz</w:t>
            </w:r>
          </w:p>
        </w:tc>
        <w:tc>
          <w:tcPr>
            <w:tcW w:w="127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 +TT</w:t>
            </w:r>
          </w:p>
        </w:tc>
        <w:tc>
          <w:tcPr>
            <w:tcW w:w="154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 +TT</w:t>
            </w:r>
          </w:p>
        </w:tc>
      </w:tr>
      <w:tr>
        <w:trPr>
          <w:trHeight w:val="220" w:hRule="atLeast"/>
        </w:trPr>
        <w:tc>
          <w:tcPr>
            <w:tcW w:w="8046" w:type="dxa"/>
            <w:gridSpan w:val="4"/>
            <w:tcBorders>
              <w:left w:val="single" w:sz="6" w:space="0" w:color="000000"/>
              <w:bottom w:val="single" w:sz="6" w:space="0" w:color="000000"/>
              <w:right w:val="single" w:sz="6" w:space="0" w:color="000000"/>
            </w:tcBorders>
            <w:vAlign w:val="center"/>
          </w:tcPr>
          <w:p>
            <w:pPr>
              <w:pStyle w:val="TAN"/>
              <w:rPr>
                <w:lang w:eastAsia="en-US"/>
              </w:rPr>
            </w:pPr>
            <w:r>
              <w:rPr>
                <w:lang w:eastAsia="en-US"/>
              </w:rPr>
              <w:t xml:space="preserve">NOTE 1: </w:t>
              <w:tab/>
              <w:t>Applicable for dual-mode GSM/UTRA LCR TDD.</w:t>
            </w:r>
          </w:p>
          <w:p>
            <w:pPr>
              <w:pStyle w:val="TAN"/>
              <w:rPr>
                <w:lang w:eastAsia="en-US"/>
              </w:rPr>
            </w:pPr>
            <w:r>
              <w:rPr>
                <w:lang w:eastAsia="en-US"/>
              </w:rPr>
              <w:t xml:space="preserve">NOTE 2: </w:t>
              <w:tab/>
              <w:t>Applicable for notebook devices.</w:t>
            </w:r>
          </w:p>
        </w:tc>
      </w:tr>
    </w:tbl>
    <w:p>
      <w:pPr>
        <w:pStyle w:val="Normal"/>
        <w:rPr/>
      </w:pPr>
      <w:r>
        <w:rPr/>
      </w:r>
    </w:p>
    <w:p>
      <w:pPr>
        <w:pStyle w:val="NO"/>
        <w:rPr/>
      </w:pPr>
      <w:r>
        <w:rPr/>
        <w:t>NOTE 1:</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TH"/>
        <w:rPr/>
      </w:pPr>
      <w:r>
        <w:rPr/>
        <w:t>Table 7.3.2.5-2: TRS test requirements for UTRA LCR TDD roaming mode for tablet devices in the data transfers position and the primary mechanical mode</w:t>
      </w:r>
    </w:p>
    <w:tbl>
      <w:tblPr>
        <w:tblW w:w="8046" w:type="dxa"/>
        <w:jc w:val="center"/>
        <w:tblInd w:w="0" w:type="dxa"/>
        <w:tblLayout w:type="fixed"/>
        <w:tblCellMar>
          <w:top w:w="0" w:type="dxa"/>
          <w:left w:w="108" w:type="dxa"/>
          <w:bottom w:w="0" w:type="dxa"/>
          <w:right w:w="108" w:type="dxa"/>
        </w:tblCellMar>
      </w:tblPr>
      <w:tblGrid>
        <w:gridCol w:w="2529"/>
        <w:gridCol w:w="2691"/>
        <w:gridCol w:w="1278"/>
        <w:gridCol w:w="1548"/>
      </w:tblGrid>
      <w:tr>
        <w:trPr>
          <w:trHeight w:val="317" w:hRule="atLeast"/>
        </w:trPr>
        <w:tc>
          <w:tcPr>
            <w:tcW w:w="252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Operating Band</w:t>
            </w:r>
          </w:p>
        </w:tc>
        <w:tc>
          <w:tcPr>
            <w:tcW w:w="269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Unit</w:t>
            </w:r>
          </w:p>
        </w:tc>
        <w:tc>
          <w:tcPr>
            <w:tcW w:w="2826"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&lt;REFÎor&gt;</w:t>
            </w:r>
          </w:p>
        </w:tc>
      </w:tr>
      <w:tr>
        <w:trPr>
          <w:trHeight w:val="266" w:hRule="atLeast"/>
        </w:trPr>
        <w:tc>
          <w:tcPr>
            <w:tcW w:w="2529" w:type="dxa"/>
            <w:tcBorders>
              <w:top w:val="single" w:sz="6" w:space="0" w:color="000000"/>
              <w:left w:val="single" w:sz="6" w:space="0" w:color="000000"/>
              <w:bottom w:val="single" w:sz="6" w:space="0" w:color="000000"/>
              <w:right w:val="single" w:sz="6" w:space="0" w:color="000000"/>
            </w:tcBorders>
          </w:tcPr>
          <w:p>
            <w:pPr>
              <w:pStyle w:val="TAH"/>
              <w:snapToGrid w:val="false"/>
              <w:rPr>
                <w:rFonts w:ascii="CG Times (WN);Arial" w:hAnsi="CG Times (WN);Arial" w:cs="CG Times (WN);Arial"/>
                <w:lang w:eastAsia="en-US"/>
              </w:rPr>
            </w:pPr>
            <w:r>
              <w:rPr>
                <w:rFonts w:cs="CG Times (WN);Arial" w:ascii="CG Times (WN);Arial" w:hAnsi="CG Times (WN);Arial"/>
                <w:lang w:eastAsia="en-US"/>
              </w:rPr>
            </w:r>
          </w:p>
        </w:tc>
        <w:tc>
          <w:tcPr>
            <w:tcW w:w="2691" w:type="dxa"/>
            <w:tcBorders>
              <w:top w:val="single" w:sz="6" w:space="0" w:color="000000"/>
              <w:left w:val="single" w:sz="6" w:space="0" w:color="000000"/>
              <w:bottom w:val="single" w:sz="6" w:space="0" w:color="000000"/>
              <w:right w:val="single" w:sz="6" w:space="0" w:color="000000"/>
            </w:tcBorders>
          </w:tcPr>
          <w:p>
            <w:pPr>
              <w:pStyle w:val="TAH"/>
              <w:snapToGrid w:val="false"/>
              <w:rPr>
                <w:lang w:eastAsia="en-US"/>
              </w:rPr>
            </w:pPr>
            <w:r>
              <w:rPr>
                <w:lang w:eastAsia="en-US"/>
              </w:rPr>
            </w:r>
          </w:p>
        </w:tc>
        <w:tc>
          <w:tcPr>
            <w:tcW w:w="1278" w:type="dxa"/>
            <w:tcBorders>
              <w:top w:val="single" w:sz="6" w:space="0" w:color="000000"/>
              <w:left w:val="single" w:sz="6" w:space="0" w:color="000000"/>
              <w:bottom w:val="single" w:sz="6" w:space="0" w:color="000000"/>
              <w:right w:val="single" w:sz="6" w:space="0" w:color="000000"/>
            </w:tcBorders>
          </w:tcPr>
          <w:p>
            <w:pPr>
              <w:pStyle w:val="TAH"/>
              <w:rPr>
                <w:sz w:val="20"/>
                <w:lang w:eastAsia="en-US"/>
              </w:rPr>
            </w:pPr>
            <w:r>
              <w:rPr>
                <w:sz w:val="20"/>
                <w:lang w:eastAsia="en-US"/>
              </w:rPr>
              <w:t>Average</w:t>
            </w:r>
          </w:p>
        </w:tc>
        <w:tc>
          <w:tcPr>
            <w:tcW w:w="1548" w:type="dxa"/>
            <w:tcBorders>
              <w:top w:val="single" w:sz="6" w:space="0" w:color="000000"/>
              <w:left w:val="single" w:sz="6" w:space="0" w:color="000000"/>
              <w:bottom w:val="single" w:sz="6" w:space="0" w:color="000000"/>
              <w:right w:val="single" w:sz="6" w:space="0" w:color="000000"/>
            </w:tcBorders>
          </w:tcPr>
          <w:p>
            <w:pPr>
              <w:pStyle w:val="TAH"/>
              <w:rPr>
                <w:sz w:val="20"/>
                <w:lang w:eastAsia="en-US"/>
              </w:rPr>
            </w:pPr>
            <w:r>
              <w:rPr>
                <w:sz w:val="20"/>
                <w:lang w:eastAsia="en-US"/>
              </w:rPr>
              <w:t>Max</w:t>
            </w:r>
          </w:p>
        </w:tc>
      </w:tr>
      <w:tr>
        <w:trPr>
          <w:trHeight w:val="218" w:hRule="atLeast"/>
        </w:trPr>
        <w:tc>
          <w:tcPr>
            <w:tcW w:w="2529"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a</w:t>
            </w:r>
          </w:p>
        </w:tc>
        <w:tc>
          <w:tcPr>
            <w:tcW w:w="269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 xml:space="preserve">dBm/1.28 MHz </w:t>
            </w:r>
          </w:p>
        </w:tc>
        <w:tc>
          <w:tcPr>
            <w:tcW w:w="127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 +TT</w:t>
            </w:r>
          </w:p>
        </w:tc>
        <w:tc>
          <w:tcPr>
            <w:tcW w:w="154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 +TT</w:t>
            </w:r>
          </w:p>
        </w:tc>
      </w:tr>
      <w:tr>
        <w:trPr>
          <w:trHeight w:val="218" w:hRule="atLeast"/>
        </w:trPr>
        <w:tc>
          <w:tcPr>
            <w:tcW w:w="2529"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b</w:t>
            </w:r>
          </w:p>
        </w:tc>
        <w:tc>
          <w:tcPr>
            <w:tcW w:w="269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dBm/1.28 MHz</w:t>
            </w:r>
          </w:p>
        </w:tc>
        <w:tc>
          <w:tcPr>
            <w:tcW w:w="127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 +TT</w:t>
            </w:r>
          </w:p>
        </w:tc>
        <w:tc>
          <w:tcPr>
            <w:tcW w:w="154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 +TT</w:t>
            </w:r>
          </w:p>
        </w:tc>
      </w:tr>
      <w:tr>
        <w:trPr>
          <w:trHeight w:val="218" w:hRule="atLeast"/>
        </w:trPr>
        <w:tc>
          <w:tcPr>
            <w:tcW w:w="2529"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c</w:t>
            </w:r>
          </w:p>
        </w:tc>
        <w:tc>
          <w:tcPr>
            <w:tcW w:w="269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dBm/1.28 MHz</w:t>
            </w:r>
          </w:p>
        </w:tc>
        <w:tc>
          <w:tcPr>
            <w:tcW w:w="127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 +TT</w:t>
            </w:r>
          </w:p>
        </w:tc>
        <w:tc>
          <w:tcPr>
            <w:tcW w:w="1548" w:type="dxa"/>
            <w:tcBorders>
              <w:top w:val="single" w:sz="6" w:space="0" w:color="000000"/>
              <w:left w:val="single" w:sz="6" w:space="0" w:color="000000"/>
              <w:bottom w:val="single" w:sz="6" w:space="0" w:color="000000"/>
              <w:right w:val="single" w:sz="6" w:space="0" w:color="000000"/>
            </w:tcBorders>
            <w:vAlign w:val="center"/>
          </w:tcPr>
          <w:p>
            <w:pPr>
              <w:pStyle w:val="TAC"/>
              <w:rPr/>
            </w:pPr>
            <w:r>
              <w:rPr>
                <w:lang w:eastAsia="en-US"/>
              </w:rPr>
              <w:t>TBD +TT</w:t>
            </w:r>
          </w:p>
        </w:tc>
      </w:tr>
      <w:tr>
        <w:trPr>
          <w:trHeight w:val="218" w:hRule="atLeast"/>
        </w:trPr>
        <w:tc>
          <w:tcPr>
            <w:tcW w:w="2529"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d</w:t>
            </w:r>
          </w:p>
        </w:tc>
        <w:tc>
          <w:tcPr>
            <w:tcW w:w="269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dBm/1.28 MHz</w:t>
            </w:r>
          </w:p>
        </w:tc>
        <w:tc>
          <w:tcPr>
            <w:tcW w:w="127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 +TT</w:t>
            </w:r>
          </w:p>
        </w:tc>
        <w:tc>
          <w:tcPr>
            <w:tcW w:w="154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 +TT</w:t>
            </w:r>
          </w:p>
        </w:tc>
      </w:tr>
      <w:tr>
        <w:trPr>
          <w:trHeight w:val="218" w:hRule="atLeast"/>
        </w:trPr>
        <w:tc>
          <w:tcPr>
            <w:tcW w:w="2529"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w:t>
            </w:r>
          </w:p>
        </w:tc>
        <w:tc>
          <w:tcPr>
            <w:tcW w:w="269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dBm/1.28 MHz</w:t>
            </w:r>
          </w:p>
        </w:tc>
        <w:tc>
          <w:tcPr>
            <w:tcW w:w="127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 +TT</w:t>
            </w:r>
          </w:p>
        </w:tc>
        <w:tc>
          <w:tcPr>
            <w:tcW w:w="154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 +TT</w:t>
            </w:r>
          </w:p>
        </w:tc>
      </w:tr>
      <w:tr>
        <w:trPr>
          <w:trHeight w:val="218" w:hRule="atLeast"/>
        </w:trPr>
        <w:tc>
          <w:tcPr>
            <w:tcW w:w="2529"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f</w:t>
            </w:r>
          </w:p>
        </w:tc>
        <w:tc>
          <w:tcPr>
            <w:tcW w:w="269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dBm/1.28 MHz</w:t>
            </w:r>
          </w:p>
        </w:tc>
        <w:tc>
          <w:tcPr>
            <w:tcW w:w="127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 +TT</w:t>
            </w:r>
          </w:p>
        </w:tc>
        <w:tc>
          <w:tcPr>
            <w:tcW w:w="1548"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TBD +TT</w:t>
            </w:r>
          </w:p>
        </w:tc>
      </w:tr>
      <w:tr>
        <w:trPr>
          <w:trHeight w:val="220" w:hRule="atLeast"/>
        </w:trPr>
        <w:tc>
          <w:tcPr>
            <w:tcW w:w="8046" w:type="dxa"/>
            <w:gridSpan w:val="4"/>
            <w:tcBorders>
              <w:left w:val="single" w:sz="6" w:space="0" w:color="000000"/>
              <w:bottom w:val="single" w:sz="6" w:space="0" w:color="000000"/>
              <w:right w:val="single" w:sz="6" w:space="0" w:color="000000"/>
            </w:tcBorders>
            <w:vAlign w:val="center"/>
          </w:tcPr>
          <w:p>
            <w:pPr>
              <w:pStyle w:val="TAN"/>
              <w:rPr>
                <w:lang w:eastAsia="en-US"/>
              </w:rPr>
            </w:pPr>
            <w:r>
              <w:rPr>
                <w:lang w:eastAsia="en-US"/>
              </w:rPr>
              <w:t xml:space="preserve">NOTE 1: </w:t>
              <w:tab/>
              <w:t>Applicable for dual-mode GSM/UTRA LCR TDD.</w:t>
            </w:r>
          </w:p>
          <w:p>
            <w:pPr>
              <w:pStyle w:val="TAN"/>
              <w:rPr>
                <w:lang w:eastAsia="en-US"/>
              </w:rPr>
            </w:pPr>
            <w:r>
              <w:rPr>
                <w:lang w:eastAsia="en-US"/>
              </w:rPr>
              <w:t xml:space="preserve">NOTE 2: </w:t>
              <w:tab/>
              <w:t>Applicable for notebook devices.</w:t>
            </w:r>
          </w:p>
        </w:tc>
      </w:tr>
    </w:tbl>
    <w:p>
      <w:pPr>
        <w:pStyle w:val="Normal"/>
        <w:rPr/>
      </w:pPr>
      <w:r>
        <w:rPr/>
      </w:r>
    </w:p>
    <w:p>
      <w:pPr>
        <w:pStyle w:val="NO"/>
        <w:rPr/>
      </w:pPr>
      <w:r>
        <w:rPr/>
        <w:t>NOTE 2:</w:t>
        <w:tab/>
        <w:t>If the above Test Requirement differs from the Minimum Requirement then the Test Tolerance applied for this test is non-zero. The Test Tolerance for this test is defined and the explanation of how the Minimum Requirement has been relaxed by the Test Tolerance is given in Annex D.</w:t>
      </w:r>
    </w:p>
    <w:p>
      <w:pPr>
        <w:pStyle w:val="Heading3"/>
        <w:rPr>
          <w:szCs w:val="16"/>
          <w:lang w:eastAsia="zh-CN"/>
        </w:rPr>
      </w:pPr>
      <w:bookmarkStart w:id="364" w:name="__RefHeading___Toc68601296"/>
      <w:bookmarkEnd w:id="364"/>
      <w:r>
        <w:rPr>
          <w:lang w:eastAsia="zh-CN"/>
        </w:rPr>
        <w:t>7</w:t>
      </w:r>
      <w:r>
        <w:rPr/>
        <w:t>.</w:t>
      </w:r>
      <w:r>
        <w:rPr>
          <w:lang w:eastAsia="zh-CN"/>
        </w:rPr>
        <w:t>3</w:t>
      </w:r>
      <w:r>
        <w:rPr/>
        <w:t>.3</w:t>
        <w:tab/>
      </w:r>
      <w:r>
        <w:rPr>
          <w:rFonts w:cs="Arial"/>
          <w:color w:val="000000"/>
          <w:szCs w:val="16"/>
        </w:rPr>
        <w:t>Total Radiated Sensitivity (TRS) for</w:t>
      </w:r>
      <w:r>
        <w:rPr>
          <w:szCs w:val="16"/>
        </w:rPr>
        <w:t xml:space="preserve"> E-UTRA FDD LEE</w:t>
      </w:r>
    </w:p>
    <w:p>
      <w:pPr>
        <w:pStyle w:val="EditorsNote"/>
        <w:rPr/>
      </w:pPr>
      <w:r>
        <w:rPr/>
        <w:t>Editor’s notes: This subclause is incomplete. The following items are missing or incomplete:</w:t>
      </w:r>
    </w:p>
    <w:p>
      <w:pPr>
        <w:pStyle w:val="EditorsNote"/>
        <w:numPr>
          <w:ilvl w:val="0"/>
          <w:numId w:val="15"/>
        </w:numPr>
        <w:rPr/>
      </w:pPr>
      <w:r>
        <w:rPr/>
        <w:t>Table 7.3.3.2-1 and 7.3.3.5-1 as they are not specified in TS 37.144 yet</w:t>
      </w:r>
    </w:p>
    <w:p>
      <w:pPr>
        <w:pStyle w:val="EditorsNote"/>
        <w:numPr>
          <w:ilvl w:val="0"/>
          <w:numId w:val="15"/>
        </w:numPr>
        <w:rPr/>
      </w:pPr>
      <w:r>
        <w:rPr/>
        <w:t xml:space="preserve">Applicability </w:t>
      </w:r>
    </w:p>
    <w:p>
      <w:pPr>
        <w:pStyle w:val="Heading4"/>
        <w:ind w:left="1418" w:hanging="1418"/>
        <w:rPr/>
      </w:pPr>
      <w:bookmarkStart w:id="365" w:name="__RefHeading___Toc68601297"/>
      <w:bookmarkEnd w:id="365"/>
      <w:r>
        <w:rPr/>
        <w:t>7.3.3.1</w:t>
      </w:r>
      <w:r>
        <w:rPr>
          <w:rFonts w:cs="Calibri" w:ascii="Calibri" w:hAnsi="Calibri"/>
          <w:sz w:val="22"/>
          <w:szCs w:val="22"/>
        </w:rPr>
        <w:tab/>
      </w:r>
      <w:r>
        <w:rPr/>
        <w:t>Definition and applicability</w:t>
      </w:r>
    </w:p>
    <w:p>
      <w:pPr>
        <w:pStyle w:val="Normal"/>
        <w:rPr/>
      </w:pPr>
      <w:r>
        <w:rPr/>
        <w:t>The Total Radiated Sensitivity is defined as: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4</m:t>
              </m:r>
              <m:r>
                <w:rPr>
                  <w:rFonts w:ascii="Cambria Math" w:hAnsi="Cambria Math"/>
                </w:rPr>
                <m:t xml:space="preserve">π</m:t>
              </m:r>
            </m:num>
            <m:den>
              <m:nary>
                <m:naryPr>
                  <m:chr m:val="∮"/>
                  <m:subHide m:val="1"/>
                  <m:supHide m:val="1"/>
                </m:naryPr>
                <m:sub/>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e>
                  </m:d>
                </m:e>
              </m:nary>
              <m:r>
                <w:rPr>
                  <w:rFonts w:ascii="Cambria Math" w:hAnsi="Cambria Math"/>
                </w:rPr>
                <m:t xml:space="preserve">d</m:t>
              </m:r>
              <m:r>
                <w:rPr>
                  <w:rFonts w:ascii="Cambria Math" w:hAnsi="Cambria Math"/>
                </w:rPr>
                <m:t xml:space="preserve">Ω</m:t>
              </m:r>
            </m:den>
          </m:f>
        </m:oMath>
      </m:oMathPara>
    </w:p>
    <w:p>
      <w:pPr>
        <w:pStyle w:val="Normal"/>
        <w:rPr/>
      </w:pPr>
      <w:r>
        <w:rPr/>
        <w:t>Where the effective isotropic sensitivity (</w:t>
      </w:r>
      <w:r>
        <w:rPr>
          <w:i/>
          <w:iCs/>
        </w:rPr>
        <w:t>EIS</w:t>
      </w:r>
      <w:r>
        <w:rPr/>
        <w:t xml:space="preserve">) is defined as the power available at the antenna output such as the sensitivity threshold is achieved for each polarization.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r>
          <w:rPr>
            <w:rFonts w:ascii="Cambria Math" w:hAnsi="Cambria Math"/>
          </w:rPr>
          <m:t xml:space="preserve">f</m:t>
        </m:r>
      </m:oMath>
      <w:r>
        <w:rPr/>
        <w:t xml:space="preserve"> is frequency.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 are the orthogonal polarizations.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2</m:t>
              </m:r>
              <m:r>
                <m:rPr>
                  <m:lit/>
                  <m:nor/>
                </m:rPr>
                <w:rPr>
                  <w:rFonts w:ascii="Cambria Math" w:hAnsi="Cambria Math"/>
                </w:rPr>
                <m:t xml:space="preserve">NM</m:t>
              </m:r>
            </m:num>
            <m:den>
              <m:r>
                <w:rPr>
                  <w:rFonts w:ascii="Cambria Math" w:hAnsi="Cambria Math"/>
                </w:rPr>
                <m:t xml:space="preserve">π</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e>
                      </m:d>
                      <m:r>
                        <m:rPr>
                          <m:lit/>
                          <m:nor/>
                        </m:rPr>
                        <w:rPr>
                          <w:rFonts w:ascii="Cambria Math" w:hAnsi="Cambria Math"/>
                        </w:rPr>
                        <m:t xml:space="preserve">sin</m:t>
                      </m:r>
                      <m:d>
                        <m:dPr>
                          <m:begChr m:val="("/>
                          <m:endChr m:val=")"/>
                        </m:dPr>
                        <m:e>
                          <m:sSub>
                            <m:e>
                              <m:r>
                                <w:rPr>
                                  <w:rFonts w:ascii="Cambria Math" w:hAnsi="Cambria Math"/>
                                </w:rPr>
                                <m:t xml:space="preserve">θ</m:t>
                              </m:r>
                            </m:e>
                            <m:sub>
                              <m:r>
                                <w:rPr>
                                  <w:rFonts w:ascii="Cambria Math" w:hAnsi="Cambria Math"/>
                                </w:rPr>
                                <m:t xml:space="preserve">n</m:t>
                              </m:r>
                            </m:sub>
                          </m:sSub>
                        </m:e>
                      </m:d>
                    </m:e>
                  </m:nary>
                </m:e>
              </m:nary>
            </m:den>
          </m:f>
        </m:oMath>
      </m:oMathPara>
    </w:p>
    <w:p>
      <w:pPr>
        <w:pStyle w:val="Normal"/>
        <w:rPr/>
      </w:pPr>
      <w:r>
        <w:rPr/>
        <w:t xml:space="preserve">In these formulas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are the number of sampling intervals for theta and phi.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oMath>
      <w:r>
        <w:rPr/>
        <w:t xml:space="preserve"> are the measurement angles. The sampling intervals are discussed further in Subclause 4.4.</w:t>
      </w:r>
    </w:p>
    <w:p>
      <w:pPr>
        <w:pStyle w:val="Normal"/>
        <w:rPr/>
      </w:pPr>
      <w:r>
        <w:rPr/>
        <w:t>The TRS can also be calculated from measurements in a Rayleigh fading 3 dimensional isotropic environment with in average uniform elevation and azimuth distribution. The calculation of the TRS is in this case based on searching for the lowest power received by the UE/MS for a discrete number of field combinations in the chamber that gives a BER that is better than the specified target BER level. By calibrating the average power transfer function, an absolute value of the TRS can be obtained. The following expression can be used to find the TRS.</w:t>
      </w:r>
    </w:p>
    <w:p>
      <w:pPr>
        <w:pStyle w:val="EQ"/>
        <w:rPr>
          <w:lang w:val="en-GB" w:eastAsia="en-GB"/>
        </w:rPr>
      </w:pPr>
      <w:r>
        <w:rPr>
          <w:lang w:val="en-GB" w:eastAsia="en-GB"/>
        </w:rPr>
      </w:r>
      <m:oMathPara xmlns:m="http://schemas.openxmlformats.org/officeDocument/2006/math">
        <m:oMathParaPr>
          <m:jc m:val="left"/>
        </m:oMathParaPr>
        <m:oMath>
          <m:r>
            <m:rPr>
              <m:lit/>
              <m:nor/>
            </m:rPr>
            <w:rPr>
              <w:rFonts w:ascii="Cambria Math" w:hAnsi="Cambria Math"/>
            </w:rPr>
            <m:t xml:space="preserve">TRS</m:t>
          </m:r>
          <m:r>
            <w:rPr>
              <w:rFonts w:ascii="Cambria Math" w:hAnsi="Cambria Math"/>
            </w:rPr>
            <m:t xml:space="preserve">≈</m:t>
          </m:r>
          <m:r>
            <w:rPr>
              <w:rFonts w:ascii="Cambria Math" w:hAnsi="Cambria Math"/>
            </w:rPr>
            <m:t xml:space="preserve">2</m:t>
          </m:r>
          <m:r>
            <w:rPr>
              <w:rFonts w:ascii="Cambria Math" w:hAnsi="Cambria Math"/>
            </w:rPr>
            <m:t xml:space="preserve">N</m:t>
          </m:r>
          <m:f>
            <m:num>
              <m:sSup>
                <m:e>
                  <m:d>
                    <m:dPr>
                      <m:begChr m:val="("/>
                      <m:endChr m:val=")"/>
                    </m:dPr>
                    <m:e>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w:rPr>
                                      <w:rFonts w:ascii="Cambria Math" w:hAnsi="Cambria Math"/>
                                    </w:rPr>
                                    <m:t xml:space="preserve">C</m:t>
                                  </m:r>
                                </m:e>
                                <m:sub>
                                  <m:r>
                                    <w:rPr>
                                      <w:rFonts w:ascii="Cambria Math" w:hAnsi="Cambria Math"/>
                                    </w:rPr>
                                    <m:t xml:space="preserve">n</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sSub>
                                <m:e>
                                  <m:r>
                                    <w:rPr>
                                      <w:rFonts w:ascii="Cambria Math" w:hAnsi="Cambria Math"/>
                                    </w:rPr>
                                    <m:t xml:space="preserve">P</m:t>
                                  </m:r>
                                </m:e>
                                <m:sub>
                                  <m:r>
                                    <m:rPr>
                                      <m:lit/>
                                      <m:nor/>
                                    </m:rPr>
                                    <w:rPr>
                                      <w:rFonts w:ascii="Cambria Math" w:hAnsi="Cambria Math"/>
                                    </w:rPr>
                                    <m:t xml:space="preserve">thres</m:t>
                                  </m:r>
                                  <m:r>
                                    <w:rPr>
                                      <w:rFonts w:ascii="Cambria Math" w:hAnsi="Cambria Math"/>
                                    </w:rPr>
                                    <m:t xml:space="preserve">,</m:t>
                                  </m:r>
                                  <m:r>
                                    <w:rPr>
                                      <w:rFonts w:ascii="Cambria Math" w:hAnsi="Cambria Math"/>
                                    </w:rPr>
                                    <m:t xml:space="preserve">n</m:t>
                                  </m:r>
                                </m:sub>
                              </m:sSub>
                            </m:e>
                          </m:d>
                        </m:e>
                      </m:nary>
                    </m:e>
                  </m:d>
                </m:e>
                <m:sup>
                  <m:r>
                    <w:rPr>
                      <w:rFonts w:ascii="Cambria Math" w:hAnsi="Cambria Math"/>
                    </w:rPr>
                    <m:t xml:space="preserve">−</m:t>
                  </m:r>
                  <m:r>
                    <w:rPr>
                      <w:rFonts w:ascii="Cambria Math" w:hAnsi="Cambria Math"/>
                    </w:rPr>
                    <m:t xml:space="preserve">1</m:t>
                  </m:r>
                </m:sup>
              </m:sSup>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e>
              </m:nary>
            </m:den>
          </m:f>
        </m:oMath>
      </m:oMathPara>
    </w:p>
    <w:p>
      <w:pPr>
        <w:pStyle w:val="Normal"/>
        <w:rPr/>
      </w:pPr>
      <w:r>
        <w:rPr/>
        <w:t xml:space="preserve">where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oMath>
      <w:r>
        <w:rPr/>
        <w:t xml:space="preserve"> is the reference power transfer function for fixed measurement antenna n, </w:t>
      </w:r>
      <w:r>
        <w:rPr/>
      </w:r>
      <m:oMath xmlns:m="http://schemas.openxmlformats.org/officeDocument/2006/math">
        <m:sSub>
          <m:e>
            <m:r>
              <w:rPr>
                <w:rFonts w:ascii="Cambria Math" w:hAnsi="Cambria Math"/>
              </w:rPr>
              <m:t xml:space="preserve">R</m:t>
            </m:r>
          </m:e>
          <m:sub>
            <m:r>
              <w:rPr>
                <w:rFonts w:ascii="Cambria Math" w:hAnsi="Cambria Math"/>
              </w:rPr>
              <m:t xml:space="preserve">n</m:t>
            </m:r>
          </m:sub>
        </m:sSub>
      </m:oMath>
      <w:r>
        <w:rPr/>
        <w:t xml:space="preserve"> is the reflection coefficient for fixed measurement antenna n and </w:t>
      </w:r>
      <w:r>
        <w:rPr/>
      </w:r>
      <m:oMath xmlns:m="http://schemas.openxmlformats.org/officeDocument/2006/math">
        <m:sSub>
          <m:e>
            <m:r>
              <w:rPr>
                <w:rFonts w:ascii="Cambria Math" w:hAnsi="Cambria Math"/>
              </w:rPr>
              <m:t xml:space="preserve">C</m:t>
            </m:r>
          </m:e>
          <m:sub>
            <m:r>
              <w:rPr>
                <w:rFonts w:ascii="Cambria Math" w:hAnsi="Cambria Math"/>
              </w:rPr>
              <m:t xml:space="preserve">n</m:t>
            </m:r>
          </m:sub>
        </m:sSub>
      </m:oMath>
      <w:r>
        <w:rPr/>
        <w:t xml:space="preserve"> is the path loss in the cables connecting the measurement receiver to fixed measurement antenna n. These parameters are calculated from the calibration measurement and are further discussed in Annex B.2.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thres</m:t>
            </m:r>
            <m:r>
              <w:rPr>
                <w:rFonts w:ascii="Cambria Math" w:hAnsi="Cambria Math"/>
              </w:rPr>
              <m:t xml:space="preserve">,</m:t>
            </m:r>
            <m:r>
              <w:rPr>
                <w:rFonts w:ascii="Cambria Math" w:hAnsi="Cambria Math"/>
              </w:rPr>
              <m:t xml:space="preserve">n</m:t>
            </m:r>
          </m:sub>
        </m:sSub>
      </m:oMath>
      <w:r>
        <w:rPr/>
        <w:t xml:space="preserve"> is calculated by using the following equation:</w:t>
      </w:r>
    </w:p>
    <w:p>
      <w:pPr>
        <w:pStyle w:val="EQ"/>
        <w:rPr>
          <w:lang w:val="en-GB" w:eastAsia="en-GB"/>
        </w:rPr>
      </w:pPr>
      <w:r>
        <w:rPr>
          <w:lang w:val="en-GB" w:eastAsia="en-GB"/>
        </w:rPr>
      </w:r>
      <m:oMathPara xmlns:m="http://schemas.openxmlformats.org/officeDocument/2006/math">
        <m:oMathParaPr>
          <m:jc m:val="left"/>
        </m:oMathParaPr>
        <m:oMath>
          <m:sSub>
            <m:e>
              <m:r>
                <w:rPr>
                  <w:rFonts w:ascii="Cambria Math" w:hAnsi="Cambria Math"/>
                </w:rPr>
                <m:t xml:space="preserve">P</m:t>
              </m:r>
            </m:e>
            <m:sub>
              <m:r>
                <m:rPr>
                  <m:lit/>
                  <m:nor/>
                </m:rPr>
                <w:rPr>
                  <w:rFonts w:ascii="Cambria Math" w:hAnsi="Cambria Math"/>
                </w:rPr>
                <m:t xml:space="preserve">thres</m:t>
              </m:r>
              <m:r>
                <w:rPr>
                  <w:rFonts w:ascii="Cambria Math" w:hAnsi="Cambria Math"/>
                </w:rPr>
                <m:t xml:space="preserve">,</m:t>
              </m:r>
              <m:r>
                <w:rPr>
                  <w:rFonts w:ascii="Cambria Math" w:hAnsi="Cambria Math"/>
                </w:rPr>
                <m:t xml:space="preserve">n</m:t>
              </m:r>
            </m:sub>
          </m:sSub>
          <m:r>
            <w:rPr>
              <w:rFonts w:ascii="Cambria Math" w:hAnsi="Cambria Math"/>
            </w:rPr>
            <m:t xml:space="preserve">=</m:t>
          </m:r>
          <m:f>
            <m:num>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f>
                    <m:num>
                      <m:r>
                        <w:rPr>
                          <w:rFonts w:ascii="Cambria Math" w:hAnsi="Cambria Math"/>
                        </w:rPr>
                        <m:t xml:space="preserve">1</m:t>
                      </m:r>
                    </m:num>
                    <m:den>
                      <m:sSup>
                        <m:e>
                          <m:d>
                            <m:dPr>
                              <m:begChr m:val="|"/>
                              <m:endChr m:val="|"/>
                            </m:dPr>
                            <m:e>
                              <m:sSubSup>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up>
                                  <m:r>
                                    <m:rPr>
                                      <m:lit/>
                                      <m:nor/>
                                    </m:rPr>
                                    <w:rPr>
                                      <w:rFonts w:ascii="Cambria Math" w:hAnsi="Cambria Math"/>
                                    </w:rPr>
                                    <m:t xml:space="preserve">thres</m:t>
                                  </m:r>
                                </m:sup>
                              </m:sSubSup>
                            </m:e>
                          </m:d>
                        </m:e>
                        <m:sup>
                          <m:r>
                            <w:rPr>
                              <w:rFonts w:ascii="Cambria Math" w:hAnsi="Cambria Math"/>
                            </w:rPr>
                            <m:t xml:space="preserve">2</m:t>
                          </m:r>
                        </m:sup>
                      </m:sSup>
                    </m:den>
                  </m:f>
                </m:e>
              </m:nary>
            </m:num>
            <m:den>
              <m:r>
                <w:rPr>
                  <w:rFonts w:ascii="Cambria Math" w:hAnsi="Cambria Math"/>
                </w:rPr>
                <m:t xml:space="preserve">M</m:t>
              </m:r>
            </m:den>
          </m:f>
        </m:oMath>
      </m:oMathPara>
    </w:p>
    <w:p>
      <w:pPr>
        <w:pStyle w:val="Normal"/>
        <w:rPr/>
      </w:pPr>
      <w:r>
        <w:rPr/>
        <w:t xml:space="preserve">where </w:t>
      </w:r>
      <w:r>
        <w:rPr/>
      </w:r>
      <m:oMath xmlns:m="http://schemas.openxmlformats.org/officeDocument/2006/math">
        <m:sSubSup>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up>
            <m:r>
              <m:rPr>
                <m:lit/>
                <m:nor/>
              </m:rPr>
              <w:rPr>
                <w:rFonts w:ascii="Cambria Math" w:hAnsi="Cambria Math"/>
              </w:rPr>
              <m:t xml:space="preserve">thres</m:t>
            </m:r>
          </m:sup>
        </m:sSubSup>
      </m:oMath>
      <w:r>
        <w:rPr/>
        <w:t xml:space="preserve"> is the m:th value of the transfer function for fixed measurement antenna n, which gives the BER threshold. </w:t>
      </w:r>
      <w:r>
        <w:rPr/>
      </w:r>
      <m:oMath xmlns:m="http://schemas.openxmlformats.org/officeDocument/2006/math">
        <m:r>
          <w:rPr>
            <w:rFonts w:ascii="Cambria Math" w:hAnsi="Cambria Math"/>
          </w:rPr>
          <m:t xml:space="preserve">M</m:t>
        </m:r>
      </m:oMath>
      <w:r>
        <w:rPr/>
        <w:t xml:space="preserve"> is the total number of values of the BER threshold power measured for each fixed measurement antenna.</w:t>
      </w:r>
    </w:p>
    <w:p>
      <w:pPr>
        <w:pStyle w:val="Normal"/>
        <w:rPr/>
      </w:pPr>
      <w:r>
        <w:rPr/>
        <w:t>[Applicability is TBD]</w:t>
      </w:r>
    </w:p>
    <w:p>
      <w:pPr>
        <w:pStyle w:val="Heading4"/>
        <w:ind w:left="1418" w:hanging="1418"/>
        <w:rPr/>
      </w:pPr>
      <w:bookmarkStart w:id="366" w:name="__RefHeading___Toc68601298"/>
      <w:bookmarkEnd w:id="366"/>
      <w:r>
        <w:rPr/>
        <w:t>7.3.3.2</w:t>
      </w:r>
      <w:r>
        <w:rPr>
          <w:rFonts w:cs="Calibri" w:ascii="Calibri" w:hAnsi="Calibri"/>
          <w:sz w:val="22"/>
          <w:szCs w:val="22"/>
        </w:rPr>
        <w:tab/>
      </w:r>
      <w:r>
        <w:rPr/>
        <w:t>Minimum Requirements</w:t>
      </w:r>
    </w:p>
    <w:p>
      <w:pPr>
        <w:pStyle w:val="Normal"/>
        <w:jc w:val="both"/>
        <w:rPr/>
      </w:pPr>
      <w:r>
        <w:rPr/>
        <w:t>The average measured total radiated sensitivity (TRS) of low, mid and high channel for handheld UE shall be lower than the average TRS requirement specified in Table 7.3.3.2-1 for notebook devices and in Table 7.3.3.2-2 for tablet devices. The averaging shall be done in linear scale for the TRS results of both right and left side of the phantom head. Average TRS requirement is shown in the column “Average” on the requirement tables.</w:t>
      </w:r>
    </w:p>
    <w:p>
      <w:pPr>
        <w:pStyle w:val="EQ"/>
        <w:rPr>
          <w:lang w:val="en-GB" w:eastAsia="en-GB"/>
        </w:rPr>
      </w:pPr>
      <w:r>
        <w:rPr>
          <w:lang w:val="en-GB" w:eastAsia="en-GB"/>
        </w:rPr>
      </w:r>
      <m:oMathPara xmlns:m="http://schemas.openxmlformats.org/officeDocument/2006/math">
        <m:oMathParaPr>
          <m:jc m:val="left"/>
        </m:oMathParaPr>
        <m:o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6</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e>
              </m:d>
            </m:e>
          </m:d>
        </m:oMath>
      </m:oMathPara>
    </w:p>
    <w:p>
      <w:pPr>
        <w:pStyle w:val="Normal"/>
        <w:rPr/>
      </w:pPr>
      <w:r>
        <w:rPr/>
        <w:t>In addition the highest TRS of each measured channel shall be lower than maximum TRS requirement specified in Table 7.3.3.2-1 for notebook devices and in Table 7.3.3.2-2 for tablet devices. Maximum TRS requirement is shown in the column “Max” on the requirement tables.</w:t>
      </w:r>
    </w:p>
    <w:p>
      <w:pPr>
        <w:pStyle w:val="EQ"/>
        <w:rPr>
          <w:lang w:val="en-GB" w:eastAsia="en-GB"/>
        </w:rPr>
      </w:pPr>
      <w:r>
        <w:rPr>
          <w:lang w:val="en-GB" w:eastAsia="en-GB"/>
        </w:rPr>
        <w:drawing>
          <wp:inline distT="0" distB="0" distL="0" distR="0">
            <wp:extent cx="5283200" cy="241300"/>
            <wp:effectExtent l="0" t="0" r="0" b="0"/>
            <wp:docPr id="50"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3" descr=""/>
                    <pic:cNvPicPr>
                      <a:picLocks noChangeAspect="1" noChangeArrowheads="1"/>
                    </pic:cNvPicPr>
                  </pic:nvPicPr>
                  <pic:blipFill>
                    <a:blip r:embed="rId42"/>
                    <a:srcRect l="-7" t="-149" r="-7" b="-149"/>
                    <a:stretch>
                      <a:fillRect/>
                    </a:stretch>
                  </pic:blipFill>
                  <pic:spPr bwMode="auto">
                    <a:xfrm>
                      <a:off x="0" y="0"/>
                      <a:ext cx="5283200" cy="241300"/>
                    </a:xfrm>
                    <a:prstGeom prst="rect">
                      <a:avLst/>
                    </a:prstGeom>
                  </pic:spPr>
                </pic:pic>
              </a:graphicData>
            </a:graphic>
          </wp:inline>
        </w:drawing>
      </w:r>
    </w:p>
    <w:p>
      <w:pPr>
        <w:pStyle w:val="TH"/>
        <w:rPr/>
      </w:pPr>
      <w:r>
        <w:rPr/>
        <w:t>Table 7.3.3.2-1: TRS minimum performance requirement for E-UTRA FDD roaming mode for notebook devices in the data transfers position and</w:t>
      </w:r>
      <w:r>
        <w:rPr>
          <w:lang w:eastAsia="ja-JP"/>
        </w:rPr>
        <w:t xml:space="preserve"> the primary mechanical mode</w:t>
      </w:r>
    </w:p>
    <w:p>
      <w:pPr>
        <w:pStyle w:val="TH"/>
        <w:rPr/>
      </w:pPr>
      <w:r>
        <w:rPr/>
        <w:t>TBD</w:t>
      </w:r>
    </w:p>
    <w:p>
      <w:pPr>
        <w:pStyle w:val="Normal"/>
        <w:rPr/>
      </w:pPr>
      <w:r>
        <w:rPr/>
        <w:t xml:space="preserve">LEE TRS minimum performance requirements for E-UTRA FDD in data transfer position mode for throughput ≥ 95% of the maximum throughput of the reference measurement channels as specified in section 7.3 of [11] and Annex A of [11] </w:t>
      </w:r>
      <w:r>
        <w:rPr>
          <w:lang w:eastAsia="zh-CN"/>
        </w:rPr>
        <w:t>are defined in Table 7.3.3.2-2 for Tablet devices.</w:t>
      </w:r>
    </w:p>
    <w:p>
      <w:pPr>
        <w:pStyle w:val="TH"/>
        <w:rPr>
          <w:lang w:eastAsia="ja-JP"/>
        </w:rPr>
      </w:pPr>
      <w:r>
        <w:rPr>
          <w:lang w:eastAsia="ja-JP"/>
        </w:rPr>
        <w:t>Table 7.3.3.2-2: TRS minimum performance requirement for E-UTRA FDD roaming mode for tablet devices in the data transfers position and the primary mechanical mode</w:t>
      </w:r>
    </w:p>
    <w:tbl>
      <w:tblPr>
        <w:tblW w:w="6051" w:type="dxa"/>
        <w:jc w:val="center"/>
        <w:tblInd w:w="0" w:type="dxa"/>
        <w:tblLayout w:type="fixed"/>
        <w:tblCellMar>
          <w:top w:w="0" w:type="dxa"/>
          <w:left w:w="28" w:type="dxa"/>
          <w:bottom w:w="0" w:type="dxa"/>
          <w:right w:w="28" w:type="dxa"/>
        </w:tblCellMar>
      </w:tblPr>
      <w:tblGrid>
        <w:gridCol w:w="1472"/>
        <w:gridCol w:w="1744"/>
        <w:gridCol w:w="1418"/>
        <w:gridCol w:w="1417"/>
      </w:tblGrid>
      <w:tr>
        <w:trPr>
          <w:trHeight w:val="57" w:hRule="atLeast"/>
          <w:cantSplit w:val="true"/>
        </w:trPr>
        <w:tc>
          <w:tcPr>
            <w:tcW w:w="1472" w:type="dxa"/>
            <w:vMerge w:val="restart"/>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Operating band</w:t>
            </w:r>
          </w:p>
        </w:tc>
        <w:tc>
          <w:tcPr>
            <w:tcW w:w="1744" w:type="dxa"/>
            <w:vMerge w:val="restart"/>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Channel bandwidth</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Sensitivity (dBm)</w:t>
            </w:r>
          </w:p>
        </w:tc>
      </w:tr>
      <w:tr>
        <w:trPr>
          <w:trHeight w:val="57" w:hRule="atLeast"/>
          <w:cantSplit w:val="true"/>
        </w:trPr>
        <w:tc>
          <w:tcPr>
            <w:tcW w:w="147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cs="Arial"/>
              </w:rPr>
            </w:pPr>
            <w:r>
              <w:rPr>
                <w:rFonts w:cs="Arial"/>
              </w:rPr>
            </w:r>
          </w:p>
        </w:tc>
        <w:tc>
          <w:tcPr>
            <w:tcW w:w="1744"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cs="Arial"/>
              </w:rPr>
            </w:pPr>
            <w:r>
              <w:rPr>
                <w:rFonts w:cs="Arial"/>
              </w:rPr>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Average</w:t>
            </w:r>
          </w:p>
        </w:tc>
        <w:tc>
          <w:tcPr>
            <w:tcW w:w="1417"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Max</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10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-93.75</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-92.25</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2</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10 MHz</w:t>
            </w:r>
          </w:p>
        </w:tc>
        <w:tc>
          <w:tcPr>
            <w:tcW w:w="1418"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417"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3</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10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-95.0</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-93.5</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4</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10 MHz</w:t>
            </w:r>
          </w:p>
        </w:tc>
        <w:tc>
          <w:tcPr>
            <w:tcW w:w="1418"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417"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5</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10 MHz</w:t>
            </w:r>
          </w:p>
        </w:tc>
        <w:tc>
          <w:tcPr>
            <w:tcW w:w="1418"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417"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7</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10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-93.5</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-92.0</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8</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10 MHz</w:t>
            </w:r>
          </w:p>
        </w:tc>
        <w:tc>
          <w:tcPr>
            <w:tcW w:w="1418"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417"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12</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10 MHz</w:t>
            </w:r>
          </w:p>
        </w:tc>
        <w:tc>
          <w:tcPr>
            <w:tcW w:w="1418"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417"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13</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10 MHz</w:t>
            </w:r>
          </w:p>
        </w:tc>
        <w:tc>
          <w:tcPr>
            <w:tcW w:w="1418"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417"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19</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10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-91.5</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-89.5</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20</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10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-92.5</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rFonts w:cs="Arial"/>
                <w:lang w:eastAsia="ja-JP"/>
              </w:rPr>
              <w:t>-90.5</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21</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15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-90.0</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rFonts w:cs="Arial"/>
                <w:lang w:eastAsia="ja-JP"/>
              </w:rPr>
              <w:t>-88.5</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28</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10 MHz</w:t>
            </w:r>
          </w:p>
        </w:tc>
        <w:tc>
          <w:tcPr>
            <w:tcW w:w="1418"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1417"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ja-JP"/>
              </w:rPr>
            </w:pPr>
            <w:r>
              <w:rPr>
                <w:rFonts w:cs="Arial"/>
                <w:lang w:eastAsia="ja-JP"/>
              </w:rPr>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32</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10 MHz</w:t>
            </w:r>
          </w:p>
        </w:tc>
        <w:tc>
          <w:tcPr>
            <w:tcW w:w="1418"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1417"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ja-JP"/>
              </w:rPr>
            </w:pPr>
            <w:r>
              <w:rPr>
                <w:rFonts w:cs="Arial"/>
                <w:lang w:eastAsia="ja-JP"/>
              </w:rPr>
            </w:r>
          </w:p>
        </w:tc>
      </w:tr>
      <w:tr>
        <w:trPr>
          <w:trHeight w:val="57" w:hRule="atLeast"/>
          <w:cantSplit w:val="true"/>
        </w:trPr>
        <w:tc>
          <w:tcPr>
            <w:tcW w:w="6051"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 Applicable for multi-mode GSM/UMTS/LTE.</w:t>
            </w:r>
          </w:p>
          <w:p>
            <w:pPr>
              <w:pStyle w:val="TAN"/>
              <w:rPr/>
            </w:pPr>
            <w:r>
              <w:rPr/>
              <w:t>NOTE 2: Applicability for devices supporting CDMA or aggregated carriers (e.g. multi-carrier HSPA, LTE Carrier Aggregation) is FFS.</w:t>
            </w:r>
          </w:p>
        </w:tc>
      </w:tr>
    </w:tbl>
    <w:p>
      <w:pPr>
        <w:pStyle w:val="Normal"/>
        <w:rPr/>
      </w:pPr>
      <w:r>
        <w:rPr/>
      </w:r>
    </w:p>
    <w:p>
      <w:pPr>
        <w:pStyle w:val="Normal"/>
        <w:rPr/>
      </w:pPr>
      <w:r>
        <w:rPr/>
        <w:t>The normative reference for this clause is TS 37.144 [12] Subclause 7.3.4.</w:t>
      </w:r>
    </w:p>
    <w:p>
      <w:pPr>
        <w:pStyle w:val="Heading4"/>
        <w:ind w:left="1418" w:hanging="1418"/>
        <w:rPr/>
      </w:pPr>
      <w:bookmarkStart w:id="367" w:name="__RefHeading___Toc68601299"/>
      <w:bookmarkEnd w:id="367"/>
      <w:r>
        <w:rPr/>
        <w:t>7.3.3.3</w:t>
      </w:r>
      <w:r>
        <w:rPr>
          <w:rFonts w:cs="Calibri" w:ascii="Calibri" w:hAnsi="Calibri"/>
          <w:sz w:val="22"/>
          <w:szCs w:val="22"/>
        </w:rPr>
        <w:tab/>
      </w:r>
      <w:r>
        <w:rPr/>
        <w:t>Test purpose</w:t>
      </w:r>
    </w:p>
    <w:p>
      <w:pPr>
        <w:pStyle w:val="Normal"/>
        <w:rPr/>
      </w:pPr>
      <w:r>
        <w:rPr/>
        <w:t xml:space="preserve">The purpose of this test is to ensure that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max</m:t>
            </m:r>
          </m:sub>
        </m:sSub>
      </m:oMath>
      <w:r>
        <w:rPr/>
        <w:t xml:space="preserve"> of the UE is above specified limit. The lack of the reception sensitivity decreases the coverage area at the far side from Node B.</w:t>
      </w:r>
    </w:p>
    <w:p>
      <w:pPr>
        <w:pStyle w:val="Heading4"/>
        <w:ind w:left="1418" w:hanging="1418"/>
        <w:rPr/>
      </w:pPr>
      <w:bookmarkStart w:id="368" w:name="__RefHeading___Toc68601300"/>
      <w:bookmarkEnd w:id="368"/>
      <w:r>
        <w:rPr/>
        <w:t>7.3.3.4</w:t>
      </w:r>
      <w:r>
        <w:rPr>
          <w:rFonts w:cs="Calibri" w:ascii="Calibri" w:hAnsi="Calibri"/>
          <w:sz w:val="22"/>
          <w:szCs w:val="22"/>
        </w:rPr>
        <w:tab/>
      </w:r>
      <w:r>
        <w:rPr/>
        <w:t>Method of test</w:t>
      </w:r>
    </w:p>
    <w:p>
      <w:pPr>
        <w:pStyle w:val="Heading4"/>
        <w:ind w:left="1418" w:hanging="1418"/>
        <w:rPr/>
      </w:pPr>
      <w:bookmarkStart w:id="369" w:name="__RefHeading___Toc68601301"/>
      <w:bookmarkEnd w:id="369"/>
      <w:r>
        <w:rPr/>
        <w:t>7.3.3.4.1</w:t>
      </w:r>
      <w:r>
        <w:rPr>
          <w:rFonts w:cs="Calibri" w:ascii="Calibri" w:hAnsi="Calibri"/>
          <w:sz w:val="22"/>
          <w:szCs w:val="22"/>
        </w:rPr>
        <w:tab/>
      </w:r>
      <w:r>
        <w:rPr/>
        <w:t>Initial conditions</w:t>
      </w:r>
    </w:p>
    <w:p>
      <w:pPr>
        <w:pStyle w:val="Normal"/>
        <w:rPr/>
      </w:pPr>
      <w:r>
        <w:rPr/>
        <w:t xml:space="preserve">A radio communications tester or a corresponding device is used as a NB simulator to setup calls to the DUT. The NB simulator is also used to send test signals to the UE and measure the BER levels of the radio link and the information on the dedicated channel needed to extract the DUT receiver performances. </w:t>
      </w:r>
    </w:p>
    <w:p>
      <w:pPr>
        <w:pStyle w:val="Normal"/>
        <w:rPr>
          <w:lang w:eastAsia="ja-JP"/>
        </w:rPr>
      </w:pPr>
      <w:r>
        <w:rPr>
          <w:lang w:eastAsia="ja-JP"/>
        </w:rPr>
        <w:t>Chamber environment constraints and coordinate system shall be the same as described in Subclause A.3.</w:t>
      </w:r>
    </w:p>
    <w:p>
      <w:pPr>
        <w:pStyle w:val="Normal"/>
        <w:rPr/>
      </w:pPr>
      <w:r>
        <w:rPr>
          <w:lang w:eastAsia="ja-JP"/>
        </w:rPr>
        <w:t xml:space="preserve">Phantom Specifications shall be the same as described in </w:t>
      </w:r>
      <w:r>
        <w:rPr/>
        <w:t>Subclause A.2.4. Parameters required for Notebooks are specified in Annex A.2.4.2 and those for Tablets are specified in Annex A.2.4.3.</w:t>
      </w:r>
    </w:p>
    <w:p>
      <w:pPr>
        <w:pStyle w:val="Normal"/>
        <w:rPr/>
      </w:pPr>
      <w:r>
        <w:rPr/>
        <w:t>Test environment: normal; see TS36.508 [10] Subclause 4.1.1.</w:t>
      </w:r>
    </w:p>
    <w:p>
      <w:pPr>
        <w:pStyle w:val="Normal"/>
        <w:rPr/>
      </w:pPr>
      <w:r>
        <w:rPr/>
        <w:t>Frequencies to be tested: low range, mid range, high range; see Table 5.3-2.</w:t>
      </w:r>
      <w:r>
        <w:rPr>
          <w:lang w:eastAsia="ja-JP"/>
        </w:rPr>
        <w:t xml:space="preserve"> </w:t>
      </w:r>
    </w:p>
    <w:p>
      <w:pPr>
        <w:pStyle w:val="Normal"/>
        <w:rPr/>
      </w:pPr>
      <w:r>
        <w:rPr>
          <w:lang w:eastAsia="ja-JP"/>
        </w:rPr>
        <w:t>Positioning Requirements shall be the same as described in Subclause 4.3.</w:t>
      </w:r>
    </w:p>
    <w:p>
      <w:pPr>
        <w:pStyle w:val="B1"/>
        <w:rPr/>
      </w:pPr>
      <w:r>
        <w:rPr/>
        <w:t>1)</w:t>
        <w:tab/>
        <w:t>Position the UE according to the DUT positioning for devices with embedded modules specified in Subclause 4.3.5.</w:t>
      </w:r>
    </w:p>
    <w:p>
      <w:pPr>
        <w:pStyle w:val="B1"/>
        <w:rPr/>
      </w:pPr>
      <w:r>
        <w:rPr/>
        <w:t>2)</w:t>
        <w:tab/>
        <w:t>Power on the UE.</w:t>
      </w:r>
    </w:p>
    <w:p>
      <w:pPr>
        <w:pStyle w:val="B1"/>
        <w:rPr/>
      </w:pPr>
      <w:r>
        <w:rPr/>
        <w:t>3)</w:t>
        <w:tab/>
        <w:t>Set the initial conditions as per Subclause 7.3 of 3GPP TS 36.521-1 [11], with the following exception: set the carrier frequency, channel bandwidth, RB length and RB location as per Table 5.3-2 for FDD mode. For DUTs with more than one receiver port, all the tests should be performed using both (all) antenna ports simultaneously.</w:t>
      </w:r>
    </w:p>
    <w:p>
      <w:pPr>
        <w:pStyle w:val="Heading4"/>
        <w:ind w:left="1418" w:hanging="1418"/>
        <w:rPr/>
      </w:pPr>
      <w:bookmarkStart w:id="370" w:name="__RefHeading___Toc68601302"/>
      <w:bookmarkEnd w:id="370"/>
      <w:r>
        <w:rPr/>
        <w:t>7.3.3.4.2</w:t>
      </w:r>
      <w:r>
        <w:rPr>
          <w:rFonts w:cs="Calibri" w:ascii="Calibri" w:hAnsi="Calibri"/>
          <w:sz w:val="22"/>
          <w:szCs w:val="22"/>
        </w:rPr>
        <w:tab/>
      </w:r>
      <w:r>
        <w:rPr/>
        <w:t>Procedure</w:t>
      </w:r>
    </w:p>
    <w:p>
      <w:pPr>
        <w:pStyle w:val="B1"/>
        <w:rPr/>
      </w:pPr>
      <w:r>
        <w:rPr/>
        <w:t>1)</w:t>
        <w:tab/>
        <w:t>Follow Steps 1 through 4 in Subclause 7.3.4.2 of 3GPP TS 36.521-1 [11], with the following exception: measure the receiver sensitivity by adjusting the downlink signal level to 95 % throughput of the maximum throughput of the reference channel (maximum throughput is per Annex A of 3GPP TS 36.521-1 [11]).</w:t>
      </w:r>
    </w:p>
    <w:p>
      <w:pPr>
        <w:pStyle w:val="B1"/>
        <w:rPr/>
      </w:pPr>
      <w:r>
        <w:rPr/>
        <w:t>2)</w:t>
        <w:tab/>
        <w:t>For the anechoic chamber based methodologies, repeat Step 1) with 3-D sampling grid specified in Subclause 4.4. The minimum RF power level resulting in a data throughput greater than or equal to 95 % throughput of the maximum throughput for each test shall be recorded for integration pursuant to Subclause 7.3.3.1 to calculate TRS.</w:t>
      </w:r>
    </w:p>
    <w:p>
      <w:pPr>
        <w:pStyle w:val="B1"/>
        <w:rPr/>
      </w:pPr>
      <w:r>
        <w:rPr/>
        <w:t>3)</w:t>
        <w:tab/>
        <w:t>Repeat the measurement of the DUT for low, mid and high channels.</w:t>
      </w:r>
    </w:p>
    <w:p>
      <w:pPr>
        <w:pStyle w:val="B1"/>
        <w:rPr/>
      </w:pPr>
      <w:r>
        <w:rPr/>
        <w:t>4)</w:t>
        <w:tab/>
        <w:t>Calculate the average and minimum TRS as per Subclause 7.3.3.2.</w:t>
      </w:r>
    </w:p>
    <w:p>
      <w:pPr>
        <w:pStyle w:val="Heading4"/>
        <w:ind w:left="1418" w:hanging="1418"/>
        <w:rPr/>
      </w:pPr>
      <w:bookmarkStart w:id="371" w:name="__RefHeading___Toc68601303"/>
      <w:bookmarkEnd w:id="371"/>
      <w:r>
        <w:rPr/>
        <w:t>7.3.3.4.3</w:t>
      </w:r>
      <w:r>
        <w:rPr>
          <w:rFonts w:cs="Calibri" w:ascii="Calibri" w:hAnsi="Calibri"/>
          <w:sz w:val="22"/>
          <w:szCs w:val="22"/>
        </w:rPr>
        <w:tab/>
      </w:r>
      <w:r>
        <w:rPr/>
        <w:t>Procedure, reverberation chamber method</w:t>
      </w:r>
    </w:p>
    <w:p>
      <w:pPr>
        <w:pStyle w:val="B1"/>
        <w:rPr/>
      </w:pPr>
      <w:r>
        <w:rPr/>
        <w:t>1)</w:t>
        <w:tab/>
        <w:t xml:space="preserve">Follow Steps 1 through 4 in Subclause 7.3.4.2 of 3GPP TS 36.521-1 [11], with the following exception: measure the receiver sensitivity by adjusting the downlink signal level to 95 % throughput of the maximum throughput of the reference channel (maximum throughput is per Annex A of 3GPP TS 36.521-1 [11]). </w:t>
      </w:r>
    </w:p>
    <w:p>
      <w:pPr>
        <w:pStyle w:val="B1"/>
        <w:rPr/>
      </w:pPr>
      <w:r>
        <w:rPr/>
        <w:t>2)</w:t>
        <w:tab/>
        <w:t xml:space="preserve">Repeat Step 1) until a sufficient number of independent samples (see section 4.5) of </w:t>
      </w:r>
      <w:r>
        <w:rPr/>
      </w:r>
      <m:oMath xmlns:m="http://schemas.openxmlformats.org/officeDocument/2006/math">
        <m:sSup>
          <m:e>
            <m:d>
              <m:dPr>
                <m:begChr m:val="|"/>
                <m:endChr m:val="|"/>
              </m:dPr>
              <m:e>
                <m:sSubSup>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up>
                    <m:r>
                      <m:rPr>
                        <m:lit/>
                        <m:nor/>
                      </m:rPr>
                      <w:rPr>
                        <w:rFonts w:ascii="Cambria Math" w:hAnsi="Cambria Math"/>
                      </w:rPr>
                      <m:t xml:space="preserve">thres</m:t>
                    </m:r>
                  </m:sup>
                </m:sSubSup>
              </m:e>
            </m:d>
          </m:e>
          <m:sup>
            <m:r>
              <w:rPr>
                <w:rFonts w:ascii="Cambria Math" w:hAnsi="Cambria Math"/>
              </w:rPr>
              <m:t xml:space="preserve">2</m:t>
            </m:r>
          </m:sup>
        </m:sSup>
      </m:oMath>
      <w:r>
        <w:rPr/>
        <w:t xml:space="preserve"> has been measured. The minimum RF power level resulting in a data throughput greater than or equal to 95 % throughput of the maximum throughput for each sample shall be recorded for calculating the TRS according to Subclause 7.3.3.1.</w:t>
      </w:r>
    </w:p>
    <w:p>
      <w:pPr>
        <w:pStyle w:val="B1"/>
        <w:rPr/>
      </w:pPr>
      <w:r>
        <w:rPr/>
        <w:t>3)</w:t>
        <w:tab/>
        <w:t>Repeat the measurement of the DUT for low, mid and high channels.</w:t>
      </w:r>
    </w:p>
    <w:p>
      <w:pPr>
        <w:pStyle w:val="Normal"/>
        <w:ind w:firstLine="284"/>
        <w:rPr/>
      </w:pPr>
      <w:r>
        <w:rPr/>
        <w:t>4)</w:t>
        <w:tab/>
        <w:t>Calculate the average and minimum TRS as per Subclause 7.3.3.2.</w:t>
      </w:r>
    </w:p>
    <w:p>
      <w:pPr>
        <w:pStyle w:val="Heading4"/>
        <w:ind w:left="1418" w:hanging="1418"/>
        <w:rPr/>
      </w:pPr>
      <w:bookmarkStart w:id="372" w:name="__RefHeading___Toc68601304"/>
      <w:bookmarkEnd w:id="372"/>
      <w:r>
        <w:rPr/>
        <w:t>7.3.3.5</w:t>
      </w:r>
      <w:r>
        <w:rPr>
          <w:rFonts w:cs="Calibri" w:ascii="Calibri" w:hAnsi="Calibri"/>
          <w:sz w:val="22"/>
          <w:szCs w:val="22"/>
        </w:rPr>
        <w:tab/>
      </w:r>
      <w:r>
        <w:rPr/>
        <w:t>Test requirements</w:t>
      </w:r>
    </w:p>
    <w:p>
      <w:pPr>
        <w:pStyle w:val="Normal"/>
        <w:jc w:val="both"/>
        <w:rPr/>
      </w:pPr>
      <w:r>
        <w:rPr/>
        <w:t>The average measured total radiated sensitivity (TRS) of low, mid and high channel for handheld UE shall be lower than the average TRS requirement specified in Table 7.3.3.5-1 for notebook devices and in Table 7.3.3.5-2 for tablet devices. The averaging shall be done in linear scale for the TRS results of both right and left side of the phantom head. Average TRS requirement is shown in the column “Average” on the requirement tables.</w:t>
      </w:r>
    </w:p>
    <w:p>
      <w:pPr>
        <w:pStyle w:val="EQ"/>
        <w:rPr>
          <w:lang w:val="en-GB" w:eastAsia="en-GB"/>
        </w:rPr>
      </w:pPr>
      <w:r>
        <w:rPr>
          <w:lang w:val="en-GB" w:eastAsia="en-GB"/>
        </w:rPr>
      </w:r>
      <m:oMathPara xmlns:m="http://schemas.openxmlformats.org/officeDocument/2006/math">
        <m:oMathParaPr>
          <m:jc m:val="left"/>
        </m:oMathParaPr>
        <m:o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6</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e>
              </m:d>
            </m:e>
          </m:d>
        </m:oMath>
      </m:oMathPara>
    </w:p>
    <w:p>
      <w:pPr>
        <w:pStyle w:val="Normal"/>
        <w:rPr/>
      </w:pPr>
      <w:r>
        <w:rPr/>
        <w:t>In addition the highest TRS of each measured channel shall be lower than maximum TRS requirement specified in Table 7.3.3.5-1 for notebook devices and in Table 7.3.3.5-2 for tablet devices. Maximum TRS requirement is shown in the column “Max” on the requirement tables.</w:t>
      </w:r>
    </w:p>
    <w:p>
      <w:pPr>
        <w:pStyle w:val="EQ"/>
        <w:rPr>
          <w:lang w:val="en-GB" w:eastAsia="en-GB"/>
        </w:rPr>
      </w:pPr>
      <w:r>
        <w:rPr>
          <w:lang w:val="en-GB" w:eastAsia="en-GB"/>
        </w:rPr>
        <w:drawing>
          <wp:inline distT="0" distB="0" distL="0" distR="0">
            <wp:extent cx="5283200" cy="241300"/>
            <wp:effectExtent l="0" t="0" r="0" b="0"/>
            <wp:docPr id="51"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4" descr=""/>
                    <pic:cNvPicPr>
                      <a:picLocks noChangeAspect="1" noChangeArrowheads="1"/>
                    </pic:cNvPicPr>
                  </pic:nvPicPr>
                  <pic:blipFill>
                    <a:blip r:embed="rId43"/>
                    <a:srcRect l="-7" t="-149" r="-7" b="-149"/>
                    <a:stretch>
                      <a:fillRect/>
                    </a:stretch>
                  </pic:blipFill>
                  <pic:spPr bwMode="auto">
                    <a:xfrm>
                      <a:off x="0" y="0"/>
                      <a:ext cx="5283200" cy="241300"/>
                    </a:xfrm>
                    <a:prstGeom prst="rect">
                      <a:avLst/>
                    </a:prstGeom>
                  </pic:spPr>
                </pic:pic>
              </a:graphicData>
            </a:graphic>
          </wp:inline>
        </w:drawing>
      </w:r>
    </w:p>
    <w:p>
      <w:pPr>
        <w:pStyle w:val="TH"/>
        <w:rPr/>
      </w:pPr>
      <w:r>
        <w:rPr/>
        <w:t>Table 7.3.3.5-1: TRS minimum requirement for E-UTRA FDD roaming mode for notebook devices in the data transfers position and</w:t>
      </w:r>
      <w:r>
        <w:rPr>
          <w:lang w:eastAsia="ja-JP"/>
        </w:rPr>
        <w:t xml:space="preserve"> the primary mechanical mode</w:t>
      </w:r>
    </w:p>
    <w:p>
      <w:pPr>
        <w:pStyle w:val="TH"/>
        <w:rPr/>
      </w:pPr>
      <w:r>
        <w:rPr/>
        <w:t>TBD</w:t>
      </w:r>
    </w:p>
    <w:p>
      <w:pPr>
        <w:pStyle w:val="TH"/>
        <w:rPr/>
      </w:pPr>
      <w:r>
        <w:rPr>
          <w:lang w:eastAsia="ja-JP"/>
        </w:rPr>
        <w:t>Table 7.3.3.5-2: TRS minimum requirement for E-UTRA FDD roaming mode for tablet devices in the data transfers position and</w:t>
      </w:r>
      <w:r>
        <w:rPr/>
        <w:t xml:space="preserve"> the primary mechanical mode</w:t>
      </w:r>
    </w:p>
    <w:tbl>
      <w:tblPr>
        <w:tblW w:w="6051" w:type="dxa"/>
        <w:jc w:val="center"/>
        <w:tblInd w:w="0" w:type="dxa"/>
        <w:tblLayout w:type="fixed"/>
        <w:tblCellMar>
          <w:top w:w="0" w:type="dxa"/>
          <w:left w:w="28" w:type="dxa"/>
          <w:bottom w:w="0" w:type="dxa"/>
          <w:right w:w="28" w:type="dxa"/>
        </w:tblCellMar>
      </w:tblPr>
      <w:tblGrid>
        <w:gridCol w:w="1472"/>
        <w:gridCol w:w="1744"/>
        <w:gridCol w:w="1418"/>
        <w:gridCol w:w="1417"/>
      </w:tblGrid>
      <w:tr>
        <w:trPr>
          <w:trHeight w:val="57" w:hRule="atLeast"/>
          <w:cantSplit w:val="true"/>
        </w:trPr>
        <w:tc>
          <w:tcPr>
            <w:tcW w:w="1472" w:type="dxa"/>
            <w:vMerge w:val="restart"/>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Operating band</w:t>
            </w:r>
          </w:p>
        </w:tc>
        <w:tc>
          <w:tcPr>
            <w:tcW w:w="1744" w:type="dxa"/>
            <w:vMerge w:val="restart"/>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Channel bandwidth</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Sensitivity (dBm)</w:t>
            </w:r>
          </w:p>
        </w:tc>
      </w:tr>
      <w:tr>
        <w:trPr>
          <w:trHeight w:val="57" w:hRule="atLeast"/>
          <w:cantSplit w:val="true"/>
        </w:trPr>
        <w:tc>
          <w:tcPr>
            <w:tcW w:w="147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cs="Arial"/>
              </w:rPr>
            </w:pPr>
            <w:r>
              <w:rPr>
                <w:rFonts w:cs="Arial"/>
              </w:rPr>
            </w:r>
          </w:p>
        </w:tc>
        <w:tc>
          <w:tcPr>
            <w:tcW w:w="1744"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cs="Arial"/>
              </w:rPr>
            </w:pPr>
            <w:r>
              <w:rPr>
                <w:rFonts w:cs="Arial"/>
              </w:rPr>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Average</w:t>
            </w:r>
          </w:p>
        </w:tc>
        <w:tc>
          <w:tcPr>
            <w:tcW w:w="1417"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Max</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rFonts w:cs="Arial"/>
              </w:rPr>
              <w:t>10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-92.85</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-91.05</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2</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10 MHz</w:t>
            </w:r>
          </w:p>
        </w:tc>
        <w:tc>
          <w:tcPr>
            <w:tcW w:w="1418"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417"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3</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10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-94.1</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-92.3</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4</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10 MHz</w:t>
            </w:r>
          </w:p>
        </w:tc>
        <w:tc>
          <w:tcPr>
            <w:tcW w:w="1418"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417"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5</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10 MHz</w:t>
            </w:r>
          </w:p>
        </w:tc>
        <w:tc>
          <w:tcPr>
            <w:tcW w:w="1418"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417"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7</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10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-92.6</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-90.8</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8</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10 MHz</w:t>
            </w:r>
          </w:p>
        </w:tc>
        <w:tc>
          <w:tcPr>
            <w:tcW w:w="1418"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417"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12</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10 MHz</w:t>
            </w:r>
          </w:p>
        </w:tc>
        <w:tc>
          <w:tcPr>
            <w:tcW w:w="1418"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417"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13</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10 MHz</w:t>
            </w:r>
          </w:p>
        </w:tc>
        <w:tc>
          <w:tcPr>
            <w:tcW w:w="1418"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417"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19</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10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-90.6</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-88.3</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20</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10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-91.6</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rFonts w:cs="Arial"/>
                <w:lang w:eastAsia="ja-JP"/>
              </w:rPr>
              <w:t>-89.3</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21</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15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-89.1</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rFonts w:cs="Arial"/>
                <w:lang w:eastAsia="ja-JP"/>
              </w:rPr>
              <w:t>-87.3</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28</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10 MHz</w:t>
            </w:r>
          </w:p>
        </w:tc>
        <w:tc>
          <w:tcPr>
            <w:tcW w:w="1418"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1417"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ja-JP"/>
              </w:rPr>
            </w:pPr>
            <w:r>
              <w:rPr>
                <w:rFonts w:cs="Arial"/>
                <w:lang w:eastAsia="ja-JP"/>
              </w:rPr>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32</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10 MHz</w:t>
            </w:r>
          </w:p>
        </w:tc>
        <w:tc>
          <w:tcPr>
            <w:tcW w:w="1418" w:type="dxa"/>
            <w:tcBorders>
              <w:top w:val="single" w:sz="4" w:space="0" w:color="000000"/>
              <w:left w:val="single" w:sz="4" w:space="0" w:color="000000"/>
              <w:bottom w:val="single" w:sz="4" w:space="0" w:color="000000"/>
              <w:right w:val="single" w:sz="4" w:space="0" w:color="000000"/>
            </w:tcBorders>
          </w:tcPr>
          <w:p>
            <w:pPr>
              <w:pStyle w:val="TAH"/>
              <w:snapToGrid w:val="false"/>
              <w:rPr>
                <w:rFonts w:cs="Arial"/>
                <w:lang w:eastAsia="en-US"/>
              </w:rPr>
            </w:pPr>
            <w:r>
              <w:rPr>
                <w:rFonts w:cs="Arial"/>
                <w:lang w:eastAsia="en-US"/>
              </w:rPr>
            </w:r>
          </w:p>
        </w:tc>
        <w:tc>
          <w:tcPr>
            <w:tcW w:w="1417"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ja-JP"/>
              </w:rPr>
            </w:pPr>
            <w:r>
              <w:rPr>
                <w:rFonts w:cs="Arial"/>
                <w:lang w:eastAsia="ja-JP"/>
              </w:rPr>
            </w:r>
          </w:p>
        </w:tc>
      </w:tr>
      <w:tr>
        <w:trPr>
          <w:trHeight w:val="57" w:hRule="atLeast"/>
          <w:cantSplit w:val="true"/>
        </w:trPr>
        <w:tc>
          <w:tcPr>
            <w:tcW w:w="6051"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 Applicable for multi-mode GSM/UMTS/LTE.</w:t>
            </w:r>
          </w:p>
          <w:p>
            <w:pPr>
              <w:pStyle w:val="TAN"/>
              <w:rPr/>
            </w:pPr>
            <w:r>
              <w:rPr/>
              <w:t>NOTE 2: Applicability for devices supporting CDMA or aggregated carriers (e.g. multi-carrier HSPA, LTE Carrier Aggregation) is FFS.</w:t>
            </w:r>
          </w:p>
        </w:tc>
      </w:tr>
    </w:tbl>
    <w:p>
      <w:pPr>
        <w:pStyle w:val="Normal"/>
        <w:rPr>
          <w:lang w:eastAsia="zh-CN"/>
        </w:rPr>
      </w:pPr>
      <w:r>
        <w:rPr>
          <w:lang w:eastAsia="zh-CN"/>
        </w:rPr>
      </w:r>
    </w:p>
    <w:p>
      <w:pPr>
        <w:pStyle w:val="Heading3"/>
        <w:rPr/>
      </w:pPr>
      <w:bookmarkStart w:id="373" w:name="__RefHeading___Toc68601305"/>
      <w:bookmarkEnd w:id="373"/>
      <w:r>
        <w:rPr>
          <w:lang w:eastAsia="zh-CN"/>
        </w:rPr>
        <w:t>7</w:t>
      </w:r>
      <w:r>
        <w:rPr/>
        <w:t>.</w:t>
      </w:r>
      <w:r>
        <w:rPr>
          <w:lang w:eastAsia="zh-CN"/>
        </w:rPr>
        <w:t>3</w:t>
      </w:r>
      <w:r>
        <w:rPr/>
        <w:t>.4</w:t>
        <w:tab/>
      </w:r>
      <w:r>
        <w:rPr>
          <w:rFonts w:cs="Arial"/>
          <w:color w:val="000000"/>
          <w:szCs w:val="16"/>
        </w:rPr>
        <w:t>Total Radiated Sensitivity (TRS) for</w:t>
      </w:r>
      <w:r>
        <w:rPr>
          <w:szCs w:val="16"/>
        </w:rPr>
        <w:t xml:space="preserve"> E-UTRA TDD LEE</w:t>
      </w:r>
    </w:p>
    <w:p>
      <w:pPr>
        <w:pStyle w:val="EditorsNote"/>
        <w:rPr/>
      </w:pPr>
      <w:r>
        <w:rPr/>
        <w:t xml:space="preserve"> </w:t>
      </w:r>
      <w:r>
        <w:rPr/>
        <w:t>Editor’s notes: This subclause is incomplete. The following items are missing or incomplete:</w:t>
      </w:r>
    </w:p>
    <w:p>
      <w:pPr>
        <w:pStyle w:val="EditorsNote"/>
        <w:numPr>
          <w:ilvl w:val="0"/>
          <w:numId w:val="15"/>
        </w:numPr>
        <w:rPr/>
      </w:pPr>
      <w:r>
        <w:rPr/>
        <w:t>Table 7.3.4.2-1 and 7.3.4.5-1 as they are not specified in TS 37.144 yet</w:t>
      </w:r>
    </w:p>
    <w:p>
      <w:pPr>
        <w:pStyle w:val="EditorsNote"/>
        <w:numPr>
          <w:ilvl w:val="0"/>
          <w:numId w:val="15"/>
        </w:numPr>
        <w:rPr/>
      </w:pPr>
      <w:r>
        <w:rPr/>
        <w:t>Applicability</w:t>
      </w:r>
    </w:p>
    <w:p>
      <w:pPr>
        <w:pStyle w:val="Heading4"/>
        <w:ind w:left="1418" w:hanging="1418"/>
        <w:rPr/>
      </w:pPr>
      <w:bookmarkStart w:id="374" w:name="__RefHeading___Toc68601306"/>
      <w:bookmarkEnd w:id="374"/>
      <w:r>
        <w:rPr/>
        <w:t>7.3.4.1</w:t>
      </w:r>
      <w:r>
        <w:rPr>
          <w:rFonts w:cs="Calibri" w:ascii="Calibri" w:hAnsi="Calibri"/>
          <w:sz w:val="22"/>
          <w:szCs w:val="22"/>
        </w:rPr>
        <w:tab/>
      </w:r>
      <w:r>
        <w:rPr/>
        <w:t>Definition and applicability</w:t>
      </w:r>
    </w:p>
    <w:p>
      <w:pPr>
        <w:pStyle w:val="Normal"/>
        <w:rPr/>
      </w:pPr>
      <w:r>
        <w:rPr/>
        <w:t>The Total Radiated Sensitivity is defined as: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4</m:t>
              </m:r>
              <m:r>
                <w:rPr>
                  <w:rFonts w:ascii="Cambria Math" w:hAnsi="Cambria Math"/>
                </w:rPr>
                <m:t xml:space="preserve">π</m:t>
              </m:r>
            </m:num>
            <m:den>
              <m:nary>
                <m:naryPr>
                  <m:chr m:val="∮"/>
                  <m:subHide m:val="1"/>
                  <m:supHide m:val="1"/>
                </m:naryPr>
                <m:sub/>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e>
                  </m:d>
                </m:e>
              </m:nary>
              <m:r>
                <w:rPr>
                  <w:rFonts w:ascii="Cambria Math" w:hAnsi="Cambria Math"/>
                </w:rPr>
                <m:t xml:space="preserve">d</m:t>
              </m:r>
              <m:r>
                <w:rPr>
                  <w:rFonts w:ascii="Cambria Math" w:hAnsi="Cambria Math"/>
                </w:rPr>
                <m:t xml:space="preserve">Ω</m:t>
              </m:r>
            </m:den>
          </m:f>
        </m:oMath>
      </m:oMathPara>
    </w:p>
    <w:p>
      <w:pPr>
        <w:pStyle w:val="Normal"/>
        <w:rPr/>
      </w:pPr>
      <w:r>
        <w:rPr/>
        <w:t>Where the effective isotropic sensitivity (</w:t>
      </w:r>
      <w:r>
        <w:rPr>
          <w:i/>
          <w:iCs/>
        </w:rPr>
        <w:t>EIS</w:t>
      </w:r>
      <w:r>
        <w:rPr/>
        <w:t xml:space="preserve">) is defined as the power available at the antenna output such as the sensitivity threshold is achieved for each polarization.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r>
          <w:rPr>
            <w:rFonts w:ascii="Cambria Math" w:hAnsi="Cambria Math"/>
          </w:rPr>
          <m:t xml:space="preserve">f</m:t>
        </m:r>
      </m:oMath>
      <w:r>
        <w:rPr/>
        <w:t xml:space="preserve"> is frequency.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 are the orthogonal polarizations.</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2</m:t>
              </m:r>
              <m:r>
                <m:rPr>
                  <m:lit/>
                  <m:nor/>
                </m:rPr>
                <w:rPr>
                  <w:rFonts w:ascii="Cambria Math" w:hAnsi="Cambria Math"/>
                </w:rPr>
                <m:t xml:space="preserve">NM</m:t>
              </m:r>
            </m:num>
            <m:den>
              <m:r>
                <w:rPr>
                  <w:rFonts w:ascii="Cambria Math" w:hAnsi="Cambria Math"/>
                </w:rPr>
                <m:t xml:space="preserve">π</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den>
                          </m:f>
                        </m:e>
                      </m:d>
                      <m:r>
                        <m:rPr>
                          <m:lit/>
                          <m:nor/>
                        </m:rPr>
                        <w:rPr>
                          <w:rFonts w:ascii="Cambria Math" w:hAnsi="Cambria Math"/>
                        </w:rPr>
                        <m:t xml:space="preserve">sin</m:t>
                      </m:r>
                      <m:d>
                        <m:dPr>
                          <m:begChr m:val="("/>
                          <m:endChr m:val=")"/>
                        </m:dPr>
                        <m:e>
                          <m:sSub>
                            <m:e>
                              <m:r>
                                <w:rPr>
                                  <w:rFonts w:ascii="Cambria Math" w:hAnsi="Cambria Math"/>
                                </w:rPr>
                                <m:t xml:space="preserve">θ</m:t>
                              </m:r>
                            </m:e>
                            <m:sub>
                              <m:r>
                                <w:rPr>
                                  <w:rFonts w:ascii="Cambria Math" w:hAnsi="Cambria Math"/>
                                </w:rPr>
                                <m:t xml:space="preserve">n</m:t>
                              </m:r>
                            </m:sub>
                          </m:sSub>
                        </m:e>
                      </m:d>
                    </m:e>
                  </m:nary>
                </m:e>
              </m:nary>
            </m:den>
          </m:f>
        </m:oMath>
      </m:oMathPara>
    </w:p>
    <w:p>
      <w:pPr>
        <w:pStyle w:val="Normal"/>
        <w:rPr/>
      </w:pPr>
      <w:r>
        <w:rPr/>
        <w:t xml:space="preserve">In these formulas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are the number of sampling intervals for theta and phi.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oMath>
      <w:r>
        <w:rPr/>
        <w:t xml:space="preserve"> are the measurement angles. The sampling intervals are discussed further in Subclause 4.4.</w:t>
      </w:r>
    </w:p>
    <w:p>
      <w:pPr>
        <w:pStyle w:val="Normal"/>
        <w:rPr/>
      </w:pPr>
      <w:r>
        <w:rPr/>
        <w:t>The TRS can also be calculated from measurements in a Rayleigh fading 3 dimensional isotropic environment with in average uniform elevation and azimuth distribution. The calculation of the TRS is in this case based on searching for the lowest power received by the UE/MS for a discrete number of field combinations in the chamber that gives a BER that is better than the specified target BER level. By calibrating the average power transfer function, an absolute value of the TRS can be obtained. The following expression can be used to find the TRS.</w:t>
      </w:r>
    </w:p>
    <w:p>
      <w:pPr>
        <w:pStyle w:val="EQ"/>
        <w:rPr>
          <w:lang w:val="en-GB" w:eastAsia="en-GB"/>
        </w:rPr>
      </w:pPr>
      <w:r>
        <w:rPr>
          <w:lang w:val="en-GB" w:eastAsia="en-GB"/>
        </w:rPr>
      </w:r>
      <m:oMathPara xmlns:m="http://schemas.openxmlformats.org/officeDocument/2006/math">
        <m:oMathParaPr>
          <m:jc m:val="left"/>
        </m:oMathParaPr>
        <m:oMath>
          <m:r>
            <m:rPr>
              <m:lit/>
              <m:nor/>
            </m:rPr>
            <w:rPr>
              <w:rFonts w:ascii="Cambria Math" w:hAnsi="Cambria Math"/>
            </w:rPr>
            <m:t xml:space="preserve">TRS</m:t>
          </m:r>
          <m:r>
            <w:rPr>
              <w:rFonts w:ascii="Cambria Math" w:hAnsi="Cambria Math"/>
            </w:rPr>
            <m:t xml:space="preserve">≈</m:t>
          </m:r>
          <m:r>
            <w:rPr>
              <w:rFonts w:ascii="Cambria Math" w:hAnsi="Cambria Math"/>
            </w:rPr>
            <m:t xml:space="preserve">2</m:t>
          </m:r>
          <m:r>
            <w:rPr>
              <w:rFonts w:ascii="Cambria Math" w:hAnsi="Cambria Math"/>
            </w:rPr>
            <m:t xml:space="preserve">N</m:t>
          </m:r>
          <m:f>
            <m:num>
              <m:sSup>
                <m:e>
                  <m:d>
                    <m:dPr>
                      <m:begChr m:val="("/>
                      <m:endChr m:val=")"/>
                    </m:dPr>
                    <m:e>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w:rPr>
                                      <w:rFonts w:ascii="Cambria Math" w:hAnsi="Cambria Math"/>
                                    </w:rPr>
                                    <m:t xml:space="preserve">C</m:t>
                                  </m:r>
                                </m:e>
                                <m:sub>
                                  <m:r>
                                    <w:rPr>
                                      <w:rFonts w:ascii="Cambria Math" w:hAnsi="Cambria Math"/>
                                    </w:rPr>
                                    <m:t xml:space="preserve">n</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sSub>
                                <m:e>
                                  <m:r>
                                    <w:rPr>
                                      <w:rFonts w:ascii="Cambria Math" w:hAnsi="Cambria Math"/>
                                    </w:rPr>
                                    <m:t xml:space="preserve">P</m:t>
                                  </m:r>
                                </m:e>
                                <m:sub>
                                  <m:r>
                                    <m:rPr>
                                      <m:lit/>
                                      <m:nor/>
                                    </m:rPr>
                                    <w:rPr>
                                      <w:rFonts w:ascii="Cambria Math" w:hAnsi="Cambria Math"/>
                                    </w:rPr>
                                    <m:t xml:space="preserve">thres</m:t>
                                  </m:r>
                                  <m:r>
                                    <w:rPr>
                                      <w:rFonts w:ascii="Cambria Math" w:hAnsi="Cambria Math"/>
                                    </w:rPr>
                                    <m:t xml:space="preserve">,</m:t>
                                  </m:r>
                                  <m:r>
                                    <w:rPr>
                                      <w:rFonts w:ascii="Cambria Math" w:hAnsi="Cambria Math"/>
                                    </w:rPr>
                                    <m:t xml:space="preserve">n</m:t>
                                  </m:r>
                                </m:sub>
                              </m:sSub>
                            </m:e>
                          </m:d>
                        </m:e>
                      </m:nary>
                    </m:e>
                  </m:d>
                </m:e>
                <m:sup>
                  <m:r>
                    <w:rPr>
                      <w:rFonts w:ascii="Cambria Math" w:hAnsi="Cambria Math"/>
                    </w:rPr>
                    <m:t xml:space="preserve">−</m:t>
                  </m:r>
                  <m:r>
                    <w:rPr>
                      <w:rFonts w:ascii="Cambria Math" w:hAnsi="Cambria Math"/>
                    </w:rPr>
                    <m:t xml:space="preserve">1</m:t>
                  </m:r>
                </m:sup>
              </m:sSup>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e>
              </m:nary>
            </m:den>
          </m:f>
        </m:oMath>
      </m:oMathPara>
    </w:p>
    <w:p>
      <w:pPr>
        <w:pStyle w:val="Normal"/>
        <w:rPr/>
      </w:pPr>
      <w:r>
        <w:rPr/>
        <w:t xml:space="preserve">where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oMath>
      <w:r>
        <w:rPr/>
        <w:t xml:space="preserve"> is the reference power transfer function for fixed measurement antenna n, </w:t>
      </w:r>
      <w:r>
        <w:rPr/>
      </w:r>
      <m:oMath xmlns:m="http://schemas.openxmlformats.org/officeDocument/2006/math">
        <m:sSub>
          <m:e>
            <m:r>
              <w:rPr>
                <w:rFonts w:ascii="Cambria Math" w:hAnsi="Cambria Math"/>
              </w:rPr>
              <m:t xml:space="preserve">R</m:t>
            </m:r>
          </m:e>
          <m:sub>
            <m:r>
              <w:rPr>
                <w:rFonts w:ascii="Cambria Math" w:hAnsi="Cambria Math"/>
              </w:rPr>
              <m:t xml:space="preserve">n</m:t>
            </m:r>
          </m:sub>
        </m:sSub>
      </m:oMath>
      <w:r>
        <w:rPr/>
        <w:t xml:space="preserve"> is the reflection coefficient for fixed measurement antenna n and </w:t>
      </w:r>
      <w:r>
        <w:rPr/>
      </w:r>
      <m:oMath xmlns:m="http://schemas.openxmlformats.org/officeDocument/2006/math">
        <m:sSub>
          <m:e>
            <m:r>
              <w:rPr>
                <w:rFonts w:ascii="Cambria Math" w:hAnsi="Cambria Math"/>
              </w:rPr>
              <m:t xml:space="preserve">C</m:t>
            </m:r>
          </m:e>
          <m:sub>
            <m:r>
              <w:rPr>
                <w:rFonts w:ascii="Cambria Math" w:hAnsi="Cambria Math"/>
              </w:rPr>
              <m:t xml:space="preserve">n</m:t>
            </m:r>
          </m:sub>
        </m:sSub>
      </m:oMath>
      <w:r>
        <w:rPr/>
        <w:t xml:space="preserve"> is the path loss in the cables connecting the measurement receiver to fixed measurement antenna n. These parameters are calculated from the calibration measurement and are further discussed in Annex B.2.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thres</m:t>
            </m:r>
            <m:r>
              <w:rPr>
                <w:rFonts w:ascii="Cambria Math" w:hAnsi="Cambria Math"/>
              </w:rPr>
              <m:t xml:space="preserve">,</m:t>
            </m:r>
            <m:r>
              <w:rPr>
                <w:rFonts w:ascii="Cambria Math" w:hAnsi="Cambria Math"/>
              </w:rPr>
              <m:t xml:space="preserve">n</m:t>
            </m:r>
          </m:sub>
        </m:sSub>
      </m:oMath>
      <w:r>
        <w:rPr/>
        <w:t xml:space="preserve"> is calculated by using the following equation:</w:t>
      </w:r>
    </w:p>
    <w:p>
      <w:pPr>
        <w:pStyle w:val="EQ"/>
        <w:rPr>
          <w:lang w:val="en-GB" w:eastAsia="en-GB"/>
        </w:rPr>
      </w:pPr>
      <w:r>
        <w:rPr>
          <w:lang w:val="en-GB" w:eastAsia="en-GB"/>
        </w:rPr>
      </w:r>
      <m:oMathPara xmlns:m="http://schemas.openxmlformats.org/officeDocument/2006/math">
        <m:oMathParaPr>
          <m:jc m:val="left"/>
        </m:oMathParaPr>
        <m:oMath>
          <m:sSub>
            <m:e>
              <m:r>
                <w:rPr>
                  <w:rFonts w:ascii="Cambria Math" w:hAnsi="Cambria Math"/>
                </w:rPr>
                <m:t xml:space="preserve">P</m:t>
              </m:r>
            </m:e>
            <m:sub>
              <m:r>
                <m:rPr>
                  <m:lit/>
                  <m:nor/>
                </m:rPr>
                <w:rPr>
                  <w:rFonts w:ascii="Cambria Math" w:hAnsi="Cambria Math"/>
                </w:rPr>
                <m:t xml:space="preserve">thres</m:t>
              </m:r>
              <m:r>
                <w:rPr>
                  <w:rFonts w:ascii="Cambria Math" w:hAnsi="Cambria Math"/>
                </w:rPr>
                <m:t xml:space="preserve">,</m:t>
              </m:r>
              <m:r>
                <w:rPr>
                  <w:rFonts w:ascii="Cambria Math" w:hAnsi="Cambria Math"/>
                </w:rPr>
                <m:t xml:space="preserve">n</m:t>
              </m:r>
            </m:sub>
          </m:sSub>
          <m:r>
            <w:rPr>
              <w:rFonts w:ascii="Cambria Math" w:hAnsi="Cambria Math"/>
            </w:rPr>
            <m:t xml:space="preserve">=</m:t>
          </m:r>
          <m:f>
            <m:num>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f>
                    <m:num>
                      <m:r>
                        <w:rPr>
                          <w:rFonts w:ascii="Cambria Math" w:hAnsi="Cambria Math"/>
                        </w:rPr>
                        <m:t xml:space="preserve">1</m:t>
                      </m:r>
                    </m:num>
                    <m:den>
                      <m:sSup>
                        <m:e>
                          <m:d>
                            <m:dPr>
                              <m:begChr m:val="|"/>
                              <m:endChr m:val="|"/>
                            </m:dPr>
                            <m:e>
                              <m:sSubSup>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up>
                                  <m:r>
                                    <m:rPr>
                                      <m:lit/>
                                      <m:nor/>
                                    </m:rPr>
                                    <w:rPr>
                                      <w:rFonts w:ascii="Cambria Math" w:hAnsi="Cambria Math"/>
                                    </w:rPr>
                                    <m:t xml:space="preserve">thres</m:t>
                                  </m:r>
                                </m:sup>
                              </m:sSubSup>
                            </m:e>
                          </m:d>
                        </m:e>
                        <m:sup>
                          <m:r>
                            <w:rPr>
                              <w:rFonts w:ascii="Cambria Math" w:hAnsi="Cambria Math"/>
                            </w:rPr>
                            <m:t xml:space="preserve">2</m:t>
                          </m:r>
                        </m:sup>
                      </m:sSup>
                    </m:den>
                  </m:f>
                </m:e>
              </m:nary>
            </m:num>
            <m:den>
              <m:r>
                <w:rPr>
                  <w:rFonts w:ascii="Cambria Math" w:hAnsi="Cambria Math"/>
                </w:rPr>
                <m:t xml:space="preserve">M</m:t>
              </m:r>
            </m:den>
          </m:f>
        </m:oMath>
      </m:oMathPara>
    </w:p>
    <w:p>
      <w:pPr>
        <w:pStyle w:val="Normal"/>
        <w:rPr/>
      </w:pPr>
      <w:r>
        <w:rPr/>
        <w:t xml:space="preserve">where </w:t>
      </w:r>
      <w:r>
        <w:rPr/>
      </w:r>
      <m:oMath xmlns:m="http://schemas.openxmlformats.org/officeDocument/2006/math">
        <m:sSubSup>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up>
            <m:r>
              <m:rPr>
                <m:lit/>
                <m:nor/>
              </m:rPr>
              <w:rPr>
                <w:rFonts w:ascii="Cambria Math" w:hAnsi="Cambria Math"/>
              </w:rPr>
              <m:t xml:space="preserve">thres</m:t>
            </m:r>
          </m:sup>
        </m:sSubSup>
      </m:oMath>
      <w:r>
        <w:rPr/>
        <w:t xml:space="preserve"> is the m:th value of the transfer function for fixed measurement antenna n, which gives the BER threshold. </w:t>
      </w:r>
      <w:r>
        <w:rPr/>
      </w:r>
      <m:oMath xmlns:m="http://schemas.openxmlformats.org/officeDocument/2006/math">
        <m:r>
          <w:rPr>
            <w:rFonts w:ascii="Cambria Math" w:hAnsi="Cambria Math"/>
          </w:rPr>
          <m:t xml:space="preserve">M</m:t>
        </m:r>
      </m:oMath>
      <w:r>
        <w:rPr/>
        <w:t xml:space="preserve"> is the total number of values of the BER threshold power measured for each fixed measurement antenna.</w:t>
      </w:r>
    </w:p>
    <w:p>
      <w:pPr>
        <w:pStyle w:val="Normal"/>
        <w:rPr/>
      </w:pPr>
      <w:r>
        <w:rPr/>
        <w:t>[Applicability is TBD]</w:t>
      </w:r>
    </w:p>
    <w:p>
      <w:pPr>
        <w:pStyle w:val="Heading4"/>
        <w:ind w:left="1418" w:hanging="1418"/>
        <w:rPr/>
      </w:pPr>
      <w:bookmarkStart w:id="375" w:name="__RefHeading___Toc68601307"/>
      <w:bookmarkEnd w:id="375"/>
      <w:r>
        <w:rPr/>
        <w:t>7.3.4.2</w:t>
      </w:r>
      <w:r>
        <w:rPr>
          <w:rFonts w:cs="Calibri" w:ascii="Calibri" w:hAnsi="Calibri"/>
          <w:sz w:val="22"/>
          <w:szCs w:val="22"/>
        </w:rPr>
        <w:tab/>
      </w:r>
      <w:r>
        <w:rPr/>
        <w:t>Minimum Requirements</w:t>
      </w:r>
    </w:p>
    <w:p>
      <w:pPr>
        <w:pStyle w:val="Normal"/>
        <w:jc w:val="both"/>
        <w:rPr/>
      </w:pPr>
      <w:r>
        <w:rPr/>
        <w:t>The average measured total radiated sensitivity (TRS) of low, mid and high channel for handheld UE shall be lower than the average TRS requirement specified in Table 7.3.4.2-1 for notebook devices and in Table 7.3.4.2-2 for tablet devices. The averaging shall be done in linear scale for the TRS results of both right and left side of the phantom head. Average TRS requirement is shown in the column “Average” on the requirement tables.</w:t>
      </w:r>
    </w:p>
    <w:p>
      <w:pPr>
        <w:pStyle w:val="EQ"/>
        <w:rPr>
          <w:lang w:val="en-GB" w:eastAsia="en-GB"/>
        </w:rPr>
      </w:pPr>
      <w:r>
        <w:rPr>
          <w:lang w:val="en-GB" w:eastAsia="en-GB"/>
        </w:rPr>
      </w:r>
      <m:oMathPara xmlns:m="http://schemas.openxmlformats.org/officeDocument/2006/math">
        <m:oMathParaPr>
          <m:jc m:val="left"/>
        </m:oMathParaPr>
        <m:o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6</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e>
              </m:d>
            </m:e>
          </m:d>
        </m:oMath>
      </m:oMathPara>
    </w:p>
    <w:p>
      <w:pPr>
        <w:pStyle w:val="Normal"/>
        <w:rPr/>
      </w:pPr>
      <w:r>
        <w:rPr/>
        <w:t>In addition the highest TRS of each measured channel shall be lower than maximum TRS requirement specified in Table 7.3.4.2-1 for notebook devices and in Table 7.3.4.2-2 for tablet devices. Maximum TRS requirement is shown in the column “Max” on the requirement tables.</w:t>
      </w:r>
    </w:p>
    <w:p>
      <w:pPr>
        <w:pStyle w:val="EQ"/>
        <w:rPr>
          <w:lang w:val="en-GB" w:eastAsia="en-GB"/>
        </w:rPr>
      </w:pPr>
      <w:r>
        <w:rPr>
          <w:lang w:val="en-GB" w:eastAsia="en-GB"/>
        </w:rPr>
        <w:drawing>
          <wp:inline distT="0" distB="0" distL="0" distR="0">
            <wp:extent cx="5283200" cy="241300"/>
            <wp:effectExtent l="0" t="0" r="0" b="0"/>
            <wp:docPr id="52"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5" descr=""/>
                    <pic:cNvPicPr>
                      <a:picLocks noChangeAspect="1" noChangeArrowheads="1"/>
                    </pic:cNvPicPr>
                  </pic:nvPicPr>
                  <pic:blipFill>
                    <a:blip r:embed="rId44"/>
                    <a:srcRect l="-7" t="-149" r="-7" b="-149"/>
                    <a:stretch>
                      <a:fillRect/>
                    </a:stretch>
                  </pic:blipFill>
                  <pic:spPr bwMode="auto">
                    <a:xfrm>
                      <a:off x="0" y="0"/>
                      <a:ext cx="5283200" cy="241300"/>
                    </a:xfrm>
                    <a:prstGeom prst="rect">
                      <a:avLst/>
                    </a:prstGeom>
                  </pic:spPr>
                </pic:pic>
              </a:graphicData>
            </a:graphic>
          </wp:inline>
        </w:drawing>
      </w:r>
    </w:p>
    <w:p>
      <w:pPr>
        <w:pStyle w:val="TH"/>
        <w:rPr/>
      </w:pPr>
      <w:r>
        <w:rPr/>
        <w:t>Table 7.3.4.2-1: TRS minimum performance requirement for E-UTRA TDD roaming mode for notebook devices in the data transfers position and</w:t>
      </w:r>
      <w:r>
        <w:rPr>
          <w:lang w:eastAsia="ja-JP"/>
        </w:rPr>
        <w:t xml:space="preserve"> the primary mechanical mode</w:t>
      </w:r>
    </w:p>
    <w:p>
      <w:pPr>
        <w:pStyle w:val="TH"/>
        <w:rPr>
          <w:rFonts w:cs="Arial"/>
          <w:bCs/>
        </w:rPr>
      </w:pPr>
      <w:r>
        <w:rPr/>
        <w:t>TBD</w:t>
      </w:r>
    </w:p>
    <w:p>
      <w:pPr>
        <w:pStyle w:val="TH"/>
        <w:rPr/>
      </w:pPr>
      <w:r>
        <w:rPr/>
        <w:t>Table 7.3.4.2-2: TRS minimum performance requirement for E-UTRA TDD roaming mode for tablet devices in the data transfers position and</w:t>
      </w:r>
      <w:r>
        <w:rPr>
          <w:lang w:eastAsia="ja-JP"/>
        </w:rPr>
        <w:t xml:space="preserve"> the primary mechanical mode</w:t>
      </w:r>
    </w:p>
    <w:p>
      <w:pPr>
        <w:pStyle w:val="TH"/>
        <w:rPr/>
      </w:pPr>
      <w:r>
        <w:rPr/>
        <w:t>TBD</w:t>
      </w:r>
    </w:p>
    <w:p>
      <w:pPr>
        <w:pStyle w:val="Normal"/>
        <w:rPr/>
      </w:pPr>
      <w:r>
        <w:rPr/>
        <w:t>The normative reference for this clause is TS 37.144 [12] Subclause 7.3.5.</w:t>
      </w:r>
    </w:p>
    <w:p>
      <w:pPr>
        <w:pStyle w:val="Heading4"/>
        <w:ind w:left="1418" w:hanging="1418"/>
        <w:rPr/>
      </w:pPr>
      <w:bookmarkStart w:id="376" w:name="__RefHeading___Toc68601308"/>
      <w:bookmarkEnd w:id="376"/>
      <w:r>
        <w:rPr/>
        <w:t>7.3.4.3</w:t>
      </w:r>
      <w:r>
        <w:rPr>
          <w:rFonts w:cs="Calibri" w:ascii="Calibri" w:hAnsi="Calibri"/>
          <w:sz w:val="22"/>
          <w:szCs w:val="22"/>
        </w:rPr>
        <w:tab/>
      </w:r>
      <w:r>
        <w:rPr/>
        <w:t>Test purpose</w:t>
      </w:r>
    </w:p>
    <w:p>
      <w:pPr>
        <w:pStyle w:val="Normal"/>
        <w:rPr/>
      </w:pPr>
      <w:r>
        <w:rPr/>
        <w:t xml:space="preserve">The purpose of this test is to ensure that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average</m:t>
            </m:r>
          </m:sub>
        </m:sSub>
      </m:oMath>
      <w:r>
        <w:rPr/>
        <w:t xml:space="preserve"> and </w:t>
      </w:r>
      <w:r>
        <w:rPr/>
      </w:r>
      <m:oMath xmlns:m="http://schemas.openxmlformats.org/officeDocument/2006/math">
        <m:sSub>
          <m:e>
            <m:r>
              <m:rPr>
                <m:lit/>
                <m:nor/>
              </m:rPr>
              <w:rPr>
                <w:rFonts w:ascii="Cambria Math" w:hAnsi="Cambria Math"/>
              </w:rPr>
              <m:t xml:space="preserve">TRS</m:t>
            </m:r>
          </m:e>
          <m:sub>
            <m:r>
              <m:rPr>
                <m:lit/>
                <m:nor/>
              </m:rPr>
              <w:rPr>
                <w:rFonts w:ascii="Cambria Math" w:hAnsi="Cambria Math"/>
              </w:rPr>
              <m:t xml:space="preserve">max</m:t>
            </m:r>
          </m:sub>
        </m:sSub>
      </m:oMath>
      <w:r>
        <w:rPr/>
        <w:t xml:space="preserve"> of the UE is above specified limit. The lack of the reception sensitivity decreases the coverage area at the far side from Node B.</w:t>
      </w:r>
    </w:p>
    <w:p>
      <w:pPr>
        <w:pStyle w:val="Heading4"/>
        <w:ind w:left="1418" w:hanging="1418"/>
        <w:rPr/>
      </w:pPr>
      <w:bookmarkStart w:id="377" w:name="__RefHeading___Toc68601309"/>
      <w:bookmarkEnd w:id="377"/>
      <w:r>
        <w:rPr/>
        <w:t>7.3.5.4</w:t>
      </w:r>
      <w:r>
        <w:rPr>
          <w:rFonts w:cs="Calibri" w:ascii="Calibri" w:hAnsi="Calibri"/>
          <w:sz w:val="22"/>
          <w:szCs w:val="22"/>
        </w:rPr>
        <w:tab/>
      </w:r>
      <w:r>
        <w:rPr/>
        <w:t>Method of test</w:t>
      </w:r>
    </w:p>
    <w:p>
      <w:pPr>
        <w:pStyle w:val="Heading4"/>
        <w:ind w:left="1418" w:hanging="1418"/>
        <w:rPr/>
      </w:pPr>
      <w:bookmarkStart w:id="378" w:name="__RefHeading___Toc68601310"/>
      <w:bookmarkEnd w:id="378"/>
      <w:r>
        <w:rPr/>
        <w:t>7.3.4.4.1</w:t>
      </w:r>
      <w:r>
        <w:rPr>
          <w:rFonts w:cs="Calibri" w:ascii="Calibri" w:hAnsi="Calibri"/>
          <w:sz w:val="22"/>
          <w:szCs w:val="22"/>
        </w:rPr>
        <w:tab/>
      </w:r>
      <w:r>
        <w:rPr/>
        <w:t>Initial conditions</w:t>
      </w:r>
    </w:p>
    <w:p>
      <w:pPr>
        <w:pStyle w:val="Normal"/>
        <w:rPr/>
      </w:pPr>
      <w:r>
        <w:rPr/>
        <w:t xml:space="preserve">A radio communications tester or a corresponding device is used as a NB simulator to setup calls to the DUT. The NB simulator is also used to send test signals to the UE and measure the BER levels of the radio link and the information on the dedicated channel needed to extract the DUT receiver performances. </w:t>
      </w:r>
    </w:p>
    <w:p>
      <w:pPr>
        <w:pStyle w:val="Normal"/>
        <w:rPr/>
      </w:pPr>
      <w:r>
        <w:rPr>
          <w:lang w:eastAsia="ja-JP"/>
        </w:rPr>
        <w:t>Chamber environment constraints and coordinate system shall be the same as described in Subclause A.3.</w:t>
      </w:r>
    </w:p>
    <w:p>
      <w:pPr>
        <w:pStyle w:val="Normal"/>
        <w:rPr/>
      </w:pPr>
      <w:r>
        <w:rPr>
          <w:lang w:eastAsia="ja-JP"/>
        </w:rPr>
        <w:t xml:space="preserve">Phantom Specifications shall be the same as described in </w:t>
      </w:r>
      <w:r>
        <w:rPr/>
        <w:t>Subclause A.2.4. Parameters required for Notebooks are specified in Annex A.2.4.2 and those for Tablets are specified in Annex A.2.4.3.</w:t>
      </w:r>
    </w:p>
    <w:p>
      <w:pPr>
        <w:pStyle w:val="Normal"/>
        <w:rPr/>
      </w:pPr>
      <w:r>
        <w:rPr/>
        <w:t>Test environment: normal; see TS36.508 [10] Subclause 4.1.1.</w:t>
      </w:r>
    </w:p>
    <w:p>
      <w:pPr>
        <w:pStyle w:val="Normal"/>
        <w:rPr/>
      </w:pPr>
      <w:r>
        <w:rPr/>
        <w:t>Frequencies to be tested: low range, mid range, high range; see Table 5.4-2.</w:t>
      </w:r>
      <w:r>
        <w:rPr>
          <w:lang w:eastAsia="ja-JP"/>
        </w:rPr>
        <w:t xml:space="preserve"> </w:t>
      </w:r>
    </w:p>
    <w:p>
      <w:pPr>
        <w:pStyle w:val="Normal"/>
        <w:rPr>
          <w:lang w:eastAsia="ja-JP"/>
        </w:rPr>
      </w:pPr>
      <w:r>
        <w:rPr>
          <w:lang w:eastAsia="ja-JP"/>
        </w:rPr>
        <w:t>Positioning Requirements shall be the same as described in Subclause 4.3.</w:t>
      </w:r>
    </w:p>
    <w:p>
      <w:pPr>
        <w:pStyle w:val="B1"/>
        <w:rPr/>
      </w:pPr>
      <w:r>
        <w:rPr/>
        <w:t>1)</w:t>
        <w:tab/>
        <w:t>Position the UE according to the DUT positioning for devices with embedded modules specified in Subclause 4.3.5.</w:t>
      </w:r>
    </w:p>
    <w:p>
      <w:pPr>
        <w:pStyle w:val="B1"/>
        <w:rPr/>
      </w:pPr>
      <w:r>
        <w:rPr/>
        <w:t>2)</w:t>
        <w:tab/>
        <w:t>Power on the UE.</w:t>
      </w:r>
    </w:p>
    <w:p>
      <w:pPr>
        <w:pStyle w:val="B1"/>
        <w:rPr/>
      </w:pPr>
      <w:r>
        <w:rPr/>
        <w:t>3)</w:t>
        <w:tab/>
        <w:t>Set the initial conditions as per Subclause 7.3 of 3GPP TS 36.521-1 [11], with the following exception: set the carrier frequency, channel bandwidth, RB length and RB location as per Table 5.5-2 for TDD mode. For DUTs with more than one receiver port, all the tests should be performed using both (all) antenna ports simultaneously.</w:t>
      </w:r>
    </w:p>
    <w:p>
      <w:pPr>
        <w:pStyle w:val="Heading4"/>
        <w:ind w:left="1418" w:hanging="1418"/>
        <w:rPr/>
      </w:pPr>
      <w:bookmarkStart w:id="379" w:name="__RefHeading___Toc68601311"/>
      <w:bookmarkEnd w:id="379"/>
      <w:r>
        <w:rPr/>
        <w:t>7.3.4.4.2</w:t>
      </w:r>
      <w:r>
        <w:rPr>
          <w:rFonts w:cs="Calibri" w:ascii="Calibri" w:hAnsi="Calibri"/>
          <w:sz w:val="22"/>
          <w:szCs w:val="22"/>
        </w:rPr>
        <w:tab/>
      </w:r>
      <w:r>
        <w:rPr/>
        <w:t>Procedure</w:t>
      </w:r>
    </w:p>
    <w:p>
      <w:pPr>
        <w:pStyle w:val="B1"/>
        <w:rPr/>
      </w:pPr>
      <w:r>
        <w:rPr/>
        <w:t>1)</w:t>
        <w:tab/>
        <w:t xml:space="preserve">Follow Steps 1 through 4 in Subclause 7.3.4.2 of 3GPP TS 36.521-1 [11], with the following exception: measure the receiver sensitivity by adjusting the downlink signal level to 95 % throughput of the maximum throughput of the reference channel (maximum throughput is per Annex A of 3GPP TS 36.521-1 [11]). </w:t>
      </w:r>
    </w:p>
    <w:p>
      <w:pPr>
        <w:pStyle w:val="B1"/>
        <w:rPr/>
      </w:pPr>
      <w:r>
        <w:rPr/>
        <w:t>2)</w:t>
        <w:tab/>
        <w:t>For the anechoic chamber based methodologies, repeat Step 1) with 3-D sampling grid specified in Subclause 4.4. The minimum RF power level resulting in a data throughput greater than or equal to 95 % throughput of the maximum throughput for each test shall be recorded for integration pursuant to Subclause 7.3.4.1 to calculate TRS.</w:t>
      </w:r>
    </w:p>
    <w:p>
      <w:pPr>
        <w:pStyle w:val="B1"/>
        <w:rPr/>
      </w:pPr>
      <w:r>
        <w:rPr/>
        <w:t>3)</w:t>
        <w:tab/>
        <w:t>Repeat the measurement of the DUT for low, mid and high channels.</w:t>
      </w:r>
    </w:p>
    <w:p>
      <w:pPr>
        <w:pStyle w:val="B1"/>
        <w:rPr/>
      </w:pPr>
      <w:r>
        <w:rPr/>
        <w:t>4)</w:t>
        <w:tab/>
        <w:t>Calculate the average and minimum TRS as per Subclause 7.3.4.2.</w:t>
      </w:r>
    </w:p>
    <w:p>
      <w:pPr>
        <w:pStyle w:val="Heading4"/>
        <w:ind w:left="1418" w:hanging="1418"/>
        <w:rPr/>
      </w:pPr>
      <w:bookmarkStart w:id="380" w:name="__RefHeading___Toc68601312"/>
      <w:bookmarkEnd w:id="380"/>
      <w:r>
        <w:rPr/>
        <w:t>7.3.4.4.3</w:t>
      </w:r>
      <w:r>
        <w:rPr>
          <w:rFonts w:cs="Calibri" w:ascii="Calibri" w:hAnsi="Calibri"/>
          <w:sz w:val="22"/>
          <w:szCs w:val="22"/>
        </w:rPr>
        <w:tab/>
      </w:r>
      <w:r>
        <w:rPr/>
        <w:t>Procedure, reverberation chamber method</w:t>
      </w:r>
    </w:p>
    <w:p>
      <w:pPr>
        <w:pStyle w:val="B1"/>
        <w:rPr/>
      </w:pPr>
      <w:r>
        <w:rPr/>
        <w:t>1)</w:t>
        <w:tab/>
        <w:t>Follow Steps 1 through 4 in Subclause 7.3.4.2 of 3GPP TS 36.521-1 [11], with the following exception: measure the receiver sensitivity by adjusting the downlink signal level to 95 % throughput of the maximum throughput of the reference channel (maximum throughput is per Annex A of 3GPP TS 36.521-1 [11]).</w:t>
      </w:r>
    </w:p>
    <w:p>
      <w:pPr>
        <w:pStyle w:val="B1"/>
        <w:rPr/>
      </w:pPr>
      <w:r>
        <w:rPr/>
        <w:t>2)</w:t>
        <w:tab/>
        <w:t xml:space="preserve">Repeat Step 1) until a sufficient number of independent samples (see section 4.5) of </w:t>
      </w:r>
      <w:r>
        <w:rPr/>
      </w:r>
      <m:oMath xmlns:m="http://schemas.openxmlformats.org/officeDocument/2006/math">
        <m:sSup>
          <m:e>
            <m:d>
              <m:dPr>
                <m:begChr m:val="|"/>
                <m:endChr m:val="|"/>
              </m:dPr>
              <m:e>
                <m:sSubSup>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up>
                    <m:r>
                      <m:rPr>
                        <m:lit/>
                        <m:nor/>
                      </m:rPr>
                      <w:rPr>
                        <w:rFonts w:ascii="Cambria Math" w:hAnsi="Cambria Math"/>
                      </w:rPr>
                      <m:t xml:space="preserve">thres</m:t>
                    </m:r>
                  </m:sup>
                </m:sSubSup>
              </m:e>
            </m:d>
          </m:e>
          <m:sup>
            <m:r>
              <w:rPr>
                <w:rFonts w:ascii="Cambria Math" w:hAnsi="Cambria Math"/>
              </w:rPr>
              <m:t xml:space="preserve">2</m:t>
            </m:r>
          </m:sup>
        </m:sSup>
      </m:oMath>
      <w:r>
        <w:rPr/>
        <w:t xml:space="preserve"> has been measured. The minimum RF power level resulting in a data throughput greater than or equal to 95 % throughput of the maximum throughput for each sample shall be recorded for calculating the TRS according to Subclause 7.3.4.1.</w:t>
      </w:r>
    </w:p>
    <w:p>
      <w:pPr>
        <w:pStyle w:val="Normal"/>
        <w:ind w:left="568" w:hanging="284"/>
        <w:rPr/>
      </w:pPr>
      <w:r>
        <w:rPr/>
        <w:t>3)</w:t>
        <w:tab/>
        <w:t>Repeat the measurement of the DUT for low, mid and high channels.</w:t>
      </w:r>
    </w:p>
    <w:p>
      <w:pPr>
        <w:pStyle w:val="Normal"/>
        <w:ind w:firstLine="284"/>
        <w:rPr/>
      </w:pPr>
      <w:r>
        <w:rPr/>
        <w:t>4)</w:t>
        <w:tab/>
        <w:t>Calculate the average and minimum TRS as per Subclause 7.3.4.2.</w:t>
      </w:r>
    </w:p>
    <w:p>
      <w:pPr>
        <w:pStyle w:val="Heading4"/>
        <w:ind w:left="1418" w:hanging="1418"/>
        <w:rPr/>
      </w:pPr>
      <w:bookmarkStart w:id="381" w:name="__RefHeading___Toc68601313"/>
      <w:bookmarkEnd w:id="381"/>
      <w:r>
        <w:rPr/>
        <w:t>7.3.4.5</w:t>
      </w:r>
      <w:r>
        <w:rPr>
          <w:rFonts w:cs="Calibri" w:ascii="Calibri" w:hAnsi="Calibri"/>
          <w:sz w:val="22"/>
          <w:szCs w:val="22"/>
        </w:rPr>
        <w:tab/>
      </w:r>
      <w:r>
        <w:rPr/>
        <w:t>Test requirements</w:t>
      </w:r>
    </w:p>
    <w:p>
      <w:pPr>
        <w:pStyle w:val="Normal"/>
        <w:jc w:val="both"/>
        <w:rPr/>
      </w:pPr>
      <w:r>
        <w:rPr/>
        <w:t>The average measured total radiated sensitivity (TRS) of low, mid and high channel for handheld UE shall be lower than the average TRS requirement specified in Table 7.3.4.5-1 for notebook devices and in Table 7.3.4.5-2 for tablet devices. The averaging shall be done in linear scale for the TRS results of both right and left side of the phantom head. Average TRS requirement is shown in the column “Average” on the requirement tables.</w:t>
      </w:r>
    </w:p>
    <w:p>
      <w:pPr>
        <w:pStyle w:val="EQ"/>
        <w:rPr>
          <w:lang w:val="en-GB" w:eastAsia="en-GB"/>
        </w:rPr>
      </w:pPr>
      <w:r>
        <w:rPr>
          <w:lang w:val="en-GB" w:eastAsia="en-GB"/>
        </w:rPr>
      </w:r>
      <m:oMathPara xmlns:m="http://schemas.openxmlformats.org/officeDocument/2006/math">
        <m:oMathParaPr>
          <m:jc m:val="left"/>
        </m:oMathParaPr>
        <m:o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6</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left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low</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mid</m:t>
                                      </m:r>
                                    </m:sub>
                                  </m:sSub>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sSub>
                                    <m:e>
                                      <m:r>
                                        <m:rPr>
                                          <m:lit/>
                                          <m:nor/>
                                        </m:rPr>
                                        <w:rPr>
                                          <w:rFonts w:ascii="Cambria Math" w:hAnsi="Cambria Math"/>
                                        </w:rPr>
                                        <m:t xml:space="preserve">right</m:t>
                                      </m:r>
                                    </m:e>
                                    <m:sub>
                                      <m:r>
                                        <m:rPr>
                                          <m:lit/>
                                          <m:nor/>
                                        </m:rPr>
                                        <w:rPr>
                                          <w:rFonts w:ascii="Cambria Math" w:hAnsi="Cambria Math"/>
                                        </w:rPr>
                                        <m:t xml:space="preserve">high</m:t>
                                      </m:r>
                                    </m:sub>
                                  </m:sSub>
                                </m:sub>
                              </m:sSub>
                            </m:num>
                            <m:den>
                              <m:r>
                                <m:rPr>
                                  <m:lit/>
                                  <m:nor/>
                                </m:rPr>
                                <w:rPr>
                                  <w:rFonts w:ascii="Cambria Math" w:hAnsi="Cambria Math"/>
                                </w:rPr>
                                <m:t xml:space="preserve">10</m:t>
                              </m:r>
                            </m:den>
                          </m:f>
                        </m:sup>
                      </m:sSup>
                    </m:den>
                  </m:f>
                </m:e>
              </m:d>
            </m:e>
          </m:d>
        </m:oMath>
      </m:oMathPara>
    </w:p>
    <w:p>
      <w:pPr>
        <w:pStyle w:val="Normal"/>
        <w:rPr/>
      </w:pPr>
      <w:r>
        <w:rPr/>
        <w:t>In addition the highest TRS of each measured channel shall be lower than maximum TRS requirement specified in Table 7.3.4.5-1 for notebook devices and in Table 7.3.4.5-2 for tablet devices. Maximum TRS requirement is shown in the column “Max” on the requirement tables.</w:t>
      </w:r>
    </w:p>
    <w:p>
      <w:pPr>
        <w:pStyle w:val="EQ"/>
        <w:rPr>
          <w:lang w:val="en-GB" w:eastAsia="en-GB"/>
        </w:rPr>
      </w:pPr>
      <w:r>
        <w:rPr>
          <w:lang w:val="en-GB" w:eastAsia="en-GB"/>
        </w:rPr>
        <w:drawing>
          <wp:inline distT="0" distB="0" distL="0" distR="0">
            <wp:extent cx="5283200" cy="241300"/>
            <wp:effectExtent l="0" t="0" r="0" b="0"/>
            <wp:docPr id="53"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6" descr=""/>
                    <pic:cNvPicPr>
                      <a:picLocks noChangeAspect="1" noChangeArrowheads="1"/>
                    </pic:cNvPicPr>
                  </pic:nvPicPr>
                  <pic:blipFill>
                    <a:blip r:embed="rId45"/>
                    <a:srcRect l="-7" t="-149" r="-7" b="-149"/>
                    <a:stretch>
                      <a:fillRect/>
                    </a:stretch>
                  </pic:blipFill>
                  <pic:spPr bwMode="auto">
                    <a:xfrm>
                      <a:off x="0" y="0"/>
                      <a:ext cx="5283200" cy="241300"/>
                    </a:xfrm>
                    <a:prstGeom prst="rect">
                      <a:avLst/>
                    </a:prstGeom>
                  </pic:spPr>
                </pic:pic>
              </a:graphicData>
            </a:graphic>
          </wp:inline>
        </w:drawing>
      </w:r>
    </w:p>
    <w:p>
      <w:pPr>
        <w:pStyle w:val="TH"/>
        <w:rPr/>
      </w:pPr>
      <w:r>
        <w:rPr/>
        <w:t>Table 7.3.4.5-1: TRS minimum requirement for E-UTRA TDD roaming mode for notebook devices in the data transfers position and</w:t>
      </w:r>
      <w:r>
        <w:rPr>
          <w:lang w:eastAsia="ja-JP"/>
        </w:rPr>
        <w:t xml:space="preserve"> the primary mechanical mode</w:t>
      </w:r>
    </w:p>
    <w:p>
      <w:pPr>
        <w:pStyle w:val="TH"/>
        <w:rPr/>
      </w:pPr>
      <w:r>
        <w:rPr/>
        <w:t>TBD</w:t>
      </w:r>
    </w:p>
    <w:p>
      <w:pPr>
        <w:pStyle w:val="TH"/>
        <w:rPr/>
      </w:pPr>
      <w:r>
        <w:rPr/>
        <w:t>Table 7.3.4.5-2: TRS minimum requirement for E-UTRA TDD roaming mode for tablet devices in the data transfers position and</w:t>
      </w:r>
      <w:r>
        <w:rPr>
          <w:lang w:eastAsia="ja-JP"/>
        </w:rPr>
        <w:t xml:space="preserve"> the primary mechanical mode</w:t>
      </w:r>
    </w:p>
    <w:p>
      <w:pPr>
        <w:pStyle w:val="TH"/>
        <w:rPr/>
      </w:pPr>
      <w:r>
        <w:rPr/>
        <w:t>TBD</w:t>
      </w:r>
    </w:p>
    <w:p>
      <w:pPr>
        <w:pStyle w:val="Heading2"/>
        <w:rPr/>
      </w:pPr>
      <w:bookmarkStart w:id="382" w:name="__RefHeading___Toc68601314"/>
      <w:bookmarkEnd w:id="382"/>
      <w:r>
        <w:rPr/>
        <w:t>7.4</w:t>
        <w:tab/>
        <w:t>Radiated Performance of Multiple-antenna Receivers in the UE</w:t>
      </w:r>
    </w:p>
    <w:p>
      <w:pPr>
        <w:pStyle w:val="Heading3"/>
        <w:rPr/>
      </w:pPr>
      <w:bookmarkStart w:id="383" w:name="__RefHeading___Toc68601315"/>
      <w:bookmarkEnd w:id="383"/>
      <w:r>
        <w:rPr/>
        <w:t>7.4.1</w:t>
        <w:tab/>
      </w:r>
      <w:r>
        <w:rPr>
          <w:szCs w:val="28"/>
        </w:rPr>
        <w:t xml:space="preserve">Total Radiated Multi-antenna Sensitivity (TRMS) for E-UTRA FDD for Handheld UE in </w:t>
      </w:r>
      <w:r>
        <w:rPr/>
        <w:t>Free Space</w:t>
      </w:r>
    </w:p>
    <w:p>
      <w:pPr>
        <w:pStyle w:val="EditorsNote"/>
        <w:rPr>
          <w:lang w:eastAsia="zh-TW"/>
        </w:rPr>
      </w:pPr>
      <w:r>
        <w:rPr>
          <w:lang w:eastAsia="zh-TW"/>
        </w:rPr>
        <w:t>Editor’s notes: This subclause is incomplete. The following items are missing or incomplete:</w:t>
      </w:r>
    </w:p>
    <w:p>
      <w:pPr>
        <w:pStyle w:val="EditorsNote"/>
        <w:rPr/>
      </w:pPr>
      <w:r>
        <w:rPr/>
        <w:t>- Statistical significance</w:t>
      </w:r>
    </w:p>
    <w:p>
      <w:pPr>
        <w:pStyle w:val="Heading4"/>
        <w:ind w:left="1418" w:hanging="1418"/>
        <w:rPr/>
      </w:pPr>
      <w:bookmarkStart w:id="384" w:name="__RefHeading___Toc68601316"/>
      <w:bookmarkEnd w:id="384"/>
      <w:r>
        <w:rPr>
          <w:lang w:eastAsia="zh-TW"/>
        </w:rPr>
        <w:t>7.4.1</w:t>
      </w:r>
      <w:r>
        <w:rPr/>
        <w:t>.1</w:t>
        <w:tab/>
        <w:t>Definition and applicability</w:t>
      </w:r>
    </w:p>
    <w:p>
      <w:pPr>
        <w:pStyle w:val="Normal"/>
        <w:rPr/>
      </w:pPr>
      <w:r>
        <w:rPr/>
        <w:t>Requirements in this section are stated for the free space configuration and are applicable to handheld devices, and are not applicable to wrist-worn devices.</w:t>
      </w:r>
    </w:p>
    <w:p>
      <w:pPr>
        <w:pStyle w:val="Normal"/>
        <w:rPr/>
      </w:pPr>
      <w:r>
        <w:rPr/>
        <w:t>For the MPAC methodology and the harmonized RTS methodology, the average TRMS of free space data mode portrait (FS DMP), free space data mode landscape (FSDML), and free space data mode screen up (FS DMSU), as defined in Annex E of TR 37.977 [29], when measured at the mid channel shall be lower than the average TRMS requirements specified in subclauses 7.4.1.2. The averaging shall be done in linear scale for the TRMS results at these DUT positions. Two average TRMS quantities are calculated from sensitivity measurements at 70% and 95% throughput, respectively. Average TRMS requirement are shown in the column “Average, 70” and “Average, 95” on the requirement tables.</w:t>
      </w:r>
    </w:p>
    <w:p>
      <w:pPr>
        <w:pStyle w:val="EQ"/>
        <w:rPr>
          <w:lang w:val="en-GB" w:eastAsia="en-GB"/>
        </w:rPr>
      </w:pPr>
      <w:r>
        <w:rPr>
          <w:lang w:val="en-GB" w:eastAsia="en-GB"/>
        </w:rPr>
        <w:drawing>
          <wp:inline distT="0" distB="0" distL="0" distR="0">
            <wp:extent cx="4344035" cy="297180"/>
            <wp:effectExtent l="0" t="0" r="0" b="0"/>
            <wp:docPr id="54"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7" descr=""/>
                    <pic:cNvPicPr>
                      <a:picLocks noChangeAspect="1" noChangeArrowheads="1"/>
                    </pic:cNvPicPr>
                  </pic:nvPicPr>
                  <pic:blipFill>
                    <a:blip r:embed="rId46"/>
                    <a:srcRect l="-8" t="-121" r="-8" b="-121"/>
                    <a:stretch>
                      <a:fillRect/>
                    </a:stretch>
                  </pic:blipFill>
                  <pic:spPr bwMode="auto">
                    <a:xfrm>
                      <a:off x="0" y="0"/>
                      <a:ext cx="4344035" cy="297180"/>
                    </a:xfrm>
                    <a:prstGeom prst="rect">
                      <a:avLst/>
                    </a:prstGeom>
                  </pic:spPr>
                </pic:pic>
              </a:graphicData>
            </a:graphic>
          </wp:inline>
        </w:drawing>
      </w:r>
    </w:p>
    <w:p>
      <w:pPr>
        <w:pStyle w:val="EQ"/>
        <w:rPr>
          <w:lang w:val="en-GB" w:eastAsia="en-GB"/>
        </w:rPr>
      </w:pPr>
      <w:r>
        <w:rPr>
          <w:lang w:val="en-GB" w:eastAsia="en-GB"/>
        </w:rPr>
        <w:drawing>
          <wp:inline distT="0" distB="0" distL="0" distR="0">
            <wp:extent cx="4344035" cy="297180"/>
            <wp:effectExtent l="0" t="0" r="0" b="0"/>
            <wp:docPr id="55"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8" descr=""/>
                    <pic:cNvPicPr>
                      <a:picLocks noChangeAspect="1" noChangeArrowheads="1"/>
                    </pic:cNvPicPr>
                  </pic:nvPicPr>
                  <pic:blipFill>
                    <a:blip r:embed="rId47"/>
                    <a:srcRect l="-8" t="-121" r="-8" b="-121"/>
                    <a:stretch>
                      <a:fillRect/>
                    </a:stretch>
                  </pic:blipFill>
                  <pic:spPr bwMode="auto">
                    <a:xfrm>
                      <a:off x="0" y="0"/>
                      <a:ext cx="4344035" cy="297180"/>
                    </a:xfrm>
                    <a:prstGeom prst="rect">
                      <a:avLst/>
                    </a:prstGeom>
                  </pic:spPr>
                </pic:pic>
              </a:graphicData>
            </a:graphic>
          </wp:inline>
        </w:drawing>
      </w:r>
    </w:p>
    <w:p>
      <w:pPr>
        <w:pStyle w:val="Normal"/>
        <w:rPr/>
      </w:pPr>
      <w:r>
        <w:rPr/>
        <w:t>Where</w:t>
      </w:r>
    </w:p>
    <w:p>
      <w:pPr>
        <w:pStyle w:val="EQ"/>
        <w:rPr>
          <w:lang w:val="en-GB" w:eastAsia="en-GB"/>
        </w:rPr>
      </w:pPr>
      <w:r>
        <w:rPr>
          <w:lang w:val="en-GB" w:eastAsia="en-GB"/>
        </w:rPr>
        <w:drawing>
          <wp:inline distT="0" distB="0" distL="0" distR="0">
            <wp:extent cx="4123055" cy="297180"/>
            <wp:effectExtent l="0" t="0" r="0" b="0"/>
            <wp:docPr id="56"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9" descr=""/>
                    <pic:cNvPicPr>
                      <a:picLocks noChangeAspect="1" noChangeArrowheads="1"/>
                    </pic:cNvPicPr>
                  </pic:nvPicPr>
                  <pic:blipFill>
                    <a:blip r:embed="rId48"/>
                    <a:srcRect l="-9" t="-121" r="-9" b="-121"/>
                    <a:stretch>
                      <a:fillRect/>
                    </a:stretch>
                  </pic:blipFill>
                  <pic:spPr bwMode="auto">
                    <a:xfrm>
                      <a:off x="0" y="0"/>
                      <a:ext cx="4123055" cy="297180"/>
                    </a:xfrm>
                    <a:prstGeom prst="rect">
                      <a:avLst/>
                    </a:prstGeom>
                  </pic:spPr>
                </pic:pic>
              </a:graphicData>
            </a:graphic>
          </wp:inline>
        </w:drawing>
      </w:r>
    </w:p>
    <w:p>
      <w:pPr>
        <w:pStyle w:val="Normal"/>
        <w:rPr/>
      </w:pPr>
      <w:r>
        <w:rPr/>
        <w:t xml:space="preserve">Such that </w:t>
      </w:r>
      <w:r>
        <w:rPr>
          <w:i/>
        </w:rPr>
        <w:t>MODE</w:t>
      </w:r>
      <w:r>
        <w:rPr/>
        <w:t xml:space="preserve"> is one of {</w:t>
      </w:r>
      <w:r>
        <w:rPr>
          <w:i/>
        </w:rPr>
        <w:t>FS_DMP, FS_DML, FS_DMSU</w:t>
      </w:r>
      <w:r>
        <w:rPr/>
        <w:t xml:space="preserve">}, </w:t>
      </w:r>
      <w:r>
        <w:rPr>
          <w:i/>
        </w:rPr>
        <w:t>x</w:t>
      </w:r>
      <w:r>
        <w:rPr/>
        <w:t xml:space="preserve"> is one of {</w:t>
      </w:r>
      <w:r>
        <w:rPr>
          <w:i/>
        </w:rPr>
        <w:t>70, 95</w:t>
      </w:r>
      <w:r>
        <w:rPr/>
        <w:t>}, and {</w:t>
      </w:r>
      <w:r>
        <w:rPr>
          <w:i/>
        </w:rPr>
        <w:t>P</w:t>
      </w:r>
      <w:r>
        <w:rPr>
          <w:i/>
          <w:vertAlign w:val="subscript"/>
        </w:rPr>
        <w:t>MODE,x,0</w:t>
      </w:r>
      <w:r>
        <w:rPr>
          <w:i/>
        </w:rPr>
        <w:t>, …, P</w:t>
      </w:r>
      <w:r>
        <w:rPr>
          <w:i/>
          <w:vertAlign w:val="subscript"/>
        </w:rPr>
        <w:t>MODE,x,11</w:t>
      </w:r>
      <w:r>
        <w:rPr/>
        <w:t>} are the measured sensitivity values at each azimuth position.</w:t>
      </w:r>
    </w:p>
    <w:p>
      <w:pPr>
        <w:pStyle w:val="Normal"/>
        <w:rPr/>
      </w:pPr>
      <w:r>
        <w:rPr/>
        <w:t xml:space="preserve">For the MPAC methodology and the harmonized RTS methodology, if 1 azimuth position does not result in a defined measured sensitivity at 70% or 95% throughput, </w:t>
      </w:r>
      <w:r>
        <w:rPr>
          <w:i/>
        </w:rPr>
        <w:t>S</w:t>
      </w:r>
      <w:r>
        <w:rPr>
          <w:i/>
          <w:vertAlign w:val="subscript"/>
        </w:rPr>
        <w:t>MODE,70</w:t>
      </w:r>
      <w:r>
        <w:rPr>
          <w:vertAlign w:val="subscript"/>
        </w:rPr>
        <w:t xml:space="preserve"> </w:t>
      </w:r>
      <w:r>
        <w:rPr/>
        <w:t xml:space="preserve">or </w:t>
      </w:r>
      <w:r>
        <w:rPr>
          <w:i/>
        </w:rPr>
        <w:t>S</w:t>
      </w:r>
      <w:r>
        <w:rPr>
          <w:i/>
          <w:vertAlign w:val="subscript"/>
        </w:rPr>
        <w:t>MODE,95</w:t>
      </w:r>
      <w:r>
        <w:rPr>
          <w:vertAlign w:val="subscript"/>
        </w:rPr>
        <w:t xml:space="preserve"> </w:t>
      </w:r>
      <w:r>
        <w:rPr/>
        <w:t xml:space="preserve">are calculated using the 11 measured sensitivities and the maximum downlink RS-EPRE </w:t>
      </w:r>
      <w:r>
        <w:rPr>
          <w:i/>
        </w:rPr>
        <w:t>P</w:t>
      </w:r>
      <w:r>
        <w:rPr>
          <w:i/>
          <w:vertAlign w:val="subscript"/>
        </w:rPr>
        <w:t>RS-EPRE-MAX</w:t>
      </w:r>
      <w:r>
        <w:rPr/>
        <w:t xml:space="preserve"> (substitution approach) for the one missing result. If 2 azimuth positions do not result in a defined measured sensitivity at 95% throughput, </w:t>
      </w:r>
      <w:r>
        <w:rPr>
          <w:i/>
        </w:rPr>
        <w:t>S</w:t>
      </w:r>
      <w:r>
        <w:rPr>
          <w:i/>
          <w:vertAlign w:val="subscript"/>
        </w:rPr>
        <w:t>MODE,95</w:t>
      </w:r>
      <w:r>
        <w:rPr/>
        <w:t xml:space="preserve"> is calculated using the 10 measured sensitivities and </w:t>
      </w:r>
      <w:r>
        <w:rPr>
          <w:i/>
        </w:rPr>
        <w:t>P</w:t>
      </w:r>
      <w:r>
        <w:rPr>
          <w:i/>
          <w:vertAlign w:val="subscript"/>
        </w:rPr>
        <w:t xml:space="preserve">RS-EPRE-MAX </w:t>
      </w:r>
      <w:r>
        <w:rPr/>
        <w:t xml:space="preserve">for the two missing results. If more azimuth positions result in undefined values for measured sensitivity at the 70% and/or 95% throughput, then the TRMS requirement for the corresponding throughput levels has not been met by such a device. </w:t>
      </w:r>
      <w:r>
        <w:rPr>
          <w:i/>
        </w:rPr>
        <w:t>P</w:t>
      </w:r>
      <w:r>
        <w:rPr>
          <w:i/>
          <w:vertAlign w:val="subscript"/>
        </w:rPr>
        <w:t>RS-EPRE-MAX</w:t>
      </w:r>
      <w:r>
        <w:rPr/>
        <w:t xml:space="preserve"> is defined as -80 dBm/15 kHz and is the maximum downlink RS-EPRE supported by the test system.</w:t>
      </w:r>
    </w:p>
    <w:p>
      <w:pPr>
        <w:pStyle w:val="Normal"/>
        <w:rPr/>
      </w:pPr>
      <w:r>
        <w:rPr/>
        <w:t>The requirements and this test apply to all types of E-UTRA FDD UE for Release 14 and forward.</w:t>
      </w:r>
    </w:p>
    <w:p>
      <w:pPr>
        <w:pStyle w:val="Heading4"/>
        <w:ind w:left="1418" w:hanging="1418"/>
        <w:rPr>
          <w:lang w:eastAsia="zh-TW"/>
        </w:rPr>
      </w:pPr>
      <w:bookmarkStart w:id="385" w:name="__RefHeading___Toc68601317"/>
      <w:bookmarkEnd w:id="385"/>
      <w:r>
        <w:rPr>
          <w:lang w:eastAsia="zh-TW"/>
        </w:rPr>
        <w:t>7.4.1.2</w:t>
        <w:tab/>
        <w:t>Minimum requirements</w:t>
      </w:r>
    </w:p>
    <w:p>
      <w:pPr>
        <w:pStyle w:val="Normal"/>
        <w:rPr/>
      </w:pPr>
      <w:r>
        <w:rPr/>
        <w:t xml:space="preserve">Handheld UE TRMS minimum performance requirements for E-UTRA FDD in free space and the primary mechanical mode for 70% and 95% DL throughput with the reference measurement channel defined in Clause 7 of TR 37.977 [29] are defined in Table </w:t>
      </w:r>
      <w:r>
        <w:rPr>
          <w:lang w:eastAsia="zh-TW"/>
        </w:rPr>
        <w:t>7.4.1.2</w:t>
      </w:r>
      <w:r>
        <w:rPr/>
        <w:t>-1.</w:t>
      </w:r>
    </w:p>
    <w:p>
      <w:pPr>
        <w:pStyle w:val="TH"/>
        <w:rPr/>
      </w:pPr>
      <w:r>
        <w:rPr/>
        <w:t xml:space="preserve">Table </w:t>
      </w:r>
      <w:r>
        <w:rPr>
          <w:lang w:eastAsia="zh-TW"/>
        </w:rPr>
        <w:t>7.4.1.2</w:t>
      </w:r>
      <w:r>
        <w:rPr/>
        <w:t>-1: Handheld UE TRMS minimum requirements for E-UTRA FDD roaming bands in free space and the primary mechanical mode</w:t>
      </w:r>
    </w:p>
    <w:tbl>
      <w:tblPr>
        <w:tblW w:w="6051" w:type="dxa"/>
        <w:jc w:val="center"/>
        <w:tblInd w:w="0" w:type="dxa"/>
        <w:tblLayout w:type="fixed"/>
        <w:tblCellMar>
          <w:top w:w="0" w:type="dxa"/>
          <w:left w:w="28" w:type="dxa"/>
          <w:bottom w:w="0" w:type="dxa"/>
          <w:right w:w="28" w:type="dxa"/>
        </w:tblCellMar>
      </w:tblPr>
      <w:tblGrid>
        <w:gridCol w:w="1472"/>
        <w:gridCol w:w="1744"/>
        <w:gridCol w:w="1418"/>
        <w:gridCol w:w="1417"/>
      </w:tblGrid>
      <w:tr>
        <w:trPr>
          <w:trHeight w:val="57" w:hRule="atLeast"/>
          <w:cantSplit w:val="true"/>
        </w:trPr>
        <w:tc>
          <w:tcPr>
            <w:tcW w:w="3216" w:type="dxa"/>
            <w:gridSpan w:val="2"/>
            <w:tcBorders>
              <w:top w:val="single" w:sz="4" w:space="0" w:color="000000"/>
              <w:left w:val="single" w:sz="4" w:space="0" w:color="000000"/>
              <w:bottom w:val="single" w:sz="4" w:space="0" w:color="000000"/>
              <w:right w:val="single" w:sz="4" w:space="0" w:color="000000"/>
            </w:tcBorders>
            <w:shd w:fill="D9D9D9" w:val="clear"/>
          </w:tcPr>
          <w:p>
            <w:pPr>
              <w:pStyle w:val="TAH"/>
              <w:snapToGrid w:val="false"/>
              <w:rPr>
                <w:rFonts w:cs="Arial"/>
                <w:lang w:eastAsia="en-US"/>
              </w:rPr>
            </w:pPr>
            <w:r>
              <w:rPr>
                <w:rFonts w:cs="Arial"/>
                <w:lang w:eastAsia="en-US"/>
              </w:rPr>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Test 1</w:t>
            </w:r>
          </w:p>
        </w:tc>
      </w:tr>
      <w:tr>
        <w:trPr>
          <w:trHeight w:val="57" w:hRule="atLeast"/>
          <w:cantSplit w:val="true"/>
        </w:trPr>
        <w:tc>
          <w:tcPr>
            <w:tcW w:w="3216" w:type="dxa"/>
            <w:gridSpan w:val="2"/>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b/>
                <w:lang w:eastAsia="ja-JP"/>
              </w:rPr>
              <w:t>Channel Model as defined in Annex M.1</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ja-JP"/>
              </w:rPr>
              <w:t>SCME urban micro-cell</w:t>
            </w:r>
          </w:p>
        </w:tc>
      </w:tr>
      <w:tr>
        <w:trPr>
          <w:trHeight w:val="57" w:hRule="atLeast"/>
          <w:cantSplit w:val="true"/>
        </w:trPr>
        <w:tc>
          <w:tcPr>
            <w:tcW w:w="1472" w:type="dxa"/>
            <w:vMerge w:val="restart"/>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Operating band</w:t>
            </w:r>
          </w:p>
        </w:tc>
        <w:tc>
          <w:tcPr>
            <w:tcW w:w="1744" w:type="dxa"/>
            <w:vMerge w:val="restart"/>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Unit</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pPr>
            <w:r>
              <w:rPr>
                <w:rFonts w:cs="Arial"/>
                <w:lang w:eastAsia="en-US"/>
              </w:rPr>
              <w:t>&lt;REFÎ</w:t>
            </w:r>
            <w:r>
              <w:rPr>
                <w:rFonts w:cs="Arial"/>
                <w:vertAlign w:val="subscript"/>
                <w:lang w:eastAsia="en-US"/>
              </w:rPr>
              <w:t>or</w:t>
            </w:r>
            <w:r>
              <w:rPr>
                <w:rFonts w:cs="Arial"/>
                <w:lang w:eastAsia="en-US"/>
              </w:rPr>
              <w:t>&gt;</w:t>
            </w:r>
          </w:p>
        </w:tc>
      </w:tr>
      <w:tr>
        <w:trPr>
          <w:trHeight w:val="57" w:hRule="atLeast"/>
          <w:cantSplit w:val="true"/>
        </w:trPr>
        <w:tc>
          <w:tcPr>
            <w:tcW w:w="147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cs="Arial"/>
                <w:lang w:eastAsia="en-US"/>
              </w:rPr>
            </w:pPr>
            <w:r>
              <w:rPr>
                <w:rFonts w:cs="Arial"/>
                <w:lang w:eastAsia="en-US"/>
              </w:rPr>
            </w:r>
          </w:p>
        </w:tc>
        <w:tc>
          <w:tcPr>
            <w:tcW w:w="1744"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cs="Arial"/>
                <w:lang w:eastAsia="en-US"/>
              </w:rPr>
            </w:pPr>
            <w:r>
              <w:rPr>
                <w:rFonts w:cs="Arial"/>
                <w:lang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Average, 70</w:t>
            </w:r>
          </w:p>
        </w:tc>
        <w:tc>
          <w:tcPr>
            <w:tcW w:w="1417"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Average, 95</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dBm/15 kHz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szCs w:val="22"/>
                <w:lang w:eastAsia="en-US"/>
              </w:rPr>
              <w:t>-94.75</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szCs w:val="22"/>
                <w:lang w:eastAsia="en-US"/>
              </w:rPr>
              <w:t>-92.75</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3</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dBm/15 kHz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-93.75</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-91.75</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5</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dBm/15 kHz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-91.5</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-89.5</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7</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dBm/15 kHz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szCs w:val="22"/>
                <w:lang w:eastAsia="en-US"/>
              </w:rPr>
              <w:t>-92.5</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szCs w:val="22"/>
                <w:lang w:eastAsia="en-US"/>
              </w:rPr>
              <w:t>-90.5</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13</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dBm/15 kHz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19</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rFonts w:cs="Arial"/>
                <w:lang w:eastAsia="en-US"/>
              </w:rPr>
              <w:t>dBm/15 kHz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-91.5</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-89.5</w:t>
            </w:r>
          </w:p>
        </w:tc>
      </w:tr>
      <w:tr>
        <w:trPr>
          <w:trHeight w:val="57" w:hRule="atLeast"/>
          <w:cantSplit w:val="true"/>
        </w:trPr>
        <w:tc>
          <w:tcPr>
            <w:tcW w:w="6051" w:type="dxa"/>
            <w:gridSpan w:val="4"/>
            <w:tcBorders>
              <w:top w:val="single" w:sz="4" w:space="0" w:color="000000"/>
              <w:left w:val="single" w:sz="4" w:space="0" w:color="000000"/>
              <w:bottom w:val="single" w:sz="4" w:space="0" w:color="000000"/>
              <w:right w:val="single" w:sz="4" w:space="0" w:color="000000"/>
            </w:tcBorders>
          </w:tcPr>
          <w:p>
            <w:pPr>
              <w:pStyle w:val="TAN"/>
              <w:rPr>
                <w:rFonts w:cs="Arial"/>
                <w:lang w:eastAsia="en-US"/>
              </w:rPr>
            </w:pPr>
            <w:r>
              <w:rPr>
                <w:rFonts w:cs="Arial"/>
                <w:szCs w:val="22"/>
                <w:lang w:eastAsia="en-US"/>
              </w:rPr>
              <w:t>NOTE:</w:t>
              <w:tab/>
              <w:t>Applicability for devices supporting 4-receiver architectures is not confirmed.</w:t>
            </w:r>
          </w:p>
        </w:tc>
      </w:tr>
    </w:tbl>
    <w:p>
      <w:pPr>
        <w:pStyle w:val="Normal"/>
        <w:rPr>
          <w:lang w:eastAsia="zh-TW"/>
        </w:rPr>
      </w:pPr>
      <w:r>
        <w:rPr>
          <w:lang w:eastAsia="zh-TW"/>
        </w:rPr>
      </w:r>
    </w:p>
    <w:p>
      <w:pPr>
        <w:pStyle w:val="Normal"/>
        <w:rPr>
          <w:lang w:eastAsia="zh-TW"/>
        </w:rPr>
      </w:pPr>
      <w:r>
        <w:rPr/>
        <w:t>The normative reference for this clause is TS 37.144 [12] Subclause 8.1.1.1.</w:t>
      </w:r>
    </w:p>
    <w:p>
      <w:pPr>
        <w:pStyle w:val="Heading4"/>
        <w:ind w:left="1418" w:hanging="1418"/>
        <w:rPr>
          <w:lang w:eastAsia="zh-TW"/>
        </w:rPr>
      </w:pPr>
      <w:bookmarkStart w:id="386" w:name="__RefHeading___Toc68601318"/>
      <w:bookmarkEnd w:id="386"/>
      <w:r>
        <w:rPr>
          <w:lang w:eastAsia="zh-TW"/>
        </w:rPr>
        <w:t>7.4.1.3</w:t>
        <w:tab/>
        <w:t>Test Purpose</w:t>
      </w:r>
    </w:p>
    <w:p>
      <w:pPr>
        <w:pStyle w:val="Normal"/>
        <w:rPr/>
      </w:pPr>
      <w:r>
        <w:rPr/>
        <w:t xml:space="preserve">The purpose of this test is to ensure that the UE meets the TRMS minimum performance requirements for E-UTRA FDD specified in Subclause </w:t>
      </w:r>
      <w:r>
        <w:rPr>
          <w:lang w:eastAsia="zh-TW"/>
        </w:rPr>
        <w:t>7.4.1.2</w:t>
      </w:r>
      <w:r>
        <w:rPr/>
        <w:t xml:space="preserve">. </w:t>
      </w:r>
    </w:p>
    <w:p>
      <w:pPr>
        <w:pStyle w:val="Normal"/>
        <w:rPr>
          <w:lang w:eastAsia="zh-TW"/>
        </w:rPr>
      </w:pPr>
      <w:r>
        <w:rPr>
          <w:lang w:eastAsia="zh-TW"/>
        </w:rPr>
      </w:r>
    </w:p>
    <w:p>
      <w:pPr>
        <w:pStyle w:val="Heading4"/>
        <w:ind w:left="1418" w:hanging="1418"/>
        <w:rPr>
          <w:lang w:eastAsia="zh-TW"/>
        </w:rPr>
      </w:pPr>
      <w:bookmarkStart w:id="387" w:name="__RefHeading___Toc68601319"/>
      <w:bookmarkEnd w:id="387"/>
      <w:r>
        <w:rPr>
          <w:lang w:eastAsia="zh-TW"/>
        </w:rPr>
        <w:t>7.4.1.4</w:t>
        <w:tab/>
        <w:t xml:space="preserve">Method of test for </w:t>
      </w:r>
      <w:r>
        <w:rPr/>
        <w:t>Multi-probe Anechoic Chamber</w:t>
      </w:r>
    </w:p>
    <w:p>
      <w:pPr>
        <w:pStyle w:val="Heading4"/>
        <w:ind w:left="1418" w:hanging="1418"/>
        <w:rPr/>
      </w:pPr>
      <w:bookmarkStart w:id="388" w:name="__RefHeading___Toc68601320"/>
      <w:bookmarkEnd w:id="388"/>
      <w:r>
        <w:rPr/>
        <w:t>7.4.1.4.1</w:t>
      </w:r>
      <w:r>
        <w:rPr>
          <w:rFonts w:cs="Calibri" w:ascii="Calibri" w:hAnsi="Calibri"/>
          <w:sz w:val="22"/>
          <w:szCs w:val="22"/>
        </w:rPr>
        <w:tab/>
      </w:r>
      <w:r>
        <w:rPr/>
        <w:t>Initial conditions</w:t>
      </w:r>
    </w:p>
    <w:p>
      <w:pPr>
        <w:pStyle w:val="Normal"/>
        <w:rPr/>
      </w:pPr>
      <w:r>
        <w:rPr/>
        <w:t xml:space="preserve">A radio communications tester or a corresponding device is used as a NB/BS simulator to setup calls to the DUT according to Annex P.1. </w:t>
      </w:r>
    </w:p>
    <w:p>
      <w:pPr>
        <w:pStyle w:val="Normal"/>
        <w:rPr/>
      </w:pPr>
      <w:r>
        <w:rPr/>
        <w:t>Channel model shall be set according to Annex M.1 and the emulated antenna array configuration shall be set according to Annex M.2.</w:t>
      </w:r>
    </w:p>
    <w:p>
      <w:pPr>
        <w:pStyle w:val="Normal"/>
        <w:rPr/>
      </w:pPr>
      <w:r>
        <w:rPr>
          <w:lang w:eastAsia="ja-JP"/>
        </w:rPr>
        <w:t>Chamber environment constraints and coordinate system shall be the same as described in Annex A.5.1.</w:t>
      </w:r>
    </w:p>
    <w:p>
      <w:pPr>
        <w:pStyle w:val="Normal"/>
        <w:rPr/>
      </w:pPr>
      <w:r>
        <w:rPr/>
        <w:t>Test environment according to Annex O.</w:t>
      </w:r>
    </w:p>
    <w:p>
      <w:pPr>
        <w:pStyle w:val="Normal"/>
        <w:rPr/>
      </w:pPr>
      <w:r>
        <w:rPr/>
        <w:t>The positioning of the device under test within the test volume shall be set as defined in Annex A.5.2.</w:t>
      </w:r>
    </w:p>
    <w:p>
      <w:pPr>
        <w:pStyle w:val="Normal"/>
        <w:rPr/>
      </w:pPr>
      <w:r>
        <w:rPr/>
        <w:t>The calibration procedure is specified in Annex B.2.3.</w:t>
      </w:r>
    </w:p>
    <w:p>
      <w:pPr>
        <w:pStyle w:val="Normal"/>
        <w:rPr/>
      </w:pPr>
      <w:r>
        <w:rPr>
          <w:lang w:eastAsia="ja-JP"/>
        </w:rPr>
        <w:t>Positioning Requirements shall be according to Annex A.5.2.</w:t>
      </w:r>
    </w:p>
    <w:p>
      <w:pPr>
        <w:pStyle w:val="Normal"/>
        <w:rPr/>
      </w:pPr>
      <w:r>
        <w:rPr/>
        <w:t>Initial conditions are a set of test configurations the UE shall be tested in and the steps for the SS to take with the UE to reach the correct measurement state for each test case.</w:t>
      </w:r>
    </w:p>
    <w:p>
      <w:pPr>
        <w:pStyle w:val="B1"/>
        <w:rPr/>
      </w:pPr>
      <w:r>
        <w:rPr/>
        <w:t>1)</w:t>
        <w:tab/>
        <w:t>Ensure environmental requirements of Annex O are met.</w:t>
      </w:r>
    </w:p>
    <w:p>
      <w:pPr>
        <w:pStyle w:val="B1"/>
        <w:rPr/>
      </w:pPr>
      <w:r>
        <w:rPr/>
        <w:t>2)</w:t>
        <w:tab/>
        <w:t>Configure the test system according to Annex P.1 for the applicable test case.</w:t>
      </w:r>
    </w:p>
    <w:p>
      <w:pPr>
        <w:pStyle w:val="B1"/>
        <w:rPr/>
      </w:pPr>
      <w:r>
        <w:rPr/>
        <w:t>3)</w:t>
        <w:tab/>
        <w:t>Verify the implementation of the channel model as specified in Annex M.</w:t>
      </w:r>
    </w:p>
    <w:p>
      <w:pPr>
        <w:pStyle w:val="NO"/>
        <w:rPr/>
      </w:pPr>
      <w:r>
        <w:rPr/>
        <w:t>NOTE:</w:t>
        <w:tab/>
        <w:t>The verification of the channel model implementation can be part of the laboratory accreditation process i.e. performed once for each channel model, and will remain valid as long as the setup and instruments remain unchanged. Otherwise the channel model validation may need to be performed prior to starting each throughput test.</w:t>
      </w:r>
    </w:p>
    <w:p>
      <w:pPr>
        <w:pStyle w:val="B1"/>
        <w:rPr/>
      </w:pPr>
      <w:r>
        <w:rPr/>
        <w:t>4)</w:t>
        <w:tab/>
        <w:t>Position the UE in the chamber according to Annex A.5.2.</w:t>
      </w:r>
    </w:p>
    <w:p>
      <w:pPr>
        <w:pStyle w:val="B1"/>
        <w:rPr/>
      </w:pPr>
      <w:r>
        <w:rPr/>
        <w:t>5)</w:t>
        <w:tab/>
        <w:t>Power on the UE.</w:t>
      </w:r>
    </w:p>
    <w:p>
      <w:pPr>
        <w:pStyle w:val="B1"/>
        <w:rPr/>
      </w:pPr>
      <w:r>
        <w:rPr/>
        <w:t>6)</w:t>
        <w:tab/>
        <w:t>Set up the connection.</w:t>
      </w:r>
    </w:p>
    <w:p>
      <w:pPr>
        <w:pStyle w:val="Heading4"/>
        <w:ind w:left="1418" w:hanging="1418"/>
        <w:rPr/>
      </w:pPr>
      <w:bookmarkStart w:id="389" w:name="__RefHeading___Toc68601321"/>
      <w:bookmarkEnd w:id="389"/>
      <w:r>
        <w:rPr/>
        <w:t>7.4.1.4.2</w:t>
      </w:r>
      <w:r>
        <w:rPr>
          <w:rFonts w:cs="Calibri" w:ascii="Calibri" w:hAnsi="Calibri"/>
          <w:sz w:val="22"/>
          <w:szCs w:val="22"/>
        </w:rPr>
        <w:tab/>
      </w:r>
      <w:r>
        <w:rPr/>
        <w:t>Procedure</w:t>
      </w:r>
    </w:p>
    <w:p>
      <w:pPr>
        <w:pStyle w:val="B1"/>
        <w:rPr/>
      </w:pPr>
      <w:r>
        <w:rPr/>
        <w:t>1)</w:t>
        <w:tab/>
        <w:t>Follow Steps 1 and 2 in Subclause 7.3.4.2 of 3GPP TS 36.521-1 [11].</w:t>
      </w:r>
    </w:p>
    <w:p>
      <w:pPr>
        <w:pStyle w:val="B1"/>
        <w:rPr/>
      </w:pPr>
      <w:r>
        <w:rPr/>
        <w:t>2)</w:t>
        <w:tab/>
        <w:t>Set the Downlink signal level to the appropriate REFSENS value defined in Table 7.1.9.5-1 for 95 % throughput of the maximum throughput of the reference channel (maximum throughput is per Annex A of 3GPP TS 36.521-1 [11]) for azimuth position 0. Send continuously uplink power control "up" commands in the uplink scheduling information to the UE to ensure the UE transmits P</w:t>
      </w:r>
      <w:r>
        <w:rPr>
          <w:vertAlign w:val="subscript"/>
        </w:rPr>
        <w:t>UMAX</w:t>
      </w:r>
      <w:r>
        <w:rPr/>
        <w:t xml:space="preserve"> level for at least the duration of the Throughput measurement</w:t>
      </w:r>
      <w:r>
        <w:rPr>
          <w:rFonts w:eastAsia="MS Mincho;ＭＳ 明朝"/>
        </w:rPr>
        <w:t>.</w:t>
      </w:r>
      <w:r>
        <w:rPr/>
        <w:t xml:space="preserve"> Measure the average throughput for a duration sufficient to achieve statistical significance TBD.</w:t>
      </w:r>
    </w:p>
    <w:p>
      <w:pPr>
        <w:pStyle w:val="NO"/>
        <w:rPr/>
      </w:pPr>
      <w:r>
        <w:rPr/>
        <w:t>NOTE 1:</w:t>
        <w:tab/>
        <w:t xml:space="preserve">The downlink power step size shall be no more than 0.5 dB when RF power level is near the LTE MIMO sensitivity level. </w:t>
      </w:r>
    </w:p>
    <w:p>
      <w:pPr>
        <w:pStyle w:val="NO"/>
        <w:rPr/>
      </w:pPr>
      <w:r>
        <w:rPr/>
        <w:t>NOTE 2:</w:t>
        <w:tab/>
        <w:t xml:space="preserve">The initial RS EPRE can be set to the user's freely selectable level. Recommended initial RS EPRE is found in Tables P.1-1 and P.1-2. </w:t>
      </w:r>
    </w:p>
    <w:p>
      <w:pPr>
        <w:pStyle w:val="NO"/>
        <w:rPr/>
      </w:pPr>
      <w:r>
        <w:rPr/>
        <w:t>NOTE 3:</w:t>
        <w:tab/>
        <w:t>The throughput value target DL power level can be changed using user's freely selectable algorithm.</w:t>
      </w:r>
    </w:p>
    <w:p>
      <w:pPr>
        <w:pStyle w:val="NO"/>
        <w:rPr/>
      </w:pPr>
      <w:r>
        <w:rPr/>
        <w:t>NOTE 4:</w:t>
        <w:tab/>
        <w:t>For devices that do not reach target throughput, the highest RS EPRE at which throughput is measured shall be -80 dBm/15 kHz. The starting RS EPRE level of the LTE MIMO sensitivity level search does not need to be specified (NOTE 2)</w:t>
      </w:r>
    </w:p>
    <w:p>
      <w:pPr>
        <w:pStyle w:val="NO"/>
        <w:rPr/>
      </w:pPr>
      <w:r>
        <w:rPr/>
        <w:t>NOTE 5:</w:t>
        <w:tab/>
        <w:t>For devices that exhibit non-linear throughput behaviour and that achieve target throughput at multiple RF power levels, LTE MIMO sensitivity level is chosen to be lowest measured DL power level which crosses the target throughput level</w:t>
      </w:r>
    </w:p>
    <w:p>
      <w:pPr>
        <w:pStyle w:val="NO"/>
        <w:rPr/>
      </w:pPr>
      <w:r>
        <w:rPr/>
        <w:t>3)</w:t>
        <w:tab/>
        <w:t xml:space="preserve">Repeat Steps 2 for all azimuth positions: Rotate the UE around vertical axis of the test system by 30 degrees and repeat from Step 2 until one complete rotation has been measured i.e. </w:t>
      </w:r>
      <w:r>
        <w:rPr>
          <w:rFonts w:eastAsia="Calibri"/>
        </w:rPr>
        <w:t xml:space="preserve">12 different UE azimuth rotations. </w:t>
      </w:r>
      <w:r>
        <w:rPr/>
        <w:t>A list of orientations is given in Annex A.5.2.</w:t>
      </w:r>
    </w:p>
    <w:p>
      <w:pPr>
        <w:pStyle w:val="NO"/>
        <w:rPr/>
      </w:pPr>
      <w:r>
        <w:rPr/>
        <w:t>4)</w:t>
        <w:tab/>
        <w:t xml:space="preserve">Repeat Steps 2 &amp; 3 for all MODEs as specified in Clause </w:t>
      </w:r>
      <w:r>
        <w:rPr>
          <w:lang w:eastAsia="zh-TW"/>
        </w:rPr>
        <w:t>7.4.1</w:t>
      </w:r>
      <w:r>
        <w:rPr/>
        <w:t>.1.</w:t>
      </w:r>
    </w:p>
    <w:p>
      <w:pPr>
        <w:pStyle w:val="NO"/>
        <w:rPr/>
      </w:pPr>
      <w:r>
        <w:rPr/>
        <w:t>5)</w:t>
        <w:tab/>
        <w:t xml:space="preserve">Repeat Steps 2, 3 &amp; 4 for 70% throughput as specified in Clause </w:t>
      </w:r>
      <w:r>
        <w:rPr>
          <w:lang w:eastAsia="zh-TW"/>
        </w:rPr>
        <w:t>7.4.1</w:t>
      </w:r>
      <w:r>
        <w:rPr/>
        <w:t>.1.</w:t>
      </w:r>
    </w:p>
    <w:p>
      <w:pPr>
        <w:pStyle w:val="NO"/>
        <w:rPr/>
      </w:pPr>
      <w:r>
        <w:rPr/>
        <w:t>6)</w:t>
        <w:tab/>
        <w:t xml:space="preserve">Use post processing and averaging method specified in Clause </w:t>
      </w:r>
      <w:r>
        <w:rPr>
          <w:lang w:eastAsia="zh-TW"/>
        </w:rPr>
        <w:t>7.4.1</w:t>
      </w:r>
      <w:r>
        <w:rPr/>
        <w:t>.1 and calculate average TRMS for 70% and 95% throughput levels.</w:t>
      </w:r>
    </w:p>
    <w:p>
      <w:pPr>
        <w:pStyle w:val="Heading4"/>
        <w:ind w:left="1418" w:hanging="1418"/>
        <w:rPr/>
      </w:pPr>
      <w:bookmarkStart w:id="390" w:name="__RefHeading___Toc68601322"/>
      <w:bookmarkEnd w:id="390"/>
      <w:r>
        <w:rPr>
          <w:lang w:eastAsia="zh-TW"/>
        </w:rPr>
        <w:t>7.4.1.4A</w:t>
        <w:tab/>
        <w:t xml:space="preserve">Method of test for </w:t>
      </w:r>
      <w:r>
        <w:rPr/>
        <w:t>Radiated Two-Stage</w:t>
      </w:r>
    </w:p>
    <w:p>
      <w:pPr>
        <w:pStyle w:val="Normal"/>
        <w:rPr/>
      </w:pPr>
      <w:r>
        <w:rPr/>
        <w:t>Use of the RTS method for conformance test depends on the specification of the UE antenna test function which is defined in TR 36.978 [34].</w:t>
      </w:r>
    </w:p>
    <w:p>
      <w:pPr>
        <w:pStyle w:val="Heading5"/>
        <w:ind w:left="1701" w:hanging="1701"/>
        <w:rPr/>
      </w:pPr>
      <w:bookmarkStart w:id="391" w:name="__RefHeading___Toc68601323"/>
      <w:bookmarkEnd w:id="391"/>
      <w:r>
        <w:rPr/>
        <w:t>7.4.1.4A.1</w:t>
        <w:tab/>
        <w:t>Initial conditions</w:t>
      </w:r>
    </w:p>
    <w:p>
      <w:pPr>
        <w:pStyle w:val="Normal"/>
        <w:rPr/>
      </w:pPr>
      <w:r>
        <w:rPr/>
        <w:t xml:space="preserve">A radio communications tester or a corresponding device is used as a NB/BS simulator to setup calls to the DUT according to Clause P.1. </w:t>
      </w:r>
    </w:p>
    <w:p>
      <w:pPr>
        <w:pStyle w:val="Normal"/>
        <w:rPr/>
      </w:pPr>
      <w:r>
        <w:rPr/>
        <w:t>Channel model shall be set according to Clause M.1 and the emulated antenna array configuration shall be set according to Clause M.2 and Annex C of TR 37.977 [29].</w:t>
      </w:r>
    </w:p>
    <w:p>
      <w:pPr>
        <w:pStyle w:val="Normal"/>
        <w:rPr>
          <w:lang w:eastAsia="ja-JP"/>
        </w:rPr>
      </w:pPr>
      <w:r>
        <w:rPr>
          <w:lang w:eastAsia="ja-JP"/>
        </w:rPr>
        <w:t>Chamber environment constraints and coordinate system shall be the same as described in Annex A.5.1.2.</w:t>
      </w:r>
    </w:p>
    <w:p>
      <w:pPr>
        <w:pStyle w:val="Normal"/>
        <w:rPr/>
      </w:pPr>
      <w:r>
        <w:rPr/>
        <w:t>Test environment according to Annex O.</w:t>
      </w:r>
    </w:p>
    <w:p>
      <w:pPr>
        <w:pStyle w:val="Normal"/>
        <w:rPr/>
      </w:pPr>
      <w:r>
        <w:rPr/>
        <w:t>The positioning of the device under test within the test volume shall be set as defined in Annex A.5.2.</w:t>
      </w:r>
    </w:p>
    <w:p>
      <w:pPr>
        <w:pStyle w:val="Normal"/>
        <w:rPr/>
      </w:pPr>
      <w:r>
        <w:rPr/>
        <w:t>The calibration procedure is specified in Annex B.2.4.</w:t>
      </w:r>
    </w:p>
    <w:p>
      <w:pPr>
        <w:pStyle w:val="Normal"/>
        <w:rPr>
          <w:lang w:eastAsia="ja-JP"/>
        </w:rPr>
      </w:pPr>
      <w:r>
        <w:rPr>
          <w:lang w:eastAsia="ja-JP"/>
        </w:rPr>
        <w:t>Positioning Requirements shall be according to Annex A.5.2.</w:t>
      </w:r>
    </w:p>
    <w:p>
      <w:pPr>
        <w:pStyle w:val="Normal"/>
        <w:rPr/>
      </w:pPr>
      <w:r>
        <w:rPr/>
        <w:t>Initial conditions are a set of test configurations the UE shall be tested in and the steps for the SS to take with the UE to reach the correct measurement state for each test case.</w:t>
      </w:r>
    </w:p>
    <w:p>
      <w:pPr>
        <w:pStyle w:val="B1"/>
        <w:rPr/>
      </w:pPr>
      <w:r>
        <w:rPr/>
        <w:t>1)</w:t>
        <w:tab/>
        <w:t>Ensure environmental requirements of Annex O are met.</w:t>
      </w:r>
    </w:p>
    <w:p>
      <w:pPr>
        <w:pStyle w:val="B1"/>
        <w:rPr/>
      </w:pPr>
      <w:r>
        <w:rPr/>
        <w:t>2)</w:t>
        <w:tab/>
        <w:t>Configure the test system according to P.1 for the applicable test case.</w:t>
      </w:r>
    </w:p>
    <w:p>
      <w:pPr>
        <w:pStyle w:val="B1"/>
        <w:rPr/>
      </w:pPr>
      <w:r>
        <w:rPr/>
        <w:t>3)</w:t>
        <w:tab/>
        <w:t>Verify the implementation of the channel model as specified in Annex M.</w:t>
      </w:r>
    </w:p>
    <w:p>
      <w:pPr>
        <w:pStyle w:val="NO"/>
        <w:rPr/>
      </w:pPr>
      <w:r>
        <w:rPr/>
        <w:t>NOTE: The verification of the channel model implementation can be part of the laboratory accreditation process i.e. performed once for each channel model, and will remain valid as long as the setup and instruments remain unchanged. Otherwise the channel model validation may need to be performed prior to starting each throughput test.</w:t>
      </w:r>
    </w:p>
    <w:p>
      <w:pPr>
        <w:pStyle w:val="B1"/>
        <w:rPr/>
      </w:pPr>
      <w:r>
        <w:rPr/>
        <w:t>4)</w:t>
        <w:tab/>
        <w:t>Position the UE in the chamber according to Annex A.5.2.</w:t>
      </w:r>
    </w:p>
    <w:p>
      <w:pPr>
        <w:pStyle w:val="B1"/>
        <w:rPr/>
      </w:pPr>
      <w:r>
        <w:rPr/>
        <w:t>5)</w:t>
        <w:tab/>
        <w:t>Power on the UE.</w:t>
      </w:r>
    </w:p>
    <w:p>
      <w:pPr>
        <w:pStyle w:val="B1"/>
        <w:rPr/>
      </w:pPr>
      <w:r>
        <w:rPr/>
        <w:t>6)</w:t>
        <w:tab/>
        <w:t>Set up the connection.</w:t>
      </w:r>
    </w:p>
    <w:p>
      <w:pPr>
        <w:pStyle w:val="Heading5"/>
        <w:ind w:left="1701" w:hanging="1701"/>
        <w:rPr/>
      </w:pPr>
      <w:bookmarkStart w:id="392" w:name="__RefHeading___Toc68601324"/>
      <w:bookmarkEnd w:id="392"/>
      <w:r>
        <w:rPr/>
        <w:t>7.4.1.4A.2</w:t>
        <w:tab/>
        <w:t>Procedure</w:t>
      </w:r>
    </w:p>
    <w:p>
      <w:pPr>
        <w:pStyle w:val="Normal"/>
        <w:rPr/>
      </w:pPr>
      <w:r>
        <w:rPr/>
        <w:t>The following steps shall be followed in order to evaluate MIMO OTA performance of the DUT:</w:t>
      </w:r>
    </w:p>
    <w:p>
      <w:pPr>
        <w:pStyle w:val="B1"/>
        <w:rPr/>
      </w:pPr>
      <w:r>
        <w:rPr/>
        <w:t>1)</w:t>
        <w:tab/>
        <w:t>Measure the DUT complex antenna pattern at a nominal -60 dBm downlink power as described in Annex A.5.1.2.1 first stage</w:t>
      </w:r>
    </w:p>
    <w:p>
      <w:pPr>
        <w:pStyle w:val="B1"/>
        <w:rPr/>
      </w:pPr>
      <w:r>
        <w:rPr/>
        <w:t>2)</w:t>
        <w:tab/>
        <w:t>Select an appropriate orientation from the measured antenna pattern and establish a radiated MIMO connection to the DUT using the V and H probes as described in Annex A.5.1.2.1 second stage. Measure the transmission matrix in the chamber and apply the inverse matrix to the MIMO signal. The DUT orientation at which this is done is selected to optimize the achievable isolation. The unknown gain of the DUT antennas represented by the absolute accuracy of the RSAP measurement is then de-embedded from the measured antenna pattern. This is done by comparing the RSAP measurement from the first stage at the orientation being used in the second stage, to a second RSAP measurement made in the second stage using  a nominal signal of -60 dBm adjusted by the uncorrected antenna gain for that orientation. The difference in the RSAP measurements represents the true antenna gain for that orientation.</w:t>
      </w:r>
    </w:p>
    <w:p>
      <w:pPr>
        <w:pStyle w:val="B1"/>
        <w:rPr/>
      </w:pPr>
      <w:r>
        <w:rPr/>
        <w:t>3)</w:t>
        <w:tab/>
        <w:t>With the desired channel model applied, measure the isolation in dB between each stream as seen by the DUT receiver and ensure it is at least 15 dB averaged over at least 200 RSAP measurements.</w:t>
      </w:r>
    </w:p>
    <w:p>
      <w:pPr>
        <w:pStyle w:val="B1"/>
        <w:rPr/>
      </w:pPr>
      <w:r>
        <w:rPr/>
        <w:t>4)</w:t>
        <w:tab/>
        <w:t>Using the calibrated radiated connection validate monotonicity of the DUT RSAP and RSARP measurements over the range and step size defined in Annex R.</w:t>
      </w:r>
    </w:p>
    <w:p>
      <w:pPr>
        <w:pStyle w:val="B1"/>
        <w:rPr/>
      </w:pPr>
      <w:r>
        <w:rPr/>
        <w:t>5)</w:t>
        <w:tab/>
        <w:t>Once monotonicity has been validated, check the linearity of RSAP at the orientation of the peak antenna gain over the range -60 dBm to -80 dBm is &lt; 1 dB. Check the linearity of RSARP over the range +/= 180 degrees is &lt; 5 degrees. If the uncorrected RSAP or RSARP results do not meet the linearity requirements, calculate and apply a transfer function to the measured patterns to ensure the necessary linearity; if the linearity fails, it must be re-validated after a transfer function has been applied.</w:t>
      </w:r>
    </w:p>
    <w:p>
      <w:pPr>
        <w:pStyle w:val="B1"/>
        <w:rPr/>
      </w:pPr>
      <w:r>
        <w:rPr/>
        <w:t>6)</w:t>
        <w:tab/>
        <w:t>Convolve the antenna patterns from stage 1, linearized if necessary, with the channel model in the channel emulator and perform the throughput test.</w:t>
      </w:r>
    </w:p>
    <w:p>
      <w:pPr>
        <w:pStyle w:val="B1"/>
        <w:rPr/>
      </w:pPr>
      <w:r>
        <w:rPr/>
        <w:t>7)</w:t>
        <w:tab/>
        <w:t>Record the throughput for each DUT orientation controlled by the channel emulator and each RS EPRE level.</w:t>
      </w:r>
    </w:p>
    <w:p>
      <w:pPr>
        <w:pStyle w:val="B1"/>
        <w:rPr/>
      </w:pPr>
      <w:r>
        <w:rPr/>
        <w:t>8)</w:t>
        <w:tab/>
        <w:t>Identify and report the RS EPRE level achieving 70% throughput for averaged throughput.</w:t>
      </w:r>
    </w:p>
    <w:p>
      <w:pPr>
        <w:pStyle w:val="NO"/>
        <w:rPr/>
      </w:pPr>
      <w:r>
        <w:rPr/>
        <w:t xml:space="preserve">NOTE 1: </w:t>
        <w:tab/>
        <w:t xml:space="preserve">The initial RS EPRE can be set to the user's freely selectable level. </w:t>
        <w:br/>
        <w:t>Recommended initial RS EPRE is found in Tables P.1-1 and P.1-2.</w:t>
      </w:r>
    </w:p>
    <w:p>
      <w:pPr>
        <w:pStyle w:val="NO"/>
        <w:rPr>
          <w:lang w:eastAsia="en-US"/>
        </w:rPr>
      </w:pPr>
      <w:r>
        <w:rPr/>
        <w:t xml:space="preserve">NOTE 2: </w:t>
        <w:tab/>
        <w:t>To meet the throughput value target DL RS EPRE level can be changed using user's freely selectable algorithm.</w:t>
      </w:r>
    </w:p>
    <w:p>
      <w:pPr>
        <w:pStyle w:val="Heading4"/>
        <w:ind w:left="1418" w:hanging="1418"/>
        <w:rPr>
          <w:lang w:eastAsia="zh-TW"/>
        </w:rPr>
      </w:pPr>
      <w:bookmarkStart w:id="393" w:name="__RefHeading___Toc68601325"/>
      <w:bookmarkEnd w:id="393"/>
      <w:r>
        <w:rPr>
          <w:lang w:eastAsia="zh-TW"/>
        </w:rPr>
        <w:t>7.4.1.5</w:t>
        <w:tab/>
        <w:t>Test requirements</w:t>
      </w:r>
    </w:p>
    <w:p>
      <w:pPr>
        <w:pStyle w:val="Normal"/>
        <w:rPr/>
      </w:pPr>
      <w:r>
        <w:rPr/>
        <w:t xml:space="preserve">For Handheld UE TRMS minimum performance test requirements for E-UTRA FDD in free space and the primary mechanical mode for 70% and 95% DL throughput with the reference measurement channel defined in Clause 7 of TR 37.977 [29] are specified in Table </w:t>
      </w:r>
      <w:r>
        <w:rPr>
          <w:lang w:eastAsia="zh-TW"/>
        </w:rPr>
        <w:t>7.4.1.6</w:t>
      </w:r>
      <w:r>
        <w:rPr/>
        <w:t>-1.</w:t>
      </w:r>
    </w:p>
    <w:p>
      <w:pPr>
        <w:pStyle w:val="TH"/>
        <w:rPr/>
      </w:pPr>
      <w:r>
        <w:rPr/>
        <w:t xml:space="preserve">Table </w:t>
      </w:r>
      <w:r>
        <w:rPr>
          <w:lang w:eastAsia="zh-TW"/>
        </w:rPr>
        <w:t>7.4.1.6</w:t>
      </w:r>
      <w:r>
        <w:rPr/>
        <w:t>-1: Handheld UE TRMS minimum test requirements for E-UTRA FDD roaming bands in free space and the primary mechanical mode</w:t>
      </w:r>
    </w:p>
    <w:tbl>
      <w:tblPr>
        <w:tblW w:w="6051" w:type="dxa"/>
        <w:jc w:val="center"/>
        <w:tblInd w:w="0" w:type="dxa"/>
        <w:tblLayout w:type="fixed"/>
        <w:tblCellMar>
          <w:top w:w="0" w:type="dxa"/>
          <w:left w:w="28" w:type="dxa"/>
          <w:bottom w:w="0" w:type="dxa"/>
          <w:right w:w="28" w:type="dxa"/>
        </w:tblCellMar>
      </w:tblPr>
      <w:tblGrid>
        <w:gridCol w:w="1472"/>
        <w:gridCol w:w="1744"/>
        <w:gridCol w:w="1418"/>
        <w:gridCol w:w="1417"/>
      </w:tblGrid>
      <w:tr>
        <w:trPr>
          <w:trHeight w:val="57" w:hRule="atLeast"/>
          <w:cantSplit w:val="true"/>
        </w:trPr>
        <w:tc>
          <w:tcPr>
            <w:tcW w:w="3216" w:type="dxa"/>
            <w:gridSpan w:val="2"/>
            <w:tcBorders>
              <w:top w:val="single" w:sz="4" w:space="0" w:color="000000"/>
              <w:left w:val="single" w:sz="4" w:space="0" w:color="000000"/>
              <w:bottom w:val="single" w:sz="4" w:space="0" w:color="000000"/>
              <w:right w:val="single" w:sz="4" w:space="0" w:color="000000"/>
            </w:tcBorders>
          </w:tcPr>
          <w:p>
            <w:pPr>
              <w:pStyle w:val="TAH"/>
              <w:snapToGrid w:val="false"/>
              <w:rPr>
                <w:rFonts w:cs="Arial"/>
                <w:lang w:eastAsia="en-US"/>
              </w:rPr>
            </w:pPr>
            <w:r>
              <w:rPr>
                <w:rFonts w:cs="Arial"/>
                <w:lang w:eastAsia="en-US"/>
              </w:rPr>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Test 1</w:t>
            </w:r>
          </w:p>
        </w:tc>
      </w:tr>
      <w:tr>
        <w:trPr>
          <w:trHeight w:val="57" w:hRule="atLeast"/>
          <w:cantSplit w:val="true"/>
        </w:trPr>
        <w:tc>
          <w:tcPr>
            <w:tcW w:w="3216" w:type="dxa"/>
            <w:gridSpan w:val="2"/>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b/>
                <w:lang w:eastAsia="ja-JP"/>
              </w:rPr>
              <w:t>Channel Model as defined in Annex M.1</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ja-JP"/>
              </w:rPr>
              <w:t>SCME urban micro-cell</w:t>
            </w:r>
          </w:p>
        </w:tc>
      </w:tr>
      <w:tr>
        <w:trPr>
          <w:trHeight w:val="57" w:hRule="atLeast"/>
          <w:cantSplit w:val="true"/>
        </w:trPr>
        <w:tc>
          <w:tcPr>
            <w:tcW w:w="1472" w:type="dxa"/>
            <w:vMerge w:val="restart"/>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Operating band</w:t>
            </w:r>
          </w:p>
        </w:tc>
        <w:tc>
          <w:tcPr>
            <w:tcW w:w="1744" w:type="dxa"/>
            <w:vMerge w:val="restart"/>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Unit</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pPr>
            <w:r>
              <w:rPr>
                <w:rFonts w:cs="Arial"/>
                <w:lang w:eastAsia="en-US"/>
              </w:rPr>
              <w:t>&lt;REFÎ</w:t>
            </w:r>
            <w:r>
              <w:rPr>
                <w:rFonts w:cs="Arial"/>
                <w:vertAlign w:val="subscript"/>
                <w:lang w:eastAsia="en-US"/>
              </w:rPr>
              <w:t>or</w:t>
            </w:r>
            <w:r>
              <w:rPr>
                <w:rFonts w:cs="Arial"/>
                <w:lang w:eastAsia="en-US"/>
              </w:rPr>
              <w:t>&gt;</w:t>
            </w:r>
          </w:p>
        </w:tc>
      </w:tr>
      <w:tr>
        <w:trPr>
          <w:trHeight w:val="57" w:hRule="atLeast"/>
          <w:cantSplit w:val="true"/>
        </w:trPr>
        <w:tc>
          <w:tcPr>
            <w:tcW w:w="147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cs="Arial"/>
                <w:lang w:eastAsia="en-US"/>
              </w:rPr>
            </w:pPr>
            <w:r>
              <w:rPr>
                <w:rFonts w:cs="Arial"/>
                <w:lang w:eastAsia="en-US"/>
              </w:rPr>
            </w:r>
          </w:p>
        </w:tc>
        <w:tc>
          <w:tcPr>
            <w:tcW w:w="1744"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cs="Arial"/>
                <w:lang w:eastAsia="en-US"/>
              </w:rPr>
            </w:pPr>
            <w:r>
              <w:rPr>
                <w:rFonts w:cs="Arial"/>
                <w:lang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Average, 70</w:t>
            </w:r>
          </w:p>
        </w:tc>
        <w:tc>
          <w:tcPr>
            <w:tcW w:w="1417"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Average, 95</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dBm/15 kHz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szCs w:val="22"/>
                <w:lang w:eastAsia="en-US"/>
              </w:rPr>
              <w:t>-93.75</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szCs w:val="22"/>
                <w:lang w:eastAsia="en-US"/>
              </w:rPr>
              <w:t>-91.75</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3</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dBm/15 kHz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-92.75</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-90.75</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5</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dBm/15 kHz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-90.50</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-88.50</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7</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dBm/15 kHz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szCs w:val="22"/>
                <w:lang w:eastAsia="en-US"/>
              </w:rPr>
              <w:t>-91.50</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szCs w:val="22"/>
                <w:lang w:eastAsia="en-US"/>
              </w:rPr>
              <w:t>-89.50</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13</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dBm/15 kHz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TBD</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TBD</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19</w:t>
            </w:r>
          </w:p>
        </w:tc>
        <w:tc>
          <w:tcPr>
            <w:tcW w:w="1744" w:type="dxa"/>
            <w:tcBorders>
              <w:top w:val="single" w:sz="4" w:space="0" w:color="000000"/>
              <w:left w:val="single" w:sz="4" w:space="0" w:color="000000"/>
              <w:bottom w:val="single" w:sz="4" w:space="0" w:color="000000"/>
              <w:right w:val="single" w:sz="4" w:space="0" w:color="000000"/>
            </w:tcBorders>
          </w:tcPr>
          <w:p>
            <w:pPr>
              <w:pStyle w:val="TAC"/>
              <w:rPr/>
            </w:pPr>
            <w:r>
              <w:rPr>
                <w:rFonts w:cs="Arial"/>
                <w:lang w:eastAsia="en-US"/>
              </w:rPr>
              <w:t>dBm/15 kHz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-90.50</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-88.50</w:t>
            </w:r>
          </w:p>
        </w:tc>
      </w:tr>
      <w:tr>
        <w:trPr>
          <w:trHeight w:val="57" w:hRule="atLeast"/>
          <w:cantSplit w:val="true"/>
        </w:trPr>
        <w:tc>
          <w:tcPr>
            <w:tcW w:w="6051" w:type="dxa"/>
            <w:gridSpan w:val="4"/>
            <w:tcBorders>
              <w:top w:val="single" w:sz="4" w:space="0" w:color="000000"/>
              <w:left w:val="single" w:sz="4" w:space="0" w:color="000000"/>
              <w:bottom w:val="single" w:sz="4" w:space="0" w:color="000000"/>
              <w:right w:val="single" w:sz="4" w:space="0" w:color="000000"/>
            </w:tcBorders>
          </w:tcPr>
          <w:p>
            <w:pPr>
              <w:pStyle w:val="TAN"/>
              <w:rPr>
                <w:rFonts w:cs="Arial"/>
                <w:lang w:eastAsia="en-US"/>
              </w:rPr>
            </w:pPr>
            <w:r>
              <w:rPr>
                <w:rFonts w:cs="Arial"/>
                <w:szCs w:val="22"/>
                <w:lang w:eastAsia="en-US"/>
              </w:rPr>
              <w:t>NOTE:</w:t>
              <w:tab/>
              <w:t>Applicability for devices supporting 4-receiver architectures is not confirmed.</w:t>
            </w:r>
          </w:p>
        </w:tc>
      </w:tr>
    </w:tbl>
    <w:p>
      <w:pPr>
        <w:pStyle w:val="Normal"/>
        <w:rPr/>
      </w:pPr>
      <w:r>
        <w:rPr/>
      </w:r>
    </w:p>
    <w:p>
      <w:pPr>
        <w:pStyle w:val="Heading3"/>
        <w:rPr/>
      </w:pPr>
      <w:bookmarkStart w:id="394" w:name="__RefHeading___Toc68601326"/>
      <w:bookmarkEnd w:id="394"/>
      <w:r>
        <w:rPr/>
        <w:t>7.4.2</w:t>
        <w:tab/>
      </w:r>
      <w:r>
        <w:rPr>
          <w:szCs w:val="28"/>
        </w:rPr>
        <w:t xml:space="preserve">Total Radiated Multi-antenna Sensitivity (TRMS) for E-UTRA TDD for Handheld UE in </w:t>
      </w:r>
      <w:r>
        <w:rPr/>
        <w:t>Free Space</w:t>
      </w:r>
    </w:p>
    <w:p>
      <w:pPr>
        <w:pStyle w:val="EditorsNote"/>
        <w:rPr/>
      </w:pPr>
      <w:r>
        <w:rPr>
          <w:lang w:eastAsia="zh-TW"/>
        </w:rPr>
        <w:t>Editor’s note: This subclause is incomplete. The following items are missing or incomplete:</w:t>
      </w:r>
    </w:p>
    <w:p>
      <w:pPr>
        <w:pStyle w:val="EditorsNote"/>
        <w:rPr/>
      </w:pPr>
      <w:r>
        <w:rPr/>
        <w:t>- Statistical significance</w:t>
      </w:r>
    </w:p>
    <w:p>
      <w:pPr>
        <w:pStyle w:val="Heading4"/>
        <w:ind w:left="1418" w:hanging="1418"/>
        <w:rPr/>
      </w:pPr>
      <w:bookmarkStart w:id="395" w:name="__RefHeading___Toc68601327"/>
      <w:bookmarkEnd w:id="395"/>
      <w:r>
        <w:rPr>
          <w:lang w:eastAsia="zh-TW"/>
        </w:rPr>
        <w:t>7.4.2</w:t>
      </w:r>
      <w:r>
        <w:rPr/>
        <w:t>.1</w:t>
        <w:tab/>
        <w:t>Definition and applicability</w:t>
      </w:r>
    </w:p>
    <w:p>
      <w:pPr>
        <w:pStyle w:val="Normal"/>
        <w:rPr/>
      </w:pPr>
      <w:r>
        <w:rPr/>
        <w:t>Requirements in this section are stated for the free space configuration and are applicable to handheld devices, and are not applicable to wrist-worn devices.</w:t>
      </w:r>
    </w:p>
    <w:p>
      <w:pPr>
        <w:pStyle w:val="Normal"/>
        <w:rPr/>
      </w:pPr>
      <w:r>
        <w:rPr/>
        <w:t>For the reference MPAC methodology and the harmonized RTS methodology, the average TRMS of free space data mode portrait (FS DMP), free space data mode landscape (FSDML), and free space data mode screen up (FS DMSU), as defined in Annex E of TR 37.977 [29], when measured at the mid channel shall be lower than the average TRMS requirements specified in subclauses 7.4.2.2. The averaging shall be done in linear scale for the TRMS results at these DUT positions. Two average TRMS quantities are calculated from sensitivity measurements at 70% and 95% throughput, respectively. Average TRMS requirement are shown in the column “Average, 70” and “Average, 95” on the requirement tables.</w:t>
      </w:r>
    </w:p>
    <w:p>
      <w:pPr>
        <w:pStyle w:val="EQ"/>
        <w:jc w:val="center"/>
        <w:rPr>
          <w:lang w:val="en-GB" w:eastAsia="en-GB"/>
        </w:rPr>
      </w:pPr>
      <w:r>
        <w:rPr>
          <w:lang w:val="en-GB" w:eastAsia="en-GB"/>
        </w:rPr>
        <w:drawing>
          <wp:inline distT="0" distB="0" distL="0" distR="0">
            <wp:extent cx="4344035" cy="297180"/>
            <wp:effectExtent l="0" t="0" r="0" b="0"/>
            <wp:docPr id="57"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0" descr=""/>
                    <pic:cNvPicPr>
                      <a:picLocks noChangeAspect="1" noChangeArrowheads="1"/>
                    </pic:cNvPicPr>
                  </pic:nvPicPr>
                  <pic:blipFill>
                    <a:blip r:embed="rId49"/>
                    <a:srcRect l="-8" t="-121" r="-8" b="-121"/>
                    <a:stretch>
                      <a:fillRect/>
                    </a:stretch>
                  </pic:blipFill>
                  <pic:spPr bwMode="auto">
                    <a:xfrm>
                      <a:off x="0" y="0"/>
                      <a:ext cx="4344035" cy="297180"/>
                    </a:xfrm>
                    <a:prstGeom prst="rect">
                      <a:avLst/>
                    </a:prstGeom>
                  </pic:spPr>
                </pic:pic>
              </a:graphicData>
            </a:graphic>
          </wp:inline>
        </w:drawing>
      </w:r>
    </w:p>
    <w:p>
      <w:pPr>
        <w:pStyle w:val="EQ"/>
        <w:jc w:val="center"/>
        <w:rPr>
          <w:lang w:val="en-GB" w:eastAsia="en-GB"/>
        </w:rPr>
      </w:pPr>
      <w:r>
        <w:rPr>
          <w:lang w:val="en-GB" w:eastAsia="en-GB"/>
        </w:rPr>
        <w:drawing>
          <wp:inline distT="0" distB="0" distL="0" distR="0">
            <wp:extent cx="4344035" cy="297180"/>
            <wp:effectExtent l="0" t="0" r="0" b="0"/>
            <wp:docPr id="58"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1" descr=""/>
                    <pic:cNvPicPr>
                      <a:picLocks noChangeAspect="1" noChangeArrowheads="1"/>
                    </pic:cNvPicPr>
                  </pic:nvPicPr>
                  <pic:blipFill>
                    <a:blip r:embed="rId50"/>
                    <a:srcRect l="-8" t="-121" r="-8" b="-121"/>
                    <a:stretch>
                      <a:fillRect/>
                    </a:stretch>
                  </pic:blipFill>
                  <pic:spPr bwMode="auto">
                    <a:xfrm>
                      <a:off x="0" y="0"/>
                      <a:ext cx="4344035" cy="297180"/>
                    </a:xfrm>
                    <a:prstGeom prst="rect">
                      <a:avLst/>
                    </a:prstGeom>
                  </pic:spPr>
                </pic:pic>
              </a:graphicData>
            </a:graphic>
          </wp:inline>
        </w:drawing>
      </w:r>
    </w:p>
    <w:p>
      <w:pPr>
        <w:pStyle w:val="Normal"/>
        <w:rPr/>
      </w:pPr>
      <w:r>
        <w:rPr/>
        <w:t>Where</w:t>
      </w:r>
    </w:p>
    <w:p>
      <w:pPr>
        <w:pStyle w:val="EQ"/>
        <w:jc w:val="center"/>
        <w:rPr>
          <w:lang w:val="en-GB" w:eastAsia="en-GB"/>
        </w:rPr>
      </w:pPr>
      <w:r>
        <w:rPr>
          <w:lang w:val="en-GB" w:eastAsia="en-GB"/>
        </w:rPr>
        <w:drawing>
          <wp:inline distT="0" distB="0" distL="0" distR="0">
            <wp:extent cx="4123055" cy="297180"/>
            <wp:effectExtent l="0" t="0" r="0" b="0"/>
            <wp:docPr id="59"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2" descr=""/>
                    <pic:cNvPicPr>
                      <a:picLocks noChangeAspect="1" noChangeArrowheads="1"/>
                    </pic:cNvPicPr>
                  </pic:nvPicPr>
                  <pic:blipFill>
                    <a:blip r:embed="rId51"/>
                    <a:srcRect l="-9" t="-121" r="-9" b="-121"/>
                    <a:stretch>
                      <a:fillRect/>
                    </a:stretch>
                  </pic:blipFill>
                  <pic:spPr bwMode="auto">
                    <a:xfrm>
                      <a:off x="0" y="0"/>
                      <a:ext cx="4123055" cy="297180"/>
                    </a:xfrm>
                    <a:prstGeom prst="rect">
                      <a:avLst/>
                    </a:prstGeom>
                  </pic:spPr>
                </pic:pic>
              </a:graphicData>
            </a:graphic>
          </wp:inline>
        </w:drawing>
      </w:r>
    </w:p>
    <w:p>
      <w:pPr>
        <w:pStyle w:val="Normal"/>
        <w:rPr/>
      </w:pPr>
      <w:r>
        <w:rPr/>
        <w:t xml:space="preserve">Such that </w:t>
      </w:r>
      <w:r>
        <w:rPr>
          <w:i/>
        </w:rPr>
        <w:t>MODE</w:t>
      </w:r>
      <w:r>
        <w:rPr/>
        <w:t xml:space="preserve"> is one of {</w:t>
      </w:r>
      <w:r>
        <w:rPr>
          <w:i/>
        </w:rPr>
        <w:t>FS_DMP, FS_DML, FS_DMSU</w:t>
      </w:r>
      <w:r>
        <w:rPr/>
        <w:t xml:space="preserve">}, </w:t>
      </w:r>
      <w:r>
        <w:rPr>
          <w:i/>
        </w:rPr>
        <w:t>x</w:t>
      </w:r>
      <w:r>
        <w:rPr/>
        <w:t xml:space="preserve"> is one of {</w:t>
      </w:r>
      <w:r>
        <w:rPr>
          <w:i/>
        </w:rPr>
        <w:t>70, 95</w:t>
      </w:r>
      <w:r>
        <w:rPr/>
        <w:t>}, and {</w:t>
      </w:r>
      <w:r>
        <w:rPr>
          <w:i/>
        </w:rPr>
        <w:t>P</w:t>
      </w:r>
      <w:r>
        <w:rPr>
          <w:i/>
          <w:vertAlign w:val="subscript"/>
        </w:rPr>
        <w:t>MODE,x,0</w:t>
      </w:r>
      <w:r>
        <w:rPr>
          <w:i/>
        </w:rPr>
        <w:t>, …, P</w:t>
      </w:r>
      <w:r>
        <w:rPr>
          <w:i/>
          <w:vertAlign w:val="subscript"/>
        </w:rPr>
        <w:t>MODE,x,11</w:t>
      </w:r>
      <w:r>
        <w:rPr/>
        <w:t>} are the measured sensitivity values at each azimuth position.</w:t>
      </w:r>
    </w:p>
    <w:p>
      <w:pPr>
        <w:pStyle w:val="Normal"/>
        <w:rPr/>
      </w:pPr>
      <w:r>
        <w:rPr/>
        <w:t xml:space="preserve">For the reference MPAC methodology and the harmonized RTS methodology, if 1 azimuth position does not result in a defined measured sensitivity at 70% or 95% throughput, </w:t>
      </w:r>
      <w:r>
        <w:rPr>
          <w:i/>
        </w:rPr>
        <w:t>S</w:t>
      </w:r>
      <w:r>
        <w:rPr>
          <w:i/>
          <w:vertAlign w:val="subscript"/>
        </w:rPr>
        <w:t>MODE,70</w:t>
      </w:r>
      <w:r>
        <w:rPr>
          <w:vertAlign w:val="subscript"/>
        </w:rPr>
        <w:t xml:space="preserve"> </w:t>
      </w:r>
      <w:r>
        <w:rPr/>
        <w:t xml:space="preserve">or </w:t>
      </w:r>
      <w:r>
        <w:rPr>
          <w:i/>
        </w:rPr>
        <w:t>S</w:t>
      </w:r>
      <w:r>
        <w:rPr>
          <w:i/>
          <w:vertAlign w:val="subscript"/>
        </w:rPr>
        <w:t>MODE,95</w:t>
      </w:r>
      <w:r>
        <w:rPr>
          <w:vertAlign w:val="subscript"/>
        </w:rPr>
        <w:t xml:space="preserve"> </w:t>
      </w:r>
      <w:r>
        <w:rPr/>
        <w:t xml:space="preserve">are calculated using the 11 measured sensitivities and the maximum downlink RS-EPRE </w:t>
      </w:r>
      <w:r>
        <w:rPr>
          <w:i/>
        </w:rPr>
        <w:t>P</w:t>
      </w:r>
      <w:r>
        <w:rPr>
          <w:i/>
          <w:vertAlign w:val="subscript"/>
        </w:rPr>
        <w:t>RS-EPRE-MAX</w:t>
      </w:r>
      <w:r>
        <w:rPr/>
        <w:t xml:space="preserve"> (substitution approach) for the one missing result. If 2 azimuth positions do not result in a defined measured sensitivity at 95% throughput, </w:t>
      </w:r>
      <w:r>
        <w:rPr>
          <w:i/>
        </w:rPr>
        <w:t>S</w:t>
      </w:r>
      <w:r>
        <w:rPr>
          <w:i/>
          <w:vertAlign w:val="subscript"/>
        </w:rPr>
        <w:t>MODE,95</w:t>
      </w:r>
      <w:r>
        <w:rPr/>
        <w:t xml:space="preserve"> is calculated using the 10 measured sensitivities and </w:t>
      </w:r>
      <w:r>
        <w:rPr>
          <w:i/>
        </w:rPr>
        <w:t>P</w:t>
      </w:r>
      <w:r>
        <w:rPr>
          <w:i/>
          <w:vertAlign w:val="subscript"/>
        </w:rPr>
        <w:t xml:space="preserve">RS-EPRE-MAX </w:t>
      </w:r>
      <w:r>
        <w:rPr/>
        <w:t xml:space="preserve">for the two missing results. If more azimuth positions result in undefined values for measured sensitivity at the 70% and/or 95% throughput, then the TRMS requirement for the corresponding throughput levels has not been met by such a device. </w:t>
      </w:r>
      <w:r>
        <w:rPr>
          <w:i/>
        </w:rPr>
        <w:t>P</w:t>
      </w:r>
      <w:r>
        <w:rPr>
          <w:i/>
          <w:vertAlign w:val="subscript"/>
        </w:rPr>
        <w:t>RS-EPRE-MAX</w:t>
      </w:r>
      <w:r>
        <w:rPr/>
        <w:t xml:space="preserve"> is defined as -80 dBm/15 kHz and is the maximum downlink RS-EPRE supported by the test system.</w:t>
      </w:r>
    </w:p>
    <w:p>
      <w:pPr>
        <w:pStyle w:val="Normal"/>
        <w:rPr/>
      </w:pPr>
      <w:r>
        <w:rPr/>
        <w:t xml:space="preserve">The requirements and this test apply to all types of E-UTRA TDD UE for Release 14 and forward. Use of the TDD RTS test method requires the device supports the ATF defined in Annex R, uses only two Rx antennas for the tested band and </w:t>
      </w:r>
      <w:r>
        <w:rPr>
          <w:rFonts w:eastAsia="??;MS Gothic"/>
        </w:rPr>
        <w:t>the antenna pattern shall not change in response to the radio environment</w:t>
      </w:r>
      <w:r>
        <w:rPr/>
        <w:t>.</w:t>
      </w:r>
    </w:p>
    <w:p>
      <w:pPr>
        <w:pStyle w:val="Heading4"/>
        <w:ind w:left="1418" w:hanging="1418"/>
        <w:rPr/>
      </w:pPr>
      <w:bookmarkStart w:id="396" w:name="__RefHeading___Toc68601328"/>
      <w:bookmarkEnd w:id="396"/>
      <w:r>
        <w:rPr>
          <w:lang w:eastAsia="zh-TW"/>
        </w:rPr>
        <w:t>7.4.2.2</w:t>
        <w:tab/>
        <w:t>Minimum requirements</w:t>
      </w:r>
    </w:p>
    <w:p>
      <w:pPr>
        <w:pStyle w:val="Normal"/>
        <w:rPr/>
      </w:pPr>
      <w:r>
        <w:rPr/>
        <w:t xml:space="preserve">Handheld UE TRMS minimum performance requirements for E-UTRA TDD in free space and the primary mechanical mode for 70% and 95% DL throughput with the reference measurement channel defined in Clause 7 of TR 37.977 [29] are defined in Table </w:t>
      </w:r>
      <w:r>
        <w:rPr>
          <w:lang w:eastAsia="zh-TW"/>
        </w:rPr>
        <w:t>7.4.2.2</w:t>
      </w:r>
      <w:r>
        <w:rPr/>
        <w:t>-1.</w:t>
      </w:r>
    </w:p>
    <w:p>
      <w:pPr>
        <w:pStyle w:val="TH"/>
        <w:rPr/>
      </w:pPr>
      <w:r>
        <w:rPr/>
        <w:t xml:space="preserve">Table </w:t>
      </w:r>
      <w:r>
        <w:rPr>
          <w:lang w:eastAsia="zh-TW"/>
        </w:rPr>
        <w:t>7.4.2.2</w:t>
      </w:r>
      <w:r>
        <w:rPr/>
        <w:t>-1: Handheld UE TRMS minimum requirements for E-UTRA TDD roaming bands in free space and the primary mechanical mode</w:t>
      </w:r>
    </w:p>
    <w:tbl>
      <w:tblPr>
        <w:tblW w:w="6051" w:type="dxa"/>
        <w:jc w:val="center"/>
        <w:tblInd w:w="0" w:type="dxa"/>
        <w:tblLayout w:type="fixed"/>
        <w:tblCellMar>
          <w:top w:w="0" w:type="dxa"/>
          <w:left w:w="28" w:type="dxa"/>
          <w:bottom w:w="0" w:type="dxa"/>
          <w:right w:w="28" w:type="dxa"/>
        </w:tblCellMar>
      </w:tblPr>
      <w:tblGrid>
        <w:gridCol w:w="1472"/>
        <w:gridCol w:w="1744"/>
        <w:gridCol w:w="1418"/>
        <w:gridCol w:w="1417"/>
      </w:tblGrid>
      <w:tr>
        <w:trPr>
          <w:trHeight w:val="57" w:hRule="atLeast"/>
          <w:cantSplit w:val="true"/>
        </w:trPr>
        <w:tc>
          <w:tcPr>
            <w:tcW w:w="3216" w:type="dxa"/>
            <w:gridSpan w:val="2"/>
            <w:tcBorders>
              <w:top w:val="single" w:sz="4" w:space="0" w:color="000000"/>
              <w:left w:val="single" w:sz="4" w:space="0" w:color="000000"/>
              <w:bottom w:val="single" w:sz="4" w:space="0" w:color="000000"/>
              <w:right w:val="single" w:sz="4" w:space="0" w:color="000000"/>
            </w:tcBorders>
            <w:shd w:fill="D9D9D9" w:val="clear"/>
          </w:tcPr>
          <w:p>
            <w:pPr>
              <w:pStyle w:val="TAH"/>
              <w:snapToGrid w:val="false"/>
              <w:rPr>
                <w:rFonts w:cs="Arial"/>
                <w:lang w:eastAsia="en-US"/>
              </w:rPr>
            </w:pPr>
            <w:r>
              <w:rPr>
                <w:rFonts w:cs="Arial"/>
                <w:lang w:eastAsia="en-US"/>
              </w:rPr>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Test 1</w:t>
            </w:r>
          </w:p>
        </w:tc>
      </w:tr>
      <w:tr>
        <w:trPr>
          <w:trHeight w:val="57" w:hRule="atLeast"/>
          <w:cantSplit w:val="true"/>
        </w:trPr>
        <w:tc>
          <w:tcPr>
            <w:tcW w:w="3216" w:type="dxa"/>
            <w:gridSpan w:val="2"/>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ja-JP"/>
              </w:rPr>
              <w:t>Channel Model as defined in Annex M.1</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ja-JP"/>
              </w:rPr>
              <w:t>SCME urban micro-cell</w:t>
            </w:r>
          </w:p>
        </w:tc>
      </w:tr>
      <w:tr>
        <w:trPr>
          <w:trHeight w:val="57" w:hRule="atLeast"/>
          <w:cantSplit w:val="true"/>
        </w:trPr>
        <w:tc>
          <w:tcPr>
            <w:tcW w:w="1472" w:type="dxa"/>
            <w:vMerge w:val="restart"/>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Operating band</w:t>
            </w:r>
          </w:p>
        </w:tc>
        <w:tc>
          <w:tcPr>
            <w:tcW w:w="1744" w:type="dxa"/>
            <w:vMerge w:val="restart"/>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Unit</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pPr>
            <w:r>
              <w:rPr>
                <w:rFonts w:cs="Arial"/>
                <w:lang w:eastAsia="en-US"/>
              </w:rPr>
              <w:t>&lt;REFÎ</w:t>
            </w:r>
            <w:r>
              <w:rPr>
                <w:rFonts w:cs="Arial"/>
                <w:vertAlign w:val="subscript"/>
                <w:lang w:eastAsia="en-US"/>
              </w:rPr>
              <w:t>or</w:t>
            </w:r>
            <w:r>
              <w:rPr>
                <w:rFonts w:cs="Arial"/>
                <w:lang w:eastAsia="en-US"/>
              </w:rPr>
              <w:t>&gt;</w:t>
            </w:r>
          </w:p>
        </w:tc>
      </w:tr>
      <w:tr>
        <w:trPr>
          <w:trHeight w:val="57" w:hRule="atLeast"/>
          <w:cantSplit w:val="true"/>
        </w:trPr>
        <w:tc>
          <w:tcPr>
            <w:tcW w:w="147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cs="Arial"/>
                <w:lang w:eastAsia="en-US"/>
              </w:rPr>
            </w:pPr>
            <w:r>
              <w:rPr>
                <w:rFonts w:cs="Arial"/>
                <w:lang w:eastAsia="en-US"/>
              </w:rPr>
            </w:r>
          </w:p>
        </w:tc>
        <w:tc>
          <w:tcPr>
            <w:tcW w:w="1744"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cs="Arial"/>
                <w:lang w:eastAsia="en-US"/>
              </w:rPr>
            </w:pPr>
            <w:r>
              <w:rPr>
                <w:rFonts w:cs="Arial"/>
                <w:lang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en-US"/>
              </w:rPr>
              <w:t>Average, 70</w:t>
            </w:r>
          </w:p>
        </w:tc>
        <w:tc>
          <w:tcPr>
            <w:tcW w:w="1417"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Average, 95</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38</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dBm/15 kHz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szCs w:val="22"/>
                <w:lang w:eastAsia="en-US"/>
              </w:rPr>
              <w:t>-95.5</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szCs w:val="22"/>
                <w:lang w:eastAsia="en-US"/>
              </w:rPr>
              <w:t>-93.5</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zh-CN"/>
              </w:rPr>
              <w:t>41</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dBm/15 kHz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szCs w:val="22"/>
                <w:lang w:eastAsia="en-US"/>
              </w:rPr>
              <w:t>-95.5</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szCs w:val="22"/>
                <w:lang w:eastAsia="en-US"/>
              </w:rPr>
              <w:t>-93.5</w:t>
            </w:r>
          </w:p>
        </w:tc>
      </w:tr>
      <w:tr>
        <w:trPr>
          <w:trHeight w:val="57" w:hRule="atLeast"/>
          <w:cantSplit w:val="true"/>
        </w:trPr>
        <w:tc>
          <w:tcPr>
            <w:tcW w:w="6051" w:type="dxa"/>
            <w:gridSpan w:val="4"/>
            <w:tcBorders>
              <w:top w:val="single" w:sz="4" w:space="0" w:color="000000"/>
              <w:left w:val="single" w:sz="4" w:space="0" w:color="000000"/>
              <w:bottom w:val="single" w:sz="4" w:space="0" w:color="000000"/>
              <w:right w:val="single" w:sz="4" w:space="0" w:color="000000"/>
            </w:tcBorders>
          </w:tcPr>
          <w:p>
            <w:pPr>
              <w:pStyle w:val="TAN"/>
              <w:rPr/>
            </w:pPr>
            <w:r>
              <w:rPr>
                <w:rFonts w:cs="Arial"/>
                <w:lang w:eastAsia="en-US"/>
              </w:rPr>
              <w:t>NOTE 1:</w:t>
              <w:tab/>
              <w:t>In this version of the specification, restricted to E-UTRA DL operation when carrier aggregation is configured.</w:t>
            </w:r>
            <w:r>
              <w:rPr>
                <w:rFonts w:cs="Arial"/>
                <w:szCs w:val="22"/>
                <w:lang w:eastAsia="en-US"/>
              </w:rPr>
              <w:t xml:space="preserve"> </w:t>
            </w:r>
          </w:p>
          <w:p>
            <w:pPr>
              <w:pStyle w:val="TAN"/>
              <w:rPr>
                <w:rFonts w:cs="Arial"/>
                <w:lang w:eastAsia="en-US"/>
              </w:rPr>
            </w:pPr>
            <w:r>
              <w:rPr>
                <w:rFonts w:cs="Arial"/>
                <w:szCs w:val="22"/>
                <w:lang w:eastAsia="en-US"/>
              </w:rPr>
              <w:t>NOTE 2:</w:t>
              <w:tab/>
              <w:t>Applicability for devices supporting 4-receiver architectures is not confirmed.</w:t>
            </w:r>
          </w:p>
        </w:tc>
      </w:tr>
    </w:tbl>
    <w:p>
      <w:pPr>
        <w:pStyle w:val="Normal"/>
        <w:rPr/>
      </w:pPr>
      <w:r>
        <w:rPr/>
      </w:r>
    </w:p>
    <w:p>
      <w:pPr>
        <w:pStyle w:val="Normal"/>
        <w:rPr/>
      </w:pPr>
      <w:r>
        <w:rPr/>
        <w:t>The normative reference for this clause is TS 37.144 [12] Subclause 8.1.1.2.</w:t>
      </w:r>
    </w:p>
    <w:p>
      <w:pPr>
        <w:pStyle w:val="Heading4"/>
        <w:ind w:left="1418" w:hanging="1418"/>
        <w:rPr>
          <w:lang w:eastAsia="zh-TW"/>
        </w:rPr>
      </w:pPr>
      <w:bookmarkStart w:id="397" w:name="__RefHeading___Toc68601329"/>
      <w:bookmarkEnd w:id="397"/>
      <w:r>
        <w:rPr>
          <w:lang w:eastAsia="zh-TW"/>
        </w:rPr>
        <w:t>7.4.2.3</w:t>
        <w:tab/>
        <w:t>Test Purpose</w:t>
      </w:r>
    </w:p>
    <w:p>
      <w:pPr>
        <w:pStyle w:val="Normal"/>
        <w:rPr/>
      </w:pPr>
      <w:r>
        <w:rPr/>
        <w:t xml:space="preserve">The purpose of this test is to ensure that the UE meets the TRMS minimum performance requirements for E-UTRA TDD specified in Subclause </w:t>
      </w:r>
      <w:r>
        <w:rPr>
          <w:lang w:eastAsia="zh-TW"/>
        </w:rPr>
        <w:t>7.4.2.2</w:t>
      </w:r>
      <w:r>
        <w:rPr/>
        <w:t xml:space="preserve">. </w:t>
      </w:r>
    </w:p>
    <w:p>
      <w:pPr>
        <w:pStyle w:val="Heading4"/>
        <w:ind w:left="1418" w:hanging="1418"/>
        <w:rPr>
          <w:lang w:eastAsia="zh-TW"/>
        </w:rPr>
      </w:pPr>
      <w:bookmarkStart w:id="398" w:name="__RefHeading___Toc68601330"/>
      <w:bookmarkEnd w:id="398"/>
      <w:r>
        <w:rPr>
          <w:lang w:eastAsia="zh-TW"/>
        </w:rPr>
        <w:t>7.4.2.4</w:t>
        <w:tab/>
        <w:t xml:space="preserve">Method of test for </w:t>
      </w:r>
      <w:r>
        <w:rPr/>
        <w:t>Multi-probe Anechoic Chamber</w:t>
      </w:r>
    </w:p>
    <w:p>
      <w:pPr>
        <w:pStyle w:val="Heading5"/>
        <w:ind w:left="1701" w:hanging="1701"/>
        <w:rPr/>
      </w:pPr>
      <w:bookmarkStart w:id="399" w:name="__RefHeading___Toc68601331"/>
      <w:bookmarkEnd w:id="399"/>
      <w:r>
        <w:rPr/>
        <w:t>7.4.2.4.1</w:t>
      </w:r>
      <w:r>
        <w:rPr>
          <w:rFonts w:cs="Calibri" w:ascii="Calibri" w:hAnsi="Calibri"/>
          <w:szCs w:val="22"/>
        </w:rPr>
        <w:tab/>
      </w:r>
      <w:r>
        <w:rPr/>
        <w:t>Initial conditions</w:t>
      </w:r>
    </w:p>
    <w:p>
      <w:pPr>
        <w:pStyle w:val="Normal"/>
        <w:rPr/>
      </w:pPr>
      <w:r>
        <w:rPr/>
        <w:t xml:space="preserve">A radio communications tester or a corresponding device is used as a NB/BS simulator to setup calls to the DUT according to Annex P.1. </w:t>
      </w:r>
    </w:p>
    <w:p>
      <w:pPr>
        <w:pStyle w:val="Normal"/>
        <w:rPr/>
      </w:pPr>
      <w:r>
        <w:rPr/>
        <w:t>Channel model shall be set according to Annex M.1 and the emulated antenna array configuration shall be set according to Annex M.2.</w:t>
      </w:r>
    </w:p>
    <w:p>
      <w:pPr>
        <w:pStyle w:val="Normal"/>
        <w:rPr>
          <w:lang w:eastAsia="ja-JP"/>
        </w:rPr>
      </w:pPr>
      <w:r>
        <w:rPr>
          <w:lang w:eastAsia="ja-JP"/>
        </w:rPr>
        <w:t>Chamber environment constraints and coordinate system shall be the same as described in Annex A.5.1.</w:t>
      </w:r>
    </w:p>
    <w:p>
      <w:pPr>
        <w:pStyle w:val="Normal"/>
        <w:rPr/>
      </w:pPr>
      <w:r>
        <w:rPr/>
        <w:t>Test environment according to Annex O.</w:t>
      </w:r>
    </w:p>
    <w:p>
      <w:pPr>
        <w:pStyle w:val="Normal"/>
        <w:rPr/>
      </w:pPr>
      <w:r>
        <w:rPr/>
        <w:t>The positioning of the device under test within the test volume shall be set as defined in Annex A.5.2.</w:t>
      </w:r>
    </w:p>
    <w:p>
      <w:pPr>
        <w:pStyle w:val="Normal"/>
        <w:rPr/>
      </w:pPr>
      <w:r>
        <w:rPr/>
        <w:t>The calibration procedure is specified in Annex B.2.3.</w:t>
      </w:r>
    </w:p>
    <w:p>
      <w:pPr>
        <w:pStyle w:val="Normal"/>
        <w:rPr>
          <w:lang w:eastAsia="ja-JP"/>
        </w:rPr>
      </w:pPr>
      <w:r>
        <w:rPr>
          <w:lang w:eastAsia="ja-JP"/>
        </w:rPr>
        <w:t>Positioning Requirements shall be according to Annex A5.2.</w:t>
      </w:r>
    </w:p>
    <w:p>
      <w:pPr>
        <w:pStyle w:val="Normal"/>
        <w:rPr/>
      </w:pPr>
      <w:r>
        <w:rPr/>
        <w:t>Initial conditions are a set of test configurations the UE shall be tested in and the steps for the SS to take with the UE to reach the correct measurement state for each test case.</w:t>
      </w:r>
    </w:p>
    <w:p>
      <w:pPr>
        <w:pStyle w:val="B1"/>
        <w:rPr/>
      </w:pPr>
      <w:r>
        <w:rPr/>
        <w:t>1)</w:t>
        <w:tab/>
        <w:t>Ensure environmental requirements of Annex O are met.</w:t>
      </w:r>
    </w:p>
    <w:p>
      <w:pPr>
        <w:pStyle w:val="B1"/>
        <w:rPr/>
      </w:pPr>
      <w:r>
        <w:rPr/>
        <w:t>2)</w:t>
        <w:tab/>
        <w:t>Configure the test system according to Annex P.1 for the applicable test case.</w:t>
      </w:r>
    </w:p>
    <w:p>
      <w:pPr>
        <w:pStyle w:val="B1"/>
        <w:rPr/>
      </w:pPr>
      <w:r>
        <w:rPr/>
        <w:t>3)</w:t>
        <w:tab/>
        <w:t>Verify the implementation of the channel model as specified in Annex M.</w:t>
      </w:r>
    </w:p>
    <w:p>
      <w:pPr>
        <w:pStyle w:val="NO"/>
        <w:rPr/>
      </w:pPr>
      <w:r>
        <w:rPr/>
        <w:t>NOTE:</w:t>
        <w:tab/>
        <w:t>The verification of the channel model implementation can be part of the laboratory accreditation process i.e. performed once for each channel model, and will remain valid as long as the setup and instruments remain unchanged. Otherwise the channel model validation may need to be performed prior to starting each throughput test.</w:t>
      </w:r>
    </w:p>
    <w:p>
      <w:pPr>
        <w:pStyle w:val="B1"/>
        <w:rPr/>
      </w:pPr>
      <w:r>
        <w:rPr/>
        <w:t>4)</w:t>
        <w:tab/>
        <w:t>Position the UE in the chamber according to Annex A.5.2.</w:t>
      </w:r>
    </w:p>
    <w:p>
      <w:pPr>
        <w:pStyle w:val="B1"/>
        <w:rPr/>
      </w:pPr>
      <w:r>
        <w:rPr/>
        <w:t>5)</w:t>
        <w:tab/>
        <w:t>Power on the UE.</w:t>
      </w:r>
    </w:p>
    <w:p>
      <w:pPr>
        <w:pStyle w:val="B1"/>
        <w:rPr/>
      </w:pPr>
      <w:r>
        <w:rPr/>
        <w:t>6)</w:t>
        <w:tab/>
        <w:t>Set up the connection.</w:t>
      </w:r>
    </w:p>
    <w:p>
      <w:pPr>
        <w:pStyle w:val="Heading5"/>
        <w:ind w:left="1701" w:hanging="1701"/>
        <w:rPr/>
      </w:pPr>
      <w:bookmarkStart w:id="400" w:name="__RefHeading___Toc68601332"/>
      <w:bookmarkEnd w:id="400"/>
      <w:r>
        <w:rPr/>
        <w:t>7.4.2.4.2</w:t>
      </w:r>
      <w:r>
        <w:rPr>
          <w:rFonts w:cs="Calibri" w:ascii="Calibri" w:hAnsi="Calibri"/>
          <w:szCs w:val="22"/>
        </w:rPr>
        <w:tab/>
      </w:r>
      <w:r>
        <w:rPr/>
        <w:t>Procedure</w:t>
      </w:r>
    </w:p>
    <w:p>
      <w:pPr>
        <w:pStyle w:val="B1"/>
        <w:rPr/>
      </w:pPr>
      <w:r>
        <w:rPr/>
        <w:t>1)</w:t>
        <w:tab/>
        <w:t>Follow Steps 1 and 2 in Subclause 7.3.4.2 of 3GPP TS 36.521-1 [11].</w:t>
      </w:r>
    </w:p>
    <w:p>
      <w:pPr>
        <w:pStyle w:val="B1"/>
        <w:rPr/>
      </w:pPr>
      <w:r>
        <w:rPr/>
        <w:t>2)</w:t>
        <w:tab/>
        <w:t>Set the Downlink signal level to the appropriate REFSENS value defined in Table 7.1.9.5-1 for 95 % throughput of the maximum throughput of the reference channel (maximum throughput is per Annex A of 3GPP TS 36.521-1 [11]) for azimuth position 0. Send continuously uplink power control "up" commands in the uplink scheduling information to the UE to ensure the UE transmits P</w:t>
      </w:r>
      <w:r>
        <w:rPr>
          <w:vertAlign w:val="subscript"/>
        </w:rPr>
        <w:t>UMAX</w:t>
      </w:r>
      <w:r>
        <w:rPr/>
        <w:t xml:space="preserve"> level for at least the duration of the Throughput measurement</w:t>
      </w:r>
      <w:r>
        <w:rPr>
          <w:rFonts w:eastAsia="MS Mincho;ＭＳ 明朝"/>
        </w:rPr>
        <w:t>.</w:t>
      </w:r>
      <w:r>
        <w:rPr/>
        <w:t xml:space="preserve"> Measure the average throughput for a duration sufficient to achieve statistical significance TBD.</w:t>
      </w:r>
    </w:p>
    <w:p>
      <w:pPr>
        <w:pStyle w:val="NO"/>
        <w:rPr/>
      </w:pPr>
      <w:r>
        <w:rPr/>
        <w:t>NOTE 1:</w:t>
        <w:tab/>
        <w:t xml:space="preserve">The downlink power step size shall be no more than 0.5 dB when RF power level is near the LTE MIMO sensitivity level. </w:t>
      </w:r>
    </w:p>
    <w:p>
      <w:pPr>
        <w:pStyle w:val="NO"/>
        <w:rPr/>
      </w:pPr>
      <w:r>
        <w:rPr/>
        <w:t>NOTE 2:</w:t>
        <w:tab/>
        <w:t xml:space="preserve">The initial RS EPRE can be set to the user's freely selectable level. Recommended initial RS EPRE is found in Tables P.1-1 and P.1-2. </w:t>
      </w:r>
    </w:p>
    <w:p>
      <w:pPr>
        <w:pStyle w:val="NO"/>
        <w:rPr/>
      </w:pPr>
      <w:r>
        <w:rPr/>
        <w:t>NOTE 3:</w:t>
        <w:tab/>
        <w:t>The throughput value target DL power level can be changed using user's freely selectable algorithm.</w:t>
      </w:r>
    </w:p>
    <w:p>
      <w:pPr>
        <w:pStyle w:val="NO"/>
        <w:rPr/>
      </w:pPr>
      <w:r>
        <w:rPr/>
        <w:t>NOTE 4:</w:t>
        <w:tab/>
        <w:t>For devices that do not reach target throughput, the highest RS EPRE at which throughput is measured shall be -80 dBm/15 kHz. The starting RS EPRE level of the LTE MIMO sensitivity level search does not need to be specified (NOTE 2)</w:t>
      </w:r>
    </w:p>
    <w:p>
      <w:pPr>
        <w:pStyle w:val="NO"/>
        <w:rPr/>
      </w:pPr>
      <w:r>
        <w:rPr/>
        <w:t>NOTE 5:</w:t>
        <w:tab/>
        <w:t>For devices that exhibit non-linear throughput behaviour and that achieve target throughput at multiple RF power levels, LTE MIMO sensitivity level is chosen to be lowest measured DL power level which crosses the target throughput level</w:t>
      </w:r>
    </w:p>
    <w:p>
      <w:pPr>
        <w:pStyle w:val="NO"/>
        <w:rPr/>
      </w:pPr>
      <w:r>
        <w:rPr/>
        <w:t>3)</w:t>
        <w:tab/>
        <w:t xml:space="preserve">Repeat Steps 2 for all azimuth positions: Rotate the UE around vertical axis of the test system by 30 degrees and repeat from Step 2 until one complete rotation has been measured i.e. </w:t>
      </w:r>
      <w:r>
        <w:rPr>
          <w:rFonts w:eastAsia="Calibri"/>
        </w:rPr>
        <w:t xml:space="preserve">12 different UE azimuth rotations. </w:t>
      </w:r>
      <w:r>
        <w:rPr/>
        <w:t>A list of orientations is given in Annex A.5.2.</w:t>
      </w:r>
    </w:p>
    <w:p>
      <w:pPr>
        <w:pStyle w:val="NO"/>
        <w:rPr/>
      </w:pPr>
      <w:r>
        <w:rPr/>
        <w:t>4)</w:t>
        <w:tab/>
        <w:t xml:space="preserve">Repeat Steps 2 &amp; 3 for all MODEs as specified in Clause </w:t>
      </w:r>
      <w:r>
        <w:rPr>
          <w:lang w:eastAsia="zh-TW"/>
        </w:rPr>
        <w:t>7.4.2</w:t>
      </w:r>
      <w:r>
        <w:rPr/>
        <w:t>.1.</w:t>
      </w:r>
    </w:p>
    <w:p>
      <w:pPr>
        <w:pStyle w:val="NO"/>
        <w:rPr/>
      </w:pPr>
      <w:r>
        <w:rPr/>
        <w:t>5)</w:t>
        <w:tab/>
        <w:t xml:space="preserve">Repeat Steps 2, 3 &amp; 4 for 70% throughput as specified in Clause </w:t>
      </w:r>
      <w:r>
        <w:rPr>
          <w:lang w:eastAsia="zh-TW"/>
        </w:rPr>
        <w:t>7.4.2</w:t>
      </w:r>
      <w:r>
        <w:rPr/>
        <w:t>.1.</w:t>
      </w:r>
    </w:p>
    <w:p>
      <w:pPr>
        <w:pStyle w:val="NO"/>
        <w:rPr/>
      </w:pPr>
      <w:r>
        <w:rPr/>
        <w:t>6)</w:t>
        <w:tab/>
        <w:t xml:space="preserve">Use post processing and averaging method specified in Clause </w:t>
      </w:r>
      <w:r>
        <w:rPr>
          <w:lang w:eastAsia="zh-TW"/>
        </w:rPr>
        <w:t>7.4.2</w:t>
      </w:r>
      <w:r>
        <w:rPr/>
        <w:t>.1 and calculate average TRMS for 70% and 95% throughput levels.</w:t>
      </w:r>
    </w:p>
    <w:p>
      <w:pPr>
        <w:pStyle w:val="Heading4"/>
        <w:ind w:left="1418" w:hanging="1418"/>
        <w:rPr/>
      </w:pPr>
      <w:bookmarkStart w:id="401" w:name="__RefHeading___Toc68601333"/>
      <w:bookmarkEnd w:id="401"/>
      <w:r>
        <w:rPr>
          <w:lang w:eastAsia="zh-TW"/>
        </w:rPr>
        <w:t>7.4.2.4A</w:t>
        <w:tab/>
        <w:t xml:space="preserve">Method of test for </w:t>
      </w:r>
      <w:r>
        <w:rPr/>
        <w:t>Radiated Two-Stage</w:t>
      </w:r>
    </w:p>
    <w:p>
      <w:pPr>
        <w:pStyle w:val="Normal"/>
        <w:rPr/>
      </w:pPr>
      <w:r>
        <w:rPr/>
        <w:t>Use of the RTS method for conformance test depends on the specification of the UE antenna test function which is defined in TR 36.978 [34].</w:t>
      </w:r>
    </w:p>
    <w:p>
      <w:pPr>
        <w:pStyle w:val="Heading5"/>
        <w:ind w:left="1701" w:hanging="1701"/>
        <w:rPr/>
      </w:pPr>
      <w:bookmarkStart w:id="402" w:name="__RefHeading___Toc68601334"/>
      <w:bookmarkEnd w:id="402"/>
      <w:r>
        <w:rPr/>
        <w:t>7.4.2.4A.1</w:t>
        <w:tab/>
        <w:t>Initial conditions</w:t>
      </w:r>
    </w:p>
    <w:p>
      <w:pPr>
        <w:pStyle w:val="Normal"/>
        <w:rPr/>
      </w:pPr>
      <w:r>
        <w:rPr/>
        <w:t xml:space="preserve">A radio communications tester or a corresponding device is used as a NB/BS simulator to setup calls to the DUT according to Clause P.1. </w:t>
      </w:r>
    </w:p>
    <w:p>
      <w:pPr>
        <w:pStyle w:val="Normal"/>
        <w:rPr/>
      </w:pPr>
      <w:r>
        <w:rPr/>
        <w:t>Channel model shall be set according to Clause M.1 and the emulated antenna array configuration shall be set according to Clause M.2 and Annex C of TR 37.977 [29].</w:t>
      </w:r>
    </w:p>
    <w:p>
      <w:pPr>
        <w:pStyle w:val="Normal"/>
        <w:rPr>
          <w:lang w:eastAsia="ja-JP"/>
        </w:rPr>
      </w:pPr>
      <w:r>
        <w:rPr>
          <w:lang w:eastAsia="ja-JP"/>
        </w:rPr>
        <w:t>Chamber environment constraints and coordinate system shall be the same as described in Annex A.5.1.2.</w:t>
      </w:r>
    </w:p>
    <w:p>
      <w:pPr>
        <w:pStyle w:val="Normal"/>
        <w:rPr/>
      </w:pPr>
      <w:r>
        <w:rPr/>
        <w:t>Test environment according to Annex O.</w:t>
      </w:r>
    </w:p>
    <w:p>
      <w:pPr>
        <w:pStyle w:val="Normal"/>
        <w:rPr/>
      </w:pPr>
      <w:r>
        <w:rPr/>
        <w:t>The positioning of the device under test within the test volume shall be set as defined in Annex A.5.2.</w:t>
      </w:r>
    </w:p>
    <w:p>
      <w:pPr>
        <w:pStyle w:val="Normal"/>
        <w:rPr/>
      </w:pPr>
      <w:r>
        <w:rPr/>
        <w:t>The calibration procedure is specified in Annex B.2.4.</w:t>
      </w:r>
    </w:p>
    <w:p>
      <w:pPr>
        <w:pStyle w:val="Normal"/>
        <w:rPr>
          <w:lang w:eastAsia="ja-JP"/>
        </w:rPr>
      </w:pPr>
      <w:r>
        <w:rPr>
          <w:lang w:eastAsia="ja-JP"/>
        </w:rPr>
        <w:t>Positioning Requirements shall be according to Annex A.5.2.</w:t>
      </w:r>
    </w:p>
    <w:p>
      <w:pPr>
        <w:pStyle w:val="Normal"/>
        <w:rPr/>
      </w:pPr>
      <w:r>
        <w:rPr/>
        <w:t>Initial conditions are a set of test configurations the UE shall be tested in and the steps for the SS to take with the UE to reach the correct measurement state for each test case.</w:t>
      </w:r>
    </w:p>
    <w:p>
      <w:pPr>
        <w:pStyle w:val="B1"/>
        <w:rPr/>
      </w:pPr>
      <w:r>
        <w:rPr/>
        <w:t>1)</w:t>
        <w:tab/>
        <w:t>Ensure environmental requirements of Annex O are met.</w:t>
      </w:r>
    </w:p>
    <w:p>
      <w:pPr>
        <w:pStyle w:val="B1"/>
        <w:rPr/>
      </w:pPr>
      <w:r>
        <w:rPr/>
        <w:t>2)</w:t>
        <w:tab/>
        <w:t>Configure the test system according to P.1 for the applicable test case.</w:t>
      </w:r>
    </w:p>
    <w:p>
      <w:pPr>
        <w:pStyle w:val="B1"/>
        <w:rPr/>
      </w:pPr>
      <w:r>
        <w:rPr/>
        <w:t>3)</w:t>
        <w:tab/>
        <w:t>Verify the implementation of the channel model as specified in Annex M.</w:t>
      </w:r>
    </w:p>
    <w:p>
      <w:pPr>
        <w:pStyle w:val="NO"/>
        <w:rPr/>
      </w:pPr>
      <w:r>
        <w:rPr/>
        <w:t>NOTE: The verification of the channel model implementation can be part of the laboratory accreditation process i.e. performed once for each channel model, and will remain valid as long as the setup and instruments remain unchanged. Otherwise the channel model validation may need to be performed prior to starting each throughput test.</w:t>
      </w:r>
    </w:p>
    <w:p>
      <w:pPr>
        <w:pStyle w:val="B1"/>
        <w:rPr/>
      </w:pPr>
      <w:r>
        <w:rPr/>
        <w:t>4)</w:t>
        <w:tab/>
        <w:t>Position the UE in the chamber according to Annex A.5.2.</w:t>
      </w:r>
    </w:p>
    <w:p>
      <w:pPr>
        <w:pStyle w:val="B1"/>
        <w:rPr/>
      </w:pPr>
      <w:r>
        <w:rPr/>
        <w:t>5)</w:t>
        <w:tab/>
        <w:t>Power on the UE.</w:t>
      </w:r>
    </w:p>
    <w:p>
      <w:pPr>
        <w:pStyle w:val="B1"/>
        <w:rPr/>
      </w:pPr>
      <w:r>
        <w:rPr/>
        <w:t>6)</w:t>
        <w:tab/>
        <w:t>Set up the connection.</w:t>
      </w:r>
    </w:p>
    <w:p>
      <w:pPr>
        <w:pStyle w:val="Heading5"/>
        <w:ind w:left="1701" w:hanging="1701"/>
        <w:rPr/>
      </w:pPr>
      <w:bookmarkStart w:id="403" w:name="__RefHeading___Toc68601335"/>
      <w:bookmarkEnd w:id="403"/>
      <w:r>
        <w:rPr/>
        <w:t>7.4.2.4A.2</w:t>
        <w:tab/>
        <w:t>Procedure</w:t>
      </w:r>
    </w:p>
    <w:p>
      <w:pPr>
        <w:pStyle w:val="Normal"/>
        <w:rPr/>
      </w:pPr>
      <w:r>
        <w:rPr/>
        <w:t>The following steps shall be followed in order to evaluate MIMO OTA performance of the DUT:</w:t>
      </w:r>
    </w:p>
    <w:p>
      <w:pPr>
        <w:pStyle w:val="B1"/>
        <w:rPr/>
      </w:pPr>
      <w:r>
        <w:rPr/>
        <w:t>1)</w:t>
        <w:tab/>
        <w:t>Measure the DUT complex antenna pattern at a nominal -60 dBm downlink power as described in Annex A.5.1.2.1 first stage</w:t>
      </w:r>
    </w:p>
    <w:p>
      <w:pPr>
        <w:pStyle w:val="B1"/>
        <w:rPr/>
      </w:pPr>
      <w:r>
        <w:rPr/>
        <w:t>2)</w:t>
        <w:tab/>
        <w:t>Select an appropriate orientation from the measured antenna pattern and establish a radiated MIMO connection to the DUT using the V and H probes as described in Annex A.5.1.2.1 second stage. Measure the transmission matrix in the chamber and apply the inverse matrix to the MIMO signal. The DUT orientation at which this is done is selected to optimize the achievable isolation. The unknown gain of the DUT antennas represented by the absolute accuracy of the RSAP measurement is then de-embedded from the measured antenna pattern. This is done by comparing the RSAP measurement from the first stage at the orientation being used in the second stage, to a second RSAP measurement made in the second stage using  a nominal signal of -60 dBm adjusted by the uncorrected antenna gain for that orientation. The difference in the RSAP measurements represents the true antenna gain for that orientation.</w:t>
      </w:r>
    </w:p>
    <w:p>
      <w:pPr>
        <w:pStyle w:val="B1"/>
        <w:rPr/>
      </w:pPr>
      <w:r>
        <w:rPr/>
        <w:t>3)</w:t>
        <w:tab/>
        <w:t>With the desired channel model applied, measure the isolation in dB between each stream as seen by the DUT receiver and ensure it is at least 15 dB averaged over at least 200 RSAP measurements.</w:t>
      </w:r>
    </w:p>
    <w:p>
      <w:pPr>
        <w:pStyle w:val="B1"/>
        <w:rPr/>
      </w:pPr>
      <w:r>
        <w:rPr/>
        <w:t>4)</w:t>
        <w:tab/>
        <w:t>Using the calibrated radiated connection validate monotonicity of the DUT RSAP and RSARP measurements over the range and step size defined in Annex R.</w:t>
      </w:r>
    </w:p>
    <w:p>
      <w:pPr>
        <w:pStyle w:val="B1"/>
        <w:rPr/>
      </w:pPr>
      <w:r>
        <w:rPr/>
        <w:t>5)</w:t>
        <w:tab/>
        <w:t>Once monotonicity has been validated, check the linearity of RSAP at the orientation of the peak antenna gain over the range -60 dBm to -80 dBm is &lt; 1 dB. Check the linearity of RSARP over the range +/= 180 degrees is &lt; 5 degrees. If the uncorrected RSAP or RSARP results do not meet the linearity requirements, calculate and apply a transfer function to the measured patterns to ensure the necessary linearity; if the linearity fails, it must be re-validated after a transfer function has been applied.</w:t>
      </w:r>
    </w:p>
    <w:p>
      <w:pPr>
        <w:pStyle w:val="B1"/>
        <w:rPr/>
      </w:pPr>
      <w:r>
        <w:rPr/>
        <w:t>6)</w:t>
        <w:tab/>
        <w:t>Convolve the antenna patterns from stage 1, linearized if necessary, with the channel model in the channel emulator and perform the throughput test.</w:t>
      </w:r>
    </w:p>
    <w:p>
      <w:pPr>
        <w:pStyle w:val="B1"/>
        <w:rPr/>
      </w:pPr>
      <w:r>
        <w:rPr/>
        <w:t>7)</w:t>
        <w:tab/>
        <w:t>Record the throughput for each DUT orientation controlled by the channel emulator and each RS EPRE level.</w:t>
      </w:r>
    </w:p>
    <w:p>
      <w:pPr>
        <w:pStyle w:val="B1"/>
        <w:rPr/>
      </w:pPr>
      <w:r>
        <w:rPr/>
        <w:t>8)</w:t>
        <w:tab/>
        <w:t>Identify and report the RS EPRE level achieving 70% throughput for averaged throughput.</w:t>
      </w:r>
    </w:p>
    <w:p>
      <w:pPr>
        <w:pStyle w:val="NO"/>
        <w:rPr/>
      </w:pPr>
      <w:r>
        <w:rPr/>
        <w:t xml:space="preserve">NOTE 1: </w:t>
        <w:tab/>
        <w:t xml:space="preserve">The initial RS EPRE can be set to the user's freely selectable level. </w:t>
        <w:br/>
        <w:t>Recommended initial RS EPRE is found in Tables P.1-1 and P.1-2.</w:t>
      </w:r>
    </w:p>
    <w:p>
      <w:pPr>
        <w:pStyle w:val="NO"/>
        <w:rPr/>
      </w:pPr>
      <w:r>
        <w:rPr/>
        <w:t xml:space="preserve">NOTE 2: </w:t>
        <w:tab/>
        <w:t>To meet the throughput value target DL RS EPRE level can be changed using user's freely selectable algorithm.</w:t>
      </w:r>
    </w:p>
    <w:p>
      <w:pPr>
        <w:pStyle w:val="Heading4"/>
        <w:ind w:left="1418" w:hanging="1418"/>
        <w:rPr/>
      </w:pPr>
      <w:bookmarkStart w:id="404" w:name="__RefHeading___Toc68601336"/>
      <w:bookmarkEnd w:id="404"/>
      <w:r>
        <w:rPr>
          <w:lang w:eastAsia="zh-TW"/>
        </w:rPr>
        <w:t>7.4.2.5</w:t>
        <w:tab/>
        <w:t>Test requirements</w:t>
      </w:r>
    </w:p>
    <w:p>
      <w:pPr>
        <w:pStyle w:val="Normal"/>
        <w:rPr/>
      </w:pPr>
      <w:r>
        <w:rPr/>
        <w:t xml:space="preserve">For Handheld UE TRMS minimum performance test requirements for E-UTRA TDD in free space and the primary mechanical mode for 70% and 95% DL throughput with the reference measurement channel defined in Clause 7 of TR 37.977 [29] are specified in Table </w:t>
      </w:r>
      <w:r>
        <w:rPr>
          <w:lang w:eastAsia="zh-TW"/>
        </w:rPr>
        <w:t>7.4.2.5</w:t>
      </w:r>
      <w:r>
        <w:rPr/>
        <w:t>-1.</w:t>
      </w:r>
    </w:p>
    <w:p>
      <w:pPr>
        <w:pStyle w:val="TH"/>
        <w:rPr/>
      </w:pPr>
      <w:r>
        <w:rPr/>
        <w:t xml:space="preserve">Table </w:t>
      </w:r>
      <w:r>
        <w:rPr>
          <w:lang w:eastAsia="zh-TW"/>
        </w:rPr>
        <w:t>7.4.2.5</w:t>
      </w:r>
      <w:r>
        <w:rPr/>
        <w:t>-1: Handheld UE TRMS minimum test requirements for E-UTRA TDD roaming bands in free space and the primary mechanical mode</w:t>
      </w:r>
    </w:p>
    <w:tbl>
      <w:tblPr>
        <w:tblW w:w="6051" w:type="dxa"/>
        <w:jc w:val="center"/>
        <w:tblInd w:w="0" w:type="dxa"/>
        <w:tblLayout w:type="fixed"/>
        <w:tblCellMar>
          <w:top w:w="0" w:type="dxa"/>
          <w:left w:w="28" w:type="dxa"/>
          <w:bottom w:w="0" w:type="dxa"/>
          <w:right w:w="28" w:type="dxa"/>
        </w:tblCellMar>
      </w:tblPr>
      <w:tblGrid>
        <w:gridCol w:w="1472"/>
        <w:gridCol w:w="1744"/>
        <w:gridCol w:w="1418"/>
        <w:gridCol w:w="1417"/>
      </w:tblGrid>
      <w:tr>
        <w:trPr>
          <w:trHeight w:val="57" w:hRule="atLeast"/>
          <w:cantSplit w:val="true"/>
        </w:trPr>
        <w:tc>
          <w:tcPr>
            <w:tcW w:w="3216" w:type="dxa"/>
            <w:gridSpan w:val="2"/>
            <w:tcBorders>
              <w:top w:val="single" w:sz="4" w:space="0" w:color="000000"/>
              <w:left w:val="single" w:sz="4" w:space="0" w:color="000000"/>
              <w:bottom w:val="single" w:sz="4" w:space="0" w:color="000000"/>
              <w:right w:val="single" w:sz="4" w:space="0" w:color="000000"/>
            </w:tcBorders>
            <w:shd w:fill="D9D9D9" w:val="clear"/>
          </w:tcPr>
          <w:p>
            <w:pPr>
              <w:pStyle w:val="TAH"/>
              <w:snapToGrid w:val="false"/>
              <w:rPr>
                <w:rFonts w:cs="Arial"/>
                <w:lang w:eastAsia="en-US"/>
              </w:rPr>
            </w:pPr>
            <w:r>
              <w:rPr>
                <w:rFonts w:cs="Arial"/>
                <w:lang w:eastAsia="en-US"/>
              </w:rPr>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Test 1</w:t>
            </w:r>
          </w:p>
        </w:tc>
      </w:tr>
      <w:tr>
        <w:trPr>
          <w:trHeight w:val="57" w:hRule="atLeast"/>
          <w:cantSplit w:val="true"/>
        </w:trPr>
        <w:tc>
          <w:tcPr>
            <w:tcW w:w="3216" w:type="dxa"/>
            <w:gridSpan w:val="2"/>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ja-JP"/>
              </w:rPr>
              <w:t>Channel Model as defined in Annex M.1</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ja-JP"/>
              </w:rPr>
              <w:t>SCME urban micro-cell</w:t>
            </w:r>
          </w:p>
        </w:tc>
      </w:tr>
      <w:tr>
        <w:trPr>
          <w:trHeight w:val="57" w:hRule="atLeast"/>
          <w:cantSplit w:val="true"/>
        </w:trPr>
        <w:tc>
          <w:tcPr>
            <w:tcW w:w="1472" w:type="dxa"/>
            <w:vMerge w:val="restart"/>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Operating band</w:t>
            </w:r>
          </w:p>
        </w:tc>
        <w:tc>
          <w:tcPr>
            <w:tcW w:w="1744" w:type="dxa"/>
            <w:vMerge w:val="restart"/>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Unit</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pPr>
            <w:r>
              <w:rPr>
                <w:rFonts w:cs="Arial"/>
                <w:lang w:eastAsia="en-US"/>
              </w:rPr>
              <w:t>&lt;REFÎ</w:t>
            </w:r>
            <w:r>
              <w:rPr>
                <w:rFonts w:cs="Arial"/>
                <w:vertAlign w:val="subscript"/>
                <w:lang w:eastAsia="en-US"/>
              </w:rPr>
              <w:t>or</w:t>
            </w:r>
            <w:r>
              <w:rPr>
                <w:rFonts w:cs="Arial"/>
                <w:lang w:eastAsia="en-US"/>
              </w:rPr>
              <w:t>&gt;</w:t>
            </w:r>
          </w:p>
        </w:tc>
      </w:tr>
      <w:tr>
        <w:trPr>
          <w:trHeight w:val="57" w:hRule="atLeast"/>
          <w:cantSplit w:val="true"/>
        </w:trPr>
        <w:tc>
          <w:tcPr>
            <w:tcW w:w="147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cs="Arial"/>
                <w:lang w:eastAsia="en-US"/>
              </w:rPr>
            </w:pPr>
            <w:r>
              <w:rPr>
                <w:rFonts w:cs="Arial"/>
                <w:lang w:eastAsia="en-US"/>
              </w:rPr>
            </w:r>
          </w:p>
        </w:tc>
        <w:tc>
          <w:tcPr>
            <w:tcW w:w="1744"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cs="Arial"/>
                <w:lang w:eastAsia="en-US"/>
              </w:rPr>
            </w:pPr>
            <w:r>
              <w:rPr>
                <w:rFonts w:cs="Arial"/>
                <w:lang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Average, 70</w:t>
            </w:r>
          </w:p>
        </w:tc>
        <w:tc>
          <w:tcPr>
            <w:tcW w:w="1417"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Average, 95</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38</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dBm/15 kHz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szCs w:val="22"/>
                <w:lang w:eastAsia="en-US"/>
              </w:rPr>
              <w:t>-94.5</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szCs w:val="22"/>
                <w:lang w:eastAsia="en-US"/>
              </w:rPr>
              <w:t>-92.5</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zh-CN"/>
              </w:rPr>
              <w:t>41</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dBm/15 kHz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szCs w:val="22"/>
                <w:lang w:eastAsia="en-US"/>
              </w:rPr>
              <w:t>-94.5</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szCs w:val="22"/>
                <w:lang w:eastAsia="en-US"/>
              </w:rPr>
              <w:t>-92.5</w:t>
            </w:r>
          </w:p>
        </w:tc>
      </w:tr>
      <w:tr>
        <w:trPr>
          <w:trHeight w:val="57" w:hRule="atLeast"/>
          <w:cantSplit w:val="true"/>
        </w:trPr>
        <w:tc>
          <w:tcPr>
            <w:tcW w:w="6051" w:type="dxa"/>
            <w:gridSpan w:val="4"/>
            <w:tcBorders>
              <w:top w:val="single" w:sz="4" w:space="0" w:color="000000"/>
              <w:left w:val="single" w:sz="4" w:space="0" w:color="000000"/>
              <w:bottom w:val="single" w:sz="4" w:space="0" w:color="000000"/>
              <w:right w:val="single" w:sz="4" w:space="0" w:color="000000"/>
            </w:tcBorders>
          </w:tcPr>
          <w:p>
            <w:pPr>
              <w:pStyle w:val="TAN"/>
              <w:rPr>
                <w:rFonts w:cs="Arial"/>
                <w:szCs w:val="22"/>
                <w:lang w:eastAsia="en-US"/>
              </w:rPr>
            </w:pPr>
            <w:r>
              <w:rPr>
                <w:rFonts w:cs="Arial"/>
                <w:lang w:eastAsia="en-US"/>
              </w:rPr>
              <w:t>NOTE 1:</w:t>
              <w:tab/>
              <w:t>In this version of the specification, restricted to E-UTRA DL operation when carrier aggregation is configured.</w:t>
            </w:r>
          </w:p>
          <w:p>
            <w:pPr>
              <w:pStyle w:val="TAN"/>
              <w:rPr>
                <w:rFonts w:cs="Arial"/>
                <w:lang w:eastAsia="en-US"/>
              </w:rPr>
            </w:pPr>
            <w:r>
              <w:rPr>
                <w:rFonts w:cs="Arial"/>
                <w:szCs w:val="22"/>
                <w:lang w:eastAsia="en-US"/>
              </w:rPr>
              <w:t>NOTE 2:</w:t>
              <w:tab/>
              <w:t>Applicability for devices supporting 4-receiver architectures is not confirmed.</w:t>
            </w:r>
          </w:p>
        </w:tc>
      </w:tr>
    </w:tbl>
    <w:p>
      <w:pPr>
        <w:pStyle w:val="Normal"/>
        <w:rPr/>
      </w:pPr>
      <w:r>
        <w:rPr/>
      </w:r>
      <w:r>
        <w:br w:type="page"/>
      </w:r>
    </w:p>
    <w:p>
      <w:pPr>
        <w:pStyle w:val="Heading8"/>
        <w:ind w:left="0" w:hanging="0"/>
        <w:rPr/>
      </w:pPr>
      <w:bookmarkStart w:id="405" w:name="__RefHeading___Toc68601337"/>
      <w:bookmarkEnd w:id="405"/>
      <w:r>
        <w:rPr/>
        <w:t>Annex A (normative): Test system characterization and environmental requirements</w:t>
      </w:r>
    </w:p>
    <w:p>
      <w:pPr>
        <w:pStyle w:val="Heading1"/>
        <w:ind w:left="1134" w:hanging="1134"/>
        <w:rPr/>
      </w:pPr>
      <w:bookmarkStart w:id="406" w:name="__RefHeading___Toc68601338"/>
      <w:bookmarkEnd w:id="406"/>
      <w:r>
        <w:rPr/>
        <w:t>A.1</w:t>
        <w:tab/>
        <w:t>General</w:t>
      </w:r>
    </w:p>
    <w:p>
      <w:pPr>
        <w:pStyle w:val="Normal"/>
        <w:rPr/>
      </w:pPr>
      <w:r>
        <w:rPr>
          <w:rFonts w:cs="v4.2.0;Times New Roman"/>
        </w:rPr>
        <w:t xml:space="preserve">The main objective of this section is to specify basic parameters of simulated user (phantom) and anechoic and reverberation chamber suited for the Tx and Rx measurement. </w:t>
      </w:r>
    </w:p>
    <w:p>
      <w:pPr>
        <w:pStyle w:val="Heading1"/>
        <w:ind w:left="1134" w:hanging="1134"/>
        <w:rPr/>
      </w:pPr>
      <w:bookmarkStart w:id="407" w:name="__RefHeading___Toc68601339"/>
      <w:bookmarkEnd w:id="407"/>
      <w:r>
        <w:rPr/>
        <w:t>A.2</w:t>
        <w:tab/>
        <w:t>Phantom specifications</w:t>
      </w:r>
    </w:p>
    <w:p>
      <w:pPr>
        <w:pStyle w:val="Heading2"/>
        <w:rPr/>
      </w:pPr>
      <w:bookmarkStart w:id="408" w:name="__RefHeading___Toc68601340"/>
      <w:bookmarkEnd w:id="408"/>
      <w:r>
        <w:rPr/>
        <w:t>A.2.1</w:t>
        <w:tab/>
        <w:t>Head phantom</w:t>
      </w:r>
    </w:p>
    <w:p>
      <w:pPr>
        <w:pStyle w:val="Normal"/>
        <w:rPr/>
      </w:pPr>
      <w:r>
        <w:rPr>
          <w:rFonts w:cs="v4.2.0;Times New Roman"/>
        </w:rPr>
        <w:t>The Specific Anthropomorphic Mannequin (SAM) is used for radiated performance measurements. The phantom shape is derived from the size and dimensions of the 90-th percentile large adult male reported in an anthropometric study. It has also been adapted to represent the flattened ear of a wireless device user.</w:t>
      </w:r>
    </w:p>
    <w:p>
      <w:pPr>
        <w:pStyle w:val="Normal"/>
        <w:rPr/>
      </w:pPr>
      <w:r>
        <w:rPr>
          <w:rFonts w:cs="v4.2.0;Times New Roman"/>
        </w:rPr>
        <w:t xml:space="preserve">For DUT radiated performance measurements in "intended use" position SAM head phantom without a shoulder section will be used. </w:t>
      </w:r>
    </w:p>
    <w:p>
      <w:pPr>
        <w:pStyle w:val="Normal"/>
        <w:rPr>
          <w:rFonts w:cs="v4.2.0;Times New Roman"/>
        </w:rPr>
      </w:pPr>
      <w:r>
        <w:rPr>
          <w:rFonts w:cs="v4.2.0;Times New Roman"/>
        </w:rPr>
        <w:t>The shell of the SAM phantom should be made of low-loss material (loss tangent less than 0.05) with low permittivity (less than 5). The thickness has to be 2.0±0.2mm in the areas close to the handset in "intended use" position.</w:t>
      </w:r>
    </w:p>
    <w:p>
      <w:pPr>
        <w:pStyle w:val="Normal"/>
        <w:rPr/>
      </w:pPr>
      <w:r>
        <w:rPr>
          <w:rFonts w:cs="v4.2.0;Times New Roman"/>
        </w:rPr>
        <w:t xml:space="preserve">The phantom has to be filled with tissue simulating liquid. It is recommended to use one of the typical SAR tissue simulating liquids and Annex B gives four example recipes of such liquids. It is also recommended to verify the RF properties of the liquid with suitable equipment. The values should be maintained within 15% of the values relative permittivity 40 (±15%) and sigma 1.4 (±15%) at 1900 MHz. If the difference is more than </w:t>
      </w:r>
      <w:r>
        <w:rPr/>
        <w:t>±</w:t>
      </w:r>
      <w:r>
        <w:rPr>
          <w:rFonts w:cs="v4.2.0;Times New Roman"/>
        </w:rPr>
        <w:t>15%, it should be taken in to account in the uncertainty budget. Dielectric properties measurement methods can be found e.g. in [16] [17].</w:t>
      </w:r>
    </w:p>
    <w:p>
      <w:pPr>
        <w:pStyle w:val="Normal"/>
        <w:rPr>
          <w:rFonts w:cs="v4.2.0;Times New Roman"/>
        </w:rPr>
      </w:pPr>
      <w:r>
        <w:rPr>
          <w:rFonts w:cs="v4.2.0;Times New Roman"/>
        </w:rPr>
        <w:t>Alternatively, a dry SAM phantom made of plastic material with corresponding electrical parameters can be used.</w:t>
      </w:r>
    </w:p>
    <w:p>
      <w:pPr>
        <w:pStyle w:val="NO"/>
        <w:rPr/>
      </w:pPr>
      <w:r>
        <w:rPr/>
        <w:t>NOTE:</w:t>
        <w:tab/>
        <w:t>Measurements for the radiated performance of a UE can be influenced by the hand presence. However, it is very difficult to develop a standardized hand phantom, which could allow pertinent and reproducible measurements. Therefore, a phantom hand is not included in this test procedure.</w:t>
      </w:r>
    </w:p>
    <w:p>
      <w:pPr>
        <w:pStyle w:val="Heading2"/>
        <w:ind w:left="1138" w:hanging="1134"/>
        <w:rPr>
          <w:sz w:val="28"/>
          <w:szCs w:val="28"/>
        </w:rPr>
      </w:pPr>
      <w:bookmarkStart w:id="409" w:name="__RefHeading___Toc68601341"/>
      <w:bookmarkEnd w:id="409"/>
      <w:r>
        <w:rPr>
          <w:sz w:val="28"/>
          <w:szCs w:val="28"/>
        </w:rPr>
        <w:t>A.2.2</w:t>
        <w:tab/>
        <w:t>Hand phantom</w:t>
      </w:r>
    </w:p>
    <w:p>
      <w:pPr>
        <w:pStyle w:val="Heading3"/>
        <w:rPr/>
      </w:pPr>
      <w:bookmarkStart w:id="410" w:name="__RefHeading___Toc68601342"/>
      <w:bookmarkEnd w:id="410"/>
      <w:r>
        <w:rPr/>
        <w:t>A.2.2.1</w:t>
        <w:tab/>
        <w:t>General</w:t>
      </w:r>
    </w:p>
    <w:p>
      <w:pPr>
        <w:pStyle w:val="Normal"/>
        <w:rPr>
          <w:lang w:eastAsia="zh-CN"/>
        </w:rPr>
      </w:pPr>
      <w:r>
        <w:rPr>
          <w:rFonts w:eastAsia="MS Mincho;ＭＳ 明朝"/>
          <w:lang w:eastAsia="zh-CN"/>
        </w:rPr>
        <w:t>Users hand can have a great impact on radiated performance of a UE. The impact goes beyond blocking or absorbing a portion of the radiation, since the impedance of the antenna itself may be changed due to the material in near field. Thus, a standardized hand phantom has been developed for radiated testing to reflect real world user scenarios [18].</w:t>
      </w:r>
    </w:p>
    <w:p>
      <w:pPr>
        <w:pStyle w:val="Heading3"/>
        <w:rPr/>
      </w:pPr>
      <w:bookmarkStart w:id="411" w:name="__RefHeading___Toc68601343"/>
      <w:bookmarkEnd w:id="411"/>
      <w:r>
        <w:rPr/>
        <w:t>A.2.2.2</w:t>
        <w:tab/>
        <w:t>Dimensions</w:t>
      </w:r>
    </w:p>
    <w:p>
      <w:pPr>
        <w:pStyle w:val="Normal"/>
        <w:rPr/>
      </w:pPr>
      <w:r>
        <w:rPr>
          <w:rFonts w:eastAsia="MS Mincho;ＭＳ 明朝"/>
          <w:lang w:eastAsia="zh-CN"/>
        </w:rPr>
        <w:t>Dimensions of the hand phantom are based on 50</w:t>
      </w:r>
      <w:r>
        <w:rPr>
          <w:rFonts w:eastAsia="MS Mincho;ＭＳ 明朝"/>
          <w:vertAlign w:val="superscript"/>
          <w:lang w:eastAsia="zh-CN"/>
        </w:rPr>
        <w:t>th</w:t>
      </w:r>
      <w:r>
        <w:rPr>
          <w:rFonts w:eastAsia="MS Mincho;ＭＳ 明朝"/>
          <w:lang w:eastAsia="zh-CN"/>
        </w:rPr>
        <w:t xml:space="preserve"> percentile of the men’s hand and women’s hand dimensions averaged together in order to produce a standard hand phantom that lies in the middle of the expected range of users. Figure A.2.2.2-1 illustrates the segments of the human hand and Table A.2.2.2-1 summarizes the various dimensions for an open hand phantom [18].</w:t>
      </w:r>
    </w:p>
    <w:p>
      <w:pPr>
        <w:pStyle w:val="TH"/>
        <w:rPr>
          <w:rFonts w:eastAsia="MS Mincho;ＭＳ 明朝"/>
        </w:rPr>
      </w:pPr>
      <w:r>
        <w:rPr>
          <w:rFonts w:eastAsia="MS Mincho;ＭＳ 明朝"/>
        </w:rPr>
        <w:drawing>
          <wp:inline distT="0" distB="0" distL="0" distR="0">
            <wp:extent cx="2664460" cy="3216910"/>
            <wp:effectExtent l="0" t="0" r="0" b="0"/>
            <wp:docPr id="60"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 descr=""/>
                    <pic:cNvPicPr>
                      <a:picLocks noChangeAspect="1" noChangeArrowheads="1"/>
                    </pic:cNvPicPr>
                  </pic:nvPicPr>
                  <pic:blipFill>
                    <a:blip r:embed="rId52"/>
                    <a:srcRect l="-7" t="-6" r="-7" b="-6"/>
                    <a:stretch>
                      <a:fillRect/>
                    </a:stretch>
                  </pic:blipFill>
                  <pic:spPr bwMode="auto">
                    <a:xfrm>
                      <a:off x="0" y="0"/>
                      <a:ext cx="2664460" cy="3216910"/>
                    </a:xfrm>
                    <a:prstGeom prst="rect">
                      <a:avLst/>
                    </a:prstGeom>
                  </pic:spPr>
                </pic:pic>
              </a:graphicData>
            </a:graphic>
          </wp:inline>
        </w:drawing>
      </w:r>
    </w:p>
    <w:p>
      <w:pPr>
        <w:pStyle w:val="TF"/>
        <w:rPr/>
      </w:pPr>
      <w:r>
        <w:rPr/>
        <w:t>Figure A.2.2.2-1: Segments and dimension points of the human hand</w:t>
      </w:r>
    </w:p>
    <w:p>
      <w:pPr>
        <w:pStyle w:val="Normal"/>
        <w:rPr>
          <w:rFonts w:eastAsia="MS Mincho;ＭＳ 明朝"/>
          <w:lang w:eastAsia="zh-CN"/>
        </w:rPr>
      </w:pPr>
      <w:r>
        <w:rPr>
          <w:rFonts w:eastAsia="MS Mincho;ＭＳ 明朝"/>
          <w:lang w:eastAsia="zh-CN"/>
        </w:rPr>
      </w:r>
    </w:p>
    <w:p>
      <w:pPr>
        <w:pStyle w:val="TH"/>
        <w:rPr/>
      </w:pPr>
      <w:r>
        <w:rPr/>
        <w:t>Table A.2.2.2-1: Hand phantom dimensions</w:t>
      </w:r>
    </w:p>
    <w:p>
      <w:pPr>
        <w:pStyle w:val="TF"/>
        <w:rPr>
          <w:rFonts w:eastAsia="MS Mincho;ＭＳ 明朝"/>
        </w:rPr>
      </w:pPr>
      <w:r>
        <w:rPr>
          <w:rFonts w:eastAsia="MS Mincho;ＭＳ 明朝"/>
        </w:rPr>
        <w:drawing>
          <wp:inline distT="0" distB="0" distL="0" distR="0">
            <wp:extent cx="5280660" cy="4847590"/>
            <wp:effectExtent l="0" t="0" r="0" b="0"/>
            <wp:docPr id="6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 descr=""/>
                    <pic:cNvPicPr>
                      <a:picLocks noChangeAspect="1" noChangeArrowheads="1"/>
                    </pic:cNvPicPr>
                  </pic:nvPicPr>
                  <pic:blipFill>
                    <a:blip r:embed="rId53"/>
                    <a:srcRect l="-5" t="-5" r="-5" b="8439"/>
                    <a:stretch>
                      <a:fillRect/>
                    </a:stretch>
                  </pic:blipFill>
                  <pic:spPr bwMode="auto">
                    <a:xfrm>
                      <a:off x="0" y="0"/>
                      <a:ext cx="5280660" cy="4847590"/>
                    </a:xfrm>
                    <a:prstGeom prst="rect">
                      <a:avLst/>
                    </a:prstGeom>
                  </pic:spPr>
                </pic:pic>
              </a:graphicData>
            </a:graphic>
          </wp:inline>
        </w:drawing>
      </w:r>
    </w:p>
    <w:p>
      <w:pPr>
        <w:pStyle w:val="Normal"/>
        <w:rPr>
          <w:rFonts w:eastAsia="MS Mincho;ＭＳ 明朝"/>
          <w:lang w:eastAsia="zh-CN"/>
        </w:rPr>
      </w:pPr>
      <w:r>
        <w:rPr>
          <w:rFonts w:eastAsia="MS Mincho;ＭＳ 明朝"/>
          <w:lang w:eastAsia="zh-CN"/>
        </w:rPr>
      </w:r>
    </w:p>
    <w:p>
      <w:pPr>
        <w:pStyle w:val="Heading4"/>
        <w:ind w:left="1418" w:hanging="1418"/>
        <w:rPr/>
      </w:pPr>
      <w:bookmarkStart w:id="412" w:name="__RefHeading___Toc68601344"/>
      <w:bookmarkEnd w:id="412"/>
      <w:r>
        <w:rPr/>
        <w:t>A.2.2.3</w:t>
        <w:tab/>
        <w:t>Dielectric properties</w:t>
      </w:r>
    </w:p>
    <w:p>
      <w:pPr>
        <w:pStyle w:val="Normal"/>
        <w:rPr>
          <w:rFonts w:eastAsia="MS Mincho;ＭＳ 明朝"/>
          <w:lang w:eastAsia="zh-CN"/>
        </w:rPr>
      </w:pPr>
      <w:r>
        <w:rPr>
          <w:rFonts w:eastAsia="MS Mincho;ＭＳ 明朝"/>
          <w:lang w:eastAsia="zh-CN"/>
        </w:rPr>
        <w:t xml:space="preserve">Dielectric properties of dry palm human tissue are set as the target dielectric parameters for hand phantoms [19]. The properties are presented in Table </w:t>
      </w:r>
      <w:r>
        <w:rPr/>
        <w:t>A.2.2.3-1</w:t>
      </w:r>
      <w:r>
        <w:rPr>
          <w:rFonts w:eastAsia="MS Mincho;ＭＳ 明朝"/>
          <w:lang w:eastAsia="zh-CN"/>
        </w:rPr>
        <w:t xml:space="preserve">. It’s important that the hand phantom has equivalent electrical properties to real human hand to ensure that the same near field effects are seen with the hand phantom as would be seen with real hand. Relative permittivity of hand phantoms shall be within ±15% of the values listed in Table </w:t>
      </w:r>
      <w:r>
        <w:rPr/>
        <w:t>A.2.2.3-1</w:t>
      </w:r>
      <w:r>
        <w:rPr>
          <w:rFonts w:eastAsia="MS Mincho;ＭＳ 明朝"/>
          <w:lang w:eastAsia="zh-CN"/>
        </w:rPr>
        <w:t xml:space="preserve">. Conductivity of hand phantoms shall be within ±25% of the values listed in Table </w:t>
      </w:r>
      <w:r>
        <w:rPr/>
        <w:t>A.2.2.3-1</w:t>
      </w:r>
      <w:r>
        <w:rPr>
          <w:rFonts w:eastAsia="MS Mincho;ＭＳ 明朝"/>
          <w:lang w:eastAsia="zh-CN"/>
        </w:rPr>
        <w:t xml:space="preserve">. Methods for measuring </w:t>
      </w:r>
      <w:r>
        <w:rPr>
          <w:rFonts w:cs="v4.2.0;Times New Roman"/>
        </w:rPr>
        <w:t>dielectric properties can be found e.g. in [22] [23].</w:t>
      </w:r>
    </w:p>
    <w:p>
      <w:pPr>
        <w:pStyle w:val="TH"/>
        <w:rPr/>
      </w:pPr>
      <w:r>
        <w:rPr/>
        <w:t>Table A.2.2.3-1: Target dielectric properties of a hand phantom</w:t>
      </w:r>
    </w:p>
    <w:tbl>
      <w:tblPr>
        <w:tblW w:w="2750" w:type="pct"/>
        <w:jc w:val="center"/>
        <w:tblInd w:w="0" w:type="dxa"/>
        <w:tblLayout w:type="fixed"/>
        <w:tblCellMar>
          <w:top w:w="0" w:type="dxa"/>
          <w:left w:w="108" w:type="dxa"/>
          <w:bottom w:w="0" w:type="dxa"/>
          <w:right w:w="108" w:type="dxa"/>
        </w:tblCellMar>
      </w:tblPr>
      <w:tblGrid>
        <w:gridCol w:w="2391"/>
        <w:gridCol w:w="1455"/>
        <w:gridCol w:w="1456"/>
      </w:tblGrid>
      <w:tr>
        <w:trPr>
          <w:trHeight w:val="242" w:hRule="exact"/>
        </w:trPr>
        <w:tc>
          <w:tcPr>
            <w:tcW w:w="2391"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Frequency (MHz)</w:t>
            </w:r>
          </w:p>
        </w:tc>
        <w:tc>
          <w:tcPr>
            <w:tcW w:w="1455" w:type="dxa"/>
            <w:tcBorders>
              <w:top w:val="single" w:sz="4" w:space="0" w:color="000000"/>
              <w:bottom w:val="single" w:sz="4" w:space="0" w:color="000000"/>
              <w:right w:val="single" w:sz="4" w:space="0" w:color="000000"/>
            </w:tcBorders>
            <w:vAlign w:val="bottom"/>
          </w:tcPr>
          <w:p>
            <w:pPr>
              <w:pStyle w:val="TAH"/>
              <w:rPr>
                <w:lang w:eastAsia="en-US"/>
              </w:rPr>
            </w:pPr>
            <w:r>
              <w:rPr>
                <w:rFonts w:eastAsia="Arial"/>
                <w:lang w:eastAsia="en-US"/>
              </w:rPr>
              <w:t xml:space="preserve"> </w:t>
            </w:r>
            <w:r>
              <w:rPr>
                <w:lang w:eastAsia="en-US"/>
              </w:rPr>
              <w:t>Er</w:t>
            </w:r>
          </w:p>
        </w:tc>
        <w:tc>
          <w:tcPr>
            <w:tcW w:w="1456" w:type="dxa"/>
            <w:tcBorders>
              <w:top w:val="single" w:sz="4" w:space="0" w:color="000000"/>
              <w:bottom w:val="single" w:sz="4" w:space="0" w:color="000000"/>
              <w:right w:val="single" w:sz="4" w:space="0" w:color="000000"/>
            </w:tcBorders>
            <w:vAlign w:val="bottom"/>
          </w:tcPr>
          <w:p>
            <w:pPr>
              <w:pStyle w:val="TAH"/>
              <w:rPr>
                <w:lang w:eastAsia="en-US"/>
              </w:rPr>
            </w:pPr>
            <w:r>
              <w:rPr>
                <w:rFonts w:eastAsia="Arial"/>
                <w:lang w:eastAsia="en-US"/>
              </w:rPr>
              <w:t xml:space="preserve"> </w:t>
            </w:r>
            <w:r>
              <w:rPr>
                <w:lang w:eastAsia="en-US"/>
              </w:rPr>
              <w:t>σ (S/m)</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lang w:eastAsia="en-US"/>
              </w:rPr>
            </w:pPr>
            <w:r>
              <w:rPr>
                <w:lang w:eastAsia="en-US"/>
              </w:rPr>
              <w:t>300,00</w:t>
            </w:r>
          </w:p>
        </w:tc>
        <w:tc>
          <w:tcPr>
            <w:tcW w:w="1455" w:type="dxa"/>
            <w:tcBorders>
              <w:bottom w:val="single" w:sz="4" w:space="0" w:color="000000"/>
              <w:right w:val="single" w:sz="4" w:space="0" w:color="000000"/>
            </w:tcBorders>
            <w:vAlign w:val="bottom"/>
          </w:tcPr>
          <w:p>
            <w:pPr>
              <w:pStyle w:val="TAC"/>
              <w:rPr>
                <w:lang w:eastAsia="en-US"/>
              </w:rPr>
            </w:pPr>
            <w:r>
              <w:rPr>
                <w:lang w:eastAsia="en-US"/>
              </w:rPr>
              <w:t>37,1</w:t>
            </w:r>
          </w:p>
        </w:tc>
        <w:tc>
          <w:tcPr>
            <w:tcW w:w="1456" w:type="dxa"/>
            <w:tcBorders>
              <w:bottom w:val="single" w:sz="4" w:space="0" w:color="000000"/>
              <w:right w:val="single" w:sz="4" w:space="0" w:color="000000"/>
            </w:tcBorders>
            <w:vAlign w:val="bottom"/>
          </w:tcPr>
          <w:p>
            <w:pPr>
              <w:pStyle w:val="TAC"/>
              <w:rPr>
                <w:lang w:eastAsia="en-US"/>
              </w:rPr>
            </w:pPr>
            <w:r>
              <w:rPr>
                <w:lang w:eastAsia="en-US"/>
              </w:rPr>
              <w:t>0,36</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lang w:eastAsia="en-US"/>
              </w:rPr>
            </w:pPr>
            <w:r>
              <w:rPr>
                <w:lang w:eastAsia="en-US"/>
              </w:rPr>
              <w:t>450,00</w:t>
            </w:r>
          </w:p>
        </w:tc>
        <w:tc>
          <w:tcPr>
            <w:tcW w:w="1455" w:type="dxa"/>
            <w:tcBorders>
              <w:bottom w:val="single" w:sz="4" w:space="0" w:color="000000"/>
              <w:right w:val="single" w:sz="4" w:space="0" w:color="000000"/>
            </w:tcBorders>
            <w:vAlign w:val="bottom"/>
          </w:tcPr>
          <w:p>
            <w:pPr>
              <w:pStyle w:val="TAC"/>
              <w:rPr>
                <w:lang w:eastAsia="en-US"/>
              </w:rPr>
            </w:pPr>
            <w:r>
              <w:rPr>
                <w:lang w:eastAsia="en-US"/>
              </w:rPr>
              <w:t>33,9</w:t>
            </w:r>
          </w:p>
        </w:tc>
        <w:tc>
          <w:tcPr>
            <w:tcW w:w="1456" w:type="dxa"/>
            <w:tcBorders>
              <w:bottom w:val="single" w:sz="4" w:space="0" w:color="000000"/>
              <w:right w:val="single" w:sz="4" w:space="0" w:color="000000"/>
            </w:tcBorders>
            <w:vAlign w:val="bottom"/>
          </w:tcPr>
          <w:p>
            <w:pPr>
              <w:pStyle w:val="TAC"/>
              <w:rPr>
                <w:lang w:eastAsia="en-US"/>
              </w:rPr>
            </w:pPr>
            <w:r>
              <w:rPr>
                <w:lang w:eastAsia="en-US"/>
              </w:rPr>
              <w:t>0,43</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lang w:eastAsia="en-US"/>
              </w:rPr>
            </w:pPr>
            <w:r>
              <w:rPr>
                <w:lang w:eastAsia="en-US"/>
              </w:rPr>
              <w:t>835,00</w:t>
            </w:r>
          </w:p>
        </w:tc>
        <w:tc>
          <w:tcPr>
            <w:tcW w:w="1455" w:type="dxa"/>
            <w:tcBorders>
              <w:bottom w:val="single" w:sz="4" w:space="0" w:color="000000"/>
              <w:right w:val="single" w:sz="4" w:space="0" w:color="000000"/>
            </w:tcBorders>
            <w:vAlign w:val="bottom"/>
          </w:tcPr>
          <w:p>
            <w:pPr>
              <w:pStyle w:val="TAC"/>
              <w:rPr>
                <w:lang w:eastAsia="en-US"/>
              </w:rPr>
            </w:pPr>
            <w:r>
              <w:rPr>
                <w:lang w:eastAsia="en-US"/>
              </w:rPr>
              <w:t>30,3</w:t>
            </w:r>
          </w:p>
        </w:tc>
        <w:tc>
          <w:tcPr>
            <w:tcW w:w="1456" w:type="dxa"/>
            <w:tcBorders>
              <w:bottom w:val="single" w:sz="4" w:space="0" w:color="000000"/>
              <w:right w:val="single" w:sz="4" w:space="0" w:color="000000"/>
            </w:tcBorders>
            <w:vAlign w:val="bottom"/>
          </w:tcPr>
          <w:p>
            <w:pPr>
              <w:pStyle w:val="TAC"/>
              <w:rPr>
                <w:lang w:eastAsia="en-US"/>
              </w:rPr>
            </w:pPr>
            <w:r>
              <w:rPr>
                <w:lang w:eastAsia="en-US"/>
              </w:rPr>
              <w:t>0,59</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lang w:eastAsia="en-US"/>
              </w:rPr>
            </w:pPr>
            <w:r>
              <w:rPr>
                <w:lang w:eastAsia="en-US"/>
              </w:rPr>
              <w:t>900,00</w:t>
            </w:r>
          </w:p>
        </w:tc>
        <w:tc>
          <w:tcPr>
            <w:tcW w:w="1455" w:type="dxa"/>
            <w:tcBorders>
              <w:bottom w:val="single" w:sz="4" w:space="0" w:color="000000"/>
              <w:right w:val="single" w:sz="4" w:space="0" w:color="000000"/>
            </w:tcBorders>
            <w:vAlign w:val="bottom"/>
          </w:tcPr>
          <w:p>
            <w:pPr>
              <w:pStyle w:val="TAC"/>
              <w:rPr>
                <w:lang w:eastAsia="en-US"/>
              </w:rPr>
            </w:pPr>
            <w:r>
              <w:rPr>
                <w:lang w:eastAsia="en-US"/>
              </w:rPr>
              <w:t>30</w:t>
            </w:r>
          </w:p>
        </w:tc>
        <w:tc>
          <w:tcPr>
            <w:tcW w:w="1456" w:type="dxa"/>
            <w:tcBorders>
              <w:bottom w:val="single" w:sz="4" w:space="0" w:color="000000"/>
              <w:right w:val="single" w:sz="4" w:space="0" w:color="000000"/>
            </w:tcBorders>
            <w:vAlign w:val="bottom"/>
          </w:tcPr>
          <w:p>
            <w:pPr>
              <w:pStyle w:val="TAC"/>
              <w:rPr>
                <w:lang w:eastAsia="en-US"/>
              </w:rPr>
            </w:pPr>
            <w:r>
              <w:rPr>
                <w:lang w:eastAsia="en-US"/>
              </w:rPr>
              <w:t>0,62</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lang w:eastAsia="en-US"/>
              </w:rPr>
            </w:pPr>
            <w:r>
              <w:rPr>
                <w:lang w:eastAsia="en-US"/>
              </w:rPr>
              <w:t>1450,00</w:t>
            </w:r>
          </w:p>
        </w:tc>
        <w:tc>
          <w:tcPr>
            <w:tcW w:w="1455" w:type="dxa"/>
            <w:tcBorders>
              <w:bottom w:val="single" w:sz="4" w:space="0" w:color="000000"/>
              <w:right w:val="single" w:sz="4" w:space="0" w:color="000000"/>
            </w:tcBorders>
            <w:vAlign w:val="bottom"/>
          </w:tcPr>
          <w:p>
            <w:pPr>
              <w:pStyle w:val="TAC"/>
              <w:rPr>
                <w:lang w:eastAsia="en-US"/>
              </w:rPr>
            </w:pPr>
            <w:r>
              <w:rPr>
                <w:lang w:eastAsia="en-US"/>
              </w:rPr>
              <w:t>27,9</w:t>
            </w:r>
          </w:p>
        </w:tc>
        <w:tc>
          <w:tcPr>
            <w:tcW w:w="1456" w:type="dxa"/>
            <w:tcBorders>
              <w:bottom w:val="single" w:sz="4" w:space="0" w:color="000000"/>
              <w:right w:val="single" w:sz="4" w:space="0" w:color="000000"/>
            </w:tcBorders>
            <w:vAlign w:val="bottom"/>
          </w:tcPr>
          <w:p>
            <w:pPr>
              <w:pStyle w:val="TAC"/>
              <w:rPr>
                <w:lang w:eastAsia="en-US"/>
              </w:rPr>
            </w:pPr>
            <w:r>
              <w:rPr>
                <w:lang w:eastAsia="en-US"/>
              </w:rPr>
              <w:t>0,85</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lang w:eastAsia="en-US"/>
              </w:rPr>
            </w:pPr>
            <w:r>
              <w:rPr>
                <w:lang w:eastAsia="en-US"/>
              </w:rPr>
              <w:t>1575,00</w:t>
            </w:r>
          </w:p>
        </w:tc>
        <w:tc>
          <w:tcPr>
            <w:tcW w:w="1455" w:type="dxa"/>
            <w:tcBorders>
              <w:bottom w:val="single" w:sz="4" w:space="0" w:color="000000"/>
              <w:right w:val="single" w:sz="4" w:space="0" w:color="000000"/>
            </w:tcBorders>
            <w:vAlign w:val="bottom"/>
          </w:tcPr>
          <w:p>
            <w:pPr>
              <w:pStyle w:val="TAC"/>
              <w:rPr>
                <w:lang w:eastAsia="en-US"/>
              </w:rPr>
            </w:pPr>
            <w:r>
              <w:rPr>
                <w:lang w:eastAsia="en-US"/>
              </w:rPr>
              <w:t>27,5</w:t>
            </w:r>
          </w:p>
        </w:tc>
        <w:tc>
          <w:tcPr>
            <w:tcW w:w="1456" w:type="dxa"/>
            <w:tcBorders>
              <w:bottom w:val="single" w:sz="4" w:space="0" w:color="000000"/>
              <w:right w:val="single" w:sz="4" w:space="0" w:color="000000"/>
            </w:tcBorders>
            <w:vAlign w:val="bottom"/>
          </w:tcPr>
          <w:p>
            <w:pPr>
              <w:pStyle w:val="TAC"/>
              <w:rPr>
                <w:lang w:eastAsia="en-US"/>
              </w:rPr>
            </w:pPr>
            <w:r>
              <w:rPr>
                <w:lang w:eastAsia="en-US"/>
              </w:rPr>
              <w:t>0,9</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lang w:eastAsia="en-US"/>
              </w:rPr>
            </w:pPr>
            <w:r>
              <w:rPr>
                <w:lang w:eastAsia="en-US"/>
              </w:rPr>
              <w:t>1800,00</w:t>
            </w:r>
          </w:p>
        </w:tc>
        <w:tc>
          <w:tcPr>
            <w:tcW w:w="1455" w:type="dxa"/>
            <w:tcBorders>
              <w:bottom w:val="single" w:sz="4" w:space="0" w:color="000000"/>
              <w:right w:val="single" w:sz="4" w:space="0" w:color="000000"/>
            </w:tcBorders>
            <w:vAlign w:val="bottom"/>
          </w:tcPr>
          <w:p>
            <w:pPr>
              <w:pStyle w:val="TAC"/>
              <w:rPr>
                <w:lang w:eastAsia="en-US"/>
              </w:rPr>
            </w:pPr>
            <w:r>
              <w:rPr>
                <w:lang w:eastAsia="en-US"/>
              </w:rPr>
              <w:t>27</w:t>
            </w:r>
          </w:p>
        </w:tc>
        <w:tc>
          <w:tcPr>
            <w:tcW w:w="1456" w:type="dxa"/>
            <w:tcBorders>
              <w:bottom w:val="single" w:sz="4" w:space="0" w:color="000000"/>
              <w:right w:val="single" w:sz="4" w:space="0" w:color="000000"/>
            </w:tcBorders>
            <w:vAlign w:val="bottom"/>
          </w:tcPr>
          <w:p>
            <w:pPr>
              <w:pStyle w:val="TAC"/>
              <w:rPr>
                <w:lang w:eastAsia="en-US"/>
              </w:rPr>
            </w:pPr>
            <w:r>
              <w:rPr>
                <w:lang w:eastAsia="en-US"/>
              </w:rPr>
              <w:t>0,99</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lang w:eastAsia="en-US"/>
              </w:rPr>
            </w:pPr>
            <w:r>
              <w:rPr>
                <w:lang w:eastAsia="en-US"/>
              </w:rPr>
              <w:t>1900,00</w:t>
            </w:r>
          </w:p>
        </w:tc>
        <w:tc>
          <w:tcPr>
            <w:tcW w:w="1455" w:type="dxa"/>
            <w:tcBorders>
              <w:bottom w:val="single" w:sz="4" w:space="0" w:color="000000"/>
              <w:right w:val="single" w:sz="4" w:space="0" w:color="000000"/>
            </w:tcBorders>
            <w:vAlign w:val="bottom"/>
          </w:tcPr>
          <w:p>
            <w:pPr>
              <w:pStyle w:val="TAC"/>
              <w:rPr>
                <w:lang w:eastAsia="en-US"/>
              </w:rPr>
            </w:pPr>
            <w:r>
              <w:rPr>
                <w:lang w:eastAsia="en-US"/>
              </w:rPr>
              <w:t>26,7</w:t>
            </w:r>
          </w:p>
        </w:tc>
        <w:tc>
          <w:tcPr>
            <w:tcW w:w="1456" w:type="dxa"/>
            <w:tcBorders>
              <w:bottom w:val="single" w:sz="4" w:space="0" w:color="000000"/>
              <w:right w:val="single" w:sz="4" w:space="0" w:color="000000"/>
            </w:tcBorders>
            <w:vAlign w:val="bottom"/>
          </w:tcPr>
          <w:p>
            <w:pPr>
              <w:pStyle w:val="TAC"/>
              <w:rPr>
                <w:lang w:eastAsia="en-US"/>
              </w:rPr>
            </w:pPr>
            <w:r>
              <w:rPr>
                <w:lang w:eastAsia="en-US"/>
              </w:rPr>
              <w:t>1,04</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lang w:eastAsia="en-US"/>
              </w:rPr>
            </w:pPr>
            <w:r>
              <w:rPr>
                <w:lang w:eastAsia="en-US"/>
              </w:rPr>
              <w:t>1950,00</w:t>
            </w:r>
          </w:p>
        </w:tc>
        <w:tc>
          <w:tcPr>
            <w:tcW w:w="1455" w:type="dxa"/>
            <w:tcBorders>
              <w:bottom w:val="single" w:sz="4" w:space="0" w:color="000000"/>
              <w:right w:val="single" w:sz="4" w:space="0" w:color="000000"/>
            </w:tcBorders>
            <w:vAlign w:val="bottom"/>
          </w:tcPr>
          <w:p>
            <w:pPr>
              <w:pStyle w:val="TAC"/>
              <w:rPr>
                <w:lang w:eastAsia="en-US"/>
              </w:rPr>
            </w:pPr>
            <w:r>
              <w:rPr>
                <w:lang w:eastAsia="en-US"/>
              </w:rPr>
              <w:t>26,6</w:t>
            </w:r>
          </w:p>
        </w:tc>
        <w:tc>
          <w:tcPr>
            <w:tcW w:w="1456" w:type="dxa"/>
            <w:tcBorders>
              <w:bottom w:val="single" w:sz="4" w:space="0" w:color="000000"/>
              <w:right w:val="single" w:sz="4" w:space="0" w:color="000000"/>
            </w:tcBorders>
            <w:vAlign w:val="bottom"/>
          </w:tcPr>
          <w:p>
            <w:pPr>
              <w:pStyle w:val="TAC"/>
              <w:rPr>
                <w:lang w:eastAsia="en-US"/>
              </w:rPr>
            </w:pPr>
            <w:r>
              <w:rPr>
                <w:lang w:eastAsia="en-US"/>
              </w:rPr>
              <w:t>1,07</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lang w:eastAsia="en-US"/>
              </w:rPr>
            </w:pPr>
            <w:r>
              <w:rPr>
                <w:lang w:eastAsia="en-US"/>
              </w:rPr>
              <w:t>2000,00</w:t>
            </w:r>
          </w:p>
        </w:tc>
        <w:tc>
          <w:tcPr>
            <w:tcW w:w="1455" w:type="dxa"/>
            <w:tcBorders>
              <w:bottom w:val="single" w:sz="4" w:space="0" w:color="000000"/>
              <w:right w:val="single" w:sz="4" w:space="0" w:color="000000"/>
            </w:tcBorders>
            <w:vAlign w:val="bottom"/>
          </w:tcPr>
          <w:p>
            <w:pPr>
              <w:pStyle w:val="TAC"/>
              <w:rPr>
                <w:lang w:eastAsia="en-US"/>
              </w:rPr>
            </w:pPr>
            <w:r>
              <w:rPr>
                <w:lang w:eastAsia="en-US"/>
              </w:rPr>
              <w:t>26,5</w:t>
            </w:r>
          </w:p>
        </w:tc>
        <w:tc>
          <w:tcPr>
            <w:tcW w:w="1456" w:type="dxa"/>
            <w:tcBorders>
              <w:bottom w:val="single" w:sz="4" w:space="0" w:color="000000"/>
              <w:right w:val="single" w:sz="4" w:space="0" w:color="000000"/>
            </w:tcBorders>
            <w:vAlign w:val="bottom"/>
          </w:tcPr>
          <w:p>
            <w:pPr>
              <w:pStyle w:val="TAC"/>
              <w:rPr>
                <w:lang w:eastAsia="en-US"/>
              </w:rPr>
            </w:pPr>
            <w:r>
              <w:rPr>
                <w:lang w:eastAsia="en-US"/>
              </w:rPr>
              <w:t>1,09</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lang w:eastAsia="en-US"/>
              </w:rPr>
            </w:pPr>
            <w:r>
              <w:rPr>
                <w:lang w:eastAsia="en-US"/>
              </w:rPr>
              <w:t>2100,00</w:t>
            </w:r>
          </w:p>
        </w:tc>
        <w:tc>
          <w:tcPr>
            <w:tcW w:w="1455" w:type="dxa"/>
            <w:tcBorders>
              <w:bottom w:val="single" w:sz="4" w:space="0" w:color="000000"/>
              <w:right w:val="single" w:sz="4" w:space="0" w:color="000000"/>
            </w:tcBorders>
            <w:vAlign w:val="bottom"/>
          </w:tcPr>
          <w:p>
            <w:pPr>
              <w:pStyle w:val="TAC"/>
              <w:rPr>
                <w:lang w:eastAsia="en-US"/>
              </w:rPr>
            </w:pPr>
            <w:r>
              <w:rPr>
                <w:lang w:eastAsia="en-US"/>
              </w:rPr>
              <w:t>26,3</w:t>
            </w:r>
          </w:p>
        </w:tc>
        <w:tc>
          <w:tcPr>
            <w:tcW w:w="1456" w:type="dxa"/>
            <w:tcBorders>
              <w:bottom w:val="single" w:sz="4" w:space="0" w:color="000000"/>
              <w:right w:val="single" w:sz="4" w:space="0" w:color="000000"/>
            </w:tcBorders>
            <w:vAlign w:val="bottom"/>
          </w:tcPr>
          <w:p>
            <w:pPr>
              <w:pStyle w:val="TAC"/>
              <w:rPr>
                <w:lang w:eastAsia="en-US"/>
              </w:rPr>
            </w:pPr>
            <w:r>
              <w:rPr>
                <w:lang w:eastAsia="en-US"/>
              </w:rPr>
              <w:t>1,14</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lang w:eastAsia="en-US"/>
              </w:rPr>
            </w:pPr>
            <w:r>
              <w:rPr>
                <w:lang w:eastAsia="en-US"/>
              </w:rPr>
              <w:t>2450,00</w:t>
            </w:r>
          </w:p>
        </w:tc>
        <w:tc>
          <w:tcPr>
            <w:tcW w:w="1455" w:type="dxa"/>
            <w:tcBorders>
              <w:bottom w:val="single" w:sz="4" w:space="0" w:color="000000"/>
              <w:right w:val="single" w:sz="4" w:space="0" w:color="000000"/>
            </w:tcBorders>
            <w:vAlign w:val="bottom"/>
          </w:tcPr>
          <w:p>
            <w:pPr>
              <w:pStyle w:val="TAC"/>
              <w:rPr>
                <w:lang w:eastAsia="en-US"/>
              </w:rPr>
            </w:pPr>
            <w:r>
              <w:rPr>
                <w:lang w:eastAsia="en-US"/>
              </w:rPr>
              <w:t>25,7</w:t>
            </w:r>
          </w:p>
        </w:tc>
        <w:tc>
          <w:tcPr>
            <w:tcW w:w="1456" w:type="dxa"/>
            <w:tcBorders>
              <w:bottom w:val="single" w:sz="4" w:space="0" w:color="000000"/>
              <w:right w:val="single" w:sz="4" w:space="0" w:color="000000"/>
            </w:tcBorders>
            <w:vAlign w:val="bottom"/>
          </w:tcPr>
          <w:p>
            <w:pPr>
              <w:pStyle w:val="TAC"/>
              <w:rPr>
                <w:lang w:eastAsia="en-US"/>
              </w:rPr>
            </w:pPr>
            <w:r>
              <w:rPr>
                <w:lang w:eastAsia="en-US"/>
              </w:rPr>
              <w:t>1,32</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lang w:eastAsia="en-US"/>
              </w:rPr>
            </w:pPr>
            <w:r>
              <w:rPr>
                <w:lang w:eastAsia="en-US"/>
              </w:rPr>
              <w:t>3000,00</w:t>
            </w:r>
          </w:p>
        </w:tc>
        <w:tc>
          <w:tcPr>
            <w:tcW w:w="1455" w:type="dxa"/>
            <w:tcBorders>
              <w:bottom w:val="single" w:sz="4" w:space="0" w:color="000000"/>
              <w:right w:val="single" w:sz="4" w:space="0" w:color="000000"/>
            </w:tcBorders>
            <w:vAlign w:val="bottom"/>
          </w:tcPr>
          <w:p>
            <w:pPr>
              <w:pStyle w:val="TAC"/>
              <w:rPr>
                <w:lang w:eastAsia="en-US"/>
              </w:rPr>
            </w:pPr>
            <w:r>
              <w:rPr>
                <w:lang w:eastAsia="en-US"/>
              </w:rPr>
              <w:t>24,8</w:t>
            </w:r>
          </w:p>
        </w:tc>
        <w:tc>
          <w:tcPr>
            <w:tcW w:w="1456" w:type="dxa"/>
            <w:tcBorders>
              <w:bottom w:val="single" w:sz="4" w:space="0" w:color="000000"/>
              <w:right w:val="single" w:sz="4" w:space="0" w:color="000000"/>
            </w:tcBorders>
            <w:vAlign w:val="bottom"/>
          </w:tcPr>
          <w:p>
            <w:pPr>
              <w:pStyle w:val="TAC"/>
              <w:rPr>
                <w:lang w:eastAsia="en-US"/>
              </w:rPr>
            </w:pPr>
            <w:r>
              <w:rPr>
                <w:lang w:eastAsia="en-US"/>
              </w:rPr>
              <w:t>1,61</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lang w:eastAsia="en-US"/>
              </w:rPr>
            </w:pPr>
            <w:r>
              <w:rPr>
                <w:lang w:eastAsia="en-US"/>
              </w:rPr>
              <w:t>4000,00</w:t>
            </w:r>
          </w:p>
        </w:tc>
        <w:tc>
          <w:tcPr>
            <w:tcW w:w="1455" w:type="dxa"/>
            <w:tcBorders>
              <w:bottom w:val="single" w:sz="4" w:space="0" w:color="000000"/>
              <w:right w:val="single" w:sz="4" w:space="0" w:color="000000"/>
            </w:tcBorders>
            <w:vAlign w:val="bottom"/>
          </w:tcPr>
          <w:p>
            <w:pPr>
              <w:pStyle w:val="TAC"/>
              <w:rPr>
                <w:lang w:eastAsia="en-US"/>
              </w:rPr>
            </w:pPr>
            <w:r>
              <w:rPr>
                <w:lang w:eastAsia="en-US"/>
              </w:rPr>
              <w:t>23,5</w:t>
            </w:r>
          </w:p>
        </w:tc>
        <w:tc>
          <w:tcPr>
            <w:tcW w:w="1456" w:type="dxa"/>
            <w:tcBorders>
              <w:bottom w:val="single" w:sz="4" w:space="0" w:color="000000"/>
              <w:right w:val="single" w:sz="4" w:space="0" w:color="000000"/>
            </w:tcBorders>
            <w:vAlign w:val="bottom"/>
          </w:tcPr>
          <w:p>
            <w:pPr>
              <w:pStyle w:val="TAC"/>
              <w:rPr>
                <w:lang w:eastAsia="en-US"/>
              </w:rPr>
            </w:pPr>
            <w:r>
              <w:rPr>
                <w:lang w:eastAsia="en-US"/>
              </w:rPr>
              <w:t>2,18</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lang w:eastAsia="en-US"/>
              </w:rPr>
            </w:pPr>
            <w:r>
              <w:rPr>
                <w:lang w:eastAsia="en-US"/>
              </w:rPr>
              <w:t>5000,00</w:t>
            </w:r>
          </w:p>
        </w:tc>
        <w:tc>
          <w:tcPr>
            <w:tcW w:w="1455" w:type="dxa"/>
            <w:tcBorders>
              <w:bottom w:val="single" w:sz="4" w:space="0" w:color="000000"/>
              <w:right w:val="single" w:sz="4" w:space="0" w:color="000000"/>
            </w:tcBorders>
            <w:vAlign w:val="bottom"/>
          </w:tcPr>
          <w:p>
            <w:pPr>
              <w:pStyle w:val="TAC"/>
              <w:rPr>
                <w:lang w:eastAsia="en-US"/>
              </w:rPr>
            </w:pPr>
            <w:r>
              <w:rPr>
                <w:lang w:eastAsia="en-US"/>
              </w:rPr>
              <w:t>22,2</w:t>
            </w:r>
          </w:p>
        </w:tc>
        <w:tc>
          <w:tcPr>
            <w:tcW w:w="1456" w:type="dxa"/>
            <w:tcBorders>
              <w:bottom w:val="single" w:sz="4" w:space="0" w:color="000000"/>
              <w:right w:val="single" w:sz="4" w:space="0" w:color="000000"/>
            </w:tcBorders>
            <w:vAlign w:val="bottom"/>
          </w:tcPr>
          <w:p>
            <w:pPr>
              <w:pStyle w:val="TAC"/>
              <w:rPr>
                <w:lang w:eastAsia="en-US"/>
              </w:rPr>
            </w:pPr>
            <w:r>
              <w:rPr>
                <w:lang w:eastAsia="en-US"/>
              </w:rPr>
              <w:t>2,84</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lang w:eastAsia="en-US"/>
              </w:rPr>
            </w:pPr>
            <w:r>
              <w:rPr>
                <w:lang w:eastAsia="en-US"/>
              </w:rPr>
              <w:t>5200,00</w:t>
            </w:r>
          </w:p>
        </w:tc>
        <w:tc>
          <w:tcPr>
            <w:tcW w:w="1455" w:type="dxa"/>
            <w:tcBorders>
              <w:bottom w:val="single" w:sz="4" w:space="0" w:color="000000"/>
              <w:right w:val="single" w:sz="4" w:space="0" w:color="000000"/>
            </w:tcBorders>
            <w:vAlign w:val="bottom"/>
          </w:tcPr>
          <w:p>
            <w:pPr>
              <w:pStyle w:val="TAC"/>
              <w:rPr>
                <w:lang w:eastAsia="en-US"/>
              </w:rPr>
            </w:pPr>
            <w:r>
              <w:rPr>
                <w:lang w:eastAsia="en-US"/>
              </w:rPr>
              <w:t>22</w:t>
            </w:r>
          </w:p>
        </w:tc>
        <w:tc>
          <w:tcPr>
            <w:tcW w:w="1456" w:type="dxa"/>
            <w:tcBorders>
              <w:bottom w:val="single" w:sz="4" w:space="0" w:color="000000"/>
              <w:right w:val="single" w:sz="4" w:space="0" w:color="000000"/>
            </w:tcBorders>
            <w:vAlign w:val="bottom"/>
          </w:tcPr>
          <w:p>
            <w:pPr>
              <w:pStyle w:val="TAC"/>
              <w:rPr>
                <w:lang w:eastAsia="en-US"/>
              </w:rPr>
            </w:pPr>
            <w:r>
              <w:rPr>
                <w:lang w:eastAsia="en-US"/>
              </w:rPr>
              <w:t>2,98</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lang w:eastAsia="en-US"/>
              </w:rPr>
            </w:pPr>
            <w:r>
              <w:rPr>
                <w:lang w:eastAsia="en-US"/>
              </w:rPr>
              <w:t>5400,00</w:t>
            </w:r>
          </w:p>
        </w:tc>
        <w:tc>
          <w:tcPr>
            <w:tcW w:w="1455" w:type="dxa"/>
            <w:tcBorders>
              <w:bottom w:val="single" w:sz="4" w:space="0" w:color="000000"/>
              <w:right w:val="single" w:sz="4" w:space="0" w:color="000000"/>
            </w:tcBorders>
            <w:vAlign w:val="bottom"/>
          </w:tcPr>
          <w:p>
            <w:pPr>
              <w:pStyle w:val="TAC"/>
              <w:rPr>
                <w:lang w:eastAsia="en-US"/>
              </w:rPr>
            </w:pPr>
            <w:r>
              <w:rPr>
                <w:lang w:eastAsia="en-US"/>
              </w:rPr>
              <w:t>21,7</w:t>
            </w:r>
          </w:p>
        </w:tc>
        <w:tc>
          <w:tcPr>
            <w:tcW w:w="1456" w:type="dxa"/>
            <w:tcBorders>
              <w:bottom w:val="single" w:sz="4" w:space="0" w:color="000000"/>
              <w:right w:val="single" w:sz="4" w:space="0" w:color="000000"/>
            </w:tcBorders>
            <w:vAlign w:val="bottom"/>
          </w:tcPr>
          <w:p>
            <w:pPr>
              <w:pStyle w:val="TAC"/>
              <w:rPr>
                <w:lang w:eastAsia="en-US"/>
              </w:rPr>
            </w:pPr>
            <w:r>
              <w:rPr>
                <w:lang w:eastAsia="en-US"/>
              </w:rPr>
              <w:t>3,11</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lang w:eastAsia="en-US"/>
              </w:rPr>
            </w:pPr>
            <w:r>
              <w:rPr>
                <w:lang w:eastAsia="en-US"/>
              </w:rPr>
              <w:t>5600,00</w:t>
            </w:r>
          </w:p>
        </w:tc>
        <w:tc>
          <w:tcPr>
            <w:tcW w:w="1455" w:type="dxa"/>
            <w:tcBorders>
              <w:bottom w:val="single" w:sz="4" w:space="0" w:color="000000"/>
              <w:right w:val="single" w:sz="4" w:space="0" w:color="000000"/>
            </w:tcBorders>
            <w:vAlign w:val="bottom"/>
          </w:tcPr>
          <w:p>
            <w:pPr>
              <w:pStyle w:val="TAC"/>
              <w:rPr>
                <w:lang w:eastAsia="en-US"/>
              </w:rPr>
            </w:pPr>
            <w:r>
              <w:rPr>
                <w:lang w:eastAsia="en-US"/>
              </w:rPr>
              <w:t>21,4</w:t>
            </w:r>
          </w:p>
        </w:tc>
        <w:tc>
          <w:tcPr>
            <w:tcW w:w="1456" w:type="dxa"/>
            <w:tcBorders>
              <w:bottom w:val="single" w:sz="4" w:space="0" w:color="000000"/>
              <w:right w:val="single" w:sz="4" w:space="0" w:color="000000"/>
            </w:tcBorders>
            <w:vAlign w:val="bottom"/>
          </w:tcPr>
          <w:p>
            <w:pPr>
              <w:pStyle w:val="TAC"/>
              <w:rPr>
                <w:lang w:eastAsia="en-US"/>
              </w:rPr>
            </w:pPr>
            <w:r>
              <w:rPr>
                <w:lang w:eastAsia="en-US"/>
              </w:rPr>
              <w:t>3,25</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lang w:eastAsia="en-US"/>
              </w:rPr>
            </w:pPr>
            <w:r>
              <w:rPr>
                <w:lang w:eastAsia="en-US"/>
              </w:rPr>
              <w:t>5800,00</w:t>
            </w:r>
          </w:p>
        </w:tc>
        <w:tc>
          <w:tcPr>
            <w:tcW w:w="1455" w:type="dxa"/>
            <w:tcBorders>
              <w:bottom w:val="single" w:sz="4" w:space="0" w:color="000000"/>
              <w:right w:val="single" w:sz="4" w:space="0" w:color="000000"/>
            </w:tcBorders>
            <w:vAlign w:val="bottom"/>
          </w:tcPr>
          <w:p>
            <w:pPr>
              <w:pStyle w:val="TAC"/>
              <w:rPr>
                <w:lang w:eastAsia="en-US"/>
              </w:rPr>
            </w:pPr>
            <w:r>
              <w:rPr>
                <w:lang w:eastAsia="en-US"/>
              </w:rPr>
              <w:t>21,2</w:t>
            </w:r>
          </w:p>
        </w:tc>
        <w:tc>
          <w:tcPr>
            <w:tcW w:w="1456" w:type="dxa"/>
            <w:tcBorders>
              <w:bottom w:val="single" w:sz="4" w:space="0" w:color="000000"/>
              <w:right w:val="single" w:sz="4" w:space="0" w:color="000000"/>
            </w:tcBorders>
            <w:vAlign w:val="bottom"/>
          </w:tcPr>
          <w:p>
            <w:pPr>
              <w:pStyle w:val="TAC"/>
              <w:rPr>
                <w:lang w:eastAsia="en-US"/>
              </w:rPr>
            </w:pPr>
            <w:r>
              <w:rPr>
                <w:lang w:eastAsia="en-US"/>
              </w:rPr>
              <w:t>3,38</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lang w:eastAsia="en-US"/>
              </w:rPr>
            </w:pPr>
            <w:r>
              <w:rPr>
                <w:lang w:eastAsia="en-US"/>
              </w:rPr>
              <w:t>6000,00</w:t>
            </w:r>
          </w:p>
        </w:tc>
        <w:tc>
          <w:tcPr>
            <w:tcW w:w="1455" w:type="dxa"/>
            <w:tcBorders>
              <w:bottom w:val="single" w:sz="4" w:space="0" w:color="000000"/>
              <w:right w:val="single" w:sz="4" w:space="0" w:color="000000"/>
            </w:tcBorders>
            <w:vAlign w:val="bottom"/>
          </w:tcPr>
          <w:p>
            <w:pPr>
              <w:pStyle w:val="TAC"/>
              <w:rPr>
                <w:lang w:eastAsia="en-US"/>
              </w:rPr>
            </w:pPr>
            <w:r>
              <w:rPr>
                <w:lang w:eastAsia="en-US"/>
              </w:rPr>
              <w:t>20,9</w:t>
            </w:r>
          </w:p>
        </w:tc>
        <w:tc>
          <w:tcPr>
            <w:tcW w:w="1456" w:type="dxa"/>
            <w:tcBorders>
              <w:bottom w:val="single" w:sz="4" w:space="0" w:color="000000"/>
              <w:right w:val="single" w:sz="4" w:space="0" w:color="000000"/>
            </w:tcBorders>
            <w:vAlign w:val="bottom"/>
          </w:tcPr>
          <w:p>
            <w:pPr>
              <w:pStyle w:val="TAC"/>
              <w:rPr>
                <w:lang w:eastAsia="en-US"/>
              </w:rPr>
            </w:pPr>
            <w:r>
              <w:rPr>
                <w:lang w:eastAsia="en-US"/>
              </w:rPr>
              <w:t>3,52</w:t>
            </w:r>
          </w:p>
        </w:tc>
      </w:tr>
    </w:tbl>
    <w:p>
      <w:pPr>
        <w:pStyle w:val="Normal"/>
        <w:rPr/>
      </w:pPr>
      <w:r>
        <w:rPr/>
      </w:r>
    </w:p>
    <w:p>
      <w:pPr>
        <w:pStyle w:val="Heading3"/>
        <w:rPr/>
      </w:pPr>
      <w:bookmarkStart w:id="413" w:name="__RefHeading___Toc68601345"/>
      <w:bookmarkEnd w:id="413"/>
      <w:r>
        <w:rPr/>
        <w:t>A.2.2.4</w:t>
        <w:tab/>
        <w:t>Hand phantom grips</w:t>
      </w:r>
    </w:p>
    <w:p>
      <w:pPr>
        <w:pStyle w:val="Normal"/>
        <w:rPr/>
      </w:pPr>
      <w:r>
        <w:rPr>
          <w:rFonts w:eastAsia="MS Mincho;ＭＳ 明朝"/>
          <w:lang w:eastAsia="zh-CN"/>
        </w:rPr>
        <w:t xml:space="preserve">Hand phantom grips are based on human factor studies that were done to record how a phone of certain form factor was gripped by a large sample of people. Based on the grip study findings, three grip designs are chosen for 40- to 56-mm wide devices: one for mono-block devices used in a voice call, another for fold devices in a voice call, and a third for “data mode” grip, simulating for example web browsing, Figure </w:t>
      </w:r>
      <w:r>
        <w:rPr/>
        <w:t xml:space="preserve">A.2.2.4-1 </w:t>
      </w:r>
      <w:r>
        <w:rPr>
          <w:rFonts w:eastAsia="MS Mincho;ＭＳ 明朝"/>
          <w:lang w:eastAsia="zh-CN"/>
        </w:rPr>
        <w:t xml:space="preserve">shows mono-block and fold grips [20]. Grip studies showed that devices wider than 56 mm (generally PDA and touch screen devices) could be conveniently accommodated by a single grip to cover primary use cases, voice calls and data browsing [20]. </w:t>
      </w:r>
    </w:p>
    <w:p>
      <w:pPr>
        <w:pStyle w:val="Normal"/>
        <w:rPr>
          <w:rFonts w:eastAsia="MS Mincho;ＭＳ 明朝"/>
          <w:lang w:eastAsia="zh-CN"/>
        </w:rPr>
      </w:pPr>
      <w:r>
        <w:rPr>
          <w:rFonts w:eastAsia="MS Mincho;ＭＳ 明朝"/>
          <w:lang w:eastAsia="zh-CN"/>
        </w:rPr>
        <w:t>Each grip is used with a spacer that is designed for repeatable positioning of terminals to the grips. The material for the monoblock palm spacer shall be hollow with a wall thickness less than 2 mm and a dielectric constant of less than 5.0 and a loss tangent of less than 0.05 or it shall be solid with a dielectric constant of less than 1.3 and a loss tangent of less than 0.003. Touch fastener material may be used to affix the DUT to the palm spacer.</w:t>
      </w:r>
    </w:p>
    <w:p>
      <w:pPr>
        <w:pStyle w:val="Normal"/>
        <w:rPr>
          <w:rFonts w:eastAsia="MS Mincho;ＭＳ 明朝"/>
          <w:lang w:eastAsia="zh-CN"/>
        </w:rPr>
      </w:pPr>
      <w:r>
        <w:rPr>
          <w:rFonts w:eastAsia="MS Mincho;ＭＳ 明朝"/>
          <w:lang w:eastAsia="zh-CN"/>
        </w:rPr>
        <w:t>Figures A.2.2.4-1 and A.2.2.4-2 below illustrate the right-handed and left-handed mono-block and fold grips, respectively.</w:t>
      </w:r>
    </w:p>
    <w:p>
      <w:pPr>
        <w:pStyle w:val="TH"/>
        <w:rPr/>
      </w:pPr>
      <w:r>
        <w:rPr/>
        <w:drawing>
          <wp:inline distT="0" distB="0" distL="0" distR="0">
            <wp:extent cx="5425440" cy="2555240"/>
            <wp:effectExtent l="0" t="0" r="0" b="0"/>
            <wp:docPr id="62"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3" descr=""/>
                    <pic:cNvPicPr>
                      <a:picLocks noChangeAspect="1" noChangeArrowheads="1"/>
                    </pic:cNvPicPr>
                  </pic:nvPicPr>
                  <pic:blipFill>
                    <a:blip r:embed="rId54"/>
                    <a:srcRect l="-3" t="18030" r="-3" b="23091"/>
                    <a:stretch>
                      <a:fillRect/>
                    </a:stretch>
                  </pic:blipFill>
                  <pic:spPr bwMode="auto">
                    <a:xfrm>
                      <a:off x="0" y="0"/>
                      <a:ext cx="5425440" cy="2555240"/>
                    </a:xfrm>
                    <a:prstGeom prst="rect">
                      <a:avLst/>
                    </a:prstGeom>
                  </pic:spPr>
                </pic:pic>
              </a:graphicData>
            </a:graphic>
          </wp:inline>
        </w:drawing>
      </w:r>
    </w:p>
    <w:p>
      <w:pPr>
        <w:pStyle w:val="TF"/>
        <w:rPr/>
      </w:pPr>
      <w:r>
        <w:rPr/>
        <w:t>Figure A.2.2.4-1: Right-handed grips defined to hold mono-block and fold UEs during voice calls</w:t>
      </w:r>
    </w:p>
    <w:p>
      <w:pPr>
        <w:pStyle w:val="Normal"/>
        <w:rPr/>
      </w:pPr>
      <w:r>
        <w:rPr/>
      </w:r>
    </w:p>
    <w:p>
      <w:pPr>
        <w:pStyle w:val="TH"/>
        <w:rPr/>
      </w:pPr>
      <w:r>
        <w:rPr/>
        <w:drawing>
          <wp:inline distT="0" distB="0" distL="0" distR="0">
            <wp:extent cx="2404745" cy="1591945"/>
            <wp:effectExtent l="0" t="0" r="0" b="0"/>
            <wp:docPr id="63"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4" descr=""/>
                    <pic:cNvPicPr>
                      <a:picLocks noChangeAspect="1" noChangeArrowheads="1"/>
                    </pic:cNvPicPr>
                  </pic:nvPicPr>
                  <pic:blipFill>
                    <a:blip r:embed="rId55"/>
                    <a:srcRect l="-7" t="-10" r="-7" b="-10"/>
                    <a:stretch>
                      <a:fillRect/>
                    </a:stretch>
                  </pic:blipFill>
                  <pic:spPr bwMode="auto">
                    <a:xfrm>
                      <a:off x="0" y="0"/>
                      <a:ext cx="2404745" cy="1591945"/>
                    </a:xfrm>
                    <a:prstGeom prst="rect">
                      <a:avLst/>
                    </a:prstGeom>
                  </pic:spPr>
                </pic:pic>
              </a:graphicData>
            </a:graphic>
          </wp:inline>
        </w:drawing>
      </w:r>
      <w:r>
        <w:rPr/>
        <w:drawing>
          <wp:inline distT="0" distB="0" distL="0" distR="0">
            <wp:extent cx="2404745" cy="1591945"/>
            <wp:effectExtent l="0" t="0" r="0" b="0"/>
            <wp:docPr id="64"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5" descr=""/>
                    <pic:cNvPicPr>
                      <a:picLocks noChangeAspect="1" noChangeArrowheads="1"/>
                    </pic:cNvPicPr>
                  </pic:nvPicPr>
                  <pic:blipFill>
                    <a:blip r:embed="rId56"/>
                    <a:srcRect l="-7" t="-10" r="-7" b="-10"/>
                    <a:stretch>
                      <a:fillRect/>
                    </a:stretch>
                  </pic:blipFill>
                  <pic:spPr bwMode="auto">
                    <a:xfrm>
                      <a:off x="0" y="0"/>
                      <a:ext cx="2404745" cy="1591945"/>
                    </a:xfrm>
                    <a:prstGeom prst="rect">
                      <a:avLst/>
                    </a:prstGeom>
                  </pic:spPr>
                </pic:pic>
              </a:graphicData>
            </a:graphic>
          </wp:inline>
        </w:drawing>
      </w:r>
    </w:p>
    <w:p>
      <w:pPr>
        <w:pStyle w:val="TF"/>
        <w:rPr/>
      </w:pPr>
      <w:r>
        <w:rPr/>
        <w:t>Figure A.2.2.4-2: Left-handed grips defined to hold mono-block and fold UEs during voice calls</w:t>
      </w:r>
    </w:p>
    <w:p>
      <w:pPr>
        <w:pStyle w:val="Normal"/>
        <w:rPr>
          <w:rFonts w:eastAsia="MS Mincho;ＭＳ 明朝"/>
          <w:lang w:eastAsia="zh-CN"/>
        </w:rPr>
      </w:pPr>
      <w:r>
        <w:rPr>
          <w:rFonts w:eastAsia="MS Mincho;ＭＳ 明朝"/>
          <w:lang w:eastAsia="zh-CN"/>
        </w:rPr>
      </w:r>
    </w:p>
    <w:p>
      <w:pPr>
        <w:pStyle w:val="Normal"/>
        <w:rPr>
          <w:rFonts w:eastAsia="MS Mincho;ＭＳ 明朝"/>
          <w:lang w:eastAsia="zh-CN"/>
        </w:rPr>
      </w:pPr>
      <w:r>
        <w:rPr>
          <w:rFonts w:eastAsia="MS Mincho;ＭＳ 明朝"/>
          <w:lang w:eastAsia="zh-CN"/>
        </w:rPr>
        <w:t>Figures A.2.2.4-3 and A.2.2.4-4 below illustrate the right-handed and left-handed data browsing with narrow UEs and PDA grips, respectively.</w:t>
      </w:r>
    </w:p>
    <w:p>
      <w:pPr>
        <w:pStyle w:val="TH"/>
        <w:rPr/>
      </w:pPr>
      <w:r>
        <w:rPr/>
        <w:drawing>
          <wp:inline distT="0" distB="0" distL="0" distR="0">
            <wp:extent cx="5742305" cy="2174875"/>
            <wp:effectExtent l="0" t="0" r="0" b="0"/>
            <wp:docPr id="65"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6" descr=""/>
                    <pic:cNvPicPr>
                      <a:picLocks noChangeAspect="1" noChangeArrowheads="1"/>
                    </pic:cNvPicPr>
                  </pic:nvPicPr>
                  <pic:blipFill>
                    <a:blip r:embed="rId57"/>
                    <a:srcRect l="-3" t="23825" r="-3" b="28982"/>
                    <a:stretch>
                      <a:fillRect/>
                    </a:stretch>
                  </pic:blipFill>
                  <pic:spPr bwMode="auto">
                    <a:xfrm>
                      <a:off x="0" y="0"/>
                      <a:ext cx="5742305" cy="2174875"/>
                    </a:xfrm>
                    <a:prstGeom prst="rect">
                      <a:avLst/>
                    </a:prstGeom>
                  </pic:spPr>
                </pic:pic>
              </a:graphicData>
            </a:graphic>
          </wp:inline>
        </w:drawing>
      </w:r>
    </w:p>
    <w:p>
      <w:pPr>
        <w:pStyle w:val="TF"/>
        <w:rPr/>
      </w:pPr>
      <w:r>
        <w:rPr/>
        <w:t>Figure A.2.2.4-3: Right-handed grip defined for data browsing with narrow UEs and grip for holding PDA type of devices</w:t>
      </w:r>
    </w:p>
    <w:p>
      <w:pPr>
        <w:pStyle w:val="Normal"/>
        <w:rPr/>
      </w:pPr>
      <w:r>
        <w:rPr/>
      </w:r>
    </w:p>
    <w:p>
      <w:pPr>
        <w:pStyle w:val="TH"/>
        <w:rPr/>
      </w:pPr>
      <w:r>
        <w:rPr/>
        <w:drawing>
          <wp:inline distT="0" distB="0" distL="0" distR="0">
            <wp:extent cx="2404745" cy="1591945"/>
            <wp:effectExtent l="0" t="0" r="0" b="0"/>
            <wp:docPr id="66"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7" descr=""/>
                    <pic:cNvPicPr>
                      <a:picLocks noChangeAspect="1" noChangeArrowheads="1"/>
                    </pic:cNvPicPr>
                  </pic:nvPicPr>
                  <pic:blipFill>
                    <a:blip r:embed="rId58"/>
                    <a:srcRect l="-7" t="-10" r="-7" b="-10"/>
                    <a:stretch>
                      <a:fillRect/>
                    </a:stretch>
                  </pic:blipFill>
                  <pic:spPr bwMode="auto">
                    <a:xfrm>
                      <a:off x="0" y="0"/>
                      <a:ext cx="2404745" cy="1591945"/>
                    </a:xfrm>
                    <a:prstGeom prst="rect">
                      <a:avLst/>
                    </a:prstGeom>
                  </pic:spPr>
                </pic:pic>
              </a:graphicData>
            </a:graphic>
          </wp:inline>
        </w:drawing>
      </w:r>
      <w:r>
        <w:rPr/>
        <w:drawing>
          <wp:inline distT="0" distB="0" distL="0" distR="0">
            <wp:extent cx="2404745" cy="1591945"/>
            <wp:effectExtent l="0" t="0" r="0" b="0"/>
            <wp:docPr id="67"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8" descr=""/>
                    <pic:cNvPicPr>
                      <a:picLocks noChangeAspect="1" noChangeArrowheads="1"/>
                    </pic:cNvPicPr>
                  </pic:nvPicPr>
                  <pic:blipFill>
                    <a:blip r:embed="rId59"/>
                    <a:srcRect l="-7" t="-10" r="-7" b="-10"/>
                    <a:stretch>
                      <a:fillRect/>
                    </a:stretch>
                  </pic:blipFill>
                  <pic:spPr bwMode="auto">
                    <a:xfrm>
                      <a:off x="0" y="0"/>
                      <a:ext cx="2404745" cy="1591945"/>
                    </a:xfrm>
                    <a:prstGeom prst="rect">
                      <a:avLst/>
                    </a:prstGeom>
                  </pic:spPr>
                </pic:pic>
              </a:graphicData>
            </a:graphic>
          </wp:inline>
        </w:drawing>
      </w:r>
    </w:p>
    <w:p>
      <w:pPr>
        <w:pStyle w:val="TF"/>
        <w:rPr/>
      </w:pPr>
      <w:r>
        <w:rPr/>
        <w:t>Figure A.2.2.4-4: Left-handed grip defined for data browsing with narrow UEs and grip for holding PDA type of devices</w:t>
      </w:r>
    </w:p>
    <w:p>
      <w:pPr>
        <w:pStyle w:val="Normal"/>
        <w:rPr/>
      </w:pPr>
      <w:r>
        <w:rPr/>
      </w:r>
    </w:p>
    <w:p>
      <w:pPr>
        <w:pStyle w:val="Normal"/>
        <w:rPr/>
      </w:pPr>
      <w:r>
        <w:rPr/>
        <w:t>CAD models in Table A.2.2.4-1 define exact finger locations and spacers for the specified grips. The files are available in a subfolder of the archive area for this specification.</w:t>
      </w:r>
    </w:p>
    <w:p>
      <w:pPr>
        <w:pStyle w:val="TH"/>
        <w:rPr/>
      </w:pPr>
      <w:r>
        <w:rPr/>
        <w:t>Table A.2.2.4-1: CAD models for specified hand phantom grips and spacers</w:t>
      </w:r>
    </w:p>
    <w:tbl>
      <w:tblPr>
        <w:tblW w:w="9855" w:type="dxa"/>
        <w:jc w:val="center"/>
        <w:tblInd w:w="0" w:type="dxa"/>
        <w:tblLayout w:type="fixed"/>
        <w:tblCellMar>
          <w:top w:w="0" w:type="dxa"/>
          <w:left w:w="108" w:type="dxa"/>
          <w:bottom w:w="0" w:type="dxa"/>
          <w:right w:w="108" w:type="dxa"/>
        </w:tblCellMar>
      </w:tblPr>
      <w:tblGrid>
        <w:gridCol w:w="3285"/>
        <w:gridCol w:w="3285"/>
        <w:gridCol w:w="3285"/>
      </w:tblGrid>
      <w:tr>
        <w:trPr>
          <w:trHeight w:val="543" w:hRule="atLeast"/>
        </w:trPr>
        <w:tc>
          <w:tcPr>
            <w:tcW w:w="3285"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Hand phantom grip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Grip CAD file name</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Grip spacer file name</w:t>
            </w:r>
          </w:p>
        </w:tc>
      </w:tr>
      <w:tr>
        <w:trPr/>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Right Mono-block grip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25914-b10_CAD_hand1.zip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25914-b10_CAD_spacer1.zip</w:t>
            </w:r>
          </w:p>
        </w:tc>
      </w:tr>
      <w:tr>
        <w:trPr/>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Right Fold grip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25914-b10_CAD_hand2.zip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25914-b10_CAD_spacer2.zip</w:t>
            </w:r>
          </w:p>
        </w:tc>
      </w:tr>
      <w:tr>
        <w:trPr/>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Right Narrow data browsing grip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25914-b10_CAD_hand3.zip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25914-b10_CAD_spacer3.zip</w:t>
            </w:r>
          </w:p>
        </w:tc>
      </w:tr>
      <w:tr>
        <w:trPr/>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Right PDA grip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szCs w:val="18"/>
                <w:lang w:eastAsia="en-US"/>
              </w:rPr>
              <w:t>25914-b10_CAD_hand4.zip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25914-b10_CAD_spacer4.zip</w:t>
            </w:r>
          </w:p>
        </w:tc>
      </w:tr>
      <w:tr>
        <w:trPr/>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Left Mono-block grip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25914-b10_CAD_hand5.zip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25914-b10_CAD_spacer5.zip</w:t>
            </w:r>
          </w:p>
        </w:tc>
      </w:tr>
      <w:tr>
        <w:trPr/>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Left Fold grip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25914-b10_CAD_hand6.zip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25914-b10_CAD_spacer6.zip</w:t>
            </w:r>
          </w:p>
        </w:tc>
      </w:tr>
      <w:tr>
        <w:trPr/>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Left Narrow data browsing grip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25914-b10_CAD_hand7.zip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25914-b10_CAD_spacer7.zip</w:t>
            </w:r>
          </w:p>
        </w:tc>
      </w:tr>
      <w:tr>
        <w:trPr/>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Left PDA grip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25914-b10_CAD_hand8.zip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25914-b10_CAD_spacer8.zip</w:t>
            </w:r>
          </w:p>
        </w:tc>
      </w:tr>
    </w:tbl>
    <w:p>
      <w:pPr>
        <w:pStyle w:val="Normal"/>
        <w:rPr/>
      </w:pPr>
      <w:r>
        <w:rPr/>
      </w:r>
    </w:p>
    <w:p>
      <w:pPr>
        <w:pStyle w:val="Heading4"/>
        <w:ind w:left="1418" w:hanging="1418"/>
        <w:rPr/>
      </w:pPr>
      <w:bookmarkStart w:id="414" w:name="__RefHeading___Toc68601346"/>
      <w:bookmarkEnd w:id="414"/>
      <w:r>
        <w:rPr>
          <w:lang w:eastAsia="zh-CN"/>
        </w:rPr>
        <w:t>A.2.2.5</w:t>
      </w:r>
      <w:r>
        <w:rPr>
          <w:szCs w:val="24"/>
        </w:rPr>
        <w:tab/>
      </w:r>
      <w:r>
        <w:rPr>
          <w:lang w:eastAsia="zh-CN"/>
        </w:rPr>
        <w:t>Mechanical Requirements of Hand Phantoms</w:t>
      </w:r>
    </w:p>
    <w:p>
      <w:pPr>
        <w:pStyle w:val="Normal"/>
        <w:rPr/>
      </w:pPr>
      <w:r>
        <w:rPr>
          <w:rFonts w:eastAsia="MS Mincho;ＭＳ 明朝"/>
          <w:lang w:eastAsia="zh-CN"/>
        </w:rPr>
        <w:t>The hand phantoms shall be constructed of a material that is sufficiently flexible to accommodate the range of devices specified in A.2.2.4. The material shall also be made sufficiently stiff that the hand grip remains constant under rotation.</w:t>
      </w:r>
    </w:p>
    <w:p>
      <w:pPr>
        <w:pStyle w:val="Normal"/>
        <w:rPr/>
      </w:pPr>
      <w:r>
        <w:rPr>
          <w:rFonts w:eastAsia="MS Mincho;ＭＳ 明朝"/>
          <w:lang w:eastAsia="zh-CN"/>
        </w:rPr>
        <w:t>Adequate material stiffness of the hand phantom is necessary to maintain high repeatability of OTA measurements. The stiffness of the hand material shall be verified by measuring the deflection of the index finger of a moulded monoblock hand phantom under a given weight. Test procedure is following;</w:t>
      </w:r>
    </w:p>
    <w:p>
      <w:pPr>
        <w:pStyle w:val="B1"/>
        <w:rPr>
          <w:rFonts w:eastAsia="MS Mincho;ＭＳ 明朝"/>
          <w:lang w:eastAsia="zh-CN"/>
        </w:rPr>
      </w:pPr>
      <w:r>
        <w:rPr>
          <w:rFonts w:eastAsia="MS Mincho;ＭＳ 明朝"/>
          <w:lang w:eastAsia="zh-CN"/>
        </w:rPr>
        <w:t>1. Position the hand phantom such that the index finger is horizontal.</w:t>
      </w:r>
    </w:p>
    <w:p>
      <w:pPr>
        <w:pStyle w:val="B1"/>
        <w:rPr/>
      </w:pPr>
      <w:r>
        <w:rPr>
          <w:rFonts w:eastAsia="MS Mincho;ＭＳ 明朝"/>
          <w:lang w:eastAsia="zh-CN"/>
        </w:rPr>
        <w:t>2. Apply an indicator needle that extends horizontally 55 mm ±1 mm beyond the tip of the index finger.</w:t>
      </w:r>
    </w:p>
    <w:p>
      <w:pPr>
        <w:pStyle w:val="B1"/>
        <w:rPr>
          <w:rFonts w:eastAsia="MS Mincho;ＭＳ 明朝"/>
          <w:lang w:eastAsia="zh-CN"/>
        </w:rPr>
      </w:pPr>
      <w:r>
        <w:rPr>
          <w:rFonts w:eastAsia="MS Mincho;ＭＳ 明朝"/>
          <w:lang w:eastAsia="zh-CN"/>
        </w:rPr>
        <w:t>3. Record the position of the indicator needle on a vertical scale.</w:t>
      </w:r>
    </w:p>
    <w:p>
      <w:pPr>
        <w:pStyle w:val="B1"/>
        <w:rPr/>
      </w:pPr>
      <w:r>
        <w:rPr>
          <w:rFonts w:eastAsia="MS Mincho;ＭＳ 明朝"/>
          <w:lang w:eastAsia="zh-CN"/>
        </w:rPr>
        <w:t>4. Apply 20 g ±0.2 g of weight centred 6 mm ±0.5 mm from the tip of the index finger towards the hand.</w:t>
      </w:r>
    </w:p>
    <w:p>
      <w:pPr>
        <w:pStyle w:val="B1"/>
        <w:rPr/>
      </w:pPr>
      <w:r>
        <w:rPr>
          <w:rFonts w:eastAsia="MS Mincho;ＭＳ 明朝"/>
          <w:lang w:eastAsia="zh-CN"/>
        </w:rPr>
        <w:t>5. Record the new position of the indicator needle on a vertical scale.</w:t>
      </w:r>
    </w:p>
    <w:p>
      <w:pPr>
        <w:pStyle w:val="Normal"/>
        <w:rPr/>
      </w:pPr>
      <w:r>
        <w:rPr>
          <w:rFonts w:eastAsia="MS Mincho;ＭＳ 明朝"/>
          <w:lang w:eastAsia="zh-CN"/>
        </w:rPr>
        <w:t xml:space="preserve">The deflection of the index finger of the hand phantom shall be between 2 and 5 mm. Deflection less than 2 mm per 20 g weight indicates a material that is too rigid. Deflection greater than 5 mm per 20 g weight indicates a material that is too soft. </w:t>
      </w:r>
    </w:p>
    <w:p>
      <w:pPr>
        <w:pStyle w:val="TH"/>
        <w:rPr>
          <w:rFonts w:eastAsia="MS Mincho;ＭＳ 明朝"/>
        </w:rPr>
      </w:pPr>
      <w:r>
        <w:rPr>
          <w:rFonts w:eastAsia="MS Mincho;ＭＳ 明朝"/>
        </w:rPr>
        <w:drawing>
          <wp:inline distT="0" distB="0" distL="0" distR="0">
            <wp:extent cx="2858770" cy="1156335"/>
            <wp:effectExtent l="0" t="0" r="0" b="0"/>
            <wp:docPr id="6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 descr=""/>
                    <pic:cNvPicPr>
                      <a:picLocks noChangeAspect="1" noChangeArrowheads="1"/>
                    </pic:cNvPicPr>
                  </pic:nvPicPr>
                  <pic:blipFill>
                    <a:blip r:embed="rId60"/>
                    <a:srcRect l="53095" t="-11" r="-2" b="-11"/>
                    <a:stretch>
                      <a:fillRect/>
                    </a:stretch>
                  </pic:blipFill>
                  <pic:spPr bwMode="auto">
                    <a:xfrm>
                      <a:off x="0" y="0"/>
                      <a:ext cx="2858770" cy="1156335"/>
                    </a:xfrm>
                    <a:prstGeom prst="rect">
                      <a:avLst/>
                    </a:prstGeom>
                  </pic:spPr>
                </pic:pic>
              </a:graphicData>
            </a:graphic>
          </wp:inline>
        </w:drawing>
      </w:r>
    </w:p>
    <w:p>
      <w:pPr>
        <w:pStyle w:val="TF"/>
        <w:rPr>
          <w:rFonts w:eastAsia="MS Mincho;ＭＳ 明朝"/>
          <w:lang w:eastAsia="zh-CN"/>
        </w:rPr>
      </w:pPr>
      <w:r>
        <w:rPr/>
        <w:t>Figure A.2.2.5-1: Hand phantom stiffness test</w:t>
      </w:r>
    </w:p>
    <w:p>
      <w:pPr>
        <w:pStyle w:val="Normal"/>
        <w:keepNext w:val="true"/>
        <w:rPr>
          <w:rFonts w:eastAsia="MS Mincho;ＭＳ 明朝"/>
          <w:lang w:eastAsia="zh-CN"/>
        </w:rPr>
      </w:pPr>
      <w:r>
        <w:rPr>
          <w:rFonts w:eastAsia="MS Mincho;ＭＳ 明朝"/>
          <w:lang w:eastAsia="zh-CN"/>
        </w:rPr>
      </w:r>
    </w:p>
    <w:p>
      <w:pPr>
        <w:pStyle w:val="TH"/>
        <w:rPr>
          <w:rFonts w:eastAsia="MS Mincho;ＭＳ 明朝"/>
        </w:rPr>
      </w:pPr>
      <w:r>
        <w:rPr>
          <w:rFonts w:eastAsia="MS Mincho;ＭＳ 明朝"/>
        </w:rPr>
        <w:drawing>
          <wp:inline distT="0" distB="0" distL="0" distR="0">
            <wp:extent cx="2113280" cy="1560830"/>
            <wp:effectExtent l="0" t="0" r="0" b="0"/>
            <wp:docPr id="6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 descr=""/>
                    <pic:cNvPicPr>
                      <a:picLocks noChangeAspect="1" noChangeArrowheads="1"/>
                    </pic:cNvPicPr>
                  </pic:nvPicPr>
                  <pic:blipFill>
                    <a:blip r:embed="rId61"/>
                    <a:srcRect l="17236" t="22220" r="9151" b="4288"/>
                    <a:stretch>
                      <a:fillRect/>
                    </a:stretch>
                  </pic:blipFill>
                  <pic:spPr bwMode="auto">
                    <a:xfrm>
                      <a:off x="0" y="0"/>
                      <a:ext cx="2113280" cy="1560830"/>
                    </a:xfrm>
                    <a:prstGeom prst="rect">
                      <a:avLst/>
                    </a:prstGeom>
                  </pic:spPr>
                </pic:pic>
              </a:graphicData>
            </a:graphic>
          </wp:inline>
        </w:drawing>
      </w:r>
    </w:p>
    <w:p>
      <w:pPr>
        <w:pStyle w:val="TF"/>
        <w:rPr>
          <w:rFonts w:eastAsia="MS Mincho;ＭＳ 明朝"/>
          <w:lang w:eastAsia="zh-CN"/>
        </w:rPr>
      </w:pPr>
      <w:r>
        <w:rPr/>
        <w:t>Figure A.2.2.5-2: A weight container designed for a hand phantom stiffness test</w:t>
      </w:r>
    </w:p>
    <w:p>
      <w:pPr>
        <w:pStyle w:val="Normal"/>
        <w:rPr>
          <w:rFonts w:eastAsia="MS Mincho;ＭＳ 明朝"/>
        </w:rPr>
      </w:pPr>
      <w:r>
        <w:rPr>
          <w:rFonts w:eastAsia="MS Mincho;ＭＳ 明朝"/>
        </w:rPr>
        <w:t>A weight container presented in Figure A.2.2.5-2 may be used in the stiffness test. It is assumed that other grips will have similar stiffness as the monoblock hand from the same material. Therefore, a stiffness test of the monoblock hand alone is considered sufficient.</w:t>
      </w:r>
    </w:p>
    <w:p>
      <w:pPr>
        <w:pStyle w:val="B1"/>
        <w:ind w:left="0" w:hanging="0"/>
        <w:rPr/>
      </w:pPr>
      <w:r>
        <w:rPr/>
        <w:t xml:space="preserve">The characteristics of position of the hand phantom such that the index finger is horizontal are specified in Table A.2.2.5-1. </w:t>
      </w:r>
    </w:p>
    <w:p>
      <w:pPr>
        <w:pStyle w:val="TH"/>
        <w:rPr/>
      </w:pPr>
      <w:r>
        <w:rPr/>
        <w:t>Table A.2.2.5-1: Characteristics of position of the hand phantom</w:t>
      </w:r>
    </w:p>
    <w:tbl>
      <w:tblPr>
        <w:tblW w:w="2300" w:type="pct"/>
        <w:jc w:val="center"/>
        <w:tblInd w:w="0" w:type="dxa"/>
        <w:tblLayout w:type="fixed"/>
        <w:tblCellMar>
          <w:top w:w="0" w:type="dxa"/>
          <w:left w:w="108" w:type="dxa"/>
          <w:bottom w:w="0" w:type="dxa"/>
          <w:right w:w="108" w:type="dxa"/>
        </w:tblCellMar>
      </w:tblPr>
      <w:tblGrid>
        <w:gridCol w:w="834"/>
        <w:gridCol w:w="2334"/>
        <w:gridCol w:w="1266"/>
      </w:tblGrid>
      <w:tr>
        <w:trPr>
          <w:trHeight w:val="242" w:hRule="exact"/>
        </w:trPr>
        <w:tc>
          <w:tcPr>
            <w:tcW w:w="834"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ID</w:t>
            </w:r>
          </w:p>
        </w:tc>
        <w:tc>
          <w:tcPr>
            <w:tcW w:w="2334" w:type="dxa"/>
            <w:tcBorders>
              <w:top w:val="single" w:sz="4" w:space="0" w:color="000000"/>
              <w:bottom w:val="single" w:sz="4" w:space="0" w:color="000000"/>
              <w:right w:val="single" w:sz="4" w:space="0" w:color="000000"/>
            </w:tcBorders>
            <w:vAlign w:val="bottom"/>
          </w:tcPr>
          <w:p>
            <w:pPr>
              <w:pStyle w:val="TAH"/>
              <w:rPr>
                <w:lang w:eastAsia="en-US"/>
              </w:rPr>
            </w:pPr>
            <w:r>
              <w:rPr>
                <w:lang w:eastAsia="en-US"/>
              </w:rPr>
              <w:t>Hand Grip Placement</w:t>
            </w:r>
          </w:p>
        </w:tc>
        <w:tc>
          <w:tcPr>
            <w:tcW w:w="1266"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Characteristic Type</w:t>
            </w:r>
          </w:p>
        </w:tc>
      </w:tr>
      <w:tr>
        <w:trPr>
          <w:trHeight w:val="242" w:hRule="exact"/>
        </w:trPr>
        <w:tc>
          <w:tcPr>
            <w:tcW w:w="834" w:type="dxa"/>
            <w:tcBorders>
              <w:left w:val="single" w:sz="4" w:space="0" w:color="000000"/>
              <w:bottom w:val="single" w:sz="4" w:space="0" w:color="000000"/>
              <w:right w:val="single" w:sz="4" w:space="0" w:color="000000"/>
            </w:tcBorders>
            <w:vAlign w:val="center"/>
          </w:tcPr>
          <w:p>
            <w:pPr>
              <w:pStyle w:val="TAC"/>
              <w:rPr>
                <w:lang w:eastAsia="en-US"/>
              </w:rPr>
            </w:pPr>
            <w:r>
              <w:rPr>
                <w:lang w:eastAsia="en-US"/>
              </w:rPr>
              <w:t>0</w:t>
            </w:r>
          </w:p>
        </w:tc>
        <w:tc>
          <w:tcPr>
            <w:tcW w:w="2334" w:type="dxa"/>
            <w:tcBorders>
              <w:bottom w:val="single" w:sz="4" w:space="0" w:color="000000"/>
              <w:right w:val="single" w:sz="4" w:space="0" w:color="000000"/>
            </w:tcBorders>
          </w:tcPr>
          <w:p>
            <w:pPr>
              <w:pStyle w:val="TAC"/>
              <w:rPr>
                <w:lang w:eastAsia="en-US"/>
              </w:rPr>
            </w:pPr>
            <w:r>
              <w:rPr>
                <w:lang w:eastAsia="en-US"/>
              </w:rPr>
              <w:t xml:space="preserve">Low </w:t>
            </w:r>
          </w:p>
        </w:tc>
        <w:tc>
          <w:tcPr>
            <w:tcW w:w="1266" w:type="dxa"/>
            <w:tcBorders>
              <w:left w:val="single" w:sz="4" w:space="0" w:color="000000"/>
              <w:bottom w:val="single" w:sz="4" w:space="0" w:color="000000"/>
              <w:right w:val="single" w:sz="4" w:space="0" w:color="000000"/>
            </w:tcBorders>
          </w:tcPr>
          <w:p>
            <w:pPr>
              <w:pStyle w:val="TAC"/>
              <w:rPr>
                <w:lang w:eastAsia="en-US"/>
              </w:rPr>
            </w:pPr>
            <w:r>
              <w:rPr>
                <w:lang w:eastAsia="en-US"/>
              </w:rPr>
              <w:t xml:space="preserve">Shift Up </w:t>
            </w:r>
          </w:p>
        </w:tc>
      </w:tr>
      <w:tr>
        <w:trPr>
          <w:trHeight w:val="242" w:hRule="exact"/>
        </w:trPr>
        <w:tc>
          <w:tcPr>
            <w:tcW w:w="834" w:type="dxa"/>
            <w:tcBorders>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2334" w:type="dxa"/>
            <w:tcBorders>
              <w:bottom w:val="single" w:sz="4" w:space="0" w:color="000000"/>
              <w:right w:val="single" w:sz="4" w:space="0" w:color="000000"/>
            </w:tcBorders>
          </w:tcPr>
          <w:p>
            <w:pPr>
              <w:pStyle w:val="TAC"/>
              <w:rPr>
                <w:lang w:eastAsia="en-US"/>
              </w:rPr>
            </w:pPr>
            <w:r>
              <w:rPr>
                <w:lang w:eastAsia="en-US"/>
              </w:rPr>
              <w:t xml:space="preserve">Medium </w:t>
            </w:r>
          </w:p>
        </w:tc>
        <w:tc>
          <w:tcPr>
            <w:tcW w:w="1266" w:type="dxa"/>
            <w:tcBorders>
              <w:left w:val="single" w:sz="4" w:space="0" w:color="000000"/>
              <w:bottom w:val="single" w:sz="4" w:space="0" w:color="000000"/>
              <w:right w:val="single" w:sz="4" w:space="0" w:color="000000"/>
            </w:tcBorders>
          </w:tcPr>
          <w:p>
            <w:pPr>
              <w:pStyle w:val="TAC"/>
              <w:rPr>
                <w:lang w:eastAsia="en-US"/>
              </w:rPr>
            </w:pPr>
            <w:r>
              <w:rPr>
                <w:lang w:eastAsia="en-US"/>
              </w:rPr>
              <w:t xml:space="preserve">No Shift </w:t>
            </w:r>
          </w:p>
        </w:tc>
      </w:tr>
      <w:tr>
        <w:trPr>
          <w:trHeight w:val="242" w:hRule="exact"/>
        </w:trPr>
        <w:tc>
          <w:tcPr>
            <w:tcW w:w="834" w:type="dxa"/>
            <w:tcBorders>
              <w:left w:val="single" w:sz="4" w:space="0" w:color="000000"/>
              <w:bottom w:val="single" w:sz="4" w:space="0" w:color="000000"/>
              <w:right w:val="single" w:sz="4" w:space="0" w:color="000000"/>
            </w:tcBorders>
            <w:vAlign w:val="center"/>
          </w:tcPr>
          <w:p>
            <w:pPr>
              <w:pStyle w:val="TAC"/>
              <w:rPr>
                <w:lang w:eastAsia="en-US"/>
              </w:rPr>
            </w:pPr>
            <w:r>
              <w:rPr>
                <w:lang w:eastAsia="en-US"/>
              </w:rPr>
              <w:t>2</w:t>
            </w:r>
          </w:p>
        </w:tc>
        <w:tc>
          <w:tcPr>
            <w:tcW w:w="2334" w:type="dxa"/>
            <w:tcBorders>
              <w:bottom w:val="single" w:sz="4" w:space="0" w:color="000000"/>
              <w:right w:val="single" w:sz="4" w:space="0" w:color="000000"/>
            </w:tcBorders>
          </w:tcPr>
          <w:p>
            <w:pPr>
              <w:pStyle w:val="TAC"/>
              <w:rPr>
                <w:lang w:eastAsia="en-US"/>
              </w:rPr>
            </w:pPr>
            <w:r>
              <w:rPr>
                <w:lang w:eastAsia="en-US"/>
              </w:rPr>
              <w:t xml:space="preserve">High </w:t>
            </w:r>
          </w:p>
        </w:tc>
        <w:tc>
          <w:tcPr>
            <w:tcW w:w="1266" w:type="dxa"/>
            <w:tcBorders>
              <w:left w:val="single" w:sz="4" w:space="0" w:color="000000"/>
              <w:bottom w:val="single" w:sz="4" w:space="0" w:color="000000"/>
              <w:right w:val="single" w:sz="4" w:space="0" w:color="000000"/>
            </w:tcBorders>
          </w:tcPr>
          <w:p>
            <w:pPr>
              <w:pStyle w:val="TAC"/>
              <w:rPr>
                <w:lang w:eastAsia="en-US"/>
              </w:rPr>
            </w:pPr>
            <w:r>
              <w:rPr>
                <w:lang w:eastAsia="en-US"/>
              </w:rPr>
              <w:t xml:space="preserve">Shift Down </w:t>
            </w:r>
          </w:p>
        </w:tc>
      </w:tr>
    </w:tbl>
    <w:p>
      <w:pPr>
        <w:pStyle w:val="Normal"/>
        <w:rPr>
          <w:rFonts w:eastAsia="MS Mincho;ＭＳ 明朝"/>
        </w:rPr>
      </w:pPr>
      <w:r>
        <w:rPr>
          <w:rFonts w:eastAsia="MS Mincho;ＭＳ 明朝"/>
        </w:rPr>
      </w:r>
    </w:p>
    <w:p>
      <w:pPr>
        <w:pStyle w:val="B1"/>
        <w:ind w:left="0" w:hanging="0"/>
        <w:rPr/>
      </w:pPr>
      <w:r>
        <w:rPr/>
        <w:t>The characteristics of deflection of the index finger of the hand phantom are specified in Table A.2.2.5-2.</w:t>
      </w:r>
    </w:p>
    <w:p>
      <w:pPr>
        <w:pStyle w:val="TH"/>
        <w:rPr/>
      </w:pPr>
      <w:r>
        <w:rPr/>
        <w:t>Table A.2.2.5-2: Characteristics of deflection of the index finger of the hand phantom</w:t>
      </w:r>
    </w:p>
    <w:tbl>
      <w:tblPr>
        <w:tblW w:w="3500" w:type="pct"/>
        <w:jc w:val="center"/>
        <w:tblInd w:w="0" w:type="dxa"/>
        <w:tblLayout w:type="fixed"/>
        <w:tblCellMar>
          <w:top w:w="0" w:type="dxa"/>
          <w:left w:w="108" w:type="dxa"/>
          <w:bottom w:w="0" w:type="dxa"/>
          <w:right w:w="108" w:type="dxa"/>
        </w:tblCellMar>
      </w:tblPr>
      <w:tblGrid>
        <w:gridCol w:w="880"/>
        <w:gridCol w:w="3989"/>
        <w:gridCol w:w="1879"/>
      </w:tblGrid>
      <w:tr>
        <w:trPr>
          <w:trHeight w:val="242" w:hRule="exact"/>
        </w:trPr>
        <w:tc>
          <w:tcPr>
            <w:tcW w:w="880"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ID</w:t>
            </w:r>
          </w:p>
        </w:tc>
        <w:tc>
          <w:tcPr>
            <w:tcW w:w="3989" w:type="dxa"/>
            <w:tcBorders>
              <w:top w:val="single" w:sz="4" w:space="0" w:color="000000"/>
              <w:bottom w:val="single" w:sz="4" w:space="0" w:color="000000"/>
              <w:right w:val="single" w:sz="4" w:space="0" w:color="000000"/>
            </w:tcBorders>
            <w:vAlign w:val="bottom"/>
          </w:tcPr>
          <w:p>
            <w:pPr>
              <w:pStyle w:val="TAH"/>
              <w:rPr>
                <w:lang w:eastAsia="en-US"/>
              </w:rPr>
            </w:pPr>
            <w:r>
              <w:rPr>
                <w:lang w:eastAsia="en-US"/>
              </w:rPr>
              <w:t>Deflection of Index Finger (df) Placement</w:t>
            </w:r>
          </w:p>
        </w:tc>
        <w:tc>
          <w:tcPr>
            <w:tcW w:w="1879"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Characteristic Type</w:t>
            </w:r>
          </w:p>
        </w:tc>
      </w:tr>
      <w:tr>
        <w:trPr>
          <w:trHeight w:val="242" w:hRule="exact"/>
        </w:trPr>
        <w:tc>
          <w:tcPr>
            <w:tcW w:w="880" w:type="dxa"/>
            <w:tcBorders>
              <w:left w:val="single" w:sz="4" w:space="0" w:color="000000"/>
              <w:bottom w:val="single" w:sz="4" w:space="0" w:color="000000"/>
              <w:right w:val="single" w:sz="4" w:space="0" w:color="000000"/>
            </w:tcBorders>
            <w:vAlign w:val="center"/>
          </w:tcPr>
          <w:p>
            <w:pPr>
              <w:pStyle w:val="TAC"/>
              <w:rPr>
                <w:lang w:eastAsia="en-US"/>
              </w:rPr>
            </w:pPr>
            <w:r>
              <w:rPr>
                <w:lang w:eastAsia="en-US"/>
              </w:rPr>
              <w:t>0</w:t>
            </w:r>
          </w:p>
        </w:tc>
        <w:tc>
          <w:tcPr>
            <w:tcW w:w="3989" w:type="dxa"/>
            <w:tcBorders>
              <w:bottom w:val="single" w:sz="4" w:space="0" w:color="000000"/>
              <w:right w:val="single" w:sz="4" w:space="0" w:color="000000"/>
            </w:tcBorders>
          </w:tcPr>
          <w:p>
            <w:pPr>
              <w:pStyle w:val="TAC"/>
              <w:rPr/>
            </w:pPr>
            <w:r>
              <w:rPr>
                <w:lang w:eastAsia="en-US"/>
              </w:rPr>
              <w:t xml:space="preserve">df ≥ 2 mm per 20g </w:t>
            </w:r>
          </w:p>
        </w:tc>
        <w:tc>
          <w:tcPr>
            <w:tcW w:w="1879" w:type="dxa"/>
            <w:tcBorders>
              <w:left w:val="single" w:sz="4" w:space="0" w:color="000000"/>
              <w:bottom w:val="single" w:sz="4" w:space="0" w:color="000000"/>
              <w:right w:val="single" w:sz="4" w:space="0" w:color="000000"/>
            </w:tcBorders>
          </w:tcPr>
          <w:p>
            <w:pPr>
              <w:pStyle w:val="TAC"/>
              <w:rPr>
                <w:lang w:eastAsia="en-US"/>
              </w:rPr>
            </w:pPr>
            <w:r>
              <w:rPr>
                <w:lang w:eastAsia="en-US"/>
              </w:rPr>
              <w:t xml:space="preserve">Rigid </w:t>
            </w:r>
          </w:p>
        </w:tc>
      </w:tr>
      <w:tr>
        <w:trPr>
          <w:trHeight w:val="242" w:hRule="exact"/>
        </w:trPr>
        <w:tc>
          <w:tcPr>
            <w:tcW w:w="880" w:type="dxa"/>
            <w:tcBorders>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3989" w:type="dxa"/>
            <w:tcBorders>
              <w:bottom w:val="single" w:sz="4" w:space="0" w:color="000000"/>
              <w:right w:val="single" w:sz="4" w:space="0" w:color="000000"/>
            </w:tcBorders>
          </w:tcPr>
          <w:p>
            <w:pPr>
              <w:pStyle w:val="TAC"/>
              <w:rPr>
                <w:lang w:eastAsia="en-US"/>
              </w:rPr>
            </w:pPr>
            <w:r>
              <w:rPr>
                <w:lang w:eastAsia="en-US"/>
              </w:rPr>
              <w:t xml:space="preserve">2mm &lt; df ≤ 5mm per 20g </w:t>
            </w:r>
          </w:p>
        </w:tc>
        <w:tc>
          <w:tcPr>
            <w:tcW w:w="1879" w:type="dxa"/>
            <w:tcBorders>
              <w:left w:val="single" w:sz="4" w:space="0" w:color="000000"/>
              <w:bottom w:val="single" w:sz="4" w:space="0" w:color="000000"/>
              <w:right w:val="single" w:sz="4" w:space="0" w:color="000000"/>
            </w:tcBorders>
          </w:tcPr>
          <w:p>
            <w:pPr>
              <w:pStyle w:val="TAC"/>
              <w:rPr>
                <w:lang w:eastAsia="en-US"/>
              </w:rPr>
            </w:pPr>
            <w:r>
              <w:rPr>
                <w:lang w:eastAsia="en-US"/>
              </w:rPr>
              <w:t xml:space="preserve">Stable </w:t>
            </w:r>
          </w:p>
        </w:tc>
      </w:tr>
      <w:tr>
        <w:trPr>
          <w:trHeight w:val="242" w:hRule="exact"/>
        </w:trPr>
        <w:tc>
          <w:tcPr>
            <w:tcW w:w="880" w:type="dxa"/>
            <w:tcBorders>
              <w:left w:val="single" w:sz="4" w:space="0" w:color="000000"/>
              <w:bottom w:val="single" w:sz="4" w:space="0" w:color="000000"/>
              <w:right w:val="single" w:sz="4" w:space="0" w:color="000000"/>
            </w:tcBorders>
            <w:vAlign w:val="center"/>
          </w:tcPr>
          <w:p>
            <w:pPr>
              <w:pStyle w:val="TAC"/>
              <w:rPr>
                <w:lang w:eastAsia="en-US"/>
              </w:rPr>
            </w:pPr>
            <w:r>
              <w:rPr>
                <w:lang w:eastAsia="en-US"/>
              </w:rPr>
              <w:t>2</w:t>
            </w:r>
          </w:p>
        </w:tc>
        <w:tc>
          <w:tcPr>
            <w:tcW w:w="3989" w:type="dxa"/>
            <w:tcBorders>
              <w:bottom w:val="single" w:sz="4" w:space="0" w:color="000000"/>
              <w:right w:val="single" w:sz="4" w:space="0" w:color="000000"/>
            </w:tcBorders>
          </w:tcPr>
          <w:p>
            <w:pPr>
              <w:pStyle w:val="TAC"/>
              <w:rPr>
                <w:lang w:eastAsia="en-US"/>
              </w:rPr>
            </w:pPr>
            <w:r>
              <w:rPr>
                <w:lang w:eastAsia="en-US"/>
              </w:rPr>
              <w:t xml:space="preserve">df &gt; 5mm per 20g </w:t>
            </w:r>
          </w:p>
        </w:tc>
        <w:tc>
          <w:tcPr>
            <w:tcW w:w="1879" w:type="dxa"/>
            <w:tcBorders>
              <w:left w:val="single" w:sz="4" w:space="0" w:color="000000"/>
              <w:bottom w:val="single" w:sz="4" w:space="0" w:color="000000"/>
              <w:right w:val="single" w:sz="4" w:space="0" w:color="000000"/>
            </w:tcBorders>
          </w:tcPr>
          <w:p>
            <w:pPr>
              <w:pStyle w:val="TAC"/>
              <w:rPr>
                <w:lang w:eastAsia="en-US"/>
              </w:rPr>
            </w:pPr>
            <w:r>
              <w:rPr>
                <w:lang w:eastAsia="en-US"/>
              </w:rPr>
              <w:t xml:space="preserve">Soft </w:t>
            </w:r>
          </w:p>
        </w:tc>
      </w:tr>
    </w:tbl>
    <w:p>
      <w:pPr>
        <w:pStyle w:val="Normal"/>
        <w:rPr>
          <w:rFonts w:eastAsia="MS Mincho;ＭＳ 明朝"/>
        </w:rPr>
      </w:pPr>
      <w:r>
        <w:rPr>
          <w:rFonts w:eastAsia="MS Mincho;ＭＳ 明朝"/>
        </w:rPr>
      </w:r>
    </w:p>
    <w:p>
      <w:pPr>
        <w:pStyle w:val="Heading2"/>
        <w:ind w:left="1138" w:hanging="1138"/>
        <w:rPr>
          <w:sz w:val="28"/>
          <w:szCs w:val="28"/>
        </w:rPr>
      </w:pPr>
      <w:bookmarkStart w:id="415" w:name="__RefHeading___Toc68601347"/>
      <w:bookmarkEnd w:id="415"/>
      <w:r>
        <w:rPr>
          <w:sz w:val="28"/>
          <w:szCs w:val="28"/>
        </w:rPr>
        <w:t>A.2.3</w:t>
        <w:tab/>
        <w:t>Laptop Ground Plane Phantom</w:t>
      </w:r>
    </w:p>
    <w:p>
      <w:pPr>
        <w:pStyle w:val="Normal"/>
        <w:rPr>
          <w:rFonts w:eastAsia="MS Mincho;ＭＳ 明朝" w:cs="v4.2.0;Times New Roman"/>
        </w:rPr>
      </w:pPr>
      <w:r>
        <w:rPr>
          <w:rFonts w:eastAsia="MS Mincho;ＭＳ 明朝"/>
        </w:rPr>
        <w:t xml:space="preserve">Laptop </w:t>
      </w:r>
      <w:r>
        <w:rPr>
          <w:rFonts w:eastAsia="MS Mincho;ＭＳ 明朝"/>
          <w:lang w:eastAsia="zh-CN"/>
        </w:rPr>
        <w:t>g</w:t>
      </w:r>
      <w:r>
        <w:rPr>
          <w:rFonts w:eastAsia="MS Mincho;ＭＳ 明朝"/>
        </w:rPr>
        <w:t xml:space="preserve">round </w:t>
      </w:r>
      <w:r>
        <w:rPr>
          <w:rFonts w:eastAsia="MS Mincho;ＭＳ 明朝"/>
          <w:lang w:eastAsia="zh-CN"/>
        </w:rPr>
        <w:t>p</w:t>
      </w:r>
      <w:r>
        <w:rPr>
          <w:rFonts w:eastAsia="MS Mincho;ＭＳ 明朝"/>
        </w:rPr>
        <w:t>lane phantom is used for radiated performance measurements in case of plug-in</w:t>
      </w:r>
      <w:r>
        <w:rPr>
          <w:rFonts w:eastAsia="MS Mincho;ＭＳ 明朝"/>
          <w:lang w:eastAsia="zh-CN"/>
        </w:rPr>
        <w:t xml:space="preserve"> </w:t>
      </w:r>
      <w:r>
        <w:rPr>
          <w:rFonts w:eastAsia="MS Mincho;ＭＳ 明朝"/>
        </w:rPr>
        <w:t xml:space="preserve">DUT like USB dongles. The objective of the laptop ground plane phantom is to reproduce the effects of the ground plane </w:t>
      </w:r>
      <w:r>
        <w:rPr>
          <w:rFonts w:eastAsia="MS Mincho;ＭＳ 明朝"/>
          <w:lang w:eastAsia="zh-CN"/>
        </w:rPr>
        <w:t>for the antenna of the DUT while avoiding the variation of the measurements introduced by a real laptop</w:t>
      </w:r>
      <w:r>
        <w:rPr>
          <w:rFonts w:eastAsia="MS Mincho;ＭＳ 明朝"/>
        </w:rPr>
        <w:t xml:space="preserve">. </w:t>
      </w:r>
    </w:p>
    <w:p>
      <w:pPr>
        <w:pStyle w:val="Normal"/>
        <w:rPr/>
      </w:pPr>
      <w:r>
        <w:rPr>
          <w:rFonts w:eastAsia="MS Mincho;ＭＳ 明朝" w:cs="v4.2.0;Times New Roman"/>
        </w:rPr>
        <w:t>T</w:t>
      </w:r>
      <w:r>
        <w:rPr>
          <w:rFonts w:eastAsia="MS Mincho;ＭＳ 明朝"/>
          <w:lang w:eastAsia="zh-CN"/>
        </w:rPr>
        <w:t>he laptop ground plane phantom</w:t>
      </w:r>
      <w:r>
        <w:rPr>
          <w:lang w:eastAsia="zh-CN"/>
        </w:rPr>
        <w:t>, as showed in Figure A.2.3-1,</w:t>
      </w:r>
      <w:r>
        <w:rPr>
          <w:rFonts w:eastAsia="MS Mincho;ＭＳ 明朝"/>
          <w:lang w:eastAsia="zh-CN"/>
        </w:rPr>
        <w:t xml:space="preserve"> </w:t>
      </w:r>
      <w:r>
        <w:rPr>
          <w:rFonts w:eastAsia="MS Mincho;ＭＳ 明朝" w:cs="v4.2.0;Times New Roman"/>
        </w:rPr>
        <w:t>is composed by the following parts:</w:t>
      </w:r>
    </w:p>
    <w:p>
      <w:pPr>
        <w:pStyle w:val="Normal"/>
        <w:ind w:left="568" w:hanging="284"/>
        <w:rPr>
          <w:rFonts w:eastAsia="MS Mincho;ＭＳ 明朝"/>
        </w:rPr>
      </w:pPr>
      <w:r>
        <w:rPr>
          <w:rFonts w:eastAsia="MS Mincho;ＭＳ 明朝"/>
        </w:rPr>
        <w:t>-</w:t>
        <w:tab/>
        <w:t xml:space="preserve">A rectangular plane covered by </w:t>
      </w:r>
      <w:r>
        <w:rPr>
          <w:lang w:eastAsia="zh-CN"/>
        </w:rPr>
        <w:t>a</w:t>
      </w:r>
      <w:r>
        <w:rPr>
          <w:rFonts w:eastAsia="MS Mincho;ＭＳ 明朝"/>
        </w:rPr>
        <w:t xml:space="preserve"> conductive film on the upper side </w:t>
      </w:r>
      <w:r>
        <w:rPr>
          <w:rFonts w:cs="v4.2.0;Times New Roman"/>
          <w:lang w:eastAsia="zh-CN"/>
        </w:rPr>
        <w:t xml:space="preserve">with </w:t>
      </w:r>
      <w:r>
        <w:rPr>
          <w:rFonts w:eastAsia="MS Mincho;ＭＳ 明朝"/>
        </w:rPr>
        <w:t xml:space="preserve">thickness </w:t>
      </w:r>
      <w:r>
        <w:rPr>
          <w:rFonts w:cs="v4.2.0;Times New Roman"/>
          <w:lang w:eastAsia="zh-CN"/>
        </w:rPr>
        <w:t xml:space="preserve">of 4mm </w:t>
      </w:r>
      <w:r>
        <w:rPr>
          <w:lang w:eastAsia="zh-CN"/>
        </w:rPr>
        <w:t xml:space="preserve">to emulate the keyboard and main body of the laptop; </w:t>
      </w:r>
    </w:p>
    <w:p>
      <w:pPr>
        <w:pStyle w:val="Normal"/>
        <w:ind w:left="568" w:hanging="284"/>
        <w:rPr>
          <w:rFonts w:eastAsia="MS Mincho;ＭＳ 明朝"/>
        </w:rPr>
      </w:pPr>
      <w:r>
        <w:rPr>
          <w:rFonts w:eastAsia="MS Mincho;ＭＳ 明朝"/>
        </w:rPr>
        <w:t>-</w:t>
        <w:tab/>
      </w:r>
      <w:r>
        <w:rPr>
          <w:lang w:eastAsia="zh-CN"/>
        </w:rPr>
        <w:t xml:space="preserve">A rectangular plane covered by the same conductive film </w:t>
      </w:r>
      <w:r>
        <w:rPr>
          <w:rFonts w:eastAsia="MS Mincho;ＭＳ 明朝"/>
        </w:rPr>
        <w:t xml:space="preserve">on the upper side with thickness </w:t>
      </w:r>
      <w:r>
        <w:rPr>
          <w:rFonts w:cs="v4.2.0;Times New Roman"/>
          <w:lang w:eastAsia="zh-CN"/>
        </w:rPr>
        <w:t>of 4mm</w:t>
      </w:r>
      <w:r>
        <w:rPr>
          <w:rFonts w:eastAsia="MS Mincho;ＭＳ 明朝"/>
        </w:rPr>
        <w:t xml:space="preserve"> </w:t>
      </w:r>
      <w:r>
        <w:rPr>
          <w:lang w:eastAsia="zh-CN"/>
        </w:rPr>
        <w:t>to emulate the screen of laptop;</w:t>
      </w:r>
    </w:p>
    <w:p>
      <w:pPr>
        <w:pStyle w:val="Normal"/>
        <w:ind w:left="568" w:hanging="284"/>
        <w:rPr>
          <w:rFonts w:eastAsia="MS Mincho;ＭＳ 明朝"/>
        </w:rPr>
      </w:pPr>
      <w:r>
        <w:rPr>
          <w:rFonts w:eastAsia="MS Mincho;ＭＳ 明朝"/>
        </w:rPr>
        <w:t>-</w:t>
        <w:tab/>
      </w:r>
      <w:r>
        <w:rPr>
          <w:lang w:eastAsia="zh-CN"/>
        </w:rPr>
        <w:t xml:space="preserve">The conductive film on the two planes is connected. The angle between the two planes is 110 degrees. The material </w:t>
      </w:r>
      <w:r>
        <w:rPr>
          <w:rFonts w:cs="v4.2.0;Times New Roman"/>
          <w:lang w:eastAsia="zh-CN"/>
        </w:rPr>
        <w:t>is FR-4 copper-clad sheet</w:t>
      </w:r>
      <w:r>
        <w:rPr>
          <w:lang w:eastAsia="zh-CN"/>
        </w:rPr>
        <w:t xml:space="preserve"> and the </w:t>
      </w:r>
      <w:r>
        <w:rPr>
          <w:rFonts w:cs="v4.2.0;Times New Roman"/>
          <w:lang w:eastAsia="zh-CN"/>
        </w:rPr>
        <w:t>length and width of these two planes are 345mm and 238mm respectively</w:t>
      </w:r>
      <w:r>
        <w:rPr>
          <w:lang w:eastAsia="zh-CN"/>
        </w:rPr>
        <w:t>;</w:t>
      </w:r>
    </w:p>
    <w:p>
      <w:pPr>
        <w:pStyle w:val="Normal"/>
        <w:ind w:left="568" w:hanging="284"/>
        <w:rPr>
          <w:rFonts w:eastAsia="MS Mincho;ＭＳ 明朝"/>
        </w:rPr>
      </w:pPr>
      <w:r>
        <w:rPr>
          <w:rFonts w:eastAsia="MS Mincho;ＭＳ 明朝"/>
        </w:rPr>
        <w:t>-</w:t>
        <w:tab/>
      </w:r>
      <w:r>
        <w:rPr/>
        <w:t xml:space="preserve">A horizontal USB connector placed along the short end of the plane; </w:t>
      </w:r>
      <w:r>
        <w:rPr>
          <w:lang w:eastAsia="zh-CN"/>
        </w:rPr>
        <w:t xml:space="preserve">the location of the port is at the right back corner, </w:t>
      </w:r>
      <w:r>
        <w:rPr>
          <w:rFonts w:cs="v4.2.0;Times New Roman"/>
          <w:lang w:eastAsia="zh-CN"/>
        </w:rPr>
        <w:t xml:space="preserve">the distance between the central axis of the USB connector and the rear edge of plane is 45mm, </w:t>
      </w:r>
      <w:r>
        <w:rPr/>
        <w:t>the ground of the USB connector is welded on the conductive film of the plane</w:t>
      </w:r>
      <w:r>
        <w:rPr>
          <w:lang w:eastAsia="zh-CN"/>
        </w:rPr>
        <w:t>. The detailed description of the structure is presented in Figure A.2.3-2;</w:t>
      </w:r>
    </w:p>
    <w:p>
      <w:pPr>
        <w:pStyle w:val="Normal"/>
        <w:ind w:left="568" w:hanging="284"/>
        <w:rPr>
          <w:rFonts w:eastAsia="MS Mincho;ＭＳ 明朝"/>
        </w:rPr>
      </w:pPr>
      <w:r>
        <w:rPr>
          <w:rFonts w:eastAsia="MS Mincho;ＭＳ 明朝"/>
        </w:rPr>
        <w:t>-</w:t>
        <w:tab/>
      </w:r>
      <w:r>
        <w:rPr/>
        <w:t>A USB cable crossing the ground plane and connecting the USB connector to a real functional laptop; the USB cable should be equipped with a shielded metal film, and the portion of the cable that is hung in the air shall be covered with absorbing material or treated with quarter wave chokes. The part of the USB cable lying on the plane is covered by a conductive adhesive strip used for fixing the cable on the plane and for guarantying at the same time the superficial continuity of the conductive plane. The shielded conductive film of this part of the USB cable is connected to the conductive film of the plane and the covered strip to well ground the antenna. The length of the USB cable should be no more than 3 meters.</w:t>
      </w:r>
    </w:p>
    <w:p>
      <w:pPr>
        <w:pStyle w:val="Normal"/>
        <w:rPr>
          <w:rFonts w:eastAsia="MS Mincho;ＭＳ 明朝" w:cs="v4.2.0;Times New Roman"/>
        </w:rPr>
      </w:pPr>
      <w:r>
        <w:rPr>
          <w:rFonts w:eastAsia="MS Mincho;ＭＳ 明朝" w:cs="v4.2.0;Times New Roman"/>
        </w:rPr>
      </w:r>
    </w:p>
    <w:p>
      <w:pPr>
        <w:pStyle w:val="Normal"/>
        <w:keepNext w:val="true"/>
        <w:keepLines/>
        <w:spacing w:before="60" w:after="180"/>
        <w:jc w:val="center"/>
        <w:rPr>
          <w:rFonts w:ascii="Arial" w:hAnsi="Arial" w:cs="Arial"/>
          <w:b/>
          <w:b/>
          <w:lang w:eastAsia="zh-CN"/>
        </w:rPr>
      </w:pPr>
      <w:r>
        <w:rPr>
          <w:rFonts w:cs="Arial" w:ascii="Arial" w:hAnsi="Arial"/>
          <w:b/>
        </w:rPr>
        <w:drawing>
          <wp:inline distT="0" distB="0" distL="0" distR="0">
            <wp:extent cx="5148580" cy="3034665"/>
            <wp:effectExtent l="0" t="0" r="0" b="0"/>
            <wp:docPr id="70"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9" descr=""/>
                    <pic:cNvPicPr>
                      <a:picLocks noChangeAspect="1" noChangeArrowheads="1"/>
                    </pic:cNvPicPr>
                  </pic:nvPicPr>
                  <pic:blipFill>
                    <a:blip r:embed="rId62"/>
                    <a:srcRect l="-6" t="-10" r="-6" b="-10"/>
                    <a:stretch>
                      <a:fillRect/>
                    </a:stretch>
                  </pic:blipFill>
                  <pic:spPr bwMode="auto">
                    <a:xfrm>
                      <a:off x="0" y="0"/>
                      <a:ext cx="5148580" cy="3034665"/>
                    </a:xfrm>
                    <a:prstGeom prst="rect">
                      <a:avLst/>
                    </a:prstGeom>
                  </pic:spPr>
                </pic:pic>
              </a:graphicData>
            </a:graphic>
          </wp:inline>
        </w:drawing>
      </w:r>
    </w:p>
    <w:p>
      <w:pPr>
        <w:pStyle w:val="TF"/>
        <w:rPr>
          <w:lang w:eastAsia="zh-CN"/>
        </w:rPr>
      </w:pPr>
      <w:r>
        <w:rPr>
          <w:lang w:eastAsia="zh-CN"/>
        </w:rPr>
        <w:t>Figure A.2.3-1: The laptop ground plane phantom, the DUT and the real functional laptop</w:t>
      </w:r>
    </w:p>
    <w:p>
      <w:pPr>
        <w:pStyle w:val="Normal"/>
        <w:rPr>
          <w:lang w:eastAsia="zh-CN"/>
        </w:rPr>
      </w:pPr>
      <w:r>
        <w:rPr>
          <w:lang w:eastAsia="zh-CN"/>
        </w:rPr>
      </w:r>
    </w:p>
    <w:p>
      <w:pPr>
        <w:pStyle w:val="Normal"/>
        <w:keepNext w:val="true"/>
        <w:keepLines/>
        <w:spacing w:before="60" w:after="180"/>
        <w:jc w:val="center"/>
        <w:rPr>
          <w:rFonts w:ascii="Arial" w:hAnsi="Arial" w:cs="Arial"/>
          <w:b/>
          <w:b/>
          <w:lang w:eastAsia="zh-CN"/>
        </w:rPr>
      </w:pPr>
      <w:r>
        <w:rPr>
          <w:rFonts w:cs="Arial" w:ascii="Arial" w:hAnsi="Arial"/>
          <w:b/>
        </w:rPr>
        <w:drawing>
          <wp:inline distT="0" distB="0" distL="0" distR="0">
            <wp:extent cx="4465955" cy="2834640"/>
            <wp:effectExtent l="0" t="0" r="0" b="0"/>
            <wp:docPr id="71"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0" descr=""/>
                    <pic:cNvPicPr>
                      <a:picLocks noChangeAspect="1" noChangeArrowheads="1"/>
                    </pic:cNvPicPr>
                  </pic:nvPicPr>
                  <pic:blipFill>
                    <a:blip r:embed="rId63"/>
                    <a:srcRect l="-7" t="-12" r="-7" b="-12"/>
                    <a:stretch>
                      <a:fillRect/>
                    </a:stretch>
                  </pic:blipFill>
                  <pic:spPr bwMode="auto">
                    <a:xfrm>
                      <a:off x="0" y="0"/>
                      <a:ext cx="4465955" cy="2834640"/>
                    </a:xfrm>
                    <a:prstGeom prst="rect">
                      <a:avLst/>
                    </a:prstGeom>
                  </pic:spPr>
                </pic:pic>
              </a:graphicData>
            </a:graphic>
          </wp:inline>
        </w:drawing>
      </w:r>
    </w:p>
    <w:p>
      <w:pPr>
        <w:pStyle w:val="TF"/>
        <w:rPr/>
      </w:pPr>
      <w:r>
        <w:rPr>
          <w:lang w:eastAsia="zh-CN"/>
        </w:rPr>
        <w:t>Figure A.2.3-2: The structure and dimension of the laptop ground phantom</w:t>
      </w:r>
    </w:p>
    <w:p>
      <w:pPr>
        <w:pStyle w:val="Normal"/>
        <w:rPr>
          <w:rFonts w:eastAsia="MS Mincho;ＭＳ 明朝"/>
          <w:lang w:eastAsia="zh-CN"/>
        </w:rPr>
      </w:pPr>
      <w:r>
        <w:rPr>
          <w:rFonts w:eastAsia="MS Mincho;ＭＳ 明朝"/>
          <w:lang w:eastAsia="zh-CN"/>
        </w:rPr>
      </w:r>
    </w:p>
    <w:p>
      <w:pPr>
        <w:pStyle w:val="Normal"/>
        <w:rPr/>
      </w:pPr>
      <w:r>
        <w:rPr/>
        <w:t>The real functional laptop is laid on the floor of the anechoic chamber, supplies power to the DUT and controls the state of the DUT. Both the USB cable and the real functional laptop are properly setup in order to have a negligible impact on the measurements: the real functional laptop is fully wrapped up with anechoic absorbers.</w:t>
      </w:r>
    </w:p>
    <w:p>
      <w:pPr>
        <w:pStyle w:val="Heading2"/>
        <w:ind w:left="1138" w:hanging="1138"/>
        <w:rPr>
          <w:sz w:val="28"/>
          <w:szCs w:val="28"/>
        </w:rPr>
      </w:pPr>
      <w:bookmarkStart w:id="416" w:name="__RefHeading___Toc68601348"/>
      <w:bookmarkEnd w:id="416"/>
      <w:r>
        <w:rPr>
          <w:sz w:val="28"/>
          <w:szCs w:val="28"/>
        </w:rPr>
        <w:t>A.2.4</w:t>
        <w:tab/>
        <w:t xml:space="preserve">Parameters for </w:t>
      </w:r>
      <w:r>
        <w:rPr/>
        <w:t>embedded devices</w:t>
      </w:r>
    </w:p>
    <w:p>
      <w:pPr>
        <w:pStyle w:val="Heading3"/>
        <w:rPr>
          <w:sz w:val="24"/>
          <w:szCs w:val="24"/>
        </w:rPr>
      </w:pPr>
      <w:bookmarkStart w:id="417" w:name="__RefHeading___Toc68601349"/>
      <w:bookmarkEnd w:id="417"/>
      <w:r>
        <w:rPr>
          <w:sz w:val="24"/>
          <w:szCs w:val="24"/>
        </w:rPr>
        <w:t>A.2.4.1</w:t>
        <w:tab/>
        <w:t>General</w:t>
      </w:r>
    </w:p>
    <w:p>
      <w:pPr>
        <w:pStyle w:val="Normal"/>
        <w:rPr/>
      </w:pPr>
      <w:r>
        <w:rPr/>
        <w:t>The main objectives of this section are to define basic parameters required when performing TRP and TRS measurements on notebooks and tablets.</w:t>
      </w:r>
    </w:p>
    <w:p>
      <w:pPr>
        <w:pStyle w:val="Heading3"/>
        <w:rPr>
          <w:sz w:val="24"/>
          <w:szCs w:val="24"/>
        </w:rPr>
      </w:pPr>
      <w:bookmarkStart w:id="418" w:name="__RefHeading___Toc68601350"/>
      <w:bookmarkEnd w:id="418"/>
      <w:r>
        <w:rPr>
          <w:sz w:val="24"/>
          <w:szCs w:val="24"/>
        </w:rPr>
        <w:t>A.2.4.2</w:t>
        <w:tab/>
        <w:t>Notebook</w:t>
      </w:r>
    </w:p>
    <w:p>
      <w:pPr>
        <w:pStyle w:val="Normal"/>
        <w:rPr/>
      </w:pPr>
      <w:r>
        <w:rPr/>
        <w:t>A notebook PC is a portable personal computer combining the computer, keyboard and display in one form factor. Typically the keyboard is built into the base and the display is hinged along the back edge of the base. The largest single dimension for a notebook is limited to 0.42 m.</w:t>
      </w:r>
    </w:p>
    <w:p>
      <w:pPr>
        <w:pStyle w:val="Normal"/>
        <w:rPr/>
      </w:pPr>
      <w:r>
        <w:rPr/>
        <w:t xml:space="preserve">As notebooks are not body worn equipment nor recommended for use placed directly on the lap, the notebook shall be tested in a free space configuration without head and hand phantoms. </w:t>
      </w:r>
    </w:p>
    <w:p>
      <w:pPr>
        <w:pStyle w:val="Normal"/>
        <w:rPr/>
      </w:pPr>
      <w:r>
        <w:rPr/>
        <w:t>When the notebook is placed in a measurement chamber the display shall be configured according to Table A.2.4.2-1.</w:t>
      </w:r>
    </w:p>
    <w:p>
      <w:pPr>
        <w:pStyle w:val="TH"/>
        <w:rPr/>
      </w:pPr>
      <w:bookmarkStart w:id="419" w:name="_Ref289241988"/>
      <w:r>
        <w:rPr/>
        <w:t>Table</w:t>
      </w:r>
      <w:bookmarkEnd w:id="419"/>
      <w:r>
        <w:rPr/>
        <w:t xml:space="preserve"> A.2.4.2-1: Display Settings</w:t>
      </w:r>
    </w:p>
    <w:tbl>
      <w:tblPr>
        <w:tblW w:w="8080" w:type="dxa"/>
        <w:jc w:val="center"/>
        <w:tblInd w:w="0" w:type="dxa"/>
        <w:tblLayout w:type="fixed"/>
        <w:tblCellMar>
          <w:top w:w="0" w:type="dxa"/>
          <w:left w:w="108" w:type="dxa"/>
          <w:bottom w:w="0" w:type="dxa"/>
          <w:right w:w="108" w:type="dxa"/>
        </w:tblCellMar>
      </w:tblPr>
      <w:tblGrid>
        <w:gridCol w:w="1863"/>
        <w:gridCol w:w="1971"/>
        <w:gridCol w:w="4246"/>
      </w:tblGrid>
      <w:tr>
        <w:trPr/>
        <w:tc>
          <w:tcPr>
            <w:tcW w:w="1863"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Parameter</w:t>
            </w:r>
          </w:p>
        </w:tc>
        <w:tc>
          <w:tcPr>
            <w:tcW w:w="197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Value</w:t>
            </w:r>
          </w:p>
        </w:tc>
        <w:tc>
          <w:tcPr>
            <w:tcW w:w="424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Note</w:t>
            </w:r>
          </w:p>
        </w:tc>
      </w:tr>
      <w:tr>
        <w:trPr/>
        <w:tc>
          <w:tcPr>
            <w:tcW w:w="1863" w:type="dxa"/>
            <w:tcBorders>
              <w:top w:val="single" w:sz="4" w:space="0" w:color="000000"/>
              <w:left w:val="single" w:sz="4" w:space="0" w:color="000000"/>
              <w:bottom w:val="single" w:sz="4" w:space="0" w:color="000000"/>
              <w:right w:val="single" w:sz="4" w:space="0" w:color="000000"/>
            </w:tcBorders>
          </w:tcPr>
          <w:p>
            <w:pPr>
              <w:pStyle w:val="TAL1"/>
              <w:jc w:val="center"/>
              <w:rPr>
                <w:lang w:eastAsia="en-US"/>
              </w:rPr>
            </w:pPr>
            <w:r>
              <w:rPr>
                <w:lang w:eastAsia="en-US"/>
              </w:rPr>
              <w:t>Display lid angle</w:t>
            </w:r>
          </w:p>
        </w:tc>
        <w:tc>
          <w:tcPr>
            <w:tcW w:w="1971" w:type="dxa"/>
            <w:tcBorders>
              <w:top w:val="single" w:sz="4" w:space="0" w:color="000000"/>
              <w:left w:val="single" w:sz="4" w:space="0" w:color="000000"/>
              <w:bottom w:val="single" w:sz="4" w:space="0" w:color="000000"/>
              <w:right w:val="single" w:sz="4" w:space="0" w:color="000000"/>
            </w:tcBorders>
          </w:tcPr>
          <w:p>
            <w:pPr>
              <w:pStyle w:val="TAL1"/>
              <w:jc w:val="center"/>
              <w:rPr>
                <w:lang w:eastAsia="en-US"/>
              </w:rPr>
            </w:pPr>
            <w:r>
              <w:rPr>
                <w:lang w:eastAsia="en-US"/>
              </w:rPr>
              <w:t>110 +/- 5 degrees</w:t>
            </w:r>
          </w:p>
        </w:tc>
        <w:tc>
          <w:tcPr>
            <w:tcW w:w="4246" w:type="dxa"/>
            <w:tcBorders>
              <w:top w:val="single" w:sz="4" w:space="0" w:color="000000"/>
              <w:left w:val="single" w:sz="4" w:space="0" w:color="000000"/>
              <w:bottom w:val="single" w:sz="4" w:space="0" w:color="000000"/>
              <w:right w:val="single" w:sz="4" w:space="0" w:color="000000"/>
            </w:tcBorders>
          </w:tcPr>
          <w:p>
            <w:pPr>
              <w:pStyle w:val="TAL1"/>
              <w:rPr/>
            </w:pPr>
            <w:r>
              <w:rPr>
                <w:lang w:eastAsia="en-US"/>
              </w:rPr>
              <w:t>The lid angle is defined as the angle between the front of the display to the levelled base.</w:t>
            </w:r>
          </w:p>
        </w:tc>
      </w:tr>
      <w:tr>
        <w:trPr/>
        <w:tc>
          <w:tcPr>
            <w:tcW w:w="1863" w:type="dxa"/>
            <w:tcBorders>
              <w:top w:val="single" w:sz="4" w:space="0" w:color="000000"/>
              <w:left w:val="single" w:sz="4" w:space="0" w:color="000000"/>
              <w:bottom w:val="single" w:sz="4" w:space="0" w:color="000000"/>
              <w:right w:val="single" w:sz="4" w:space="0" w:color="000000"/>
            </w:tcBorders>
          </w:tcPr>
          <w:p>
            <w:pPr>
              <w:pStyle w:val="TAL1"/>
              <w:jc w:val="center"/>
              <w:rPr>
                <w:lang w:eastAsia="en-US"/>
              </w:rPr>
            </w:pPr>
            <w:r>
              <w:rPr>
                <w:lang w:eastAsia="en-US"/>
              </w:rPr>
              <w:t>LCD Backlight</w:t>
            </w:r>
          </w:p>
        </w:tc>
        <w:tc>
          <w:tcPr>
            <w:tcW w:w="1971" w:type="dxa"/>
            <w:tcBorders>
              <w:top w:val="single" w:sz="4" w:space="0" w:color="000000"/>
              <w:left w:val="single" w:sz="4" w:space="0" w:color="000000"/>
              <w:bottom w:val="single" w:sz="4" w:space="0" w:color="000000"/>
              <w:right w:val="single" w:sz="4" w:space="0" w:color="000000"/>
            </w:tcBorders>
          </w:tcPr>
          <w:p>
            <w:pPr>
              <w:pStyle w:val="TAL1"/>
              <w:jc w:val="center"/>
              <w:rPr>
                <w:lang w:eastAsia="en-US"/>
              </w:rPr>
            </w:pPr>
            <w:r>
              <w:rPr>
                <w:lang w:eastAsia="en-US"/>
              </w:rPr>
              <w:t>50%</w:t>
            </w:r>
          </w:p>
        </w:tc>
        <w:tc>
          <w:tcPr>
            <w:tcW w:w="4246" w:type="dxa"/>
            <w:tcBorders>
              <w:top w:val="single" w:sz="4" w:space="0" w:color="000000"/>
              <w:left w:val="single" w:sz="4" w:space="0" w:color="000000"/>
              <w:bottom w:val="single" w:sz="4" w:space="0" w:color="000000"/>
              <w:right w:val="single" w:sz="4" w:space="0" w:color="000000"/>
            </w:tcBorders>
          </w:tcPr>
          <w:p>
            <w:pPr>
              <w:pStyle w:val="TAL1"/>
              <w:snapToGrid w:val="false"/>
              <w:rPr>
                <w:lang w:eastAsia="en-US"/>
              </w:rPr>
            </w:pPr>
            <w:r>
              <w:rPr>
                <w:lang w:eastAsia="en-US"/>
              </w:rPr>
            </w:r>
          </w:p>
        </w:tc>
      </w:tr>
      <w:tr>
        <w:trPr/>
        <w:tc>
          <w:tcPr>
            <w:tcW w:w="1863" w:type="dxa"/>
            <w:tcBorders>
              <w:top w:val="single" w:sz="4" w:space="0" w:color="000000"/>
              <w:left w:val="single" w:sz="4" w:space="0" w:color="000000"/>
              <w:bottom w:val="single" w:sz="4" w:space="0" w:color="000000"/>
              <w:right w:val="single" w:sz="4" w:space="0" w:color="000000"/>
            </w:tcBorders>
          </w:tcPr>
          <w:p>
            <w:pPr>
              <w:pStyle w:val="TAL1"/>
              <w:jc w:val="center"/>
              <w:rPr>
                <w:lang w:eastAsia="en-US"/>
              </w:rPr>
            </w:pPr>
            <w:r>
              <w:rPr>
                <w:lang w:eastAsia="en-US"/>
              </w:rPr>
              <w:t>Ambient sensor</w:t>
            </w:r>
          </w:p>
        </w:tc>
        <w:tc>
          <w:tcPr>
            <w:tcW w:w="1971" w:type="dxa"/>
            <w:tcBorders>
              <w:top w:val="single" w:sz="4" w:space="0" w:color="000000"/>
              <w:left w:val="single" w:sz="4" w:space="0" w:color="000000"/>
              <w:bottom w:val="single" w:sz="4" w:space="0" w:color="000000"/>
              <w:right w:val="single" w:sz="4" w:space="0" w:color="000000"/>
            </w:tcBorders>
          </w:tcPr>
          <w:p>
            <w:pPr>
              <w:pStyle w:val="TAL1"/>
              <w:jc w:val="center"/>
              <w:rPr>
                <w:lang w:eastAsia="en-US"/>
              </w:rPr>
            </w:pPr>
            <w:r>
              <w:rPr>
                <w:lang w:eastAsia="en-US"/>
              </w:rPr>
              <w:t>Disabled</w:t>
            </w:r>
          </w:p>
        </w:tc>
        <w:tc>
          <w:tcPr>
            <w:tcW w:w="4246" w:type="dxa"/>
            <w:tcBorders>
              <w:top w:val="single" w:sz="4" w:space="0" w:color="000000"/>
              <w:left w:val="single" w:sz="4" w:space="0" w:color="000000"/>
              <w:bottom w:val="single" w:sz="4" w:space="0" w:color="000000"/>
              <w:right w:val="single" w:sz="4" w:space="0" w:color="000000"/>
            </w:tcBorders>
          </w:tcPr>
          <w:p>
            <w:pPr>
              <w:pStyle w:val="TAL1"/>
              <w:snapToGrid w:val="false"/>
              <w:rPr>
                <w:lang w:eastAsia="en-US"/>
              </w:rPr>
            </w:pPr>
            <w:r>
              <w:rPr>
                <w:lang w:eastAsia="en-US"/>
              </w:rPr>
            </w:r>
          </w:p>
        </w:tc>
      </w:tr>
    </w:tbl>
    <w:p>
      <w:pPr>
        <w:pStyle w:val="Normal"/>
        <w:rPr/>
      </w:pPr>
      <w:r>
        <w:rPr/>
      </w:r>
    </w:p>
    <w:p>
      <w:pPr>
        <w:pStyle w:val="Normal"/>
        <w:rPr/>
      </w:pPr>
      <w:r>
        <w:rPr/>
        <w:t>A typical notebook PC is equipped with several radio access technologies. During the measurement the DUT shall be configured according to Table A.2.4.2-2.</w:t>
      </w:r>
    </w:p>
    <w:p>
      <w:pPr>
        <w:pStyle w:val="TH"/>
        <w:rPr/>
      </w:pPr>
      <w:bookmarkStart w:id="420" w:name="_Ref289241993"/>
      <w:r>
        <w:rPr/>
        <w:t>Table</w:t>
      </w:r>
      <w:bookmarkEnd w:id="420"/>
      <w:r>
        <w:rPr/>
        <w:t xml:space="preserve"> A.2.4.2-2: Embedded radio transmitters</w:t>
      </w:r>
    </w:p>
    <w:tbl>
      <w:tblPr>
        <w:tblW w:w="8080" w:type="dxa"/>
        <w:jc w:val="center"/>
        <w:tblInd w:w="0" w:type="dxa"/>
        <w:tblLayout w:type="fixed"/>
        <w:tblCellMar>
          <w:top w:w="0" w:type="dxa"/>
          <w:left w:w="108" w:type="dxa"/>
          <w:bottom w:w="0" w:type="dxa"/>
          <w:right w:w="108" w:type="dxa"/>
        </w:tblCellMar>
      </w:tblPr>
      <w:tblGrid>
        <w:gridCol w:w="1863"/>
        <w:gridCol w:w="1971"/>
        <w:gridCol w:w="4246"/>
      </w:tblGrid>
      <w:tr>
        <w:trPr/>
        <w:tc>
          <w:tcPr>
            <w:tcW w:w="1863"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Parameter</w:t>
            </w:r>
          </w:p>
        </w:tc>
        <w:tc>
          <w:tcPr>
            <w:tcW w:w="197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Value</w:t>
            </w:r>
          </w:p>
        </w:tc>
        <w:tc>
          <w:tcPr>
            <w:tcW w:w="424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Note</w:t>
            </w:r>
          </w:p>
        </w:tc>
      </w:tr>
      <w:tr>
        <w:trPr/>
        <w:tc>
          <w:tcPr>
            <w:tcW w:w="1863" w:type="dxa"/>
            <w:tcBorders>
              <w:top w:val="single" w:sz="4" w:space="0" w:color="000000"/>
              <w:left w:val="single" w:sz="4" w:space="0" w:color="000000"/>
              <w:bottom w:val="single" w:sz="4" w:space="0" w:color="000000"/>
              <w:right w:val="single" w:sz="4" w:space="0" w:color="000000"/>
            </w:tcBorders>
          </w:tcPr>
          <w:p>
            <w:pPr>
              <w:pStyle w:val="TAL1"/>
              <w:jc w:val="center"/>
              <w:rPr>
                <w:lang w:eastAsia="en-US"/>
              </w:rPr>
            </w:pPr>
            <w:r>
              <w:rPr>
                <w:lang w:eastAsia="en-US"/>
              </w:rPr>
              <w:t>WWAN</w:t>
            </w:r>
          </w:p>
        </w:tc>
        <w:tc>
          <w:tcPr>
            <w:tcW w:w="1971" w:type="dxa"/>
            <w:tcBorders>
              <w:top w:val="single" w:sz="4" w:space="0" w:color="000000"/>
              <w:left w:val="single" w:sz="4" w:space="0" w:color="000000"/>
              <w:bottom w:val="single" w:sz="4" w:space="0" w:color="000000"/>
              <w:right w:val="single" w:sz="4" w:space="0" w:color="000000"/>
            </w:tcBorders>
          </w:tcPr>
          <w:p>
            <w:pPr>
              <w:pStyle w:val="TAL1"/>
              <w:jc w:val="center"/>
              <w:rPr>
                <w:lang w:eastAsia="en-US"/>
              </w:rPr>
            </w:pPr>
            <w:r>
              <w:rPr>
                <w:lang w:eastAsia="en-US"/>
              </w:rPr>
              <w:t>Enabled</w:t>
            </w:r>
          </w:p>
        </w:tc>
        <w:tc>
          <w:tcPr>
            <w:tcW w:w="4246"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This is the DUT transceiver</w:t>
            </w:r>
          </w:p>
        </w:tc>
      </w:tr>
      <w:tr>
        <w:trPr/>
        <w:tc>
          <w:tcPr>
            <w:tcW w:w="1863" w:type="dxa"/>
            <w:tcBorders>
              <w:top w:val="single" w:sz="4" w:space="0" w:color="000000"/>
              <w:left w:val="single" w:sz="4" w:space="0" w:color="000000"/>
              <w:bottom w:val="single" w:sz="4" w:space="0" w:color="000000"/>
              <w:right w:val="single" w:sz="4" w:space="0" w:color="000000"/>
            </w:tcBorders>
          </w:tcPr>
          <w:p>
            <w:pPr>
              <w:pStyle w:val="TAL1"/>
              <w:jc w:val="center"/>
              <w:rPr>
                <w:lang w:eastAsia="en-US"/>
              </w:rPr>
            </w:pPr>
            <w:r>
              <w:rPr>
                <w:lang w:eastAsia="en-US"/>
              </w:rPr>
              <w:t>Other transceivers</w:t>
            </w:r>
          </w:p>
        </w:tc>
        <w:tc>
          <w:tcPr>
            <w:tcW w:w="1971" w:type="dxa"/>
            <w:tcBorders>
              <w:top w:val="single" w:sz="4" w:space="0" w:color="000000"/>
              <w:left w:val="single" w:sz="4" w:space="0" w:color="000000"/>
              <w:bottom w:val="single" w:sz="4" w:space="0" w:color="000000"/>
              <w:right w:val="single" w:sz="4" w:space="0" w:color="000000"/>
            </w:tcBorders>
          </w:tcPr>
          <w:p>
            <w:pPr>
              <w:pStyle w:val="TAL1"/>
              <w:jc w:val="center"/>
              <w:rPr>
                <w:lang w:eastAsia="en-US"/>
              </w:rPr>
            </w:pPr>
            <w:r>
              <w:rPr>
                <w:lang w:eastAsia="en-US"/>
              </w:rPr>
              <w:t>Disabled</w:t>
            </w:r>
          </w:p>
        </w:tc>
        <w:tc>
          <w:tcPr>
            <w:tcW w:w="4246"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UWB, WLAN, Bluetooth™</w:t>
            </w:r>
          </w:p>
        </w:tc>
      </w:tr>
    </w:tbl>
    <w:p>
      <w:pPr>
        <w:pStyle w:val="Normal"/>
        <w:rPr/>
      </w:pPr>
      <w:r>
        <w:rPr/>
      </w:r>
    </w:p>
    <w:p>
      <w:pPr>
        <w:pStyle w:val="Normal"/>
        <w:rPr/>
      </w:pPr>
      <w:r>
        <w:rPr/>
        <w:t>The notebook power management shall be configured according to Table A.2.4.2-3.</w:t>
      </w:r>
    </w:p>
    <w:p>
      <w:pPr>
        <w:pStyle w:val="TH"/>
        <w:rPr/>
      </w:pPr>
      <w:bookmarkStart w:id="421" w:name="_Ref289241995"/>
      <w:r>
        <w:rPr/>
        <w:t>Table</w:t>
      </w:r>
      <w:bookmarkEnd w:id="421"/>
      <w:r>
        <w:rPr/>
        <w:t xml:space="preserve"> A.2.4.2-3: Power management</w:t>
      </w:r>
    </w:p>
    <w:tbl>
      <w:tblPr>
        <w:tblW w:w="8080" w:type="dxa"/>
        <w:jc w:val="center"/>
        <w:tblInd w:w="0" w:type="dxa"/>
        <w:tblLayout w:type="fixed"/>
        <w:tblCellMar>
          <w:top w:w="0" w:type="dxa"/>
          <w:left w:w="108" w:type="dxa"/>
          <w:bottom w:w="0" w:type="dxa"/>
          <w:right w:w="108" w:type="dxa"/>
        </w:tblCellMar>
      </w:tblPr>
      <w:tblGrid>
        <w:gridCol w:w="3271"/>
        <w:gridCol w:w="1980"/>
        <w:gridCol w:w="2829"/>
      </w:tblGrid>
      <w:tr>
        <w:trPr/>
        <w:tc>
          <w:tcPr>
            <w:tcW w:w="327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Parameter</w:t>
            </w:r>
          </w:p>
        </w:tc>
        <w:tc>
          <w:tcPr>
            <w:tcW w:w="198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Value</w:t>
            </w:r>
          </w:p>
        </w:tc>
        <w:tc>
          <w:tcPr>
            <w:tcW w:w="282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Note</w:t>
            </w:r>
          </w:p>
        </w:tc>
      </w:tr>
      <w:tr>
        <w:trPr/>
        <w:tc>
          <w:tcPr>
            <w:tcW w:w="3271" w:type="dxa"/>
            <w:tcBorders>
              <w:top w:val="single" w:sz="4" w:space="0" w:color="000000"/>
              <w:left w:val="single" w:sz="4" w:space="0" w:color="000000"/>
              <w:bottom w:val="single" w:sz="4" w:space="0" w:color="000000"/>
              <w:right w:val="single" w:sz="4" w:space="0" w:color="000000"/>
            </w:tcBorders>
          </w:tcPr>
          <w:p>
            <w:pPr>
              <w:pStyle w:val="TAL1"/>
              <w:jc w:val="center"/>
              <w:rPr>
                <w:lang w:eastAsia="en-US"/>
              </w:rPr>
            </w:pPr>
            <w:r>
              <w:rPr>
                <w:lang w:eastAsia="en-US"/>
              </w:rPr>
              <w:t>Screensaver</w:t>
            </w:r>
          </w:p>
        </w:tc>
        <w:tc>
          <w:tcPr>
            <w:tcW w:w="1980" w:type="dxa"/>
            <w:tcBorders>
              <w:top w:val="single" w:sz="4" w:space="0" w:color="000000"/>
              <w:left w:val="single" w:sz="4" w:space="0" w:color="000000"/>
              <w:bottom w:val="single" w:sz="4" w:space="0" w:color="000000"/>
              <w:right w:val="single" w:sz="4" w:space="0" w:color="000000"/>
            </w:tcBorders>
          </w:tcPr>
          <w:p>
            <w:pPr>
              <w:pStyle w:val="TAL1"/>
              <w:jc w:val="center"/>
              <w:rPr>
                <w:lang w:eastAsia="en-US"/>
              </w:rPr>
            </w:pPr>
            <w:r>
              <w:rPr>
                <w:lang w:eastAsia="en-US"/>
              </w:rPr>
              <w:t>Disabled</w:t>
            </w:r>
          </w:p>
        </w:tc>
        <w:tc>
          <w:tcPr>
            <w:tcW w:w="2829" w:type="dxa"/>
            <w:tcBorders>
              <w:top w:val="single" w:sz="4" w:space="0" w:color="000000"/>
              <w:left w:val="single" w:sz="4" w:space="0" w:color="000000"/>
              <w:bottom w:val="single" w:sz="4" w:space="0" w:color="000000"/>
              <w:right w:val="single" w:sz="4" w:space="0" w:color="000000"/>
            </w:tcBorders>
          </w:tcPr>
          <w:p>
            <w:pPr>
              <w:pStyle w:val="TAL1"/>
              <w:snapToGrid w:val="false"/>
              <w:rPr>
                <w:lang w:eastAsia="en-US"/>
              </w:rPr>
            </w:pPr>
            <w:r>
              <w:rPr>
                <w:lang w:eastAsia="en-US"/>
              </w:rPr>
            </w:r>
          </w:p>
        </w:tc>
      </w:tr>
      <w:tr>
        <w:trPr/>
        <w:tc>
          <w:tcPr>
            <w:tcW w:w="3271" w:type="dxa"/>
            <w:tcBorders>
              <w:top w:val="single" w:sz="4" w:space="0" w:color="000000"/>
              <w:left w:val="single" w:sz="4" w:space="0" w:color="000000"/>
              <w:bottom w:val="single" w:sz="4" w:space="0" w:color="000000"/>
              <w:right w:val="single" w:sz="4" w:space="0" w:color="000000"/>
            </w:tcBorders>
          </w:tcPr>
          <w:p>
            <w:pPr>
              <w:pStyle w:val="TAL1"/>
              <w:jc w:val="center"/>
              <w:rPr>
                <w:lang w:eastAsia="en-US"/>
              </w:rPr>
            </w:pPr>
            <w:r>
              <w:rPr>
                <w:lang w:eastAsia="en-US"/>
              </w:rPr>
              <w:t>Turn OFF display</w:t>
            </w:r>
          </w:p>
        </w:tc>
        <w:tc>
          <w:tcPr>
            <w:tcW w:w="1980" w:type="dxa"/>
            <w:tcBorders>
              <w:top w:val="single" w:sz="4" w:space="0" w:color="000000"/>
              <w:left w:val="single" w:sz="4" w:space="0" w:color="000000"/>
              <w:bottom w:val="single" w:sz="4" w:space="0" w:color="000000"/>
              <w:right w:val="single" w:sz="4" w:space="0" w:color="000000"/>
            </w:tcBorders>
          </w:tcPr>
          <w:p>
            <w:pPr>
              <w:pStyle w:val="TAL1"/>
              <w:jc w:val="center"/>
              <w:rPr>
                <w:lang w:eastAsia="en-US"/>
              </w:rPr>
            </w:pPr>
            <w:r>
              <w:rPr>
                <w:lang w:eastAsia="en-US"/>
              </w:rPr>
              <w:t>Never</w:t>
            </w:r>
          </w:p>
        </w:tc>
        <w:tc>
          <w:tcPr>
            <w:tcW w:w="2829" w:type="dxa"/>
            <w:tcBorders>
              <w:top w:val="single" w:sz="4" w:space="0" w:color="000000"/>
              <w:left w:val="single" w:sz="4" w:space="0" w:color="000000"/>
              <w:bottom w:val="single" w:sz="4" w:space="0" w:color="000000"/>
              <w:right w:val="single" w:sz="4" w:space="0" w:color="000000"/>
            </w:tcBorders>
          </w:tcPr>
          <w:p>
            <w:pPr>
              <w:pStyle w:val="TAL1"/>
              <w:snapToGrid w:val="false"/>
              <w:rPr>
                <w:lang w:eastAsia="en-US"/>
              </w:rPr>
            </w:pPr>
            <w:r>
              <w:rPr>
                <w:lang w:eastAsia="en-US"/>
              </w:rPr>
            </w:r>
          </w:p>
        </w:tc>
      </w:tr>
      <w:tr>
        <w:trPr/>
        <w:tc>
          <w:tcPr>
            <w:tcW w:w="3271" w:type="dxa"/>
            <w:tcBorders>
              <w:top w:val="single" w:sz="4" w:space="0" w:color="000000"/>
              <w:left w:val="single" w:sz="4" w:space="0" w:color="000000"/>
              <w:bottom w:val="single" w:sz="4" w:space="0" w:color="000000"/>
              <w:right w:val="single" w:sz="4" w:space="0" w:color="000000"/>
            </w:tcBorders>
          </w:tcPr>
          <w:p>
            <w:pPr>
              <w:pStyle w:val="TAL1"/>
              <w:jc w:val="center"/>
              <w:rPr>
                <w:lang w:eastAsia="en-US"/>
              </w:rPr>
            </w:pPr>
            <w:r>
              <w:rPr>
                <w:lang w:eastAsia="en-US"/>
              </w:rPr>
              <w:t>Turn OFF Hard drive</w:t>
            </w:r>
          </w:p>
        </w:tc>
        <w:tc>
          <w:tcPr>
            <w:tcW w:w="1980" w:type="dxa"/>
            <w:tcBorders>
              <w:top w:val="single" w:sz="4" w:space="0" w:color="000000"/>
              <w:left w:val="single" w:sz="4" w:space="0" w:color="000000"/>
              <w:bottom w:val="single" w:sz="4" w:space="0" w:color="000000"/>
              <w:right w:val="single" w:sz="4" w:space="0" w:color="000000"/>
            </w:tcBorders>
          </w:tcPr>
          <w:p>
            <w:pPr>
              <w:pStyle w:val="TAL1"/>
              <w:jc w:val="center"/>
              <w:rPr>
                <w:lang w:eastAsia="en-US"/>
              </w:rPr>
            </w:pPr>
            <w:r>
              <w:rPr>
                <w:lang w:eastAsia="en-US"/>
              </w:rPr>
              <w:t>Never</w:t>
            </w:r>
          </w:p>
        </w:tc>
        <w:tc>
          <w:tcPr>
            <w:tcW w:w="2829" w:type="dxa"/>
            <w:tcBorders>
              <w:top w:val="single" w:sz="4" w:space="0" w:color="000000"/>
              <w:left w:val="single" w:sz="4" w:space="0" w:color="000000"/>
              <w:bottom w:val="single" w:sz="4" w:space="0" w:color="000000"/>
              <w:right w:val="single" w:sz="4" w:space="0" w:color="000000"/>
            </w:tcBorders>
          </w:tcPr>
          <w:p>
            <w:pPr>
              <w:pStyle w:val="TAL1"/>
              <w:snapToGrid w:val="false"/>
              <w:rPr>
                <w:lang w:eastAsia="en-US"/>
              </w:rPr>
            </w:pPr>
            <w:r>
              <w:rPr>
                <w:lang w:eastAsia="en-US"/>
              </w:rPr>
            </w:r>
          </w:p>
        </w:tc>
      </w:tr>
      <w:tr>
        <w:trPr/>
        <w:tc>
          <w:tcPr>
            <w:tcW w:w="3271" w:type="dxa"/>
            <w:tcBorders>
              <w:top w:val="single" w:sz="4" w:space="0" w:color="000000"/>
              <w:left w:val="single" w:sz="4" w:space="0" w:color="000000"/>
              <w:bottom w:val="single" w:sz="4" w:space="0" w:color="000000"/>
              <w:right w:val="single" w:sz="4" w:space="0" w:color="000000"/>
            </w:tcBorders>
          </w:tcPr>
          <w:p>
            <w:pPr>
              <w:pStyle w:val="TAL1"/>
              <w:jc w:val="center"/>
              <w:rPr>
                <w:lang w:eastAsia="en-US"/>
              </w:rPr>
            </w:pPr>
            <w:r>
              <w:rPr>
                <w:lang w:eastAsia="en-US"/>
              </w:rPr>
              <w:t>System Hibernate</w:t>
            </w:r>
          </w:p>
        </w:tc>
        <w:tc>
          <w:tcPr>
            <w:tcW w:w="1980" w:type="dxa"/>
            <w:tcBorders>
              <w:top w:val="single" w:sz="4" w:space="0" w:color="000000"/>
              <w:left w:val="single" w:sz="4" w:space="0" w:color="000000"/>
              <w:bottom w:val="single" w:sz="4" w:space="0" w:color="000000"/>
              <w:right w:val="single" w:sz="4" w:space="0" w:color="000000"/>
            </w:tcBorders>
          </w:tcPr>
          <w:p>
            <w:pPr>
              <w:pStyle w:val="TAL1"/>
              <w:jc w:val="center"/>
              <w:rPr>
                <w:lang w:eastAsia="en-US"/>
              </w:rPr>
            </w:pPr>
            <w:r>
              <w:rPr>
                <w:lang w:eastAsia="en-US"/>
              </w:rPr>
              <w:t>Never</w:t>
            </w:r>
          </w:p>
        </w:tc>
        <w:tc>
          <w:tcPr>
            <w:tcW w:w="2829" w:type="dxa"/>
            <w:tcBorders>
              <w:top w:val="single" w:sz="4" w:space="0" w:color="000000"/>
              <w:left w:val="single" w:sz="4" w:space="0" w:color="000000"/>
              <w:bottom w:val="single" w:sz="4" w:space="0" w:color="000000"/>
              <w:right w:val="single" w:sz="4" w:space="0" w:color="000000"/>
            </w:tcBorders>
          </w:tcPr>
          <w:p>
            <w:pPr>
              <w:pStyle w:val="TAL1"/>
              <w:snapToGrid w:val="false"/>
              <w:rPr>
                <w:lang w:eastAsia="en-US"/>
              </w:rPr>
            </w:pPr>
            <w:r>
              <w:rPr>
                <w:lang w:eastAsia="en-US"/>
              </w:rPr>
            </w:r>
          </w:p>
        </w:tc>
      </w:tr>
      <w:tr>
        <w:trPr/>
        <w:tc>
          <w:tcPr>
            <w:tcW w:w="3271" w:type="dxa"/>
            <w:tcBorders>
              <w:top w:val="single" w:sz="4" w:space="0" w:color="000000"/>
              <w:left w:val="single" w:sz="4" w:space="0" w:color="000000"/>
              <w:bottom w:val="single" w:sz="4" w:space="0" w:color="000000"/>
              <w:right w:val="single" w:sz="4" w:space="0" w:color="000000"/>
            </w:tcBorders>
          </w:tcPr>
          <w:p>
            <w:pPr>
              <w:pStyle w:val="TAL1"/>
              <w:jc w:val="center"/>
              <w:rPr/>
            </w:pPr>
            <w:r>
              <w:rPr>
                <w:lang w:eastAsia="en-US"/>
              </w:rPr>
              <w:t>System Standby</w:t>
            </w:r>
          </w:p>
        </w:tc>
        <w:tc>
          <w:tcPr>
            <w:tcW w:w="1980" w:type="dxa"/>
            <w:tcBorders>
              <w:top w:val="single" w:sz="4" w:space="0" w:color="000000"/>
              <w:left w:val="single" w:sz="4" w:space="0" w:color="000000"/>
              <w:bottom w:val="single" w:sz="4" w:space="0" w:color="000000"/>
              <w:right w:val="single" w:sz="4" w:space="0" w:color="000000"/>
            </w:tcBorders>
          </w:tcPr>
          <w:p>
            <w:pPr>
              <w:pStyle w:val="TAL1"/>
              <w:jc w:val="center"/>
              <w:rPr>
                <w:lang w:eastAsia="en-US"/>
              </w:rPr>
            </w:pPr>
            <w:r>
              <w:rPr>
                <w:lang w:eastAsia="en-US"/>
              </w:rPr>
              <w:t>Never</w:t>
            </w:r>
          </w:p>
        </w:tc>
        <w:tc>
          <w:tcPr>
            <w:tcW w:w="2829" w:type="dxa"/>
            <w:tcBorders>
              <w:top w:val="single" w:sz="4" w:space="0" w:color="000000"/>
              <w:left w:val="single" w:sz="4" w:space="0" w:color="000000"/>
              <w:bottom w:val="single" w:sz="4" w:space="0" w:color="000000"/>
              <w:right w:val="single" w:sz="4" w:space="0" w:color="000000"/>
            </w:tcBorders>
          </w:tcPr>
          <w:p>
            <w:pPr>
              <w:pStyle w:val="TAL1"/>
              <w:snapToGrid w:val="false"/>
              <w:rPr>
                <w:lang w:eastAsia="en-US"/>
              </w:rPr>
            </w:pPr>
            <w:r>
              <w:rPr>
                <w:lang w:eastAsia="en-US"/>
              </w:rPr>
            </w:r>
          </w:p>
        </w:tc>
      </w:tr>
      <w:tr>
        <w:trPr/>
        <w:tc>
          <w:tcPr>
            <w:tcW w:w="3271" w:type="dxa"/>
            <w:tcBorders>
              <w:top w:val="single" w:sz="4" w:space="0" w:color="000000"/>
              <w:left w:val="single" w:sz="4" w:space="0" w:color="000000"/>
              <w:bottom w:val="single" w:sz="4" w:space="0" w:color="000000"/>
              <w:right w:val="single" w:sz="4" w:space="0" w:color="000000"/>
            </w:tcBorders>
          </w:tcPr>
          <w:p>
            <w:pPr>
              <w:pStyle w:val="TAL1"/>
              <w:jc w:val="center"/>
              <w:rPr>
                <w:lang w:eastAsia="en-US"/>
              </w:rPr>
            </w:pPr>
            <w:r>
              <w:rPr>
                <w:lang w:eastAsia="en-US"/>
              </w:rPr>
              <w:t>Dynamic control of clock frequencies</w:t>
            </w:r>
          </w:p>
        </w:tc>
        <w:tc>
          <w:tcPr>
            <w:tcW w:w="1980" w:type="dxa"/>
            <w:tcBorders>
              <w:top w:val="single" w:sz="4" w:space="0" w:color="000000"/>
              <w:left w:val="single" w:sz="4" w:space="0" w:color="000000"/>
              <w:bottom w:val="single" w:sz="4" w:space="0" w:color="000000"/>
              <w:right w:val="single" w:sz="4" w:space="0" w:color="000000"/>
            </w:tcBorders>
          </w:tcPr>
          <w:p>
            <w:pPr>
              <w:pStyle w:val="TAL1"/>
              <w:jc w:val="center"/>
              <w:rPr>
                <w:lang w:eastAsia="en-US"/>
              </w:rPr>
            </w:pPr>
            <w:r>
              <w:rPr>
                <w:lang w:eastAsia="en-US"/>
              </w:rPr>
              <w:t>Disabled</w:t>
            </w:r>
          </w:p>
        </w:tc>
        <w:tc>
          <w:tcPr>
            <w:tcW w:w="2829" w:type="dxa"/>
            <w:tcBorders>
              <w:top w:val="single" w:sz="4" w:space="0" w:color="000000"/>
              <w:left w:val="single" w:sz="4" w:space="0" w:color="000000"/>
              <w:bottom w:val="single" w:sz="4" w:space="0" w:color="000000"/>
              <w:right w:val="single" w:sz="4" w:space="0" w:color="000000"/>
            </w:tcBorders>
          </w:tcPr>
          <w:p>
            <w:pPr>
              <w:pStyle w:val="TAL1"/>
              <w:snapToGrid w:val="false"/>
              <w:rPr>
                <w:lang w:eastAsia="en-US"/>
              </w:rPr>
            </w:pPr>
            <w:r>
              <w:rPr>
                <w:lang w:eastAsia="en-US"/>
              </w:rPr>
            </w:r>
          </w:p>
        </w:tc>
      </w:tr>
      <w:tr>
        <w:trPr/>
        <w:tc>
          <w:tcPr>
            <w:tcW w:w="3271" w:type="dxa"/>
            <w:tcBorders>
              <w:top w:val="single" w:sz="4" w:space="0" w:color="000000"/>
              <w:left w:val="single" w:sz="4" w:space="0" w:color="000000"/>
              <w:bottom w:val="single" w:sz="4" w:space="0" w:color="000000"/>
              <w:right w:val="single" w:sz="4" w:space="0" w:color="000000"/>
            </w:tcBorders>
          </w:tcPr>
          <w:p>
            <w:pPr>
              <w:pStyle w:val="TAL1"/>
              <w:jc w:val="center"/>
              <w:rPr>
                <w:lang w:eastAsia="en-US"/>
              </w:rPr>
            </w:pPr>
            <w:r>
              <w:rPr>
                <w:lang w:eastAsia="en-US"/>
              </w:rPr>
              <w:t>Power source</w:t>
            </w:r>
          </w:p>
        </w:tc>
        <w:tc>
          <w:tcPr>
            <w:tcW w:w="1980" w:type="dxa"/>
            <w:tcBorders>
              <w:top w:val="single" w:sz="4" w:space="0" w:color="000000"/>
              <w:left w:val="single" w:sz="4" w:space="0" w:color="000000"/>
              <w:bottom w:val="single" w:sz="4" w:space="0" w:color="000000"/>
              <w:right w:val="single" w:sz="4" w:space="0" w:color="000000"/>
            </w:tcBorders>
          </w:tcPr>
          <w:p>
            <w:pPr>
              <w:pStyle w:val="TAL1"/>
              <w:jc w:val="center"/>
              <w:rPr>
                <w:lang w:eastAsia="en-US"/>
              </w:rPr>
            </w:pPr>
            <w:r>
              <w:rPr>
                <w:lang w:eastAsia="en-US"/>
              </w:rPr>
              <w:t>Standard battery</w:t>
            </w:r>
          </w:p>
        </w:tc>
        <w:tc>
          <w:tcPr>
            <w:tcW w:w="2829" w:type="dxa"/>
            <w:tcBorders>
              <w:top w:val="single" w:sz="4" w:space="0" w:color="000000"/>
              <w:left w:val="single" w:sz="4" w:space="0" w:color="000000"/>
              <w:bottom w:val="single" w:sz="4" w:space="0" w:color="000000"/>
              <w:right w:val="single" w:sz="4" w:space="0" w:color="000000"/>
            </w:tcBorders>
          </w:tcPr>
          <w:p>
            <w:pPr>
              <w:pStyle w:val="TAL1"/>
              <w:snapToGrid w:val="false"/>
              <w:rPr>
                <w:lang w:eastAsia="en-US"/>
              </w:rPr>
            </w:pPr>
            <w:r>
              <w:rPr>
                <w:lang w:eastAsia="en-US"/>
              </w:rPr>
            </w:r>
          </w:p>
        </w:tc>
      </w:tr>
    </w:tbl>
    <w:p>
      <w:pPr>
        <w:pStyle w:val="TextBody"/>
        <w:rPr/>
      </w:pPr>
      <w:r>
        <w:rPr/>
      </w:r>
    </w:p>
    <w:p>
      <w:pPr>
        <w:pStyle w:val="Normal"/>
        <w:rPr/>
      </w:pPr>
      <w:r>
        <w:rPr/>
        <w:t>If the notebook is equipped with retractable antennas the device shall be tested with the antennas in a configuration recommended by the manufactures.</w:t>
      </w:r>
    </w:p>
    <w:p>
      <w:pPr>
        <w:pStyle w:val="Heading3"/>
        <w:rPr>
          <w:sz w:val="24"/>
          <w:szCs w:val="24"/>
        </w:rPr>
      </w:pPr>
      <w:bookmarkStart w:id="422" w:name="__RefHeading___Toc68601351"/>
      <w:bookmarkEnd w:id="422"/>
      <w:r>
        <w:rPr>
          <w:sz w:val="24"/>
          <w:szCs w:val="24"/>
        </w:rPr>
        <w:t>A.2.4.3</w:t>
        <w:tab/>
        <w:t>Tablet</w:t>
      </w:r>
    </w:p>
    <w:p>
      <w:pPr>
        <w:pStyle w:val="Normal"/>
        <w:rPr/>
      </w:pPr>
      <w:r>
        <w:rPr/>
        <w:t>A tablet is a portable personal computer combining the computer and display in a single form factor. User input is accomplished via touch screen or a pen. The largest single dimension (i.e., length, width, height) for a tablet is limited to 0.42 m. Tablet devices may have different primary mechanical modes.</w:t>
      </w:r>
    </w:p>
    <w:p>
      <w:pPr>
        <w:pStyle w:val="Normal"/>
        <w:rPr/>
      </w:pPr>
      <w:r>
        <w:rPr/>
        <w:t>Tablet shall be tested in a free space configuration without head and hand phantoms. If hand phantom grips become available for tablets, the testing configuration for tablets may be revisited. The centre of rotation shall be the three-dimensional geometric centre of the EUT, display facing free space.</w:t>
      </w:r>
    </w:p>
    <w:p>
      <w:pPr>
        <w:pStyle w:val="Normal"/>
        <w:rPr/>
      </w:pPr>
      <w:r>
        <w:rPr/>
        <w:t>When a tablet is placed in a measurement chamber the display shall be configured according to Table A.2.4.3-1.</w:t>
      </w:r>
    </w:p>
    <w:p>
      <w:pPr>
        <w:pStyle w:val="TH"/>
        <w:rPr/>
      </w:pPr>
      <w:r>
        <w:rPr/>
        <w:t>Table A.2.4.3-1: Display Settings</w:t>
      </w:r>
    </w:p>
    <w:tbl>
      <w:tblPr>
        <w:tblW w:w="8080" w:type="dxa"/>
        <w:jc w:val="center"/>
        <w:tblInd w:w="0" w:type="dxa"/>
        <w:tblLayout w:type="fixed"/>
        <w:tblCellMar>
          <w:top w:w="0" w:type="dxa"/>
          <w:left w:w="108" w:type="dxa"/>
          <w:bottom w:w="0" w:type="dxa"/>
          <w:right w:w="108" w:type="dxa"/>
        </w:tblCellMar>
      </w:tblPr>
      <w:tblGrid>
        <w:gridCol w:w="1863"/>
        <w:gridCol w:w="1971"/>
        <w:gridCol w:w="4246"/>
      </w:tblGrid>
      <w:tr>
        <w:trPr/>
        <w:tc>
          <w:tcPr>
            <w:tcW w:w="1863"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Parameter</w:t>
            </w:r>
          </w:p>
        </w:tc>
        <w:tc>
          <w:tcPr>
            <w:tcW w:w="197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Value</w:t>
            </w:r>
          </w:p>
        </w:tc>
        <w:tc>
          <w:tcPr>
            <w:tcW w:w="424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Note</w:t>
            </w:r>
          </w:p>
        </w:tc>
      </w:tr>
      <w:tr>
        <w:trPr/>
        <w:tc>
          <w:tcPr>
            <w:tcW w:w="1863" w:type="dxa"/>
            <w:tcBorders>
              <w:top w:val="single" w:sz="4" w:space="0" w:color="000000"/>
              <w:left w:val="single" w:sz="4" w:space="0" w:color="000000"/>
              <w:bottom w:val="single" w:sz="4" w:space="0" w:color="000000"/>
              <w:right w:val="single" w:sz="4" w:space="0" w:color="000000"/>
            </w:tcBorders>
          </w:tcPr>
          <w:p>
            <w:pPr>
              <w:pStyle w:val="TAL1"/>
              <w:jc w:val="center"/>
              <w:rPr>
                <w:lang w:eastAsia="en-US"/>
              </w:rPr>
            </w:pPr>
            <w:r>
              <w:rPr>
                <w:lang w:eastAsia="en-US"/>
              </w:rPr>
              <w:t>LCD Backlight</w:t>
            </w:r>
          </w:p>
        </w:tc>
        <w:tc>
          <w:tcPr>
            <w:tcW w:w="1971" w:type="dxa"/>
            <w:tcBorders>
              <w:top w:val="single" w:sz="4" w:space="0" w:color="000000"/>
              <w:left w:val="single" w:sz="4" w:space="0" w:color="000000"/>
              <w:bottom w:val="single" w:sz="4" w:space="0" w:color="000000"/>
              <w:right w:val="single" w:sz="4" w:space="0" w:color="000000"/>
            </w:tcBorders>
          </w:tcPr>
          <w:p>
            <w:pPr>
              <w:pStyle w:val="TAL1"/>
              <w:jc w:val="center"/>
              <w:rPr>
                <w:lang w:eastAsia="en-US"/>
              </w:rPr>
            </w:pPr>
            <w:r>
              <w:rPr>
                <w:lang w:eastAsia="en-US"/>
              </w:rPr>
              <w:t>50%</w:t>
            </w:r>
          </w:p>
        </w:tc>
        <w:tc>
          <w:tcPr>
            <w:tcW w:w="4246" w:type="dxa"/>
            <w:tcBorders>
              <w:top w:val="single" w:sz="4" w:space="0" w:color="000000"/>
              <w:left w:val="single" w:sz="4" w:space="0" w:color="000000"/>
              <w:bottom w:val="single" w:sz="4" w:space="0" w:color="000000"/>
              <w:right w:val="single" w:sz="4" w:space="0" w:color="000000"/>
            </w:tcBorders>
          </w:tcPr>
          <w:p>
            <w:pPr>
              <w:pStyle w:val="TAL1"/>
              <w:snapToGrid w:val="false"/>
              <w:rPr>
                <w:lang w:eastAsia="en-US"/>
              </w:rPr>
            </w:pPr>
            <w:r>
              <w:rPr>
                <w:lang w:eastAsia="en-US"/>
              </w:rPr>
            </w:r>
          </w:p>
        </w:tc>
      </w:tr>
      <w:tr>
        <w:trPr/>
        <w:tc>
          <w:tcPr>
            <w:tcW w:w="1863" w:type="dxa"/>
            <w:tcBorders>
              <w:top w:val="single" w:sz="4" w:space="0" w:color="000000"/>
              <w:left w:val="single" w:sz="4" w:space="0" w:color="000000"/>
              <w:bottom w:val="single" w:sz="4" w:space="0" w:color="000000"/>
              <w:right w:val="single" w:sz="4" w:space="0" w:color="000000"/>
            </w:tcBorders>
          </w:tcPr>
          <w:p>
            <w:pPr>
              <w:pStyle w:val="TAL1"/>
              <w:jc w:val="center"/>
              <w:rPr>
                <w:lang w:eastAsia="en-US"/>
              </w:rPr>
            </w:pPr>
            <w:r>
              <w:rPr>
                <w:lang w:eastAsia="en-US"/>
              </w:rPr>
              <w:t>Ambient light sensor</w:t>
            </w:r>
          </w:p>
        </w:tc>
        <w:tc>
          <w:tcPr>
            <w:tcW w:w="1971" w:type="dxa"/>
            <w:tcBorders>
              <w:top w:val="single" w:sz="4" w:space="0" w:color="000000"/>
              <w:left w:val="single" w:sz="4" w:space="0" w:color="000000"/>
              <w:bottom w:val="single" w:sz="4" w:space="0" w:color="000000"/>
              <w:right w:val="single" w:sz="4" w:space="0" w:color="000000"/>
            </w:tcBorders>
          </w:tcPr>
          <w:p>
            <w:pPr>
              <w:pStyle w:val="TAL1"/>
              <w:jc w:val="center"/>
              <w:rPr>
                <w:lang w:eastAsia="en-US"/>
              </w:rPr>
            </w:pPr>
            <w:r>
              <w:rPr>
                <w:lang w:eastAsia="en-US"/>
              </w:rPr>
              <w:t>Disabled</w:t>
            </w:r>
          </w:p>
        </w:tc>
        <w:tc>
          <w:tcPr>
            <w:tcW w:w="4246" w:type="dxa"/>
            <w:tcBorders>
              <w:top w:val="single" w:sz="4" w:space="0" w:color="000000"/>
              <w:left w:val="single" w:sz="4" w:space="0" w:color="000000"/>
              <w:bottom w:val="single" w:sz="4" w:space="0" w:color="000000"/>
              <w:right w:val="single" w:sz="4" w:space="0" w:color="000000"/>
            </w:tcBorders>
          </w:tcPr>
          <w:p>
            <w:pPr>
              <w:pStyle w:val="TAL1"/>
              <w:snapToGrid w:val="false"/>
              <w:rPr>
                <w:lang w:eastAsia="en-US"/>
              </w:rPr>
            </w:pPr>
            <w:r>
              <w:rPr>
                <w:lang w:eastAsia="en-US"/>
              </w:rPr>
            </w:r>
          </w:p>
        </w:tc>
      </w:tr>
    </w:tbl>
    <w:p>
      <w:pPr>
        <w:pStyle w:val="Normal"/>
        <w:rPr/>
      </w:pPr>
      <w:r>
        <w:rPr/>
      </w:r>
    </w:p>
    <w:p>
      <w:pPr>
        <w:pStyle w:val="Normal"/>
        <w:rPr/>
      </w:pPr>
      <w:r>
        <w:rPr/>
        <w:t xml:space="preserve">A typical tablet is equipped with several radio access technologies. During the measurement the EUT shall be configured according to Table A.2.4.2-2. </w:t>
      </w:r>
    </w:p>
    <w:p>
      <w:pPr>
        <w:pStyle w:val="Normal"/>
        <w:rPr/>
      </w:pPr>
      <w:r>
        <w:rPr/>
        <w:t>EUT shall be powered by battery and power management settings in Table A.2.4.2-3 shall be used.</w:t>
      </w:r>
    </w:p>
    <w:p>
      <w:pPr>
        <w:pStyle w:val="Normal"/>
        <w:rPr>
          <w:rFonts w:cs="v4.2.0;Times New Roman"/>
        </w:rPr>
      </w:pPr>
      <w:r>
        <w:rPr>
          <w:rFonts w:cs="v4.2.0;Times New Roman"/>
        </w:rPr>
        <w:t>If a fixture is required to mount the EUT to the positioning system, the EUT holding fixture shall be made of a material with a dielectric constant of less than 5.0, and loss tangent less than 0.05. The fixture shall not extend beyond the footprint of the EUT by more than 20 mm and shall be no more than 20 mm in thickness. It is recommended, but not required, that a Styrofoam spacer would be used between the holding fixture and the EUT.</w:t>
      </w:r>
    </w:p>
    <w:p>
      <w:pPr>
        <w:pStyle w:val="Heading1"/>
        <w:ind w:left="1134" w:hanging="1134"/>
        <w:rPr/>
      </w:pPr>
      <w:bookmarkStart w:id="423" w:name="__RefHeading___Toc68601352"/>
      <w:bookmarkEnd w:id="423"/>
      <w:r>
        <w:rPr/>
        <w:t>A.3</w:t>
        <w:tab/>
        <w:t>Anechoic chamber constraints</w:t>
      </w:r>
    </w:p>
    <w:p>
      <w:pPr>
        <w:pStyle w:val="Heading2"/>
        <w:rPr/>
      </w:pPr>
      <w:bookmarkStart w:id="424" w:name="__RefHeading___Toc68601353"/>
      <w:bookmarkEnd w:id="424"/>
      <w:r>
        <w:rPr/>
        <w:t>A.3.1</w:t>
        <w:tab/>
        <w:t>General</w:t>
      </w:r>
    </w:p>
    <w:p>
      <w:pPr>
        <w:pStyle w:val="Normal"/>
        <w:rPr/>
      </w:pPr>
      <w:r>
        <w:rPr>
          <w:rFonts w:cs="v4.2.0;Times New Roman"/>
        </w:rPr>
        <w:t xml:space="preserve">The main objective of this section is to define basic parameters of the anechoic chamber suited for the Tx and Rx measurement of UMTS and E-UTRA UEs. </w:t>
      </w:r>
    </w:p>
    <w:p>
      <w:pPr>
        <w:pStyle w:val="Normal"/>
        <w:rPr/>
      </w:pPr>
      <w:r>
        <w:rPr>
          <w:rFonts w:cs="v4.2.0;Times New Roman"/>
        </w:rPr>
        <w:t>The chamber should be equipped with an antenna positioner making possible to perform full 3-D measurements for both Tx and Rx radiated performance. Two main measurement set-ups are presented for this purpose:</w:t>
      </w:r>
    </w:p>
    <w:p>
      <w:pPr>
        <w:pStyle w:val="B1"/>
        <w:rPr/>
      </w:pPr>
      <w:r>
        <w:rPr/>
        <w:t>a)</w:t>
        <w:tab/>
        <w:t>A so-called spherical scanner system implies that the DUT is placed on a positioner that rotates in a horizontal plane. The probe antenna is rotated physically in the vertical plane. Alternatively, multiple probe antennas can be placed along an arch in vertical plane and electronically switched in order to get the full 3-D radiation/sensitivity pattern (see Figure A.3.1-1). Alternatively a multiple probe system, which has a set of probes located on the full spherical surface may be used [21]. In this case the DUT does not have to be rotated.</w:t>
      </w:r>
    </w:p>
    <w:p>
      <w:pPr>
        <w:pStyle w:val="B1"/>
        <w:rPr/>
      </w:pPr>
      <w:r>
        <w:rPr/>
        <w:t>b)</w:t>
        <w:tab/>
        <w:t>A dual axis system implies that the DUT is placed on a positioner that is able to rotate around two different axes. The signal is transmitted/received by a fixed probe (see Figure A.3.1-2). It is noted that many conventional two-axis systems (i.e. many commercially available systems built for a more general use) are built for the support of rather heavy test objects (with narrow antenna beam), which by their mechanical size may disturb the measurement of nearly omnidirectional antennas. Note that such systems are equipped with a positioner that may disturb the measurement of nearly omnidirectional antennas.</w:t>
      </w:r>
    </w:p>
    <w:p>
      <w:pPr>
        <w:pStyle w:val="TH"/>
        <w:rPr/>
      </w:pPr>
      <w:r>
        <w:rPr/>
        <w:drawing>
          <wp:inline distT="0" distB="0" distL="0" distR="0">
            <wp:extent cx="2433320" cy="3216910"/>
            <wp:effectExtent l="0" t="0" r="0" b="0"/>
            <wp:docPr id="72"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1" descr=""/>
                    <pic:cNvPicPr>
                      <a:picLocks noChangeAspect="1" noChangeArrowheads="1"/>
                    </pic:cNvPicPr>
                  </pic:nvPicPr>
                  <pic:blipFill>
                    <a:blip r:embed="rId64"/>
                    <a:srcRect l="-6020" t="-2911" r="-7233" b="0"/>
                    <a:stretch>
                      <a:fillRect/>
                    </a:stretch>
                  </pic:blipFill>
                  <pic:spPr bwMode="auto">
                    <a:xfrm>
                      <a:off x="0" y="0"/>
                      <a:ext cx="2433320" cy="3216910"/>
                    </a:xfrm>
                    <a:prstGeom prst="rect">
                      <a:avLst/>
                    </a:prstGeom>
                    <a:ln w="19050">
                      <a:solidFill>
                        <a:srgbClr val="000000"/>
                      </a:solidFill>
                    </a:ln>
                  </pic:spPr>
                </pic:pic>
              </a:graphicData>
            </a:graphic>
          </wp:inline>
        </w:drawing>
      </w:r>
      <w:r>
        <w:rPr/>
        <w:tab/>
      </w:r>
      <w:r>
        <w:rPr/>
        <w:drawing>
          <wp:inline distT="0" distB="0" distL="0" distR="0">
            <wp:extent cx="2465705" cy="3217545"/>
            <wp:effectExtent l="0" t="0" r="0" b="0"/>
            <wp:docPr id="73"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62" descr=""/>
                    <pic:cNvPicPr>
                      <a:picLocks noChangeAspect="1" noChangeArrowheads="1"/>
                    </pic:cNvPicPr>
                  </pic:nvPicPr>
                  <pic:blipFill>
                    <a:blip r:embed="rId65"/>
                    <a:srcRect l="-6020" t="-1533" r="-7233" b="0"/>
                    <a:stretch>
                      <a:fillRect/>
                    </a:stretch>
                  </pic:blipFill>
                  <pic:spPr bwMode="auto">
                    <a:xfrm>
                      <a:off x="0" y="0"/>
                      <a:ext cx="2465705" cy="3217545"/>
                    </a:xfrm>
                    <a:prstGeom prst="rect">
                      <a:avLst/>
                    </a:prstGeom>
                    <a:ln w="19050">
                      <a:solidFill>
                        <a:srgbClr val="000000"/>
                      </a:solidFill>
                    </a:ln>
                  </pic:spPr>
                </pic:pic>
              </a:graphicData>
            </a:graphic>
          </wp:inline>
        </w:drawing>
      </w:r>
    </w:p>
    <w:p>
      <w:pPr>
        <w:pStyle w:val="TF"/>
        <w:rPr/>
      </w:pPr>
      <w:r>
        <w:rPr/>
        <w:t>Figure A.3.1-1: Example of a spherical positioner system with a moving probe antenna (left), and with multiple probe antennas (right)</w:t>
      </w:r>
    </w:p>
    <w:p>
      <w:pPr>
        <w:pStyle w:val="Normal"/>
        <w:rPr/>
      </w:pPr>
      <w:r>
        <w:rPr/>
      </w:r>
    </w:p>
    <w:p>
      <w:pPr>
        <w:pStyle w:val="TH"/>
        <w:rPr/>
      </w:pPr>
      <w:r>
        <w:rPr/>
        <w:drawing>
          <wp:inline distT="0" distB="0" distL="0" distR="0">
            <wp:extent cx="4115435" cy="2766060"/>
            <wp:effectExtent l="0" t="0" r="0" b="0"/>
            <wp:docPr id="74"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3" descr=""/>
                    <pic:cNvPicPr>
                      <a:picLocks noChangeAspect="1" noChangeArrowheads="1"/>
                    </pic:cNvPicPr>
                  </pic:nvPicPr>
                  <pic:blipFill>
                    <a:blip r:embed="rId66"/>
                    <a:srcRect l="-5" t="-7" r="-5" b="-7"/>
                    <a:stretch>
                      <a:fillRect/>
                    </a:stretch>
                  </pic:blipFill>
                  <pic:spPr bwMode="auto">
                    <a:xfrm>
                      <a:off x="0" y="0"/>
                      <a:ext cx="4115435" cy="2766060"/>
                    </a:xfrm>
                    <a:prstGeom prst="rect">
                      <a:avLst/>
                    </a:prstGeom>
                  </pic:spPr>
                </pic:pic>
              </a:graphicData>
            </a:graphic>
          </wp:inline>
        </w:drawing>
      </w:r>
    </w:p>
    <w:p>
      <w:pPr>
        <w:pStyle w:val="TF"/>
        <w:rPr/>
      </w:pPr>
      <w:r>
        <w:rPr/>
        <w:t>Figure A.3.2-2: Example of a dual axis (roll-over-azimuth) positioner system</w:t>
      </w:r>
    </w:p>
    <w:p>
      <w:pPr>
        <w:pStyle w:val="Normal"/>
        <w:rPr/>
      </w:pPr>
      <w:r>
        <w:rPr/>
      </w:r>
    </w:p>
    <w:p>
      <w:pPr>
        <w:pStyle w:val="TH"/>
        <w:rPr/>
      </w:pPr>
      <w:r>
        <w:rPr/>
        <w:drawing>
          <wp:inline distT="0" distB="0" distL="0" distR="0">
            <wp:extent cx="3303270" cy="2563495"/>
            <wp:effectExtent l="0" t="0" r="0" b="0"/>
            <wp:docPr id="75"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64" descr=""/>
                    <pic:cNvPicPr>
                      <a:picLocks noChangeAspect="1" noChangeArrowheads="1"/>
                    </pic:cNvPicPr>
                  </pic:nvPicPr>
                  <pic:blipFill>
                    <a:blip r:embed="rId67"/>
                    <a:srcRect l="-4517" t="-5827" r="-9689" b="-7147"/>
                    <a:stretch>
                      <a:fillRect/>
                    </a:stretch>
                  </pic:blipFill>
                  <pic:spPr bwMode="auto">
                    <a:xfrm>
                      <a:off x="0" y="0"/>
                      <a:ext cx="3303270" cy="2563495"/>
                    </a:xfrm>
                    <a:prstGeom prst="rect">
                      <a:avLst/>
                    </a:prstGeom>
                    <a:ln w="19050">
                      <a:solidFill>
                        <a:srgbClr val="000000"/>
                      </a:solidFill>
                    </a:ln>
                  </pic:spPr>
                </pic:pic>
              </a:graphicData>
            </a:graphic>
          </wp:inline>
        </w:drawing>
      </w:r>
    </w:p>
    <w:p>
      <w:pPr>
        <w:pStyle w:val="TF"/>
        <w:rPr/>
      </w:pPr>
      <w:r>
        <w:rPr/>
        <w:t>Figure A.3.3-3: The coordinate system used in the measurements</w:t>
      </w:r>
    </w:p>
    <w:p>
      <w:pPr>
        <w:pStyle w:val="Normal"/>
        <w:rPr/>
      </w:pPr>
      <w:r>
        <w:rPr/>
      </w:r>
    </w:p>
    <w:p>
      <w:pPr>
        <w:pStyle w:val="Normal"/>
        <w:rPr>
          <w:rFonts w:cs="v4.2.0;Times New Roman"/>
        </w:rPr>
      </w:pPr>
      <w:r>
        <w:rPr>
          <w:rFonts w:cs="v4.2.0;Times New Roman"/>
        </w:rPr>
        <w:t>In both cases the measurement antenna should be able to measure two orthogonal linear polarizations (typically theta (</w:t>
      </w:r>
      <w:r>
        <w:rPr>
          <w:rFonts w:eastAsia="Symbol" w:cs="Symbol" w:ascii="Symbol" w:hAnsi="Symbol"/>
        </w:rPr>
        <w:t></w:t>
      </w:r>
      <w:r>
        <w:rPr>
          <w:rFonts w:cs="v4.2.0;Times New Roman"/>
        </w:rPr>
        <w:t>) and phi (</w:t>
      </w:r>
      <w:r>
        <w:rPr>
          <w:rFonts w:eastAsia="Symbol" w:cs="Symbol" w:ascii="Symbol" w:hAnsi="Symbol"/>
        </w:rPr>
        <w:t></w:t>
      </w:r>
      <w:r>
        <w:rPr>
          <w:rFonts w:cs="v4.2.0;Times New Roman"/>
        </w:rPr>
        <w:t>) polarizations).</w:t>
      </w:r>
    </w:p>
    <w:p>
      <w:pPr>
        <w:pStyle w:val="Normal"/>
        <w:rPr/>
      </w:pPr>
      <w:r>
        <w:rPr>
          <w:rFonts w:cs="v4.2.0;Times New Roman"/>
        </w:rPr>
        <w:t>Note that for an anechoic chamber, horn antennas are usually used as probe antennas. There are two kinds of horn antennas: single-polarized and dual-polarized. The dual-polarized horn antenna has advantages of a major importance in comparison with the single-polarized. In fact, it is possible to measure two orthogonal polarizations without any movement of the probe, and this will:</w:t>
      </w:r>
    </w:p>
    <w:p>
      <w:pPr>
        <w:pStyle w:val="B1"/>
        <w:rPr/>
      </w:pPr>
      <w:r>
        <w:rPr/>
        <w:t>a)</w:t>
        <w:tab/>
        <w:t>Reduce the cable antenna uncertainty contribution</w:t>
      </w:r>
    </w:p>
    <w:p>
      <w:pPr>
        <w:pStyle w:val="B1"/>
        <w:rPr>
          <w:rFonts w:cs="v4.2.0;Times New Roman"/>
        </w:rPr>
      </w:pPr>
      <w:r>
        <w:rPr>
          <w:rFonts w:cs="v4.2.0;Times New Roman"/>
        </w:rPr>
        <w:t>b)</w:t>
        <w:tab/>
        <w:t>Improve the measurement stability</w:t>
      </w:r>
    </w:p>
    <w:p>
      <w:pPr>
        <w:pStyle w:val="B1"/>
        <w:rPr>
          <w:rFonts w:cs="v4.2.0;Times New Roman"/>
        </w:rPr>
      </w:pPr>
      <w:r>
        <w:rPr>
          <w:rFonts w:cs="v4.2.0;Times New Roman"/>
        </w:rPr>
        <w:t>c)</w:t>
        <w:tab/>
        <w:t>Reduce the time delay between the acquisitions of each polarized signal due to the electrical RF relay.</w:t>
      </w:r>
    </w:p>
    <w:p>
      <w:pPr>
        <w:pStyle w:val="Normal"/>
        <w:rPr/>
      </w:pPr>
      <w:r>
        <w:rPr>
          <w:rFonts w:cs="v4.2.0;Times New Roman"/>
        </w:rPr>
        <w:t>If using single-polarized probe antenna, it is possible to perform the measurements by turning one linear polarized antenna by 90 ° for every measurement point. However, this technique has a major drawback: the cable of this antenna is subjected to numerous bendings and rotations, which brings some measurement instabilities. The various positions of the cable have an effect on the repeatability of measurements, and the stress applied to the cable can reduce its performance. The use of a "stress cable", or a rotary joint, connected to the main low-loss cable that is connected to the BTS simulator is recommended if using a single-polarized probe.</w:t>
      </w:r>
    </w:p>
    <w:p>
      <w:pPr>
        <w:pStyle w:val="Heading2"/>
        <w:rPr/>
      </w:pPr>
      <w:bookmarkStart w:id="425" w:name="__RefHeading___Toc68601354"/>
      <w:bookmarkEnd w:id="425"/>
      <w:r>
        <w:rPr/>
        <w:t>A.3.2</w:t>
        <w:tab/>
        <w:t>Quiet zone dimension</w:t>
      </w:r>
    </w:p>
    <w:p>
      <w:pPr>
        <w:pStyle w:val="Normal"/>
        <w:rPr/>
      </w:pPr>
      <w:r>
        <w:rPr>
          <w:rFonts w:cs="v4.2.0;Times New Roman"/>
        </w:rPr>
        <w:t>Quiet zone has to be large enough to contain DUT attached to a phantom head and shoulders. The dimensions have to be slightly larger than the phantom dimension due to the fact that the rotation axes are not passing through the symmetry plane of the phantom, but through the phase centre of the DUT. Thus minimum radius of the quiet zone has to be 150mm, which is the approximate distance from a UE to the edge of the head and shoulders phantom while the phone is placed in an "intended use" position.</w:t>
      </w:r>
    </w:p>
    <w:p>
      <w:pPr>
        <w:pStyle w:val="Heading2"/>
        <w:rPr/>
      </w:pPr>
      <w:bookmarkStart w:id="426" w:name="__RefHeading___Toc68601355"/>
      <w:bookmarkEnd w:id="426"/>
      <w:r>
        <w:rPr/>
        <w:t>A.3.3</w:t>
        <w:tab/>
        <w:t>Minimum distance between the DUT and the measurement antenna</w:t>
      </w:r>
    </w:p>
    <w:p>
      <w:pPr>
        <w:pStyle w:val="Normal"/>
        <w:rPr/>
      </w:pPr>
      <w:r>
        <w:rPr>
          <w:rFonts w:cs="v4.2.0;Times New Roman"/>
        </w:rPr>
        <w:t xml:space="preserve">For far-field measurements, the distance </w:t>
      </w:r>
      <w:r>
        <w:rPr>
          <w:rFonts w:cs="v4.2.0;Times New Roman"/>
          <w:i/>
        </w:rPr>
        <w:t>r</w:t>
      </w:r>
      <w:r>
        <w:rPr>
          <w:rFonts w:cs="v4.2.0;Times New Roman"/>
        </w:rPr>
        <w:t xml:space="preserve"> between the DUT and the measurement antenna should be calculated by the following equation.</w:t>
      </w:r>
    </w:p>
    <w:p>
      <w:pPr>
        <w:pStyle w:val="EQ"/>
        <w:jc w:val="center"/>
        <w:rPr>
          <w:lang w:val="en-GB" w:eastAsia="en-GB"/>
        </w:rPr>
      </w:pPr>
      <w:r>
        <w:rPr>
          <w:lang w:val="en-GB" w:eastAsia="en-GB"/>
        </w:rPr>
      </w:r>
      <m:oMathPara xmlns:m="http://schemas.openxmlformats.org/officeDocument/2006/math">
        <m:oMathParaPr>
          <m:jc m:val="center"/>
        </m:oMathParaPr>
        <m:oMath>
          <m:r>
            <w:rPr>
              <w:rFonts w:ascii="Cambria Math" w:hAnsi="Cambria Math"/>
            </w:rPr>
            <m:t xml:space="preserve">r</m:t>
          </m:r>
          <m:r>
            <w:rPr>
              <w:rFonts w:ascii="Cambria Math" w:hAnsi="Cambria Math"/>
            </w:rPr>
            <m:t xml:space="preserve">&gt;</m:t>
          </m:r>
          <m:r>
            <m:rPr>
              <m:lit/>
              <m:nor/>
            </m:rPr>
            <w:rPr>
              <w:rFonts w:ascii="Cambria Math" w:hAnsi="Cambria Math"/>
            </w:rPr>
            <m:t xml:space="preserve">max</m:t>
          </m:r>
          <m:d>
            <m:dPr>
              <m:begChr m:val="("/>
              <m:endChr m:val=")"/>
            </m:dPr>
            <m:e>
              <m:f>
                <m:num>
                  <m:r>
                    <w:rPr>
                      <w:rFonts w:ascii="Cambria Math" w:hAnsi="Cambria Math"/>
                    </w:rPr>
                    <m:t xml:space="preserve">2</m:t>
                  </m:r>
                  <m:sSup>
                    <m:e>
                      <m:r>
                        <w:rPr>
                          <w:rFonts w:ascii="Cambria Math" w:hAnsi="Cambria Math"/>
                        </w:rPr>
                        <m:t xml:space="preserve">D</m:t>
                      </m:r>
                    </m:e>
                    <m:sup>
                      <m:r>
                        <w:rPr>
                          <w:rFonts w:ascii="Cambria Math" w:hAnsi="Cambria Math"/>
                        </w:rPr>
                        <m:t xml:space="preserve">2</m:t>
                      </m:r>
                    </m:sup>
                  </m:sSup>
                </m:num>
                <m:den>
                  <m:r>
                    <w:rPr>
                      <w:rFonts w:ascii="Cambria Math" w:hAnsi="Cambria Math"/>
                    </w:rPr>
                    <m:t xml:space="preserve">λ</m:t>
                  </m:r>
                </m:den>
              </m:f>
              <m:r>
                <w:rPr>
                  <w:rFonts w:ascii="Cambria Math" w:hAnsi="Cambria Math"/>
                </w:rPr>
                <m:t xml:space="preserve">,</m:t>
              </m:r>
              <m:r>
                <w:rPr>
                  <w:rFonts w:ascii="Cambria Math" w:hAnsi="Cambria Math"/>
                </w:rPr>
                <m:t xml:space="preserve">3</m:t>
              </m:r>
              <m:r>
                <w:rPr>
                  <w:rFonts w:ascii="Cambria Math" w:hAnsi="Cambria Math"/>
                </w:rPr>
                <m:t xml:space="preserve">D</m:t>
              </m:r>
              <m:r>
                <w:rPr>
                  <w:rFonts w:ascii="Cambria Math" w:hAnsi="Cambria Math"/>
                </w:rPr>
                <m:t xml:space="preserve">,</m:t>
              </m:r>
              <m:r>
                <w:rPr>
                  <w:rFonts w:ascii="Cambria Math" w:hAnsi="Cambria Math"/>
                </w:rPr>
                <m:t xml:space="preserve">3</m:t>
              </m:r>
              <m:r>
                <w:rPr>
                  <w:rFonts w:ascii="Cambria Math" w:hAnsi="Cambria Math"/>
                </w:rPr>
                <m:t xml:space="preserve">λ</m:t>
              </m:r>
            </m:e>
          </m:d>
        </m:oMath>
      </m:oMathPara>
    </w:p>
    <w:p>
      <w:pPr>
        <w:pStyle w:val="Normal"/>
        <w:rPr/>
      </w:pPr>
      <w:r>
        <w:rPr>
          <w:rFonts w:cs="v4.2.0;Times New Roman"/>
        </w:rPr>
        <w:t xml:space="preserve">where </w:t>
      </w:r>
      <w:r>
        <w:rPr>
          <w:rFonts w:cs="v4.2.0;Times New Roman" w:ascii="Symbol" w:hAnsi="Symbol"/>
        </w:rPr>
        <w:t></w:t>
      </w:r>
      <w:r>
        <w:rPr>
          <w:rFonts w:cs="v4.2.0;Times New Roman"/>
        </w:rPr>
        <w:t xml:space="preserve"> is the largest wavelength within the frequency band of interest and </w:t>
      </w:r>
      <w:r>
        <w:rPr>
          <w:rFonts w:cs="v4.2.0;Times New Roman"/>
          <w:i/>
        </w:rPr>
        <w:t>D</w:t>
      </w:r>
      <w:r>
        <w:rPr>
          <w:rFonts w:cs="v4.2.0;Times New Roman"/>
        </w:rPr>
        <w:t xml:space="preserve"> the maximum extension of the radiating structure. Then the phase and amplitude uncertainty limits and the reactive near field limit are not exceeded. The influence of measurement distance is discussed in Annex E.</w:t>
      </w:r>
    </w:p>
    <w:p>
      <w:pPr>
        <w:pStyle w:val="Heading2"/>
        <w:rPr/>
      </w:pPr>
      <w:bookmarkStart w:id="427" w:name="__RefHeading___Toc68601356"/>
      <w:bookmarkEnd w:id="427"/>
      <w:r>
        <w:rPr/>
        <w:t>A.3.4</w:t>
        <w:tab/>
        <w:t>Reflectivity of the quiet zone</w:t>
      </w:r>
    </w:p>
    <w:p>
      <w:pPr>
        <w:pStyle w:val="Normal"/>
        <w:rPr>
          <w:sz w:val="24"/>
          <w:szCs w:val="24"/>
        </w:rPr>
      </w:pPr>
      <w:r>
        <w:rPr>
          <w:rFonts w:cs="v4.2.0;Times New Roman"/>
          <w:bCs/>
        </w:rPr>
        <w:t>Reflectivity of the quiet zone must be measured for frequencies used with method described in Annex G. Measured reflectivity level is used in uncertainty calculations.</w:t>
      </w:r>
    </w:p>
    <w:p>
      <w:pPr>
        <w:pStyle w:val="Heading2"/>
        <w:rPr/>
      </w:pPr>
      <w:bookmarkStart w:id="428" w:name="__RefHeading___Toc68601357"/>
      <w:bookmarkEnd w:id="428"/>
      <w:r>
        <w:rPr/>
        <w:t>A.3.5</w:t>
        <w:tab/>
        <w:t>Shielding effectiveness of the chamber</w:t>
      </w:r>
    </w:p>
    <w:p>
      <w:pPr>
        <w:pStyle w:val="Normal"/>
        <w:rPr/>
      </w:pPr>
      <w:r>
        <w:rPr>
          <w:rFonts w:cs="v4.2.0;Times New Roman"/>
        </w:rPr>
        <w:t>In order to be able to measure sensitivity all external radiation has to be eliminated. Depending on the conditions at the test site in question, different values of shielding effectiveness of the measurement chamber might be required. The only general requirement on the shielding effectiveness of the chamber is that the measured level of external signals at the frequency of interest (UMTS, E-UTRA frequency band) has to be 10dB below sensitivity level of the UE. See Annex G for more details on shielding effectiveness validation.</w:t>
      </w:r>
    </w:p>
    <w:p>
      <w:pPr>
        <w:pStyle w:val="Normal"/>
        <w:rPr>
          <w:rFonts w:cs="v4.2.0;Times New Roman"/>
        </w:rPr>
      </w:pPr>
      <w:r>
        <w:rPr>
          <w:rFonts w:cs="v4.2.0;Times New Roman"/>
        </w:rPr>
        <w:t>When specified in a test, the manufacturer shall declare the nominal value of a parameter, or whether an option is supported.</w:t>
      </w:r>
    </w:p>
    <w:p>
      <w:pPr>
        <w:pStyle w:val="Heading1"/>
        <w:ind w:left="1134" w:hanging="1134"/>
        <w:rPr/>
      </w:pPr>
      <w:bookmarkStart w:id="429" w:name="__RefHeading___Toc68601358"/>
      <w:bookmarkEnd w:id="429"/>
      <w:r>
        <w:rPr/>
        <w:t>A.4</w:t>
        <w:tab/>
        <w:t>Reverberation chamber constraints</w:t>
      </w:r>
    </w:p>
    <w:p>
      <w:pPr>
        <w:pStyle w:val="Heading2"/>
        <w:rPr/>
      </w:pPr>
      <w:bookmarkStart w:id="430" w:name="__RefHeading___Toc68601359"/>
      <w:bookmarkEnd w:id="430"/>
      <w:r>
        <w:rPr/>
        <w:t>A.4.1</w:t>
        <w:tab/>
        <w:t>General</w:t>
      </w:r>
    </w:p>
    <w:p>
      <w:pPr>
        <w:pStyle w:val="Normal"/>
        <w:rPr/>
      </w:pPr>
      <w:r>
        <w:rPr/>
        <w:t>The main objective of this section is to define basic parameters of the reverberation chambers suited for the Tx and Rx measurement of UMTS, and E-UTRA UEs.</w:t>
      </w:r>
    </w:p>
    <w:p>
      <w:pPr>
        <w:pStyle w:val="Normal"/>
        <w:rPr/>
      </w:pPr>
      <w:r>
        <w:rPr/>
        <w:t xml:space="preserve">The reverberation chambers have for a couple of decades been used for some types of EMC measurements. A reverberation chamber is a metal cavity that is sufficiently large to support many resonant modes, and it is provided with means to stir the modes. The measurements in the reverberation chamber are fast and repeatable, provided the chambers utilize efficient stirring methods. The following sections describe how the reverberation chamber can be used for measurements of TRP and TRS. </w:t>
      </w:r>
    </w:p>
    <w:p>
      <w:pPr>
        <w:pStyle w:val="Heading2"/>
        <w:rPr/>
      </w:pPr>
      <w:bookmarkStart w:id="431" w:name="__RefHeading___Toc68601360"/>
      <w:bookmarkEnd w:id="431"/>
      <w:r>
        <w:rPr/>
        <w:t>A.4.2</w:t>
        <w:tab/>
        <w:t>Positioning and mode stirring facilities</w:t>
      </w:r>
    </w:p>
    <w:p>
      <w:pPr>
        <w:pStyle w:val="Normal"/>
        <w:numPr>
          <w:ilvl w:val="0"/>
          <w:numId w:val="5"/>
        </w:numPr>
        <w:tabs>
          <w:tab w:val="clear" w:pos="284"/>
          <w:tab w:val="left" w:pos="0" w:leader="none"/>
        </w:tabs>
        <w:suppressAutoHyphens w:val="true"/>
        <w:ind w:left="0" w:hanging="0"/>
        <w:rPr/>
      </w:pPr>
      <w:r>
        <w:rPr/>
        <w:t>The reverberation chamber shall be equipped with mode-stirring facilities in such a way that enough number of independent power samples can be achieved for the accuracy requirement stated in this standard to be fulfilled. Possible mode-stirring methods include platform stirring, polarization stirring and mechanical stirring with fan-type stirrers, irregular shaped rotational stirrers, or plate-type stirrers. Also, frequency stirring is possible if the type of measurement allows for a frequency-averaged value, but this is not necessary if the chamber is sufficiently large and well stirred.</w:t>
      </w:r>
    </w:p>
    <w:p>
      <w:pPr>
        <w:pStyle w:val="Normal"/>
        <w:numPr>
          <w:ilvl w:val="0"/>
          <w:numId w:val="5"/>
        </w:numPr>
        <w:tabs>
          <w:tab w:val="clear" w:pos="284"/>
          <w:tab w:val="left" w:pos="0" w:leader="none"/>
        </w:tabs>
        <w:suppressAutoHyphens w:val="true"/>
        <w:ind w:left="0" w:hanging="0"/>
        <w:rPr/>
      </w:pPr>
      <w:r>
        <w:rPr/>
        <w:t>For the DUT positioning on head phantom or for the DUT positioning on laptop ground plane phantom, the DUT should be placed in such a way that a sufficient number of independent samples are obtained to fulfil the uncertainty requirements. For example, for chambers utilizing platform stirring the DUT should be placed on the edge of the turntable in order to maximize rotation of the DUT. In addition, the DUT must not be closer than 0.5 wavelengths to other electromagnetic reflective objects inside the chamber and 0.7 wavelengths to absorbing objects.</w:t>
      </w:r>
    </w:p>
    <w:p>
      <w:pPr>
        <w:pStyle w:val="Normal"/>
        <w:numPr>
          <w:ilvl w:val="0"/>
          <w:numId w:val="5"/>
        </w:numPr>
        <w:tabs>
          <w:tab w:val="clear" w:pos="284"/>
          <w:tab w:val="left" w:pos="0" w:leader="none"/>
        </w:tabs>
        <w:suppressAutoHyphens w:val="true"/>
        <w:ind w:left="0" w:hanging="0"/>
        <w:rPr/>
      </w:pPr>
      <w:r>
        <w:rPr/>
        <w:t>For the DUT positioning on laptop ground plane phantom</w:t>
      </w:r>
      <w:r>
        <w:rPr>
          <w:rFonts w:cs="v4.2.0;Times New Roman"/>
        </w:rPr>
        <w:t xml:space="preserve"> the real functional laptop is laid on the floor of the chamber, supplies power to the DUT and controls the state of the DUT. </w:t>
      </w:r>
      <w:r>
        <w:rPr>
          <w:rFonts w:eastAsia="MS Mincho;ＭＳ 明朝"/>
          <w:lang w:eastAsia="zh-CN"/>
        </w:rPr>
        <w:t>Both the</w:t>
      </w:r>
      <w:r>
        <w:rPr>
          <w:rFonts w:eastAsia="MS Mincho;ＭＳ 明朝"/>
        </w:rPr>
        <w:t xml:space="preserve"> USB cable and the real functional laptop are properly setup in order to have a negligible impact on the measurements: the real functional laptop </w:t>
      </w:r>
      <w:r>
        <w:rPr>
          <w:rFonts w:eastAsia="MS Mincho;ＭＳ 明朝"/>
          <w:lang w:eastAsia="zh-CN"/>
        </w:rPr>
        <w:t>is</w:t>
      </w:r>
      <w:r>
        <w:rPr>
          <w:rFonts w:eastAsia="MS Mincho;ＭＳ 明朝"/>
        </w:rPr>
        <w:t xml:space="preserve"> fully wrapped up with anechoic absorbers. The real functional laptop can be placed outside the chamber if the connection to the DUT can be maintained and if the</w:t>
      </w:r>
      <w:r>
        <w:rPr>
          <w:rFonts w:cs="v4.2.0;Times New Roman"/>
        </w:rPr>
        <w:t xml:space="preserve"> communication interface between DUT and real functional laptop has negligible impact on the measurements.</w:t>
      </w:r>
    </w:p>
    <w:p>
      <w:pPr>
        <w:pStyle w:val="Normal"/>
        <w:numPr>
          <w:ilvl w:val="0"/>
          <w:numId w:val="5"/>
        </w:numPr>
        <w:suppressAutoHyphens w:val="true"/>
        <w:rPr/>
      </w:pPr>
      <w:r>
        <w:rPr/>
        <w:t>A schematic picture of the measurement setup is provided in Figure A.4.2-1.</w:t>
      </w:r>
    </w:p>
    <w:p>
      <w:pPr>
        <w:pStyle w:val="TH"/>
        <w:numPr>
          <w:ilvl w:val="0"/>
          <w:numId w:val="5"/>
        </w:numPr>
        <w:suppressAutoHyphens w:val="true"/>
        <w:rPr/>
      </w:pPr>
      <w:r>
        <w:rPr/>
        <w:drawing>
          <wp:inline distT="0" distB="0" distL="0" distR="0">
            <wp:extent cx="5974715" cy="2546350"/>
            <wp:effectExtent l="0" t="0" r="0" b="0"/>
            <wp:docPr id="76" name="Objekt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Objekt 1" descr=""/>
                    <pic:cNvPicPr>
                      <a:picLocks noChangeAspect="1" noChangeArrowheads="1"/>
                    </pic:cNvPicPr>
                  </pic:nvPicPr>
                  <pic:blipFill>
                    <a:blip r:embed="rId68"/>
                    <a:srcRect l="-1257" t="-3231" r="-1042" b="-219"/>
                    <a:stretch>
                      <a:fillRect/>
                    </a:stretch>
                  </pic:blipFill>
                  <pic:spPr bwMode="auto">
                    <a:xfrm>
                      <a:off x="0" y="0"/>
                      <a:ext cx="5974715" cy="2546350"/>
                    </a:xfrm>
                    <a:prstGeom prst="rect">
                      <a:avLst/>
                    </a:prstGeom>
                  </pic:spPr>
                </pic:pic>
              </a:graphicData>
            </a:graphic>
          </wp:inline>
        </w:drawing>
      </w:r>
    </w:p>
    <w:p>
      <w:pPr>
        <w:pStyle w:val="TF"/>
        <w:numPr>
          <w:ilvl w:val="0"/>
          <w:numId w:val="5"/>
        </w:numPr>
        <w:suppressAutoHyphens w:val="true"/>
        <w:rPr/>
      </w:pPr>
      <w:r>
        <w:rPr/>
        <w:t>Figure A.4.2-1: A schematic picture of the reverberation chamber measurement setup</w:t>
      </w:r>
    </w:p>
    <w:p>
      <w:pPr>
        <w:pStyle w:val="Heading2"/>
        <w:numPr>
          <w:ilvl w:val="1"/>
          <w:numId w:val="5"/>
        </w:numPr>
        <w:suppressAutoHyphens w:val="true"/>
        <w:rPr>
          <w:sz w:val="28"/>
          <w:szCs w:val="28"/>
        </w:rPr>
      </w:pPr>
      <w:bookmarkStart w:id="432" w:name="__RefHeading___Toc68601361"/>
      <w:bookmarkEnd w:id="432"/>
      <w:r>
        <w:rPr>
          <w:sz w:val="28"/>
          <w:szCs w:val="28"/>
        </w:rPr>
        <w:t>A.4.3</w:t>
        <w:tab/>
        <w:t>Polarization imbalance and receiving antennas</w:t>
      </w:r>
    </w:p>
    <w:p>
      <w:pPr>
        <w:pStyle w:val="Normal"/>
        <w:rPr/>
      </w:pPr>
      <w:r>
        <w:rPr/>
        <w:t xml:space="preserve">It is important that the statistical distribution of waves in the chamber corresponds to the chosen test environment. Present knowledge about reverberation chambers limits this to isotropic environments, i.e. the TRP and TRS parameters can be measured. Since the probability of each polarization is equal in the isotropic environment, a check of the polarization imbalance in the reverberation chamber must be done. </w:t>
      </w:r>
    </w:p>
    <w:p>
      <w:pPr>
        <w:pStyle w:val="Normal"/>
        <w:rPr/>
      </w:pPr>
      <w:r>
        <w:rPr/>
        <w:t xml:space="preserve">The polarization imbalance can be obtained during the calibration measurement by measuring both when the calibration antenna is oriented for vertical polarization and when it is oriented for horizontal polarization. These two values shall differ by less than the specification in Table A.4.3-1. In order to obtain values for comparison with the results in the table, the reference levels shall be measured for both orientations of the calibration dipole at 8 different positions of the dipole inside the chamber. The average, standard deviation and maximum deviation shall be evaluated by comparing results for both polarizations over the whole set of 8 measurements. Alternatively, the levels for the two polarizations of the calibration antenna at 1 MHz intervals between 1900 MHz and 2200 MHz can be measured, and thereafter the average, standard deviation and maximum of the difference between the two sets of values over these frequency ranges are calculated. </w:t>
      </w:r>
    </w:p>
    <w:p>
      <w:pPr>
        <w:pStyle w:val="Normal"/>
        <w:rPr/>
      </w:pPr>
      <w:r>
        <w:rPr/>
        <w:t>An effective way of avoiding polarization imbalance is to use polarization stirring, i.e. using three orthogonal linearly polarized receiving antennas. These three receiving antennas may be monopoles connected orthogonally to three different and orthogonal walls (including ceiling/floor) of the chamber. The three antennas are below referred to as the three fixed wall mounted antennas.</w:t>
      </w:r>
    </w:p>
    <w:p>
      <w:pPr>
        <w:pStyle w:val="TH"/>
        <w:rPr>
          <w:iCs/>
        </w:rPr>
      </w:pPr>
      <w:r>
        <w:rPr>
          <w:iCs/>
        </w:rPr>
        <w:t>Table A.4.3-1: Specifications of differences of measured reference levels in each frequency band between using vertically and horizontally polarized calibration dipoles</w:t>
      </w:r>
    </w:p>
    <w:tbl>
      <w:tblPr>
        <w:tblW w:w="5070" w:type="dxa"/>
        <w:jc w:val="center"/>
        <w:tblInd w:w="0" w:type="dxa"/>
        <w:tblLayout w:type="fixed"/>
        <w:tblCellMar>
          <w:top w:w="0" w:type="dxa"/>
          <w:left w:w="108" w:type="dxa"/>
          <w:bottom w:w="0" w:type="dxa"/>
          <w:right w:w="108" w:type="dxa"/>
        </w:tblCellMar>
      </w:tblPr>
      <w:tblGrid>
        <w:gridCol w:w="2235"/>
        <w:gridCol w:w="2835"/>
      </w:tblGrid>
      <w:tr>
        <w:trPr/>
        <w:tc>
          <w:tcPr>
            <w:tcW w:w="2235" w:type="dxa"/>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283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Maximum tolerable value</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Average</w:t>
            </w:r>
          </w:p>
        </w:tc>
        <w:tc>
          <w:tcPr>
            <w:tcW w:w="2835"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0.2 dB</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Standard deviation</w:t>
            </w:r>
          </w:p>
        </w:tc>
        <w:tc>
          <w:tcPr>
            <w:tcW w:w="283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0.5 dB</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Maximum</w:t>
            </w:r>
          </w:p>
        </w:tc>
        <w:tc>
          <w:tcPr>
            <w:tcW w:w="283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 dB</w:t>
            </w:r>
          </w:p>
        </w:tc>
      </w:tr>
    </w:tbl>
    <w:p>
      <w:pPr>
        <w:pStyle w:val="Normal"/>
        <w:rPr/>
      </w:pPr>
      <w:r>
        <w:rPr/>
      </w:r>
    </w:p>
    <w:p>
      <w:pPr>
        <w:pStyle w:val="Heading2"/>
        <w:numPr>
          <w:ilvl w:val="1"/>
          <w:numId w:val="5"/>
        </w:numPr>
        <w:suppressAutoHyphens w:val="true"/>
        <w:rPr>
          <w:sz w:val="28"/>
          <w:szCs w:val="28"/>
        </w:rPr>
      </w:pPr>
      <w:bookmarkStart w:id="433" w:name="__RefHeading___Toc68601362"/>
      <w:bookmarkEnd w:id="433"/>
      <w:r>
        <w:rPr>
          <w:sz w:val="28"/>
          <w:szCs w:val="28"/>
        </w:rPr>
        <w:t>A.4.4</w:t>
        <w:tab/>
        <w:t>Measurement antennas</w:t>
      </w:r>
    </w:p>
    <w:p>
      <w:pPr>
        <w:pStyle w:val="Normal"/>
        <w:rPr/>
      </w:pPr>
      <w:r>
        <w:rPr/>
        <w:t>It is important that the measurement antennas are configured in such a way that the statistical distribution of waves in the chamber in average corresponds to an isotropic environment.</w:t>
      </w:r>
    </w:p>
    <w:p>
      <w:pPr>
        <w:pStyle w:val="Heading2"/>
        <w:numPr>
          <w:ilvl w:val="1"/>
          <w:numId w:val="5"/>
        </w:numPr>
        <w:suppressAutoHyphens w:val="true"/>
        <w:rPr>
          <w:sz w:val="28"/>
          <w:szCs w:val="28"/>
        </w:rPr>
      </w:pPr>
      <w:bookmarkStart w:id="434" w:name="__RefHeading___Toc68601363"/>
      <w:bookmarkEnd w:id="434"/>
      <w:r>
        <w:rPr>
          <w:sz w:val="28"/>
          <w:szCs w:val="28"/>
        </w:rPr>
        <w:t>A.4.5</w:t>
        <w:tab/>
        <w:t>Chamber size and characteristics</w:t>
      </w:r>
    </w:p>
    <w:p>
      <w:pPr>
        <w:pStyle w:val="Normal"/>
        <w:rPr/>
      </w:pPr>
      <w:r>
        <w:rPr/>
        <w:t>The reverberation chamber shall have a volume large enough to support the number of modes needed for the stated accuracy at the lowest operating frequency. If the UE is moved around in the chamber during the measurement, the volume of the reverberation chamber can be reduced. Also, frequency stirring can be used to improve the accuracy. However, t</w:t>
      </w:r>
      <w:r>
        <w:rPr>
          <w:rFonts w:cs="Arial"/>
        </w:rPr>
        <w:t>his will reduce the resolution of the results correspondingly.</w:t>
      </w:r>
    </w:p>
    <w:p>
      <w:pPr>
        <w:pStyle w:val="Normal"/>
        <w:rPr/>
      </w:pPr>
      <w:r>
        <w:rPr/>
        <w:t>The reverberation chamber can be loaded with lossy objects in order to control the power delay profile in the chamber to some extent. However the reverberation chamber should not be loaded to such an extent that the mode statistics in the chamber are destroyed. It is important to keep the same amount of lossy objects in the chamber during calibration measurement and test measurement, in order not to change the average power transfer function between these two cases. Examples of lossy object are head and hand phantoms.</w:t>
      </w:r>
    </w:p>
    <w:p>
      <w:pPr>
        <w:pStyle w:val="Normal"/>
        <w:rPr/>
      </w:pPr>
      <w:r>
        <w:rPr/>
        <w:t>Furthermore, the DUT must not be closer than 0.5 wavelengths to other electromagnetic reflective objects inside the chamber and 0.7 wavelengths to absorbing objects.</w:t>
      </w:r>
    </w:p>
    <w:p>
      <w:pPr>
        <w:pStyle w:val="Heading2"/>
        <w:numPr>
          <w:ilvl w:val="1"/>
          <w:numId w:val="5"/>
        </w:numPr>
        <w:suppressAutoHyphens w:val="true"/>
        <w:rPr>
          <w:sz w:val="28"/>
          <w:szCs w:val="28"/>
        </w:rPr>
      </w:pPr>
      <w:bookmarkStart w:id="435" w:name="__RefHeading___Toc68601364"/>
      <w:bookmarkEnd w:id="435"/>
      <w:r>
        <w:rPr>
          <w:sz w:val="28"/>
          <w:szCs w:val="28"/>
        </w:rPr>
        <w:t>A.4.6</w:t>
        <w:tab/>
        <w:tab/>
        <w:t>Shielding effectiveness of the chamber</w:t>
      </w:r>
    </w:p>
    <w:p>
      <w:pPr>
        <w:pStyle w:val="Normal"/>
        <w:numPr>
          <w:ilvl w:val="0"/>
          <w:numId w:val="5"/>
        </w:numPr>
        <w:tabs>
          <w:tab w:val="clear" w:pos="284"/>
          <w:tab w:val="left" w:pos="0" w:leader="none"/>
        </w:tabs>
        <w:suppressAutoHyphens w:val="true"/>
        <w:ind w:left="0" w:hanging="0"/>
        <w:rPr/>
      </w:pPr>
      <w:r>
        <w:rPr/>
        <w:t>The shielding effectiveness of the chamber shall be as large as needed for the interference from other sources not to influence the measured parameters. This means that the requirements of the shielding is specific to each test site and may vary accordingly.</w:t>
      </w:r>
    </w:p>
    <w:p>
      <w:pPr>
        <w:pStyle w:val="Normal"/>
        <w:rPr>
          <w:rFonts w:cs="v4.2.0;Times New Roman"/>
        </w:rPr>
      </w:pPr>
      <w:r>
        <w:rPr/>
        <w:t xml:space="preserve">The recommended level of the shielding effectiveness is -100 dB from 800 MHz to 4 GHz. </w:t>
      </w:r>
      <w:r>
        <w:rPr>
          <w:rFonts w:cs="v4.2.0;Times New Roman"/>
        </w:rPr>
        <w:t>See Annex H for more details on shielding effectiveness validation.</w:t>
      </w:r>
    </w:p>
    <w:p>
      <w:pPr>
        <w:pStyle w:val="Heading1"/>
        <w:ind w:left="1134" w:hanging="1134"/>
        <w:rPr/>
      </w:pPr>
      <w:bookmarkStart w:id="436" w:name="__RefHeading___Toc68601365"/>
      <w:r>
        <w:rPr/>
        <w:t>A.5</w:t>
        <w:tab/>
        <w:t>Anechoic chamber constraints for Radiated Performance of Multiple-antenna Receivers</w:t>
      </w:r>
      <w:bookmarkEnd w:id="436"/>
      <w:r>
        <w:rPr/>
        <w:t xml:space="preserve"> </w:t>
      </w:r>
    </w:p>
    <w:p>
      <w:pPr>
        <w:pStyle w:val="Heading2"/>
        <w:rPr/>
      </w:pPr>
      <w:bookmarkStart w:id="437" w:name="__RefHeading___Toc68601366"/>
      <w:bookmarkEnd w:id="437"/>
      <w:r>
        <w:rPr/>
        <w:t>A.5.1</w:t>
        <w:tab/>
        <w:t>General</w:t>
      </w:r>
    </w:p>
    <w:p>
      <w:pPr>
        <w:pStyle w:val="Normal"/>
        <w:rPr/>
      </w:pPr>
      <w:r>
        <w:rPr/>
        <w:t>An OTA method based on the use of an Anechoic RF Chamber is described consisting of a number of test antenna probes located in the chamber transmitting signals with temporal and spatial characteristics for testing multiple antenna devices.</w:t>
      </w:r>
    </w:p>
    <w:p>
      <w:pPr>
        <w:pStyle w:val="Normal"/>
        <w:rPr/>
      </w:pPr>
      <w:r>
        <w:rPr/>
        <w:t>This clause describes the methodologies based on Anechoic RF Chamber, where a number of test antennas are located in different positions of the chamber, and the Device Under Test (DUT) is located at centre position. The DUT is tested over the air without RF cables.</w:t>
      </w:r>
    </w:p>
    <w:p>
      <w:pPr>
        <w:pStyle w:val="Heading3"/>
        <w:rPr>
          <w:lang w:eastAsia="zh-TW"/>
        </w:rPr>
      </w:pPr>
      <w:bookmarkStart w:id="438" w:name="__RefHeading___Toc68601367"/>
      <w:bookmarkEnd w:id="438"/>
      <w:r>
        <w:rPr>
          <w:lang w:eastAsia="zh-TW"/>
        </w:rPr>
        <w:t>A.5.1.1</w:t>
        <w:tab/>
      </w:r>
      <w:r>
        <w:rPr/>
        <w:t>Multi-probe Anechoic Chamber</w:t>
      </w:r>
    </w:p>
    <w:p>
      <w:pPr>
        <w:pStyle w:val="Normal"/>
        <w:rPr/>
      </w:pPr>
      <w:r>
        <w:rPr/>
        <w:t>An OTA method based on the use of an Anechoic RF Chamber is described consisting of a number of test antennas located in the chamber transmitting signals with temporal and spatial characteristics for testing multiple antenna devices. The method consists of a number of test antennas located in different positions of the chamber, and the device under test (DUT) is located at the centre position. The DUT is tested over the air without RF cables.</w:t>
      </w:r>
    </w:p>
    <w:p>
      <w:pPr>
        <w:pStyle w:val="Normal"/>
        <w:rPr/>
      </w:pPr>
      <w:r>
        <w:rPr/>
        <w:t>The Anechoic chamber techniques creates a realistic geometric based spatio-temporal-polarimetric radio channel for testing MIMO performance using Geometric based stochastic channel models as defined in Annex M.1.</w:t>
      </w:r>
    </w:p>
    <w:p>
      <w:pPr>
        <w:pStyle w:val="Normal"/>
        <w:rPr/>
      </w:pPr>
      <w:r>
        <w:rPr/>
        <w:t>The components of the solution include:</w:t>
      </w:r>
    </w:p>
    <w:p>
      <w:pPr>
        <w:pStyle w:val="B1"/>
        <w:rPr/>
      </w:pPr>
      <w:r>
        <w:rPr/>
        <w:t>-</w:t>
        <w:tab/>
        <w:t>Anechoic Chamber</w:t>
      </w:r>
    </w:p>
    <w:p>
      <w:pPr>
        <w:pStyle w:val="B1"/>
        <w:rPr/>
      </w:pPr>
      <w:r>
        <w:rPr/>
        <w:t>-</w:t>
        <w:tab/>
        <w:t>System Simulator (SS)</w:t>
      </w:r>
    </w:p>
    <w:p>
      <w:pPr>
        <w:pStyle w:val="B1"/>
        <w:rPr/>
      </w:pPr>
      <w:r>
        <w:rPr/>
        <w:t>-</w:t>
        <w:tab/>
        <w:t>N channel RF emulator, with OTA Channel Generation Features</w:t>
      </w:r>
    </w:p>
    <w:p>
      <w:pPr>
        <w:pStyle w:val="B1"/>
        <w:rPr/>
      </w:pPr>
      <w:r>
        <w:rPr/>
        <w:t>-</w:t>
        <w:tab/>
        <w:t>N linearly polarized antenna elements configured V, H or co-located V&amp;H or slant X polarizations</w:t>
      </w:r>
    </w:p>
    <w:p>
      <w:pPr>
        <w:pStyle w:val="B1"/>
        <w:rPr/>
      </w:pPr>
      <w:r>
        <w:rPr/>
        <w:t>-</w:t>
        <w:tab/>
        <w:t>K azimuthally separated antenna positions with predefined angles at radius R</w:t>
      </w:r>
    </w:p>
    <w:p>
      <w:pPr>
        <w:pStyle w:val="B1"/>
        <w:rPr/>
      </w:pPr>
      <w:r>
        <w:rPr/>
        <w:t>-</w:t>
        <w:tab/>
        <w:t>Channel model definition for each test case</w:t>
      </w:r>
    </w:p>
    <w:p>
      <w:pPr>
        <w:pStyle w:val="Normal"/>
        <w:rPr/>
      </w:pPr>
      <w:r>
        <w:rPr/>
        <w:t>An illustration of an anechoic chamber is shown in Figure A.5.1.1-1 below.</w:t>
      </w:r>
    </w:p>
    <w:p>
      <w:pPr>
        <w:pStyle w:val="TH"/>
        <w:rPr>
          <w:rFonts w:ascii="Times New Roman" w:hAnsi="Times New Roman" w:cs="Times New Roman"/>
          <w:lang w:eastAsia="zh-CN"/>
        </w:rPr>
      </w:pPr>
      <w:r>
        <w:rPr>
          <w:rFonts w:cs="Times New Roman" w:ascii="Times New Roman" w:hAnsi="Times New Roman"/>
          <w:lang w:eastAsia="zh-CN"/>
        </w:rPr>
        <w:drawing>
          <wp:inline distT="0" distB="0" distL="0" distR="0">
            <wp:extent cx="2687955" cy="1942465"/>
            <wp:effectExtent l="0" t="0" r="0" b="0"/>
            <wp:docPr id="7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0" descr=""/>
                    <pic:cNvPicPr>
                      <a:picLocks noChangeAspect="1" noChangeArrowheads="1"/>
                    </pic:cNvPicPr>
                  </pic:nvPicPr>
                  <pic:blipFill>
                    <a:blip r:embed="rId69"/>
                    <a:srcRect l="-8" t="-11" r="-8" b="-11"/>
                    <a:stretch>
                      <a:fillRect/>
                    </a:stretch>
                  </pic:blipFill>
                  <pic:spPr bwMode="auto">
                    <a:xfrm>
                      <a:off x="0" y="0"/>
                      <a:ext cx="2687955" cy="1942465"/>
                    </a:xfrm>
                    <a:prstGeom prst="rect">
                      <a:avLst/>
                    </a:prstGeom>
                  </pic:spPr>
                </pic:pic>
              </a:graphicData>
            </a:graphic>
          </wp:inline>
        </w:drawing>
      </w:r>
    </w:p>
    <w:p>
      <w:pPr>
        <w:pStyle w:val="TF"/>
        <w:rPr/>
      </w:pPr>
      <w:r>
        <w:rPr/>
        <w:t>Figure A.5.1.1-1: N-element Anechoic Chamber approach (Absorbing tiles and cabling not shown)</w:t>
      </w:r>
    </w:p>
    <w:p>
      <w:pPr>
        <w:pStyle w:val="Normal"/>
        <w:rPr/>
      </w:pPr>
      <w:r>
        <w:rPr/>
      </w:r>
    </w:p>
    <w:p>
      <w:pPr>
        <w:pStyle w:val="TH"/>
        <w:rPr/>
      </w:pPr>
      <w:r>
        <w:rPr/>
        <w:drawing>
          <wp:inline distT="0" distB="0" distL="0" distR="0">
            <wp:extent cx="4790440" cy="2180590"/>
            <wp:effectExtent l="0" t="0" r="0" b="0"/>
            <wp:docPr id="78"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5" descr=""/>
                    <pic:cNvPicPr>
                      <a:picLocks noChangeAspect="1" noChangeArrowheads="1"/>
                    </pic:cNvPicPr>
                  </pic:nvPicPr>
                  <pic:blipFill>
                    <a:blip r:embed="rId70"/>
                    <a:srcRect l="-8" t="-17" r="-8" b="-17"/>
                    <a:stretch>
                      <a:fillRect/>
                    </a:stretch>
                  </pic:blipFill>
                  <pic:spPr bwMode="auto">
                    <a:xfrm>
                      <a:off x="0" y="0"/>
                      <a:ext cx="4790440" cy="2180590"/>
                    </a:xfrm>
                    <a:prstGeom prst="rect">
                      <a:avLst/>
                    </a:prstGeom>
                  </pic:spPr>
                </pic:pic>
              </a:graphicData>
            </a:graphic>
          </wp:inline>
        </w:drawing>
      </w:r>
    </w:p>
    <w:p>
      <w:pPr>
        <w:pStyle w:val="TF"/>
        <w:rPr/>
      </w:pPr>
      <w:r>
        <w:rPr/>
        <w:t>Figure A.5.1.1-2: OTA system level block diagram</w:t>
      </w:r>
    </w:p>
    <w:p>
      <w:pPr>
        <w:pStyle w:val="Normal"/>
        <w:rPr/>
      </w:pPr>
      <w:r>
        <w:rPr/>
      </w:r>
    </w:p>
    <w:p>
      <w:pPr>
        <w:pStyle w:val="Normal"/>
        <w:rPr/>
      </w:pPr>
      <w:r>
        <w:rPr/>
        <w:t>A system level block diagram is shown in Figure A.5.1.1-2, which includes the SS to generate the M branch MIMO signal, and an RF Channel Emulator with an OTA Channel Generation Feature to properly correlate, fade, scale, delay, and distribute the signal to each test probe in the chamber. For the selected environmental conditions modelled by the SCME UMa and UMi channel models, the minimum setup configuration can be described as below:</w:t>
      </w:r>
    </w:p>
    <w:p>
      <w:pPr>
        <w:pStyle w:val="TH"/>
        <w:rPr/>
      </w:pPr>
      <w:r>
        <w:rPr/>
        <w:t>Table A.5.1.1-1: Example of a minimum setup for Boundary Array implementations</w:t>
        <w:br/>
        <w:t>using the Anechoic Chamber Methodology</w:t>
      </w:r>
    </w:p>
    <w:tbl>
      <w:tblPr>
        <w:tblW w:w="9033" w:type="dxa"/>
        <w:jc w:val="center"/>
        <w:tblInd w:w="0" w:type="dxa"/>
        <w:tblLayout w:type="fixed"/>
        <w:tblCellMar>
          <w:top w:w="0" w:type="dxa"/>
          <w:left w:w="108" w:type="dxa"/>
          <w:bottom w:w="0" w:type="dxa"/>
          <w:right w:w="108" w:type="dxa"/>
        </w:tblCellMar>
      </w:tblPr>
      <w:tblGrid>
        <w:gridCol w:w="3268"/>
        <w:gridCol w:w="2107"/>
        <w:gridCol w:w="3658"/>
      </w:tblGrid>
      <w:tr>
        <w:trPr>
          <w:cantSplit w:val="true"/>
        </w:trPr>
        <w:tc>
          <w:tcPr>
            <w:tcW w:w="3268" w:type="dxa"/>
            <w:tcBorders>
              <w:top w:val="single" w:sz="4" w:space="0" w:color="000000"/>
              <w:left w:val="single" w:sz="4" w:space="0" w:color="000000"/>
              <w:bottom w:val="single" w:sz="4" w:space="0" w:color="000000"/>
              <w:right w:val="single" w:sz="4" w:space="0" w:color="000000"/>
            </w:tcBorders>
            <w:shd w:fill="E0E0E0" w:val="clear"/>
            <w:vAlign w:val="center"/>
          </w:tcPr>
          <w:p>
            <w:pPr>
              <w:pStyle w:val="TAH"/>
              <w:snapToGrid w:val="false"/>
              <w:rPr>
                <w:rFonts w:cs="Arial"/>
                <w:lang w:eastAsia="en-US"/>
              </w:rPr>
            </w:pPr>
            <w:r>
              <w:rPr>
                <w:rFonts w:cs="Arial"/>
                <w:lang w:eastAsia="en-US"/>
              </w:rPr>
            </w:r>
          </w:p>
        </w:tc>
        <w:tc>
          <w:tcPr>
            <w:tcW w:w="2107" w:type="dxa"/>
            <w:tcBorders>
              <w:top w:val="single" w:sz="4" w:space="0" w:color="000000"/>
              <w:left w:val="single" w:sz="4" w:space="0" w:color="000000"/>
              <w:bottom w:val="single" w:sz="4" w:space="0" w:color="000000"/>
              <w:right w:val="single" w:sz="4" w:space="0" w:color="000000"/>
            </w:tcBorders>
            <w:shd w:fill="E0E0E0" w:val="clear"/>
            <w:vAlign w:val="center"/>
          </w:tcPr>
          <w:p>
            <w:pPr>
              <w:pStyle w:val="TAH"/>
              <w:rPr>
                <w:rFonts w:cs="Arial"/>
                <w:lang w:eastAsia="en-US"/>
              </w:rPr>
            </w:pPr>
            <w:r>
              <w:rPr>
                <w:rFonts w:cs="Arial"/>
                <w:lang w:eastAsia="en-US"/>
              </w:rPr>
              <w:t>Full Ring</w:t>
            </w:r>
          </w:p>
        </w:tc>
        <w:tc>
          <w:tcPr>
            <w:tcW w:w="3658" w:type="dxa"/>
            <w:tcBorders>
              <w:top w:val="single" w:sz="4" w:space="0" w:color="000000"/>
              <w:left w:val="single" w:sz="4" w:space="0" w:color="000000"/>
              <w:bottom w:val="single" w:sz="4" w:space="0" w:color="000000"/>
              <w:right w:val="single" w:sz="4" w:space="0" w:color="000000"/>
            </w:tcBorders>
            <w:shd w:fill="E0E0E0" w:val="clear"/>
            <w:vAlign w:val="center"/>
          </w:tcPr>
          <w:p>
            <w:pPr>
              <w:pStyle w:val="TAH"/>
              <w:rPr>
                <w:rFonts w:cs="Arial"/>
                <w:lang w:eastAsia="en-US"/>
              </w:rPr>
            </w:pPr>
            <w:r>
              <w:rPr>
                <w:rFonts w:cs="Arial"/>
                <w:lang w:eastAsia="en-US"/>
              </w:rPr>
              <w:t>Single Cluster</w:t>
            </w:r>
          </w:p>
        </w:tc>
      </w:tr>
      <w:tr>
        <w:trPr>
          <w:cantSplit w:val="true"/>
        </w:trPr>
        <w:tc>
          <w:tcPr>
            <w:tcW w:w="3268" w:type="dxa"/>
            <w:tcBorders>
              <w:top w:val="single" w:sz="4" w:space="0" w:color="000000"/>
              <w:left w:val="single" w:sz="4" w:space="0" w:color="000000"/>
              <w:bottom w:val="single" w:sz="4" w:space="0" w:color="000000"/>
              <w:right w:val="single" w:sz="4" w:space="0" w:color="000000"/>
            </w:tcBorders>
            <w:vAlign w:val="center"/>
          </w:tcPr>
          <w:p>
            <w:pPr>
              <w:pStyle w:val="TAL1"/>
              <w:rPr/>
            </w:pPr>
            <w:r>
              <w:rPr>
                <w:rFonts w:cs="Arial"/>
                <w:lang w:eastAsia="en-US"/>
              </w:rPr>
              <w:t>Minimum number of antenna positions</w:t>
            </w:r>
          </w:p>
        </w:tc>
        <w:tc>
          <w:tcPr>
            <w:tcW w:w="210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8</w:t>
            </w:r>
          </w:p>
        </w:tc>
        <w:tc>
          <w:tcPr>
            <w:tcW w:w="365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3</w:t>
            </w:r>
          </w:p>
        </w:tc>
      </w:tr>
      <w:tr>
        <w:trPr>
          <w:cantSplit w:val="true"/>
        </w:trPr>
        <w:tc>
          <w:tcPr>
            <w:tcW w:w="3268"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Antenna spacing</w:t>
            </w:r>
          </w:p>
        </w:tc>
        <w:tc>
          <w:tcPr>
            <w:tcW w:w="210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45°</w:t>
            </w:r>
          </w:p>
        </w:tc>
        <w:tc>
          <w:tcPr>
            <w:tcW w:w="365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Determined on the setup</w:t>
            </w:r>
          </w:p>
        </w:tc>
      </w:tr>
      <w:tr>
        <w:trPr>
          <w:cantSplit w:val="true"/>
        </w:trPr>
        <w:tc>
          <w:tcPr>
            <w:tcW w:w="3268"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Applicable channel model</w:t>
            </w:r>
          </w:p>
        </w:tc>
        <w:tc>
          <w:tcPr>
            <w:tcW w:w="210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SCME UMa/SCME UMi</w:t>
            </w:r>
          </w:p>
        </w:tc>
        <w:tc>
          <w:tcPr>
            <w:tcW w:w="365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Single Cluster UMa and Single Cluster UMi</w:t>
            </w:r>
          </w:p>
        </w:tc>
      </w:tr>
    </w:tbl>
    <w:p>
      <w:pPr>
        <w:pStyle w:val="Normal"/>
        <w:rPr/>
      </w:pPr>
      <w:r>
        <w:rPr/>
      </w:r>
    </w:p>
    <w:p>
      <w:pPr>
        <w:pStyle w:val="Normal"/>
        <w:rPr/>
      </w:pPr>
      <w:r>
        <w:rPr/>
        <w:t>The full SCME or Multi-Cluster channel models are defined in Annex M.1. The Single-Cluster model, which is not part of the set of channel models validated in clause 8, would be based on the channel models defined in Annex M.1 with a set of dithered AoAs around zero degrees.</w:t>
      </w:r>
    </w:p>
    <w:p>
      <w:pPr>
        <w:pStyle w:val="Heading4"/>
        <w:ind w:left="1418" w:hanging="1418"/>
        <w:rPr/>
      </w:pPr>
      <w:bookmarkStart w:id="439" w:name="__RefHeading___Toc68601368"/>
      <w:bookmarkEnd w:id="439"/>
      <w:r>
        <w:rPr/>
        <w:t>A.5.1.1.1</w:t>
      </w:r>
      <w:r>
        <w:rPr>
          <w:rFonts w:cs="Calibri" w:ascii="Calibri" w:hAnsi="Calibri"/>
          <w:szCs w:val="22"/>
        </w:rPr>
        <w:tab/>
      </w:r>
      <w:r>
        <w:rPr/>
        <w:t>Concept and configuration</w:t>
      </w:r>
    </w:p>
    <w:p>
      <w:pPr>
        <w:pStyle w:val="Normal"/>
        <w:rPr/>
      </w:pPr>
      <w:r>
        <w:rPr/>
        <w:t>For MIMO OTA modelling the geometric channel models are mapped into the fading emulator, converting the geometric channel models into the emulator tap coefficients. This process is illustrated in Figure A.5.1.1.1-1.</w:t>
      </w:r>
    </w:p>
    <w:p>
      <w:pPr>
        <w:pStyle w:val="TH"/>
        <w:rPr/>
      </w:pPr>
      <w:bookmarkStart w:id="440" w:name="_1451095818"/>
      <w:bookmarkStart w:id="441" w:name="_1451091311"/>
      <w:bookmarkEnd w:id="440"/>
      <w:bookmarkEnd w:id="441"/>
      <w:r>
        <w:rPr/>
        <w:object w:dxaOrig="4559" w:dyaOrig="2307">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227.95pt;height:115.35pt" filled="f" o:ole="">
            <v:imagedata r:id="rId72" o:title=""/>
          </v:shape>
          <o:OLEObject Type="Embed" ProgID="" ShapeID="ole_rId71" DrawAspect="Content" ObjectID="_1648149115" r:id="rId71"/>
        </w:object>
      </w:r>
    </w:p>
    <w:p>
      <w:pPr>
        <w:pStyle w:val="TF"/>
        <w:rPr/>
      </w:pPr>
      <w:r>
        <w:rPr/>
        <w:t>Figure A.5.1.1.1-1: Modelling process</w:t>
      </w:r>
    </w:p>
    <w:p>
      <w:pPr>
        <w:pStyle w:val="Normal"/>
        <w:rPr/>
      </w:pPr>
      <w:r>
        <w:rPr/>
      </w:r>
    </w:p>
    <w:p>
      <w:pPr>
        <w:pStyle w:val="Normal"/>
        <w:rPr/>
      </w:pPr>
      <w:r>
        <w:rPr/>
        <w:t>The setup of OTA chamber antennas with eight antenna positions is depicted in Figure A.5.1.1.1-2. The DUT is at the centre, and the antennas are in a circle around the DUT with uniform spacing (e.g. 45</w:t>
      </w:r>
      <w:r>
        <w:rPr>
          <w:rFonts w:eastAsia="Symbol" w:cs="Symbol" w:ascii="Symbol" w:hAnsi="Symbol"/>
        </w:rPr>
        <w:t></w:t>
      </w:r>
      <w:r>
        <w:rPr/>
        <w:t xml:space="preserve"> with 16 elements arranged in 8 positions, where each position contains a vertically and horizontally polarized antenna pair). Denoting directions of </w:t>
      </w:r>
      <w:r>
        <w:rPr>
          <w:i/>
        </w:rPr>
        <w:t>K</w:t>
      </w:r>
      <w:r>
        <w:rPr/>
        <w:t xml:space="preserve"> OTA antennas with </w:t>
      </w:r>
      <w:r>
        <w:rPr>
          <w:rFonts w:eastAsia="Symbol" w:cs="Symbol" w:ascii="Symbol" w:hAnsi="Symbol"/>
          <w:i/>
          <w:iCs/>
        </w:rPr>
        <w:t></w:t>
      </w:r>
      <w:r>
        <w:rPr>
          <w:i/>
          <w:iCs/>
          <w:vertAlign w:val="subscript"/>
        </w:rPr>
        <w:t>k</w:t>
      </w:r>
      <w:r>
        <w:rPr/>
        <w:t xml:space="preserve">, </w:t>
      </w:r>
      <w:r>
        <w:rPr>
          <w:i/>
        </w:rPr>
        <w:t>k</w:t>
      </w:r>
      <w:r>
        <w:rPr/>
        <w:t xml:space="preserve"> = 1… </w:t>
      </w:r>
      <w:r>
        <w:rPr>
          <w:i/>
        </w:rPr>
        <w:t>K</w:t>
      </w:r>
      <w:r>
        <w:rPr/>
        <w:t xml:space="preserve">, and antenna spacing in the angle domain with </w:t>
      </w:r>
      <w:r>
        <w:rPr>
          <w:rFonts w:eastAsia="Symbol" w:cs="Symbol" w:ascii="Symbol" w:hAnsi="Symbol"/>
          <w:i/>
          <w:iCs/>
        </w:rPr>
        <w:t></w:t>
      </w:r>
      <w:r>
        <w:rPr/>
        <w:t>. Each antenna is connected to a single fading emulator output port. In the figure, for example, antenna A</w:t>
      </w:r>
      <w:r>
        <w:rPr>
          <w:vertAlign w:val="subscript"/>
        </w:rPr>
        <w:t>1V</w:t>
      </w:r>
      <w:r>
        <w:rPr/>
        <w:t xml:space="preserve"> denotes the first OTA antenna position and Vertically (V) polarized element, A</w:t>
      </w:r>
      <w:r>
        <w:rPr>
          <w:vertAlign w:val="subscript"/>
        </w:rPr>
        <w:t>8H</w:t>
      </w:r>
      <w:r>
        <w:rPr/>
        <w:t xml:space="preserve"> denotes the eight OTA antenna position and horizontally (H) polarized element, etc.</w:t>
      </w:r>
    </w:p>
    <w:p>
      <w:pPr>
        <w:pStyle w:val="TH"/>
        <w:rPr>
          <w:lang w:eastAsia="zh-CN"/>
        </w:rPr>
      </w:pPr>
      <w:r>
        <w:rPr>
          <w:lang w:eastAsia="zh-CN"/>
        </w:rPr>
        <w:drawing>
          <wp:inline distT="0" distB="0" distL="0" distR="0">
            <wp:extent cx="3352800" cy="3148965"/>
            <wp:effectExtent l="0" t="0" r="0" b="0"/>
            <wp:docPr id="7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 descr=""/>
                    <pic:cNvPicPr>
                      <a:picLocks noChangeAspect="1" noChangeArrowheads="1"/>
                    </pic:cNvPicPr>
                  </pic:nvPicPr>
                  <pic:blipFill>
                    <a:blip r:embed="rId73"/>
                    <a:srcRect l="-11" t="-11" r="-11" b="-11"/>
                    <a:stretch>
                      <a:fillRect/>
                    </a:stretch>
                  </pic:blipFill>
                  <pic:spPr bwMode="auto">
                    <a:xfrm>
                      <a:off x="0" y="0"/>
                      <a:ext cx="3352800" cy="3148965"/>
                    </a:xfrm>
                    <a:prstGeom prst="rect">
                      <a:avLst/>
                    </a:prstGeom>
                  </pic:spPr>
                </pic:pic>
              </a:graphicData>
            </a:graphic>
          </wp:inline>
        </w:drawing>
      </w:r>
    </w:p>
    <w:p>
      <w:pPr>
        <w:pStyle w:val="TF"/>
        <w:rPr/>
      </w:pPr>
      <w:r>
        <w:rPr/>
        <w:t>Figure A.5.1.1.1-2: OTA chamber antenna setup with eight uniformly spaced dual polarized chamber antennas</w:t>
      </w:r>
    </w:p>
    <w:p>
      <w:pPr>
        <w:pStyle w:val="NO"/>
        <w:rPr/>
      </w:pPr>
      <w:r>
        <w:rPr/>
        <w:t>NOTE:</w:t>
        <w:tab/>
        <w:t>In the drawing the V-polarized elements are actually orthogonal to the paper (azimuth plane)</w:t>
      </w:r>
    </w:p>
    <w:p>
      <w:pPr>
        <w:pStyle w:val="Normal"/>
        <w:rPr/>
      </w:pPr>
      <w:r>
        <w:rPr/>
      </w:r>
    </w:p>
    <w:p>
      <w:pPr>
        <w:pStyle w:val="Heading4"/>
        <w:ind w:left="1418" w:hanging="1418"/>
        <w:rPr>
          <w:lang w:eastAsia="zh-TW"/>
        </w:rPr>
      </w:pPr>
      <w:bookmarkStart w:id="442" w:name="__RefHeading___Toc68601369"/>
      <w:bookmarkEnd w:id="442"/>
      <w:r>
        <w:rPr>
          <w:lang w:eastAsia="zh-TW"/>
        </w:rPr>
        <w:t>A.5.1.2</w:t>
        <w:tab/>
      </w:r>
      <w:r>
        <w:rPr/>
        <w:t>Radiated Two-Stage</w:t>
      </w:r>
    </w:p>
    <w:p>
      <w:pPr>
        <w:pStyle w:val="Normal"/>
        <w:rPr/>
      </w:pPr>
      <w:r>
        <w:rPr/>
        <w:t>The principle of two-stage MIMO OTA method is based on the assumption that the DUT far-field antenna radiation pattern will contain all the necessary information for evaluation of the DUT's antenna's performance like radiation power, efficiency and correlation and that with channel model approaches, the influence of antenna radiation pattern can be correctly incorporated into the channel model. Thus the method will first measure the DUT's MIMO antenna patterns and then convolve the measured antenna patterns with the chosen MIMO OTA channel models for real-time emulation. The resulting test signal generated by the channel emulator and coupled back into the DUT receivers represents the signal that the DUT receivers would have seen if the DUT had been placed in the desired radiated field. Thus an ideal implementation of the two-stage method provides the same results as an ideal implementation of the boundary antenna array method.</w:t>
      </w:r>
    </w:p>
    <w:p>
      <w:pPr>
        <w:pStyle w:val="B1"/>
        <w:ind w:left="0" w:hanging="0"/>
        <w:rPr/>
      </w:pPr>
      <w:r>
        <w:rPr/>
        <w:t>The two-stage method can be used to measure the following figures of merit:</w:t>
      </w:r>
    </w:p>
    <w:p>
      <w:pPr>
        <w:pStyle w:val="B1"/>
        <w:rPr/>
      </w:pPr>
      <w:r>
        <w:rPr/>
        <w:t>1)</w:t>
        <w:tab/>
        <w:t>Throughput</w:t>
      </w:r>
    </w:p>
    <w:p>
      <w:pPr>
        <w:pStyle w:val="B1"/>
        <w:rPr/>
      </w:pPr>
      <w:r>
        <w:rPr/>
        <w:t>2)</w:t>
        <w:tab/>
        <w:t>TRP and TRS</w:t>
      </w:r>
    </w:p>
    <w:p>
      <w:pPr>
        <w:pStyle w:val="B1"/>
        <w:rPr/>
      </w:pPr>
      <w:r>
        <w:rPr/>
        <w:t>3)</w:t>
        <w:tab/>
        <w:t>CQI, BLER</w:t>
      </w:r>
    </w:p>
    <w:p>
      <w:pPr>
        <w:pStyle w:val="B1"/>
        <w:rPr/>
      </w:pPr>
      <w:r>
        <w:rPr/>
        <w:t>4)</w:t>
        <w:tab/>
        <w:t>Antenna efficiency and MEG</w:t>
      </w:r>
    </w:p>
    <w:p>
      <w:pPr>
        <w:pStyle w:val="B1"/>
        <w:rPr/>
      </w:pPr>
      <w:r>
        <w:rPr/>
        <w:t>5)</w:t>
        <w:tab/>
        <w:t>Antenna correlation, MIMO channel capacity.</w:t>
      </w:r>
    </w:p>
    <w:p>
      <w:pPr>
        <w:pStyle w:val="Normal"/>
        <w:rPr/>
      </w:pPr>
      <w:r>
        <w:rPr/>
        <w:t>In order to accurately measure the antenna pattern of the intact device, the DUT chipset needs to support received amplitude and relative phase measurements of the antennas. The validity of antenna pattern measurement is predicated on the assumption that for the frequency being tested, the DUT antenna pattern is static. Devices than can alter their antenna pattern in real time as a function of the radiated environment is not supported. The method of coupling the base station emulator and DUT uses a specially calibrated radiated connection (radiated two-stage or RTS method) to do the test on throughput, etc., to test how the MIMO antennas will influence the performance. The conducted method of coupling is straightforward but does not capture the impact of radiated leakage from the DUT transmit antennas to the DUT receive antennas, thus in its current form without additional interference estimation the conducted method of coupling in the second stage is not proposed for use in conformance testing. Its description is included for historical completeness of the development of the two-stage method. The radiated method of coupling in the second stage does fully capture radiated leakage and is the method defined for conformance testing.</w:t>
      </w:r>
    </w:p>
    <w:p>
      <w:pPr>
        <w:pStyle w:val="Heading5"/>
        <w:ind w:left="1701" w:hanging="1701"/>
        <w:rPr/>
      </w:pPr>
      <w:bookmarkStart w:id="443" w:name="__RefHeading___Toc68601370"/>
      <w:r>
        <w:rPr/>
        <w:t>A.5.1.2.1</w:t>
      </w:r>
      <w:r>
        <w:rPr>
          <w:rFonts w:cs="Calibri" w:ascii="Calibri" w:hAnsi="Calibri"/>
          <w:szCs w:val="22"/>
        </w:rPr>
        <w:tab/>
      </w:r>
      <w:r>
        <w:rPr/>
        <w:t>Concept and configuration</w:t>
      </w:r>
      <w:bookmarkEnd w:id="443"/>
      <w:r>
        <w:rPr/>
        <w:t xml:space="preserve"> </w:t>
      </w:r>
    </w:p>
    <w:p>
      <w:pPr>
        <w:pStyle w:val="Normal"/>
        <w:rPr/>
      </w:pPr>
      <w:r>
        <w:rPr/>
        <w:t xml:space="preserve">The assumption of the two-stage MIMO OTA method is that the measured far field antenna pattern of the DUT's multiple antennas can fully capture the mutual coupling of the multiple antenna arrays and their influence on radiated performance. </w:t>
        <w:br/>
        <w:t>Thus to do the two-stage MIMO OTA test, the antenna patterns of the antenna array needs to be measured accurately in the first stage. In order to accurately measure the antenna pattern of the intact device, the chipset needs to support amplitude and relative phase measurements of the antennas. To achieve this, two new UE measurements have been defined called Reference Signal Antenna Power (RSAP) and Reference Signal Relative Antenna Phase (RSARP). These measurements are defined in TS 36.509 [34].</w:t>
      </w:r>
    </w:p>
    <w:p>
      <w:pPr>
        <w:pStyle w:val="Normal"/>
        <w:rPr/>
      </w:pPr>
      <w:r>
        <w:rPr>
          <w:b/>
        </w:rPr>
        <w:t>Stage 1:</w:t>
      </w:r>
      <w:r>
        <w:rPr/>
        <w:t xml:space="preserve"> The measurement of the DUT’s multiple antennas takes place in a traditional anechoic chamber set up as described in Annex A.3, where the DUT is put into the chamber and each antenna element's complex far zone pattern is measured using the RSAP and RSARP measurements defined in TR 36.509 [34]. The influence of human body loss can also be measured by attaching the DUT to a SAM head and or hand phantom when doing the antenna pattern measurements. The characteristics of the SAM phantom are specified in Annex A.2. The chamber is equipped with a positioner, that makes it possible to perform full 3-D far zone pattern measurements for both Tx and Rx radiated performance. As specified in A.3, the measurement antenna shall be able to measure two orthogonal polarizations (typically linear theta (</w:t>
      </w:r>
      <w:r>
        <w:rPr>
          <w:rFonts w:eastAsia="Symbol" w:cs="Symbol" w:ascii="Symbol" w:hAnsi="Symbol"/>
        </w:rPr>
        <w:t></w:t>
      </w:r>
      <w:r>
        <w:rPr/>
        <w:t>) and phi (</w:t>
      </w:r>
      <w:r>
        <w:rPr>
          <w:rFonts w:eastAsia="Symbol" w:cs="Symbol" w:ascii="Symbol" w:hAnsi="Symbol"/>
        </w:rPr>
        <w:t></w:t>
      </w:r>
      <w:r>
        <w:rPr/>
        <w:t>) polarizations as shown in Figure A.5.1.2.1-1).</w:t>
      </w:r>
    </w:p>
    <w:p>
      <w:pPr>
        <w:pStyle w:val="TH"/>
        <w:rPr/>
      </w:pPr>
      <w:r>
        <w:rPr/>
        <w:drawing>
          <wp:inline distT="0" distB="0" distL="0" distR="0">
            <wp:extent cx="3018790" cy="3220085"/>
            <wp:effectExtent l="0" t="0" r="0" b="0"/>
            <wp:docPr id="80"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6" descr=""/>
                    <pic:cNvPicPr>
                      <a:picLocks noChangeAspect="1" noChangeArrowheads="1"/>
                    </pic:cNvPicPr>
                  </pic:nvPicPr>
                  <pic:blipFill>
                    <a:blip r:embed="rId74"/>
                    <a:srcRect l="-10" t="-10" r="-10" b="-10"/>
                    <a:stretch>
                      <a:fillRect/>
                    </a:stretch>
                  </pic:blipFill>
                  <pic:spPr bwMode="auto">
                    <a:xfrm>
                      <a:off x="0" y="0"/>
                      <a:ext cx="3018790" cy="3220085"/>
                    </a:xfrm>
                    <a:prstGeom prst="rect">
                      <a:avLst/>
                    </a:prstGeom>
                  </pic:spPr>
                </pic:pic>
              </a:graphicData>
            </a:graphic>
          </wp:inline>
        </w:drawing>
      </w:r>
    </w:p>
    <w:p>
      <w:pPr>
        <w:pStyle w:val="TF"/>
        <w:rPr/>
      </w:pPr>
      <w:r>
        <w:rPr/>
        <w:t>Figure A.5.1.2.1-1: The coordinate system used in the measurements</w:t>
      </w:r>
    </w:p>
    <w:p>
      <w:pPr>
        <w:pStyle w:val="Normal"/>
        <w:rPr/>
      </w:pPr>
      <w:r>
        <w:rPr/>
      </w:r>
    </w:p>
    <w:p>
      <w:pPr>
        <w:pStyle w:val="Normal"/>
        <w:rPr/>
      </w:pPr>
      <w:r>
        <w:rPr>
          <w:b/>
        </w:rPr>
        <w:t>Stage 2:</w:t>
      </w:r>
      <w:r>
        <w:rPr/>
        <w:t xml:space="preserve"> Convolve the antenna patterns measured in stage 1 with the chosen MIMO channel model, using a channel emulator and then use the resulting signal to perform the OTA throughput test. The signal is coupled into the DUT using a radiated connection.</w:t>
      </w:r>
    </w:p>
    <w:p>
      <w:pPr>
        <w:pStyle w:val="Normal"/>
        <w:rPr/>
      </w:pPr>
      <w:r>
        <w:rPr/>
        <w:t>The radiated two-stage (RTS) method is illustrated in Figure A.5.1.2.1-2. The BS emulator is connected to the MIMO channel emulator and then to the DUT using a calibrated radiated connection in an anechoic environment. This coupling technique exploits the Eigen modes of the transmission channel in the anechoic chamber to provide isolated radiated connections between the probe antennas and each DUT receiver after the DUT antenna.</w:t>
      </w:r>
    </w:p>
    <w:p>
      <w:pPr>
        <w:pStyle w:val="Normal"/>
        <w:rPr/>
      </w:pPr>
      <w:r>
        <w:rPr/>
        <w:t>To convolve the DUT antenna patterns with MIMO channel model.</w:t>
      </w:r>
    </w:p>
    <w:p>
      <w:pPr>
        <w:pStyle w:val="B1"/>
        <w:rPr/>
      </w:pPr>
      <w:r>
        <w:rPr/>
        <w:t xml:space="preserve">a) </w:t>
        <w:tab/>
        <w:t>Apply antenna patterns to correlation-based channel models. With a correlation matrix calculation method for arbitrary antenna patterns under multipath channel conditions, the correlation matrix and the antenna imbalance can be calculated and then emulated by the channel emulator.</w:t>
      </w:r>
    </w:p>
    <w:p>
      <w:pPr>
        <w:pStyle w:val="TH"/>
        <w:rPr/>
      </w:pPr>
      <w:bookmarkStart w:id="444" w:name="_1383985414"/>
      <w:bookmarkStart w:id="445" w:name="_1380699930"/>
      <w:bookmarkStart w:id="446" w:name="_1378814151"/>
      <w:bookmarkStart w:id="447" w:name="_1378799470"/>
      <w:bookmarkEnd w:id="444"/>
      <w:bookmarkEnd w:id="445"/>
      <w:bookmarkEnd w:id="446"/>
      <w:bookmarkEnd w:id="447"/>
      <w:r>
        <w:rPr/>
        <w:object w:dxaOrig="8083" w:dyaOrig="3259">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351.6pt;height:141.75pt" filled="f" o:ole="">
            <v:imagedata r:id="rId76" o:title=""/>
          </v:shape>
          <o:OLEObject Type="Embed" ProgID="" ShapeID="ole_rId75" DrawAspect="Content" ObjectID="_1795460074" r:id="rId75"/>
        </w:object>
      </w:r>
    </w:p>
    <w:p>
      <w:pPr>
        <w:pStyle w:val="TF"/>
        <w:rPr/>
      </w:pPr>
      <w:r>
        <w:rPr/>
        <w:t>Figure A.5.1.2.1-2: Radiated two-stage (RTS) test methodology for MIMO OTA test</w:t>
      </w:r>
    </w:p>
    <w:p>
      <w:pPr>
        <w:pStyle w:val="Normal"/>
        <w:rPr/>
      </w:pPr>
      <w:r>
        <w:rPr/>
      </w:r>
    </w:p>
    <w:p>
      <w:pPr>
        <w:pStyle w:val="Normal"/>
        <w:rPr/>
      </w:pPr>
      <w:r>
        <w:rPr/>
        <w:t>Figure A.5.1.2.1-2 shows the radiated coupling method for the second stage. Two probe antennas with polarization V and H are co-located in the anechoic chamber. Note, unlike in the first stage where the V and H probes are used at different times, in the second stage both V and H probes are used simultaneously. An example implementation of this would be the dual polarized configuration described in Annex A.3. Due to the propagation channel in the chamber, signals transmitted from each probe antenna are received by both DUT antennas. However, by precoding the transmitted signals using spatial multiplexing techniques it is possible by calculating the radiated channel matrix and by applying its inverse to the transmitted signals, to create an identity matrix allowing the transmitted signals to be received independently at each DUT receiver after the DUT antenna.</w:t>
      </w:r>
    </w:p>
    <w:p>
      <w:pPr>
        <w:pStyle w:val="Normal"/>
        <w:rPr/>
      </w:pPr>
      <w:r>
        <w:rPr/>
        <w:t xml:space="preserve">The establishment of the radiated connection is explained as follows. Assume </w:t>
      </w:r>
      <w:r>
        <w:fldChar w:fldCharType="begin"/>
      </w:r>
      <w:r>
        <w:rPr>
          <w:position w:val="-9"/>
        </w:rPr>
        <w:instrText xml:space="preserve"> QUOTE _x0001_ </w:instrText>
      </w:r>
      <w:r>
        <w:rPr>
          <w:position w:val="-9"/>
        </w:rPr>
      </w:r>
      <w:r>
        <w:rPr>
          <w:position w:val="-9"/>
        </w:rPr>
        <w:fldChar w:fldCharType="separate"/>
      </w:r>
      <w:r>
        <w:rPr>
          <w:position w:val="-9"/>
        </w:rPr>
      </w:r>
      <w:r>
        <w:rPr>
          <w:position w:val="-9"/>
        </w:rPr>
        <w:drawing>
          <wp:inline distT="0" distB="0" distL="0" distR="0">
            <wp:extent cx="137160" cy="190500"/>
            <wp:effectExtent l="0" t="0" r="0" b="0"/>
            <wp:docPr id="81"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67" descr=""/>
                    <pic:cNvPicPr>
                      <a:picLocks noChangeAspect="1" noChangeArrowheads="1"/>
                    </pic:cNvPicPr>
                  </pic:nvPicPr>
                  <pic:blipFill>
                    <a:blip r:embed="rId77"/>
                    <a:srcRect l="-262" t="-189" r="-262" b="-189"/>
                    <a:stretch>
                      <a:fillRect/>
                    </a:stretch>
                  </pic:blipFill>
                  <pic:spPr bwMode="auto">
                    <a:xfrm>
                      <a:off x="0" y="0"/>
                      <a:ext cx="137160" cy="190500"/>
                    </a:xfrm>
                    <a:prstGeom prst="rect">
                      <a:avLst/>
                    </a:prstGeom>
                  </pic:spPr>
                </pic:pic>
              </a:graphicData>
            </a:graphic>
          </wp:inline>
        </w:drawing>
      </w:r>
      <w:r>
        <w:rPr>
          <w:position w:val="-9"/>
        </w:rPr>
      </w:r>
      <w:r>
        <w:rPr>
          <w:position w:val="-9"/>
        </w:rPr>
        <w:fldChar w:fldCharType="end"/>
      </w:r>
      <w:r>
        <w:rPr/>
        <w:t>and</w:t>
      </w:r>
      <w:r>
        <w:fldChar w:fldCharType="begin"/>
      </w:r>
      <w:r>
        <w:rPr>
          <w:position w:val="-9"/>
        </w:rPr>
        <w:instrText xml:space="preserve"> QUOTE _x0001_ </w:instrText>
      </w:r>
      <w:r>
        <w:rPr>
          <w:position w:val="-9"/>
        </w:rPr>
      </w:r>
      <w:r>
        <w:rPr>
          <w:position w:val="-9"/>
        </w:rPr>
        <w:fldChar w:fldCharType="separate"/>
      </w:r>
      <w:r>
        <w:rPr>
          <w:position w:val="-9"/>
        </w:rPr>
      </w:r>
      <w:r>
        <w:rPr>
          <w:position w:val="-9"/>
        </w:rPr>
        <w:drawing>
          <wp:inline distT="0" distB="0" distL="0" distR="0">
            <wp:extent cx="137160" cy="190500"/>
            <wp:effectExtent l="0" t="0" r="0" b="0"/>
            <wp:docPr id="82"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8" descr=""/>
                    <pic:cNvPicPr>
                      <a:picLocks noChangeAspect="1" noChangeArrowheads="1"/>
                    </pic:cNvPicPr>
                  </pic:nvPicPr>
                  <pic:blipFill>
                    <a:blip r:embed="rId78"/>
                    <a:srcRect l="-262" t="-189" r="-262" b="-189"/>
                    <a:stretch>
                      <a:fillRect/>
                    </a:stretch>
                  </pic:blipFill>
                  <pic:spPr bwMode="auto">
                    <a:xfrm>
                      <a:off x="0" y="0"/>
                      <a:ext cx="137160" cy="190500"/>
                    </a:xfrm>
                    <a:prstGeom prst="rect">
                      <a:avLst/>
                    </a:prstGeom>
                  </pic:spPr>
                </pic:pic>
              </a:graphicData>
            </a:graphic>
          </wp:inline>
        </w:drawing>
      </w:r>
      <w:r>
        <w:rPr>
          <w:position w:val="-9"/>
        </w:rPr>
      </w:r>
      <w:r>
        <w:rPr>
          <w:position w:val="-9"/>
        </w:rPr>
        <w:fldChar w:fldCharType="end"/>
      </w:r>
      <w:r>
        <w:rPr/>
        <w:t xml:space="preserve"> are the transmitted signals from the base station emulator, after applying the desired channel model and convolution with the complex antenna pattern we get:</w:t>
      </w:r>
    </w:p>
    <w:p>
      <w:pPr>
        <w:pStyle w:val="EQ"/>
        <w:jc w:val="center"/>
        <w:rPr/>
      </w:pPr>
      <w:r>
        <w:fldChar w:fldCharType="begin"/>
      </w:r>
      <w:r>
        <w:rPr>
          <w:position w:val="-10"/>
          <w:lang w:val="en-GB" w:eastAsia="en-GB"/>
        </w:rPr>
        <w:instrText xml:space="preserve"> QUOTE _x0001_ </w:instrText>
      </w:r>
      <w:r>
        <w:rPr>
          <w:position w:val="-10"/>
          <w:lang w:val="en-GB" w:eastAsia="en-GB"/>
        </w:rPr>
      </w:r>
      <w:r>
        <w:rPr>
          <w:position w:val="-10"/>
          <w:lang w:val="en-GB" w:eastAsia="en-GB"/>
        </w:rPr>
        <w:fldChar w:fldCharType="separate"/>
      </w:r>
      <w:r>
        <w:rPr>
          <w:position w:val="-10"/>
          <w:lang w:val="en-GB" w:eastAsia="en-GB"/>
        </w:rPr>
      </w:r>
      <w:r>
        <w:rPr>
          <w:position w:val="-10"/>
          <w:lang w:val="en-GB" w:eastAsia="en-GB"/>
        </w:rPr>
        <w:drawing>
          <wp:inline distT="0" distB="0" distL="0" distR="0">
            <wp:extent cx="327660" cy="190500"/>
            <wp:effectExtent l="0" t="0" r="0" b="0"/>
            <wp:docPr id="83"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69" descr=""/>
                    <pic:cNvPicPr>
                      <a:picLocks noChangeAspect="1" noChangeArrowheads="1"/>
                    </pic:cNvPicPr>
                  </pic:nvPicPr>
                  <pic:blipFill>
                    <a:blip r:embed="rId79"/>
                    <a:srcRect l="-110" t="-189" r="-110" b="-189"/>
                    <a:stretch>
                      <a:fillRect/>
                    </a:stretch>
                  </pic:blipFill>
                  <pic:spPr bwMode="auto">
                    <a:xfrm>
                      <a:off x="0" y="0"/>
                      <a:ext cx="327660" cy="190500"/>
                    </a:xfrm>
                    <a:prstGeom prst="rect">
                      <a:avLst/>
                    </a:prstGeom>
                  </pic:spPr>
                </pic:pic>
              </a:graphicData>
            </a:graphic>
          </wp:inline>
        </w:drawing>
      </w:r>
      <w:r>
        <w:rPr>
          <w:position w:val="-10"/>
          <w:lang w:val="en-GB" w:eastAsia="en-GB"/>
        </w:rPr>
      </w:r>
      <w:r>
        <w:rPr>
          <w:position w:val="-10"/>
          <w:lang w:val="en-GB" w:eastAsia="en-GB"/>
        </w:rPr>
        <w:fldChar w:fldCharType="end"/>
      </w:r>
      <w:r>
        <w:rPr>
          <w:lang w:val="en-GB" w:eastAsia="en-GB"/>
        </w:rPr>
        <w:t xml:space="preserve"> and </w:t>
      </w:r>
      <w:r>
        <w:fldChar w:fldCharType="begin"/>
      </w:r>
      <w:r>
        <w:rPr>
          <w:position w:val="-10"/>
          <w:lang w:val="en-GB" w:eastAsia="en-GB"/>
        </w:rPr>
        <w:instrText xml:space="preserve"> QUOTE _x0001_ </w:instrText>
      </w:r>
      <w:r>
        <w:rPr>
          <w:position w:val="-10"/>
          <w:lang w:val="en-GB" w:eastAsia="en-GB"/>
        </w:rPr>
      </w:r>
      <w:r>
        <w:rPr>
          <w:position w:val="-10"/>
          <w:lang w:val="en-GB" w:eastAsia="en-GB"/>
        </w:rPr>
        <w:fldChar w:fldCharType="separate"/>
      </w:r>
      <w:r>
        <w:rPr>
          <w:position w:val="-10"/>
          <w:lang w:val="en-GB" w:eastAsia="en-GB"/>
        </w:rPr>
      </w:r>
      <w:r>
        <w:rPr>
          <w:position w:val="-10"/>
          <w:lang w:val="en-GB" w:eastAsia="en-GB"/>
        </w:rPr>
        <w:drawing>
          <wp:inline distT="0" distB="0" distL="0" distR="0">
            <wp:extent cx="335280" cy="190500"/>
            <wp:effectExtent l="0" t="0" r="0" b="0"/>
            <wp:docPr id="84"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0" descr=""/>
                    <pic:cNvPicPr>
                      <a:picLocks noChangeAspect="1" noChangeArrowheads="1"/>
                    </pic:cNvPicPr>
                  </pic:nvPicPr>
                  <pic:blipFill>
                    <a:blip r:embed="rId80"/>
                    <a:srcRect l="-107" t="-189" r="-107" b="-189"/>
                    <a:stretch>
                      <a:fillRect/>
                    </a:stretch>
                  </pic:blipFill>
                  <pic:spPr bwMode="auto">
                    <a:xfrm>
                      <a:off x="0" y="0"/>
                      <a:ext cx="335280" cy="190500"/>
                    </a:xfrm>
                    <a:prstGeom prst="rect">
                      <a:avLst/>
                    </a:prstGeom>
                  </pic:spPr>
                </pic:pic>
              </a:graphicData>
            </a:graphic>
          </wp:inline>
        </w:drawing>
      </w:r>
      <w:r>
        <w:rPr>
          <w:position w:val="-10"/>
          <w:lang w:val="en-GB" w:eastAsia="en-GB"/>
        </w:rPr>
      </w:r>
      <w:r>
        <w:rPr>
          <w:position w:val="-10"/>
          <w:lang w:val="en-GB" w:eastAsia="en-GB"/>
        </w:rPr>
        <w:fldChar w:fldCharType="end"/>
      </w:r>
      <w:r>
        <w:rPr>
          <w:lang w:val="en-GB" w:eastAsia="en-GB"/>
        </w:rPr>
        <w:t>.</w:t>
      </w:r>
    </w:p>
    <w:p>
      <w:pPr>
        <w:pStyle w:val="Normal"/>
        <w:rPr/>
      </w:pPr>
      <w:r>
        <w:rPr/>
        <w:t xml:space="preserve">The radiated channel matrix between the probe antennas and the DUT antennas is </w:t>
      </w:r>
      <w:r>
        <w:fldChar w:fldCharType="begin"/>
      </w:r>
      <w:r>
        <w:rPr>
          <w:position w:val="-22"/>
        </w:rPr>
        <w:instrText xml:space="preserve"> QUOTE _x0001_ </w:instrText>
      </w:r>
      <w:r>
        <w:rPr>
          <w:position w:val="-22"/>
        </w:rPr>
      </w:r>
      <w:r>
        <w:rPr>
          <w:position w:val="-22"/>
        </w:rPr>
        <w:fldChar w:fldCharType="separate"/>
      </w:r>
      <w:r>
        <w:rPr>
          <w:position w:val="-22"/>
        </w:rPr>
      </w:r>
      <w:r>
        <w:rPr>
          <w:position w:val="-22"/>
        </w:rPr>
        <w:drawing>
          <wp:inline distT="0" distB="0" distL="0" distR="0">
            <wp:extent cx="822960" cy="342900"/>
            <wp:effectExtent l="0" t="0" r="0" b="0"/>
            <wp:docPr id="85"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71" descr=""/>
                    <pic:cNvPicPr>
                      <a:picLocks noChangeAspect="1" noChangeArrowheads="1"/>
                    </pic:cNvPicPr>
                  </pic:nvPicPr>
                  <pic:blipFill>
                    <a:blip r:embed="rId81"/>
                    <a:srcRect l="-44" t="-105" r="-44" b="-105"/>
                    <a:stretch>
                      <a:fillRect/>
                    </a:stretch>
                  </pic:blipFill>
                  <pic:spPr bwMode="auto">
                    <a:xfrm>
                      <a:off x="0" y="0"/>
                      <a:ext cx="822960" cy="342900"/>
                    </a:xfrm>
                    <a:prstGeom prst="rect">
                      <a:avLst/>
                    </a:prstGeom>
                  </pic:spPr>
                </pic:pic>
              </a:graphicData>
            </a:graphic>
          </wp:inline>
        </w:drawing>
      </w:r>
      <w:r>
        <w:rPr>
          <w:position w:val="-22"/>
        </w:rPr>
      </w:r>
      <w:r>
        <w:rPr>
          <w:position w:val="-22"/>
        </w:rPr>
        <w:fldChar w:fldCharType="end"/>
      </w:r>
      <w:r>
        <w:rPr/>
        <w:t xml:space="preserve"> .</w:t>
      </w:r>
    </w:p>
    <w:p>
      <w:pPr>
        <w:pStyle w:val="Normal"/>
        <w:rPr/>
      </w:pPr>
      <w:r>
        <w:rPr/>
        <w:t xml:space="preserve">If the channel emulator applies the inverse of the radiated channel matrix </w:t>
      </w:r>
      <w:r>
        <w:fldChar w:fldCharType="begin"/>
      </w:r>
      <w:r>
        <w:rPr>
          <w:position w:val="-22"/>
        </w:rPr>
        <w:instrText xml:space="preserve"> QUOTE _x0001_ </w:instrText>
      </w:r>
      <w:r>
        <w:rPr>
          <w:position w:val="-22"/>
        </w:rPr>
      </w:r>
      <w:r>
        <w:rPr>
          <w:position w:val="-22"/>
        </w:rPr>
        <w:fldChar w:fldCharType="separate"/>
      </w:r>
      <w:r>
        <w:rPr>
          <w:position w:val="-22"/>
        </w:rPr>
      </w:r>
      <w:r>
        <w:rPr>
          <w:position w:val="-22"/>
        </w:rPr>
        <w:drawing>
          <wp:inline distT="0" distB="0" distL="0" distR="0">
            <wp:extent cx="883920" cy="342900"/>
            <wp:effectExtent l="0" t="0" r="0" b="0"/>
            <wp:docPr id="86"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72" descr=""/>
                    <pic:cNvPicPr>
                      <a:picLocks noChangeAspect="1" noChangeArrowheads="1"/>
                    </pic:cNvPicPr>
                  </pic:nvPicPr>
                  <pic:blipFill>
                    <a:blip r:embed="rId82"/>
                    <a:srcRect l="-41" t="-105" r="-41" b="-105"/>
                    <a:stretch>
                      <a:fillRect/>
                    </a:stretch>
                  </pic:blipFill>
                  <pic:spPr bwMode="auto">
                    <a:xfrm>
                      <a:off x="0" y="0"/>
                      <a:ext cx="883920" cy="342900"/>
                    </a:xfrm>
                    <a:prstGeom prst="rect">
                      <a:avLst/>
                    </a:prstGeom>
                  </pic:spPr>
                </pic:pic>
              </a:graphicData>
            </a:graphic>
          </wp:inline>
        </w:drawing>
      </w:r>
      <w:r>
        <w:rPr>
          <w:position w:val="-22"/>
        </w:rPr>
      </w:r>
      <w:r>
        <w:rPr>
          <w:position w:val="-22"/>
        </w:rPr>
        <w:fldChar w:fldCharType="end"/>
      </w:r>
      <w:r>
        <w:rPr/>
        <w:t xml:space="preserve"> to  </w:t>
      </w:r>
      <w:r>
        <w:fldChar w:fldCharType="begin"/>
      </w:r>
      <w:r>
        <w:rPr>
          <w:position w:val="-10"/>
        </w:rPr>
        <w:instrText xml:space="preserve"> QUOTE _x0001_ </w:instrText>
      </w:r>
      <w:r>
        <w:rPr>
          <w:position w:val="-10"/>
        </w:rPr>
      </w:r>
      <w:r>
        <w:rPr>
          <w:position w:val="-10"/>
        </w:rPr>
        <w:fldChar w:fldCharType="separate"/>
      </w:r>
      <w:r>
        <w:rPr>
          <w:position w:val="-10"/>
        </w:rPr>
      </w:r>
      <w:r>
        <w:rPr>
          <w:position w:val="-10"/>
        </w:rPr>
        <w:drawing>
          <wp:inline distT="0" distB="0" distL="0" distR="0">
            <wp:extent cx="327660" cy="190500"/>
            <wp:effectExtent l="0" t="0" r="0" b="0"/>
            <wp:docPr id="87"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73" descr=""/>
                    <pic:cNvPicPr>
                      <a:picLocks noChangeAspect="1" noChangeArrowheads="1"/>
                    </pic:cNvPicPr>
                  </pic:nvPicPr>
                  <pic:blipFill>
                    <a:blip r:embed="rId83"/>
                    <a:srcRect l="-110" t="-189" r="-110" b="-189"/>
                    <a:stretch>
                      <a:fillRect/>
                    </a:stretch>
                  </pic:blipFill>
                  <pic:spPr bwMode="auto">
                    <a:xfrm>
                      <a:off x="0" y="0"/>
                      <a:ext cx="327660" cy="190500"/>
                    </a:xfrm>
                    <a:prstGeom prst="rect">
                      <a:avLst/>
                    </a:prstGeom>
                  </pic:spPr>
                </pic:pic>
              </a:graphicData>
            </a:graphic>
          </wp:inline>
        </w:drawing>
      </w:r>
      <w:r>
        <w:rPr>
          <w:position w:val="-10"/>
        </w:rPr>
      </w:r>
      <w:r>
        <w:rPr>
          <w:position w:val="-10"/>
        </w:rPr>
        <w:fldChar w:fldCharType="end"/>
      </w:r>
      <w:r>
        <w:rPr/>
        <w:t xml:space="preserve"> and </w:t>
      </w:r>
      <w:r>
        <w:fldChar w:fldCharType="begin"/>
      </w:r>
      <w:r>
        <w:rPr>
          <w:position w:val="-10"/>
        </w:rPr>
        <w:instrText xml:space="preserve"> QUOTE _x0001_ </w:instrText>
      </w:r>
      <w:r>
        <w:rPr>
          <w:position w:val="-10"/>
        </w:rPr>
      </w:r>
      <w:r>
        <w:rPr>
          <w:position w:val="-10"/>
        </w:rPr>
        <w:fldChar w:fldCharType="separate"/>
      </w:r>
      <w:r>
        <w:rPr>
          <w:position w:val="-10"/>
        </w:rPr>
      </w:r>
      <w:r>
        <w:rPr>
          <w:position w:val="-10"/>
        </w:rPr>
        <w:drawing>
          <wp:inline distT="0" distB="0" distL="0" distR="0">
            <wp:extent cx="335280" cy="190500"/>
            <wp:effectExtent l="0" t="0" r="0" b="0"/>
            <wp:docPr id="88"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74" descr=""/>
                    <pic:cNvPicPr>
                      <a:picLocks noChangeAspect="1" noChangeArrowheads="1"/>
                    </pic:cNvPicPr>
                  </pic:nvPicPr>
                  <pic:blipFill>
                    <a:blip r:embed="rId84"/>
                    <a:srcRect l="-107" t="-189" r="-107" b="-189"/>
                    <a:stretch>
                      <a:fillRect/>
                    </a:stretch>
                  </pic:blipFill>
                  <pic:spPr bwMode="auto">
                    <a:xfrm>
                      <a:off x="0" y="0"/>
                      <a:ext cx="335280" cy="190500"/>
                    </a:xfrm>
                    <a:prstGeom prst="rect">
                      <a:avLst/>
                    </a:prstGeom>
                  </pic:spPr>
                </pic:pic>
              </a:graphicData>
            </a:graphic>
          </wp:inline>
        </w:drawing>
      </w:r>
      <w:r>
        <w:rPr>
          <w:position w:val="-10"/>
        </w:rPr>
      </w:r>
      <w:r>
        <w:rPr>
          <w:position w:val="-10"/>
        </w:rPr>
        <w:fldChar w:fldCharType="end"/>
      </w:r>
      <w:r>
        <w:rPr/>
        <w:t>, the signal received after the DUT antennas is same as if the channel emulator were directly connected to equivalent antenna connectors:</w:t>
      </w:r>
    </w:p>
    <w:p>
      <w:pPr>
        <w:pStyle w:val="EQ"/>
        <w:jc w:val="center"/>
        <w:rPr>
          <w:lang w:val="en-GB" w:eastAsia="en-GB"/>
        </w:rPr>
      </w:pPr>
      <w:r>
        <w:rPr>
          <w:lang w:val="en-GB" w:eastAsia="en-GB"/>
        </w:rPr>
        <w:drawing>
          <wp:inline distT="0" distB="0" distL="0" distR="0">
            <wp:extent cx="4214495" cy="403860"/>
            <wp:effectExtent l="0" t="0" r="0" b="0"/>
            <wp:docPr id="89"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75" descr=""/>
                    <pic:cNvPicPr>
                      <a:picLocks noChangeAspect="1" noChangeArrowheads="1"/>
                    </pic:cNvPicPr>
                  </pic:nvPicPr>
                  <pic:blipFill>
                    <a:blip r:embed="rId85"/>
                    <a:srcRect l="-9" t="-89" r="-9" b="-89"/>
                    <a:stretch>
                      <a:fillRect/>
                    </a:stretch>
                  </pic:blipFill>
                  <pic:spPr bwMode="auto">
                    <a:xfrm>
                      <a:off x="0" y="0"/>
                      <a:ext cx="4214495" cy="403860"/>
                    </a:xfrm>
                    <a:prstGeom prst="rect">
                      <a:avLst/>
                    </a:prstGeom>
                  </pic:spPr>
                </pic:pic>
              </a:graphicData>
            </a:graphic>
          </wp:inline>
        </w:drawing>
      </w:r>
    </w:p>
    <w:p>
      <w:pPr>
        <w:pStyle w:val="Normal"/>
        <w:rPr/>
      </w:pPr>
      <w:r>
        <w:rPr/>
        <w:t>The above example of RTS using two probe antennas is applicable to UE with two Rx antennas. For UE with &gt; 2 Rx antennas, the RTS method is FFS.</w:t>
      </w:r>
    </w:p>
    <w:p>
      <w:pPr>
        <w:pStyle w:val="Heading2"/>
        <w:rPr/>
      </w:pPr>
      <w:bookmarkStart w:id="448" w:name="__RefHeading___Toc68601371"/>
      <w:bookmarkEnd w:id="448"/>
      <w:r>
        <w:rPr/>
        <w:t>A.5.2</w:t>
        <w:tab/>
        <w:t>Testing environment conditions</w:t>
      </w:r>
    </w:p>
    <w:p>
      <w:pPr>
        <w:pStyle w:val="Normal"/>
        <w:rPr>
          <w:rFonts w:eastAsia="Batang;바탕"/>
        </w:rPr>
      </w:pPr>
      <w:r>
        <w:rPr/>
        <w:t>This annex lists the testing environment conditions for all DUT types relevant to testing of radiated performance of multiple-antenna receivers. The use cases (positioning) discussed here are applicable for all methodologies, however the orientation and rotations described may be applicable for some methodologies only, and not for some other methodologies.</w:t>
      </w:r>
    </w:p>
    <w:p>
      <w:pPr>
        <w:pStyle w:val="Normal"/>
        <w:rPr/>
      </w:pPr>
      <w:r>
        <w:rPr>
          <w:rFonts w:eastAsia="Batang;바탕"/>
        </w:rPr>
        <w:t xml:space="preserve">Table A.5.2-1 </w:t>
      </w:r>
      <w:r>
        <w:rPr/>
        <w:t xml:space="preserve">below lists the testing environment conditions along with a diagram and applicable references. The reference coordinate system and orientation of devices in that coordinate system is shown in Figure A.5.2-1 below that includes the mechanical alignment of a phone. For tablets the home button, charging connector and similar components can be used to define top and bottom. For laptops the definitions specified in 3GPP TR 25.914 [3] (and repeated here in Table </w:t>
      </w:r>
      <w:r>
        <w:rPr>
          <w:rFonts w:eastAsia="Batang;바탕"/>
        </w:rPr>
        <w:t>A.5.2</w:t>
      </w:r>
      <w:r>
        <w:rPr/>
        <w:t xml:space="preserve">-1) are used. In the case of methodologies utilizing a spatial channel model in Figure </w:t>
      </w:r>
      <w:r>
        <w:rPr>
          <w:rFonts w:eastAsia="Batang;바탕"/>
        </w:rPr>
        <w:t>A.5.2</w:t>
      </w:r>
      <w:r>
        <w:rPr/>
        <w:t xml:space="preserve">-1, the X axis points towards the channel model reference. For example in the case of an anechoic chamber utilizing 2D antenna array in the azimuth plane (XY plane from Figure </w:t>
      </w:r>
      <w:r>
        <w:rPr>
          <w:rFonts w:eastAsia="Batang;바탕"/>
        </w:rPr>
        <w:t>A.5.2</w:t>
      </w:r>
      <w:r>
        <w:rPr/>
        <w:t>-1) this is the direction of the first probe at 0 degrees.</w:t>
      </w:r>
    </w:p>
    <w:p>
      <w:pPr>
        <w:pStyle w:val="TH"/>
        <w:rPr/>
      </w:pPr>
      <w:r>
        <w:rPr/>
      </w:r>
    </w:p>
    <w:p>
      <w:pPr>
        <w:pStyle w:val="TH"/>
        <w:rPr/>
      </w:pPr>
      <w:r>
        <w:rPr/>
        <w:drawing>
          <wp:inline distT="0" distB="0" distL="0" distR="0">
            <wp:extent cx="2570480" cy="3658235"/>
            <wp:effectExtent l="0" t="0" r="0" b="0"/>
            <wp:docPr id="90"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76" descr=""/>
                    <pic:cNvPicPr>
                      <a:picLocks noChangeAspect="1" noChangeArrowheads="1"/>
                    </pic:cNvPicPr>
                  </pic:nvPicPr>
                  <pic:blipFill>
                    <a:blip r:embed="rId86"/>
                    <a:srcRect l="-10" t="-7" r="-10" b="-7"/>
                    <a:stretch>
                      <a:fillRect/>
                    </a:stretch>
                  </pic:blipFill>
                  <pic:spPr bwMode="auto">
                    <a:xfrm>
                      <a:off x="0" y="0"/>
                      <a:ext cx="2570480" cy="3658235"/>
                    </a:xfrm>
                    <a:prstGeom prst="rect">
                      <a:avLst/>
                    </a:prstGeom>
                  </pic:spPr>
                </pic:pic>
              </a:graphicData>
            </a:graphic>
          </wp:inline>
        </w:drawing>
      </w:r>
    </w:p>
    <w:p>
      <w:pPr>
        <w:pStyle w:val="TF"/>
        <w:rPr/>
      </w:pPr>
      <w:bookmarkStart w:id="449" w:name="_Ref355357702"/>
      <w:r>
        <w:rPr/>
        <w:t xml:space="preserve">Figure </w:t>
      </w:r>
      <w:bookmarkEnd w:id="449"/>
      <w:r>
        <w:rPr/>
        <w:t>A.5.2-1: Reference coordinate system and reference device orientation</w:t>
      </w:r>
    </w:p>
    <w:p>
      <w:pPr>
        <w:pStyle w:val="Normal"/>
        <w:rPr/>
      </w:pPr>
      <w:r>
        <w:rPr/>
      </w:r>
    </w:p>
    <w:p>
      <w:pPr>
        <w:pStyle w:val="Normal"/>
        <w:rPr/>
      </w:pPr>
      <w:r>
        <w:rPr/>
        <w:t>First the terminology used below is defined here. Where possible consistency with [3], [30], [31] and [32] is sought.</w:t>
      </w:r>
    </w:p>
    <w:p>
      <w:pPr>
        <w:pStyle w:val="Normal"/>
        <w:rPr>
          <w:b/>
          <w:b/>
          <w:vertAlign w:val="superscript"/>
        </w:rPr>
      </w:pPr>
      <w:r>
        <w:rPr>
          <w:b/>
        </w:rPr>
        <w:t>Use Case (Position):</w:t>
      </w:r>
      <w:r>
        <w:rPr/>
        <w:t xml:space="preserve"> the use case (position) indicates how the DUT is related to its environment. This includes the following example use cases: free space, beside head, beside head and hand, hand only, etc. Note that formerly this has been referred to as position in [6] as well as in [32]. Since to date only isotropic metrics have been used (TRP/TRS) the definition of positioning the device for a certain use case has been equivalent to orienting it relative to the environment. With the introduction of spatial channel models, the positioning for a specific use case has to be separated from the actual orientation relative to the spatial incoming signals. For some methodologies not utilizing spatial channel models this distinction might not be necessary.</w:t>
      </w:r>
    </w:p>
    <w:p>
      <w:pPr>
        <w:pStyle w:val="Normal"/>
        <w:rPr/>
      </w:pPr>
      <w:r>
        <w:rPr>
          <w:b/>
        </w:rPr>
        <w:t>Orientation:</w:t>
      </w:r>
      <w:r>
        <w:rPr/>
        <w:t xml:space="preserve"> The orientation of the device in three dimensional space is defined using the three Euler angles – Ψ-yaw; Θ-pitch; Φ-roll as defined in [30] and [31] and linked to the reference coordinate systems and reference orientation from Figure A.5.2-1. Note that for most use cases practical considerations of how to position the DUT together with the phantom may determine the DUT orientation.</w:t>
      </w:r>
    </w:p>
    <w:p>
      <w:pPr>
        <w:pStyle w:val="Normal"/>
        <w:rPr/>
      </w:pPr>
      <w:r>
        <w:rPr>
          <w:b/>
        </w:rPr>
        <w:t>Rotation:</w:t>
      </w:r>
      <w:r>
        <w:rPr/>
        <w:t xml:space="preserve"> Once positioned for a specific use case and oriented within the reference coordinate system, the DUT and phantom are rotated within the test zone to measure the performance under various spatial channel illuminations. The rotation is defined with the same Euler angles but expressed as vectors of equal size. An example is given below:</w:t>
      </w:r>
    </w:p>
    <w:p>
      <w:pPr>
        <w:pStyle w:val="EX"/>
        <w:rPr/>
      </w:pPr>
      <w:r>
        <w:rPr/>
        <w:t xml:space="preserve">EXAMPLE: </w:t>
        <w:tab/>
        <w:t xml:space="preserve">Consider a DUT measured in an anechoic chamber [29]. </w:t>
        <w:br/>
        <w:t>To measure the free space use case in the YZ plane (see Table A.5.2-1) for example at every 30 degrees the rotation vectors would be as follows:</w:t>
      </w:r>
    </w:p>
    <w:p>
      <w:pPr>
        <w:pStyle w:val="B2"/>
        <w:rPr/>
      </w:pPr>
      <w:r>
        <w:rPr/>
        <w:t>Ψ = [0 0 0 0 0 0 0 0 0 0 0 0] - a vector of 12 zeros indicating no rotation from the reference position for any phi value below</w:t>
      </w:r>
    </w:p>
    <w:p>
      <w:pPr>
        <w:pStyle w:val="B2"/>
        <w:rPr/>
      </w:pPr>
      <w:r>
        <w:rPr/>
        <w:t>Θ = [-90 -90 -90 -90 -90 -90 -90 -90 -90 -90 -90 -90] – a vector of 12 values equal to -90 indicating a constant pitch of -90 degrees for all phi values below</w:t>
      </w:r>
    </w:p>
    <w:p>
      <w:pPr>
        <w:pStyle w:val="B2"/>
        <w:rPr/>
      </w:pPr>
      <w:r>
        <w:rPr/>
        <w:t>Φ = [0 30 60 90 120 150 180 210 240 270 300 330] – a vector of 12 distinct rotations from the reference position representing a rotation along the azimuth plane with a step of 30 degrees.</w:t>
      </w:r>
    </w:p>
    <w:p>
      <w:pPr>
        <w:pStyle w:val="Normal"/>
        <w:rPr/>
      </w:pPr>
      <w:r>
        <w:rPr/>
        <w:t>These vectors unambiguously define that the DUT is to be oriented with the screen up and rotated in azimuth every 30 degrees. The principal antenna pattern cuts (XY plane, XZ plane, and YZ plane) are defined in [30]. The XY plane cut corresponds to the absolute throughput testing condition applied to the CTIA reference antennas for the inter-lab inter- technique activity. They XZ plane and YZ plane cuts are shown for completeness and are not required for the absolute data throughput framework. The YZ plane cut corresponds to a device positioned with its screen up in a USB/WLAN tethering scenario and may be a useful testing point for handset devices expected to achieve performance metrics under such usage conditions.</w:t>
      </w:r>
    </w:p>
    <w:p>
      <w:pPr>
        <w:pStyle w:val="TH"/>
        <w:rPr/>
      </w:pPr>
      <w:bookmarkStart w:id="450" w:name="_Ref355095517"/>
      <w:bookmarkStart w:id="451" w:name="_Ref355093747"/>
      <w:r>
        <w:rPr/>
        <w:t xml:space="preserve">Table </w:t>
      </w:r>
      <w:bookmarkEnd w:id="450"/>
      <w:bookmarkEnd w:id="451"/>
      <w:r>
        <w:rPr/>
        <w:t>A.5.2-1: Summary of possible testing environment conditions for devices supporting DL MIMO data reception</w:t>
      </w:r>
    </w:p>
    <w:tbl>
      <w:tblPr>
        <w:tblW w:w="8011" w:type="dxa"/>
        <w:jc w:val="center"/>
        <w:tblInd w:w="0" w:type="dxa"/>
        <w:tblLayout w:type="fixed"/>
        <w:tblCellMar>
          <w:top w:w="0" w:type="dxa"/>
          <w:left w:w="108" w:type="dxa"/>
          <w:bottom w:w="0" w:type="dxa"/>
          <w:right w:w="108" w:type="dxa"/>
        </w:tblCellMar>
      </w:tblPr>
      <w:tblGrid>
        <w:gridCol w:w="1567"/>
        <w:gridCol w:w="1505"/>
        <w:gridCol w:w="1483"/>
        <w:gridCol w:w="3456"/>
      </w:tblGrid>
      <w:tr>
        <w:trPr>
          <w:cantSplit w:val="true"/>
        </w:trPr>
        <w:tc>
          <w:tcPr>
            <w:tcW w:w="1567" w:type="dxa"/>
            <w:tcBorders>
              <w:top w:val="single" w:sz="4" w:space="0" w:color="000000"/>
              <w:left w:val="single" w:sz="4" w:space="0" w:color="000000"/>
              <w:bottom w:val="single" w:sz="4" w:space="0" w:color="000000"/>
              <w:right w:val="single" w:sz="4" w:space="0" w:color="000000"/>
            </w:tcBorders>
            <w:shd w:fill="E0E0E0" w:val="clear"/>
            <w:vAlign w:val="center"/>
          </w:tcPr>
          <w:p>
            <w:pPr>
              <w:pStyle w:val="TAH"/>
              <w:rPr>
                <w:rFonts w:cs="Arial"/>
                <w:lang w:eastAsia="en-US"/>
              </w:rPr>
            </w:pPr>
            <w:r>
              <w:rPr>
                <w:rFonts w:cs="Arial"/>
                <w:lang w:eastAsia="en-US"/>
              </w:rPr>
              <w:t>DUT type and dimensions</w:t>
            </w:r>
          </w:p>
        </w:tc>
        <w:tc>
          <w:tcPr>
            <w:tcW w:w="1505" w:type="dxa"/>
            <w:tcBorders>
              <w:top w:val="single" w:sz="4" w:space="0" w:color="000000"/>
              <w:left w:val="single" w:sz="4" w:space="0" w:color="000000"/>
              <w:bottom w:val="single" w:sz="4" w:space="0" w:color="000000"/>
              <w:right w:val="single" w:sz="4" w:space="0" w:color="000000"/>
            </w:tcBorders>
            <w:shd w:fill="E0E0E0" w:val="clear"/>
            <w:vAlign w:val="center"/>
          </w:tcPr>
          <w:p>
            <w:pPr>
              <w:pStyle w:val="TAH"/>
              <w:rPr>
                <w:rFonts w:cs="Arial"/>
                <w:lang w:eastAsia="en-US"/>
              </w:rPr>
            </w:pPr>
            <w:r>
              <w:rPr>
                <w:rFonts w:cs="Arial"/>
                <w:lang w:eastAsia="en-US"/>
              </w:rPr>
              <w:t>Testing condition</w:t>
            </w:r>
          </w:p>
        </w:tc>
        <w:tc>
          <w:tcPr>
            <w:tcW w:w="1483" w:type="dxa"/>
            <w:tcBorders>
              <w:top w:val="single" w:sz="4" w:space="0" w:color="000000"/>
              <w:left w:val="single" w:sz="4" w:space="0" w:color="000000"/>
              <w:bottom w:val="single" w:sz="4" w:space="0" w:color="000000"/>
              <w:right w:val="single" w:sz="4" w:space="0" w:color="000000"/>
            </w:tcBorders>
            <w:shd w:fill="E0E0E0" w:val="clear"/>
            <w:vAlign w:val="center"/>
          </w:tcPr>
          <w:p>
            <w:pPr>
              <w:pStyle w:val="TAH"/>
              <w:rPr>
                <w:rFonts w:cs="Arial"/>
                <w:lang w:eastAsia="en-US"/>
              </w:rPr>
            </w:pPr>
            <w:r>
              <w:rPr>
                <w:rFonts w:cs="Arial"/>
                <w:lang w:eastAsia="en-US"/>
              </w:rPr>
              <w:t>DUT orientation angles</w:t>
            </w:r>
          </w:p>
        </w:tc>
        <w:tc>
          <w:tcPr>
            <w:tcW w:w="3456" w:type="dxa"/>
            <w:tcBorders>
              <w:top w:val="single" w:sz="4" w:space="0" w:color="000000"/>
              <w:left w:val="single" w:sz="4" w:space="0" w:color="000000"/>
              <w:bottom w:val="single" w:sz="4" w:space="0" w:color="000000"/>
              <w:right w:val="single" w:sz="4" w:space="0" w:color="000000"/>
            </w:tcBorders>
            <w:shd w:fill="E0E0E0" w:val="clear"/>
            <w:vAlign w:val="center"/>
          </w:tcPr>
          <w:p>
            <w:pPr>
              <w:pStyle w:val="TAH"/>
              <w:rPr>
                <w:rFonts w:cs="Arial"/>
                <w:lang w:eastAsia="en-US"/>
              </w:rPr>
            </w:pPr>
            <w:r>
              <w:rPr>
                <w:rFonts w:cs="Arial"/>
                <w:lang w:eastAsia="en-US"/>
              </w:rPr>
              <w:t>Diagram</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lang w:eastAsia="en-US"/>
              </w:rPr>
              <w:t>Handset, tablet, CTIA reference antennas</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XY plane or P0</w:t>
            </w:r>
          </w:p>
        </w:tc>
        <w:tc>
          <w:tcPr>
            <w:tcW w:w="1483"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Ψ=0;</w:t>
              <w:br/>
              <w:t>Θ=0;</w:t>
              <w:br/>
              <w:t>Φ=0</w:t>
            </w:r>
          </w:p>
        </w:tc>
        <w:tc>
          <w:tcPr>
            <w:tcW w:w="3456"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drawing>
                <wp:inline distT="0" distB="0" distL="0" distR="0">
                  <wp:extent cx="1543050" cy="1371600"/>
                  <wp:effectExtent l="0" t="0" r="0" b="0"/>
                  <wp:docPr id="91"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77" descr=""/>
                          <pic:cNvPicPr>
                            <a:picLocks noChangeAspect="1" noChangeArrowheads="1"/>
                          </pic:cNvPicPr>
                        </pic:nvPicPr>
                        <pic:blipFill>
                          <a:blip r:embed="rId87"/>
                          <a:srcRect l="-23" t="-26" r="-23" b="-26"/>
                          <a:stretch>
                            <a:fillRect/>
                          </a:stretch>
                        </pic:blipFill>
                        <pic:spPr bwMode="auto">
                          <a:xfrm>
                            <a:off x="0" y="0"/>
                            <a:ext cx="1543050" cy="1371600"/>
                          </a:xfrm>
                          <a:prstGeom prst="rect">
                            <a:avLst/>
                          </a:prstGeom>
                        </pic:spPr>
                      </pic:pic>
                    </a:graphicData>
                  </a:graphic>
                </wp:inline>
              </w:drawing>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Handset, tablet, CTIA reference antennas</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XZ plane or L0</w:t>
            </w:r>
          </w:p>
        </w:tc>
        <w:tc>
          <w:tcPr>
            <w:tcW w:w="1483"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Ψ=90;</w:t>
              <w:br/>
              <w:t>Θ=0;</w:t>
              <w:br/>
              <w:t>Φ=0</w:t>
            </w:r>
          </w:p>
        </w:tc>
        <w:tc>
          <w:tcPr>
            <w:tcW w:w="3456"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drawing>
                <wp:inline distT="0" distB="0" distL="0" distR="0">
                  <wp:extent cx="1543050" cy="1352550"/>
                  <wp:effectExtent l="0" t="0" r="0" b="0"/>
                  <wp:docPr id="92"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78" descr=""/>
                          <pic:cNvPicPr>
                            <a:picLocks noChangeAspect="1" noChangeArrowheads="1"/>
                          </pic:cNvPicPr>
                        </pic:nvPicPr>
                        <pic:blipFill>
                          <a:blip r:embed="rId88"/>
                          <a:srcRect l="-23" t="-27" r="-23" b="-27"/>
                          <a:stretch>
                            <a:fillRect/>
                          </a:stretch>
                        </pic:blipFill>
                        <pic:spPr bwMode="auto">
                          <a:xfrm>
                            <a:off x="0" y="0"/>
                            <a:ext cx="1543050" cy="1352550"/>
                          </a:xfrm>
                          <a:prstGeom prst="rect">
                            <a:avLst/>
                          </a:prstGeom>
                        </pic:spPr>
                      </pic:pic>
                    </a:graphicData>
                  </a:graphic>
                </wp:inline>
              </w:drawing>
            </w:r>
          </w:p>
        </w:tc>
      </w:tr>
      <w:tr>
        <w:trPr>
          <w:trHeight w:val="2130" w:hRule="atLeast"/>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Handset, tablet, CTIA reference antennas</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Free space data mode screen up (FS DMSU) or</w:t>
              <w:br/>
              <w:t>YZ plane or Face Up</w:t>
            </w:r>
          </w:p>
        </w:tc>
        <w:tc>
          <w:tcPr>
            <w:tcW w:w="1483"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Ψ=0;</w:t>
              <w:br/>
              <w:t>Θ=-90;</w:t>
              <w:br/>
              <w:t>Φ=0</w:t>
            </w:r>
          </w:p>
        </w:tc>
        <w:tc>
          <w:tcPr>
            <w:tcW w:w="3456"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drawing>
                <wp:inline distT="0" distB="0" distL="0" distR="0">
                  <wp:extent cx="1543050" cy="1352550"/>
                  <wp:effectExtent l="0" t="0" r="0" b="0"/>
                  <wp:docPr id="93"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79" descr=""/>
                          <pic:cNvPicPr>
                            <a:picLocks noChangeAspect="1" noChangeArrowheads="1"/>
                          </pic:cNvPicPr>
                        </pic:nvPicPr>
                        <pic:blipFill>
                          <a:blip r:embed="rId89"/>
                          <a:srcRect l="-23" t="-27" r="-23" b="-27"/>
                          <a:stretch>
                            <a:fillRect/>
                          </a:stretch>
                        </pic:blipFill>
                        <pic:spPr bwMode="auto">
                          <a:xfrm>
                            <a:off x="0" y="0"/>
                            <a:ext cx="1543050" cy="1352550"/>
                          </a:xfrm>
                          <a:prstGeom prst="rect">
                            <a:avLst/>
                          </a:prstGeom>
                        </pic:spPr>
                      </pic:pic>
                    </a:graphicData>
                  </a:graphic>
                </wp:inline>
              </w:drawing>
            </w:r>
          </w:p>
        </w:tc>
      </w:tr>
      <w:tr>
        <w:trPr>
          <w:trHeight w:val="2130" w:hRule="atLeast"/>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lang w:eastAsia="en-US"/>
              </w:rPr>
              <w:t>Handset, tablet</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Face Down</w:t>
            </w:r>
          </w:p>
        </w:tc>
        <w:tc>
          <w:tcPr>
            <w:tcW w:w="1483"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Ψ=0;</w:t>
              <w:br/>
              <w:t>Θ=-90;</w:t>
              <w:br/>
              <w:t>Φ=0</w:t>
            </w:r>
          </w:p>
        </w:tc>
        <w:tc>
          <w:tcPr>
            <w:tcW w:w="3456"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drawing>
                <wp:inline distT="0" distB="0" distL="0" distR="0">
                  <wp:extent cx="1543050" cy="1355090"/>
                  <wp:effectExtent l="0" t="0" r="0" b="0"/>
                  <wp:docPr id="9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 descr=""/>
                          <pic:cNvPicPr>
                            <a:picLocks noChangeAspect="1" noChangeArrowheads="1"/>
                          </pic:cNvPicPr>
                        </pic:nvPicPr>
                        <pic:blipFill>
                          <a:blip r:embed="rId90"/>
                          <a:srcRect l="-23" t="-27" r="-23" b="-27"/>
                          <a:stretch>
                            <a:fillRect/>
                          </a:stretch>
                        </pic:blipFill>
                        <pic:spPr bwMode="auto">
                          <a:xfrm>
                            <a:off x="0" y="0"/>
                            <a:ext cx="1543050" cy="1355090"/>
                          </a:xfrm>
                          <a:prstGeom prst="rect">
                            <a:avLst/>
                          </a:prstGeom>
                        </pic:spPr>
                      </pic:pic>
                    </a:graphicData>
                  </a:graphic>
                </wp:inline>
              </w:drawing>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Handset, tablet</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Free space data mode portrait (FS DMP)</w:t>
            </w:r>
          </w:p>
        </w:tc>
        <w:tc>
          <w:tcPr>
            <w:tcW w:w="1483"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Ψ=0;</w:t>
              <w:br/>
              <w:t>Θ=-45;</w:t>
              <w:br/>
              <w:t>Φ=0</w:t>
            </w:r>
          </w:p>
        </w:tc>
        <w:tc>
          <w:tcPr>
            <w:tcW w:w="3456"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drawing>
                <wp:inline distT="0" distB="0" distL="0" distR="0">
                  <wp:extent cx="1543050" cy="1352550"/>
                  <wp:effectExtent l="0" t="0" r="0" b="0"/>
                  <wp:docPr id="95"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80" descr=""/>
                          <pic:cNvPicPr>
                            <a:picLocks noChangeAspect="1" noChangeArrowheads="1"/>
                          </pic:cNvPicPr>
                        </pic:nvPicPr>
                        <pic:blipFill>
                          <a:blip r:embed="rId91"/>
                          <a:srcRect l="-23" t="-27" r="-23" b="-27"/>
                          <a:stretch>
                            <a:fillRect/>
                          </a:stretch>
                        </pic:blipFill>
                        <pic:spPr bwMode="auto">
                          <a:xfrm>
                            <a:off x="0" y="0"/>
                            <a:ext cx="1543050" cy="1352550"/>
                          </a:xfrm>
                          <a:prstGeom prst="rect">
                            <a:avLst/>
                          </a:prstGeom>
                        </pic:spPr>
                      </pic:pic>
                    </a:graphicData>
                  </a:graphic>
                </wp:inline>
              </w:drawing>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Handset, tablet</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Free space portrait tilt down</w:t>
            </w:r>
          </w:p>
        </w:tc>
        <w:tc>
          <w:tcPr>
            <w:tcW w:w="1483"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Ψ=0;</w:t>
              <w:br/>
              <w:t>Θ=45;</w:t>
              <w:br/>
              <w:t>Φ=0</w:t>
            </w:r>
          </w:p>
        </w:tc>
        <w:tc>
          <w:tcPr>
            <w:tcW w:w="3456"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drawing>
                <wp:inline distT="0" distB="0" distL="0" distR="0">
                  <wp:extent cx="1543050" cy="1371600"/>
                  <wp:effectExtent l="0" t="0" r="0" b="0"/>
                  <wp:docPr id="96"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81" descr=""/>
                          <pic:cNvPicPr>
                            <a:picLocks noChangeAspect="1" noChangeArrowheads="1"/>
                          </pic:cNvPicPr>
                        </pic:nvPicPr>
                        <pic:blipFill>
                          <a:blip r:embed="rId92"/>
                          <a:srcRect l="-23" t="-26" r="-23" b="-26"/>
                          <a:stretch>
                            <a:fillRect/>
                          </a:stretch>
                        </pic:blipFill>
                        <pic:spPr bwMode="auto">
                          <a:xfrm>
                            <a:off x="0" y="0"/>
                            <a:ext cx="1543050" cy="1371600"/>
                          </a:xfrm>
                          <a:prstGeom prst="rect">
                            <a:avLst/>
                          </a:prstGeom>
                        </pic:spPr>
                      </pic:pic>
                    </a:graphicData>
                  </a:graphic>
                </wp:inline>
              </w:drawing>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Handset, tablet</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Free space data mode landscape (FS DML)</w:t>
            </w:r>
          </w:p>
        </w:tc>
        <w:tc>
          <w:tcPr>
            <w:tcW w:w="1483"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Ψ=90;</w:t>
              <w:br/>
              <w:t>Θ=-45;</w:t>
              <w:br/>
              <w:t>Φ=0 – left tilt</w:t>
            </w:r>
          </w:p>
        </w:tc>
        <w:tc>
          <w:tcPr>
            <w:tcW w:w="3456"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drawing>
                <wp:inline distT="0" distB="0" distL="0" distR="0">
                  <wp:extent cx="1543050" cy="1352550"/>
                  <wp:effectExtent l="0" t="0" r="0" b="0"/>
                  <wp:docPr id="97"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82" descr=""/>
                          <pic:cNvPicPr>
                            <a:picLocks noChangeAspect="1" noChangeArrowheads="1"/>
                          </pic:cNvPicPr>
                        </pic:nvPicPr>
                        <pic:blipFill>
                          <a:blip r:embed="rId93"/>
                          <a:srcRect l="-23" t="-27" r="-23" b="-27"/>
                          <a:stretch>
                            <a:fillRect/>
                          </a:stretch>
                        </pic:blipFill>
                        <pic:spPr bwMode="auto">
                          <a:xfrm>
                            <a:off x="0" y="0"/>
                            <a:ext cx="1543050" cy="1352550"/>
                          </a:xfrm>
                          <a:prstGeom prst="rect">
                            <a:avLst/>
                          </a:prstGeom>
                        </pic:spPr>
                      </pic:pic>
                    </a:graphicData>
                  </a:graphic>
                </wp:inline>
              </w:drawing>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Handset, tablet</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Free space landscape tilt down</w:t>
            </w:r>
          </w:p>
        </w:tc>
        <w:tc>
          <w:tcPr>
            <w:tcW w:w="1483"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Ψ=90;</w:t>
              <w:br/>
              <w:t>Θ=45;</w:t>
              <w:br/>
              <w:t>Φ=0 – left tilt</w:t>
            </w:r>
          </w:p>
        </w:tc>
        <w:tc>
          <w:tcPr>
            <w:tcW w:w="3456"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drawing>
                <wp:inline distT="0" distB="0" distL="0" distR="0">
                  <wp:extent cx="1543050" cy="1352550"/>
                  <wp:effectExtent l="0" t="0" r="0" b="0"/>
                  <wp:docPr id="98"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83" descr=""/>
                          <pic:cNvPicPr>
                            <a:picLocks noChangeAspect="1" noChangeArrowheads="1"/>
                          </pic:cNvPicPr>
                        </pic:nvPicPr>
                        <pic:blipFill>
                          <a:blip r:embed="rId94"/>
                          <a:srcRect l="-23" t="-27" r="-23" b="-27"/>
                          <a:stretch>
                            <a:fillRect/>
                          </a:stretch>
                        </pic:blipFill>
                        <pic:spPr bwMode="auto">
                          <a:xfrm>
                            <a:off x="0" y="0"/>
                            <a:ext cx="1543050" cy="1352550"/>
                          </a:xfrm>
                          <a:prstGeom prst="rect">
                            <a:avLst/>
                          </a:prstGeom>
                        </pic:spPr>
                      </pic:pic>
                    </a:graphicData>
                  </a:graphic>
                </wp:inline>
              </w:drawing>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Handset, width &lt; 56mm</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Left/right hand narrow phantom data mode portrait (LH/RH DMP)</w:t>
            </w:r>
          </w:p>
        </w:tc>
        <w:tc>
          <w:tcPr>
            <w:tcW w:w="1483"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Ψ=0;</w:t>
              <w:br/>
              <w:t>Θ=-45;</w:t>
              <w:br/>
              <w:t>Φ=0</w:t>
            </w:r>
          </w:p>
        </w:tc>
        <w:tc>
          <w:tcPr>
            <w:tcW w:w="345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drawing>
                <wp:inline distT="0" distB="0" distL="0" distR="0">
                  <wp:extent cx="1709420" cy="1828165"/>
                  <wp:effectExtent l="0" t="0" r="0" b="0"/>
                  <wp:docPr id="9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3" descr=""/>
                          <pic:cNvPicPr>
                            <a:picLocks noChangeAspect="1" noChangeArrowheads="1"/>
                          </pic:cNvPicPr>
                        </pic:nvPicPr>
                        <pic:blipFill>
                          <a:blip r:embed="rId95"/>
                          <a:srcRect l="28778" t="6617" r="28020" b="11401"/>
                          <a:stretch>
                            <a:fillRect/>
                          </a:stretch>
                        </pic:blipFill>
                        <pic:spPr bwMode="auto">
                          <a:xfrm>
                            <a:off x="0" y="0"/>
                            <a:ext cx="1709420" cy="1828165"/>
                          </a:xfrm>
                          <a:prstGeom prst="rect">
                            <a:avLst/>
                          </a:prstGeom>
                        </pic:spPr>
                      </pic:pic>
                    </a:graphicData>
                  </a:graphic>
                </wp:inline>
              </w:drawing>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Handset, 56 mm &lt; width &lt; 72 mm</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lang w:eastAsia="en-US"/>
              </w:rPr>
              <w:t>Left/right hand PDA phantom data mode portrait (LH/RH DMP)</w:t>
            </w:r>
          </w:p>
        </w:tc>
        <w:tc>
          <w:tcPr>
            <w:tcW w:w="1483"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Ψ=0;</w:t>
              <w:br/>
              <w:t>Θ=-45;</w:t>
              <w:br/>
              <w:t>Φ=0</w:t>
            </w:r>
          </w:p>
        </w:tc>
        <w:tc>
          <w:tcPr>
            <w:tcW w:w="345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Handset width &lt; 56 mm</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Beside head and hand right/left (BHHR/BHHL)</w:t>
            </w:r>
          </w:p>
        </w:tc>
        <w:tc>
          <w:tcPr>
            <w:tcW w:w="1483"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Ψ=60;</w:t>
              <w:br/>
              <w:t>Θ=6;</w:t>
              <w:br/>
              <w:t>Φ=-90 – right side9</w:t>
            </w:r>
          </w:p>
          <w:p>
            <w:pPr>
              <w:pStyle w:val="TAC"/>
              <w:rPr>
                <w:rFonts w:cs="Arial"/>
                <w:lang w:eastAsia="en-US"/>
              </w:rPr>
            </w:pPr>
            <w:r>
              <w:rPr>
                <w:rFonts w:cs="Arial"/>
                <w:lang w:eastAsia="en-US"/>
              </w:rPr>
              <w:t>Ψ=-60;</w:t>
              <w:br/>
              <w:t>Θ=-6;</w:t>
              <w:br/>
              <w:t>Φ=90 – left side</w:t>
            </w:r>
          </w:p>
        </w:tc>
        <w:tc>
          <w:tcPr>
            <w:tcW w:w="345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drawing>
                <wp:inline distT="0" distB="0" distL="0" distR="0">
                  <wp:extent cx="1863725" cy="1828165"/>
                  <wp:effectExtent l="0" t="0" r="0" b="0"/>
                  <wp:docPr id="10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9" descr=""/>
                          <pic:cNvPicPr>
                            <a:picLocks noChangeAspect="1" noChangeArrowheads="1"/>
                          </pic:cNvPicPr>
                        </pic:nvPicPr>
                        <pic:blipFill>
                          <a:blip r:embed="rId96"/>
                          <a:srcRect l="24573" t="7062" r="22310" b="-10"/>
                          <a:stretch>
                            <a:fillRect/>
                          </a:stretch>
                        </pic:blipFill>
                        <pic:spPr bwMode="auto">
                          <a:xfrm>
                            <a:off x="0" y="0"/>
                            <a:ext cx="1863725" cy="1828165"/>
                          </a:xfrm>
                          <a:prstGeom prst="rect">
                            <a:avLst/>
                          </a:prstGeom>
                        </pic:spPr>
                      </pic:pic>
                    </a:graphicData>
                  </a:graphic>
                </wp:inline>
              </w:drawing>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Handset 56 &lt; width &lt; 72 mm</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Beside head and hand right/left (BHHR/BHHL)</w:t>
            </w:r>
          </w:p>
        </w:tc>
        <w:tc>
          <w:tcPr>
            <w:tcW w:w="1483"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lang w:eastAsia="en-US"/>
              </w:rPr>
              <w:t>Ψ=60;</w:t>
              <w:br/>
              <w:t>Θ=6;</w:t>
              <w:br/>
              <w:t>Φ=-90 – right side</w:t>
            </w:r>
          </w:p>
          <w:p>
            <w:pPr>
              <w:pStyle w:val="TAC"/>
              <w:rPr>
                <w:rFonts w:cs="Arial"/>
                <w:lang w:eastAsia="en-US"/>
              </w:rPr>
            </w:pPr>
            <w:r>
              <w:rPr>
                <w:rFonts w:cs="Arial"/>
                <w:lang w:eastAsia="en-US"/>
              </w:rPr>
              <w:t>Ψ=-60;</w:t>
              <w:br/>
              <w:t>Θ=-6;</w:t>
              <w:br/>
              <w:t>Φ=90 – left side</w:t>
            </w:r>
          </w:p>
        </w:tc>
        <w:tc>
          <w:tcPr>
            <w:tcW w:w="345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LME</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Laptop ground plane phantom</w:t>
            </w:r>
          </w:p>
        </w:tc>
        <w:tc>
          <w:tcPr>
            <w:tcW w:w="1483"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Ψ=0;</w:t>
              <w:br/>
              <w:t>Θ=0;</w:t>
              <w:br/>
              <w:t>Φ=0</w:t>
            </w:r>
          </w:p>
        </w:tc>
        <w:tc>
          <w:tcPr>
            <w:tcW w:w="3456"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drawing>
                <wp:inline distT="0" distB="0" distL="0" distR="0">
                  <wp:extent cx="2054225" cy="1186815"/>
                  <wp:effectExtent l="0" t="0" r="0" b="0"/>
                  <wp:docPr id="10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8" descr=""/>
                          <pic:cNvPicPr>
                            <a:picLocks noChangeAspect="1" noChangeArrowheads="1"/>
                          </pic:cNvPicPr>
                        </pic:nvPicPr>
                        <pic:blipFill>
                          <a:blip r:embed="rId97"/>
                          <a:srcRect l="-6" t="-10" r="-6" b="-10"/>
                          <a:stretch>
                            <a:fillRect/>
                          </a:stretch>
                        </pic:blipFill>
                        <pic:spPr bwMode="auto">
                          <a:xfrm>
                            <a:off x="0" y="0"/>
                            <a:ext cx="2054225" cy="1186815"/>
                          </a:xfrm>
                          <a:prstGeom prst="rect">
                            <a:avLst/>
                          </a:prstGeom>
                        </pic:spPr>
                      </pic:pic>
                    </a:graphicData>
                  </a:graphic>
                </wp:inline>
              </w:drawing>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LEE</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XY plane</w:t>
            </w:r>
          </w:p>
        </w:tc>
        <w:tc>
          <w:tcPr>
            <w:tcW w:w="1483"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Ψ=0;</w:t>
              <w:br/>
              <w:t>Θ=0;</w:t>
              <w:br/>
              <w:t>Φ=0</w:t>
            </w:r>
          </w:p>
        </w:tc>
        <w:tc>
          <w:tcPr>
            <w:tcW w:w="3456"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drawing>
                <wp:inline distT="0" distB="0" distL="0" distR="0">
                  <wp:extent cx="2056765" cy="1205865"/>
                  <wp:effectExtent l="0" t="0" r="0" b="0"/>
                  <wp:docPr id="10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7" descr=""/>
                          <pic:cNvPicPr>
                            <a:picLocks noChangeAspect="1" noChangeArrowheads="1"/>
                          </pic:cNvPicPr>
                        </pic:nvPicPr>
                        <pic:blipFill>
                          <a:blip r:embed="rId98"/>
                          <a:srcRect l="-3" t="-6" r="-3" b="-6"/>
                          <a:stretch>
                            <a:fillRect/>
                          </a:stretch>
                        </pic:blipFill>
                        <pic:spPr bwMode="auto">
                          <a:xfrm>
                            <a:off x="0" y="0"/>
                            <a:ext cx="2056765" cy="1205865"/>
                          </a:xfrm>
                          <a:prstGeom prst="rect">
                            <a:avLst/>
                          </a:prstGeom>
                        </pic:spPr>
                      </pic:pic>
                    </a:graphicData>
                  </a:graphic>
                </wp:inline>
              </w:drawing>
            </w:r>
          </w:p>
        </w:tc>
      </w:tr>
      <w:tr>
        <w:trPr>
          <w:cantSplit w:val="true"/>
        </w:trPr>
        <w:tc>
          <w:tcPr>
            <w:tcW w:w="8011"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rFonts w:cs="Arial"/>
                <w:sz w:val="16"/>
                <w:szCs w:val="16"/>
                <w:lang w:eastAsia="en-US"/>
              </w:rPr>
              <w:t>NOTE 1:</w:t>
              <w:tab/>
              <w:t>The orientation angles given in the table define a set of use cases and orientations relative to the spatial channel model. The rotation angles to be used for measurements are FFS. Methodologies not utilizing spatial channel models might not need to define any rotations but are expected to measure for the given use cases.</w:t>
            </w:r>
          </w:p>
          <w:p>
            <w:pPr>
              <w:pStyle w:val="TAN"/>
              <w:rPr/>
            </w:pPr>
            <w:r>
              <w:rPr>
                <w:rFonts w:cs="Arial"/>
                <w:sz w:val="16"/>
                <w:szCs w:val="16"/>
                <w:lang w:eastAsia="en-US"/>
              </w:rPr>
              <w:t>NOTE 2:</w:t>
              <w:tab/>
              <w:t>The CTIA reference antennas have been defined for inter-lab inter-technique testing for the purposes of comparing MIMO OTA methodologies.</w:t>
            </w:r>
          </w:p>
          <w:p>
            <w:pPr>
              <w:pStyle w:val="TAN"/>
              <w:rPr>
                <w:rFonts w:cs="Arial"/>
                <w:sz w:val="16"/>
                <w:szCs w:val="16"/>
                <w:lang w:eastAsia="en-US"/>
              </w:rPr>
            </w:pPr>
            <w:r>
              <w:rPr>
                <w:rFonts w:cs="Arial"/>
                <w:sz w:val="16"/>
                <w:szCs w:val="16"/>
                <w:lang w:eastAsia="en-US"/>
              </w:rPr>
              <w:t>NOTE 3:</w:t>
              <w:tab/>
              <w:t>For DMP, other pitch positions can be considered FFS.</w:t>
            </w:r>
          </w:p>
          <w:p>
            <w:pPr>
              <w:pStyle w:val="TAN"/>
              <w:rPr/>
            </w:pPr>
            <w:r>
              <w:rPr>
                <w:rFonts w:cs="Arial"/>
                <w:sz w:val="16"/>
                <w:szCs w:val="16"/>
                <w:lang w:eastAsia="en-US"/>
              </w:rPr>
              <w:t>NOTE 4:</w:t>
              <w:tab/>
              <w:t>The absolute throughput usage mode is defined only within the framework of the CTIA reference antennas and is used for comparison of results within/across MIMO OTA methodologies.</w:t>
            </w:r>
          </w:p>
          <w:p>
            <w:pPr>
              <w:pStyle w:val="TAN"/>
              <w:rPr/>
            </w:pPr>
            <w:r>
              <w:rPr>
                <w:rFonts w:cs="Arial"/>
                <w:sz w:val="16"/>
                <w:szCs w:val="16"/>
                <w:lang w:eastAsia="en-US"/>
              </w:rPr>
              <w:t>NOTE 5:</w:t>
              <w:tab/>
              <w:t>Screen up flat positioning reference corresponds to a possible USB/WLAN tethering case, details of implementing this DUT orientation condition such as additional cabling, etc., are FFS.</w:t>
            </w:r>
          </w:p>
          <w:p>
            <w:pPr>
              <w:pStyle w:val="TAN"/>
              <w:rPr>
                <w:rFonts w:cs="Arial"/>
                <w:sz w:val="16"/>
                <w:szCs w:val="16"/>
                <w:lang w:eastAsia="en-US"/>
              </w:rPr>
            </w:pPr>
            <w:r>
              <w:rPr>
                <w:rFonts w:cs="Arial"/>
                <w:sz w:val="16"/>
                <w:szCs w:val="16"/>
                <w:lang w:eastAsia="en-US"/>
              </w:rPr>
              <w:t>NOTE 6:</w:t>
              <w:tab/>
              <w:t>Left/right/both hand phantoms for the DML usage scenario are not currently defined in 3GPP; until these phantom designs become available, is possible to only define a DML usage scenario in free space.</w:t>
            </w:r>
          </w:p>
          <w:p>
            <w:pPr>
              <w:pStyle w:val="TAN"/>
              <w:rPr/>
            </w:pPr>
            <w:r>
              <w:rPr>
                <w:rFonts w:cs="Arial"/>
                <w:sz w:val="16"/>
                <w:szCs w:val="16"/>
                <w:lang w:eastAsia="en-US"/>
              </w:rPr>
              <w:t>NOTE 7:</w:t>
              <w:tab/>
              <w:t>For a symmetric 2D coverage of testing points in azimuth, DML left and right tilts are expected to produce identical results in free space. Once phantom designs become available, we expect the interaction of the phantom with the antennas to be dependent on the tilt.</w:t>
            </w:r>
          </w:p>
          <w:p>
            <w:pPr>
              <w:pStyle w:val="TAN"/>
              <w:rPr/>
            </w:pPr>
            <w:r>
              <w:rPr>
                <w:rFonts w:cs="Arial"/>
                <w:sz w:val="16"/>
                <w:szCs w:val="16"/>
                <w:lang w:eastAsia="en-US"/>
              </w:rPr>
              <w:t>NOTE 8:</w:t>
              <w:tab/>
              <w:t>The 110 degree angle of the notebook screen opening is a standard reference for all measurements of antennas embedded in notebooks; as a result, the LEE measurement in free space is the principal XY plane cut with respect to this reference.</w:t>
            </w:r>
          </w:p>
          <w:p>
            <w:pPr>
              <w:pStyle w:val="TAN"/>
              <w:rPr/>
            </w:pPr>
            <w:r>
              <w:rPr>
                <w:rFonts w:cs="Arial"/>
                <w:sz w:val="16"/>
                <w:szCs w:val="16"/>
                <w:lang w:eastAsia="en-US"/>
              </w:rPr>
              <w:t>NOTE 9:</w:t>
              <w:tab/>
              <w:t>The orientation angles for the talk mode position are only approximate. The phone positioning is defined as in [3] and in [32] relative to the SAM phantom.</w:t>
            </w:r>
          </w:p>
        </w:tc>
      </w:tr>
    </w:tbl>
    <w:p>
      <w:pPr>
        <w:pStyle w:val="Normal"/>
        <w:rPr/>
      </w:pPr>
      <w:r>
        <w:rPr/>
      </w:r>
    </w:p>
    <w:p>
      <w:pPr>
        <w:pStyle w:val="Normal"/>
        <w:rPr/>
      </w:pPr>
      <w:r>
        <w:rPr/>
        <w:t>The Data Mode Portrait (DMP) conditions are defined in TR 25.914 [3], and are included in this table for completeness. The Data Mode Landscape (DML) testing conditions are not currently defined in any standard testing methodology but benefit from a thorough treatment in academic literature [31]. This testing condition considers free space for all handset sizes until a DML phantom design becomes available, at which time the testing condition will be revisited.</w:t>
      </w:r>
    </w:p>
    <w:p>
      <w:pPr>
        <w:pStyle w:val="Normal"/>
        <w:rPr/>
      </w:pPr>
      <w:r>
        <w:rPr/>
        <w:t>The Laptop Mounted Equipment (LME) and Laptop Embedded Equipment (LEE) testing conditions are well defined in TR 25.914 [3] and constitute an XY plane cut measurement, given the proper orientation of the lid of the laptop ground plane phantom (in the case of LME) or of the laptop itself (in the case of LEE).</w:t>
      </w:r>
    </w:p>
    <w:p>
      <w:pPr>
        <w:pStyle w:val="Normal"/>
        <w:rPr/>
      </w:pPr>
      <w:r>
        <w:rPr/>
        <w:t>Given a 2D ring of symmetrically distributed probes [29]:</w:t>
      </w:r>
    </w:p>
    <w:p>
      <w:pPr>
        <w:pStyle w:val="B1"/>
        <w:rPr/>
      </w:pPr>
      <w:r>
        <w:rPr/>
        <w:t>-</w:t>
        <w:tab/>
        <w:t>The XZ plane is similar to the DML mode except for the additional 45 degrees pitch in the DML</w:t>
      </w:r>
    </w:p>
    <w:p>
      <w:pPr>
        <w:pStyle w:val="B1"/>
        <w:rPr/>
      </w:pPr>
      <w:r>
        <w:rPr/>
        <w:t>-</w:t>
        <w:tab/>
        <w:t>For the phantom case the tilt of the DML case is very relevant since the interaction of the phantoms with the antennas will depend on it – see Figure A.5.2-2.</w:t>
      </w:r>
    </w:p>
    <w:p>
      <w:pPr>
        <w:pStyle w:val="TH"/>
        <w:rPr/>
      </w:pPr>
      <w:bookmarkStart w:id="452" w:name="_Ref355358908"/>
      <w:r>
        <w:rPr/>
        <w:drawing>
          <wp:inline distT="0" distB="0" distL="0" distR="0">
            <wp:extent cx="5486400" cy="3740785"/>
            <wp:effectExtent l="0" t="0" r="0" b="0"/>
            <wp:docPr id="103"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84" descr=""/>
                    <pic:cNvPicPr>
                      <a:picLocks noChangeAspect="1" noChangeArrowheads="1"/>
                    </pic:cNvPicPr>
                  </pic:nvPicPr>
                  <pic:blipFill>
                    <a:blip r:embed="rId99"/>
                    <a:srcRect l="-4" t="-6" r="-4" b="-6"/>
                    <a:stretch>
                      <a:fillRect/>
                    </a:stretch>
                  </pic:blipFill>
                  <pic:spPr bwMode="auto">
                    <a:xfrm>
                      <a:off x="0" y="0"/>
                      <a:ext cx="5486400" cy="3740785"/>
                    </a:xfrm>
                    <a:prstGeom prst="rect">
                      <a:avLst/>
                    </a:prstGeom>
                  </pic:spPr>
                </pic:pic>
              </a:graphicData>
            </a:graphic>
          </wp:inline>
        </w:drawing>
      </w:r>
    </w:p>
    <w:p>
      <w:pPr>
        <w:pStyle w:val="TF"/>
        <w:rPr/>
      </w:pPr>
      <w:bookmarkStart w:id="453" w:name="_Ref355358908"/>
      <w:r>
        <w:rPr/>
        <w:t xml:space="preserve">Figure </w:t>
      </w:r>
      <w:bookmarkEnd w:id="453"/>
      <w:r>
        <w:rPr/>
        <w:t xml:space="preserve">A.5.2-2: Left and Right tilts for landscape mode with left hand phantom </w:t>
        <w:br/>
        <w:t>shown to interact differently with the antennas depending on the tilt</w:t>
      </w:r>
    </w:p>
    <w:p>
      <w:pPr>
        <w:pStyle w:val="Normal"/>
        <w:rPr/>
      </w:pPr>
      <w:r>
        <w:rPr/>
      </w:r>
    </w:p>
    <w:p>
      <w:pPr>
        <w:pStyle w:val="Heading3"/>
        <w:rPr>
          <w:szCs w:val="28"/>
        </w:rPr>
      </w:pPr>
      <w:bookmarkStart w:id="454" w:name="__RefHeading___Toc68601372"/>
      <w:bookmarkEnd w:id="454"/>
      <w:r>
        <w:rPr/>
        <w:t>A.5.2.1</w:t>
        <w:tab/>
        <w:t>MPAC Positioning Guidelines</w:t>
      </w:r>
    </w:p>
    <w:p>
      <w:pPr>
        <w:pStyle w:val="Normal"/>
        <w:rPr/>
      </w:pPr>
      <w:r>
        <w:rPr/>
        <w:t>In order for the anechoic chamber multi probe system to emulate the intended propagation statistics within the region of space incident on the DUT antennas, two concepts determine the associated antenna spacing and positioning guidelines. The maximum antenna spacing in the DUT must be within the limit determined by the anechoic chamber multi probe system’s ability to emulate the spatial correlation function, and the power stability of the field incident on the DUT antennas must be verified.</w:t>
      </w:r>
    </w:p>
    <w:p>
      <w:pPr>
        <w:pStyle w:val="TH"/>
        <w:rPr/>
      </w:pPr>
      <w:r>
        <w:rPr/>
        <w:t>a)</w:t>
      </w:r>
      <w:r>
        <w:rPr/>
        <w:drawing>
          <wp:inline distT="0" distB="0" distL="0" distR="0">
            <wp:extent cx="2743200" cy="2351405"/>
            <wp:effectExtent l="0" t="0" r="0" b="0"/>
            <wp:docPr id="104"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85" descr=""/>
                    <pic:cNvPicPr>
                      <a:picLocks noChangeAspect="1" noChangeArrowheads="1"/>
                    </pic:cNvPicPr>
                  </pic:nvPicPr>
                  <pic:blipFill>
                    <a:blip r:embed="rId100"/>
                    <a:srcRect l="-7" t="-8" r="-7" b="-8"/>
                    <a:stretch>
                      <a:fillRect/>
                    </a:stretch>
                  </pic:blipFill>
                  <pic:spPr bwMode="auto">
                    <a:xfrm>
                      <a:off x="0" y="0"/>
                      <a:ext cx="2743200" cy="2351405"/>
                    </a:xfrm>
                    <a:prstGeom prst="rect">
                      <a:avLst/>
                    </a:prstGeom>
                  </pic:spPr>
                </pic:pic>
              </a:graphicData>
            </a:graphic>
          </wp:inline>
        </w:drawing>
      </w:r>
      <w:r>
        <w:rPr/>
        <w:t>b)</w:t>
      </w:r>
      <w:r>
        <w:rPr/>
        <w:drawing>
          <wp:inline distT="0" distB="0" distL="0" distR="0">
            <wp:extent cx="2745105" cy="2171065"/>
            <wp:effectExtent l="0" t="0" r="0" b="0"/>
            <wp:docPr id="105"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86" descr=""/>
                    <pic:cNvPicPr>
                      <a:picLocks noChangeAspect="1" noChangeArrowheads="1"/>
                    </pic:cNvPicPr>
                  </pic:nvPicPr>
                  <pic:blipFill>
                    <a:blip r:embed="rId101"/>
                    <a:srcRect l="-6" t="-8" r="-6" b="-8"/>
                    <a:stretch>
                      <a:fillRect/>
                    </a:stretch>
                  </pic:blipFill>
                  <pic:spPr bwMode="auto">
                    <a:xfrm>
                      <a:off x="0" y="0"/>
                      <a:ext cx="2745105" cy="2171065"/>
                    </a:xfrm>
                    <a:prstGeom prst="rect">
                      <a:avLst/>
                    </a:prstGeom>
                  </pic:spPr>
                </pic:pic>
              </a:graphicData>
            </a:graphic>
          </wp:inline>
        </w:drawing>
      </w:r>
    </w:p>
    <w:p>
      <w:pPr>
        <w:pStyle w:val="TF"/>
        <w:rPr/>
      </w:pPr>
      <w:r>
        <w:rPr/>
        <w:t>Figure A.5.2.1-1: Illustration of DUT antenna spacing and positioning guidelines;</w:t>
        <w:br/>
        <w:t>a) guideline in this specification, b) example with DUT meeting the maximum allowed antenna separation but not within the verified power stability region</w:t>
      </w:r>
    </w:p>
    <w:p>
      <w:pPr>
        <w:pStyle w:val="Normal"/>
        <w:rPr/>
      </w:pPr>
      <w:r>
        <w:rPr/>
      </w:r>
    </w:p>
    <w:p>
      <w:pPr>
        <w:pStyle w:val="Normal"/>
        <w:rPr/>
      </w:pPr>
      <w:r>
        <w:rPr/>
        <w:t>As the channel model validation procedures for spatial correlation as defined in [29] are to be performed at the downlink centre frequency in 3GPP TS 36.508 [10], the maximum antenna spacing in the DUT shall be defined by the wavelength per operating band centre frequency of the middle channel of the downlink at the band under test. A verification of power stability can be derived from the spatial correlation verification results in [29]. Given that this verification spans a region with a diameter of 1 wavelength cantered on the axis of rotation in the chamber and that the performance demonstrated by multiple 8 dual-polarized probe MPAC implementations in [29] has shown good alignment up to 0.85 lambda for SCME UMi, the region where DUT antennas shall be placed (the MIMO OTA test zone) shall be defined in the same way (see Figure A.5.2.1-1a above) but further confined by the 0.85 lambda antenna separation limit for SCME UMi. Figure A.5.2.1-1b above provides an example of a DUT meeting the maximum allowed antenna separation but not within the verified power stability region; this placement of a DUT shall not be used. The optimization of the maximum allowed antenna spacing of the DUT and the verification of the test zone, as well as SCME UMa considerations, are expected as part of future work.</w:t>
      </w:r>
    </w:p>
    <w:p>
      <w:pPr>
        <w:pStyle w:val="Normal"/>
        <w:rPr/>
      </w:pPr>
      <w:r>
        <w:rPr/>
        <w:t>The region of uniform power delivered by the MIMO system (unverified) as shown in Figure A.5.2.1-1 is an indication of the region where the wave front may maintain its uniformity. Therefore, it may be used to extend the test volume but is not allowed at this time. It is considered unverified because the validation of spatial correlation provides a verification that spans a region of 1 lambda. Any further extension of the verified test volume would require an update to the spatial correlation validation in [29].</w:t>
      </w:r>
    </w:p>
    <w:p>
      <w:pPr>
        <w:pStyle w:val="Normal"/>
        <w:rPr/>
      </w:pPr>
      <w:r>
        <w:rPr/>
        <w:t>The DUT maximum antenna spacing and placement within the test zone shall be defined by the following two-tier methodology due to the primary radiation modes below 1 GHz and above 1 GHz and how they relate to the device and/or antenna size.</w:t>
      </w:r>
    </w:p>
    <w:p>
      <w:pPr>
        <w:pStyle w:val="Normal"/>
        <w:rPr/>
      </w:pPr>
      <w:r>
        <w:rPr/>
        <w:t>When operating in frequency bands lower than 1GHz, the physical centre of the DUT shall be placed in the chamber centre, the DUT shall be completely contained within the volume defined by the respective operating band equivalent to a sphere with a radius equal to 0.425 wavelengths as defined in Tables A.5.2.1-1 and Tables A.5.2.1-2 for SCME UMi.</w:t>
      </w:r>
    </w:p>
    <w:p>
      <w:pPr>
        <w:pStyle w:val="Normal"/>
        <w:rPr/>
      </w:pPr>
      <w:r>
        <w:rPr/>
        <w:t>When operating in frequency bands higher than 1 GHz the equidistant physical point between the DUT MIMO antenna system shall be placed in the chamber centre following guidance defined in Figure A.5.2.1-2 and the DUT MIMO antenna system (further physical dimension or both antennas’ maximum E-field regions) shall be completely contained within the volume defined by the respective operating band equivalent to a sphere with a radius equal to 0.425 wavelength defined in Tables A.5.2.1-1 and Tables A.5.2.1-2 for SCME UMi. The definition of the equidistant point between the DUT MIMO antennas shall be provided through manufacturer declaration for all operating bands where the maximum antenna separation requirement has been met. The location of the equidistant point(s) for each operating band shall be identified by the manufacturer by either marking the device utilized for MIMO OTA testing or by providing clear instructions to the test operator as to the physical location(s).</w:t>
      </w:r>
    </w:p>
    <w:p>
      <w:pPr>
        <w:pStyle w:val="Normal"/>
        <w:rPr/>
      </w:pPr>
      <w:r>
        <w:rPr/>
        <w:t>The two-tier approach is needed to be technically correct when defining the MPAC test volume. While the geometric centre can be used in frequencies lower than 1GHz, the same methodology will add unnecessary limitations for test applicability in frequencies above 1GHz. In this case, manufacturers will need to provide further information to enable the proper definition of the test volume. Ideally, the same approach adopted in frequencies above 1 GHz could be used for all frequencies. However, the extra positioning work and need to identify the equidistant point between the DUT MIMO antennas isn't necessary for frequencies under 1GHz since the wavelength dimension is large enough for all handsets, phablets, and most tablets and laptops.</w:t>
      </w:r>
    </w:p>
    <w:p>
      <w:pPr>
        <w:pStyle w:val="TH"/>
        <w:rPr/>
      </w:pPr>
      <w:r>
        <w:rPr/>
        <w:drawing>
          <wp:inline distT="0" distB="0" distL="0" distR="0">
            <wp:extent cx="5088890" cy="2918460"/>
            <wp:effectExtent l="0" t="0" r="0" b="0"/>
            <wp:docPr id="106"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87" descr=""/>
                    <pic:cNvPicPr>
                      <a:picLocks noChangeAspect="1" noChangeArrowheads="1"/>
                    </pic:cNvPicPr>
                  </pic:nvPicPr>
                  <pic:blipFill>
                    <a:blip r:embed="rId102"/>
                    <a:srcRect l="-3" t="-5" r="-3" b="-5"/>
                    <a:stretch>
                      <a:fillRect/>
                    </a:stretch>
                  </pic:blipFill>
                  <pic:spPr bwMode="auto">
                    <a:xfrm>
                      <a:off x="0" y="0"/>
                      <a:ext cx="5088890" cy="2918460"/>
                    </a:xfrm>
                    <a:prstGeom prst="rect">
                      <a:avLst/>
                    </a:prstGeom>
                  </pic:spPr>
                </pic:pic>
              </a:graphicData>
            </a:graphic>
          </wp:inline>
        </w:drawing>
      </w:r>
    </w:p>
    <w:p>
      <w:pPr>
        <w:pStyle w:val="TF"/>
        <w:rPr/>
      </w:pPr>
      <w:r>
        <w:rPr/>
        <w:t>Figure A.5.2.1-2: Definition of distance between MIMO antennas and DUT centre, maximum physical separation, or E-field maximum separation defined by manufacturer</w:t>
      </w:r>
    </w:p>
    <w:p>
      <w:pPr>
        <w:pStyle w:val="Normal"/>
        <w:rPr/>
      </w:pPr>
      <w:r>
        <w:rPr/>
      </w:r>
    </w:p>
    <w:p>
      <w:pPr>
        <w:pStyle w:val="TH"/>
        <w:rPr/>
      </w:pPr>
      <w:r>
        <w:rPr/>
        <w:t>Table A.5.2.1-1: Test zone dimension definition vs. FDD band of operation</w:t>
      </w:r>
    </w:p>
    <w:tbl>
      <w:tblPr>
        <w:tblW w:w="6345" w:type="dxa"/>
        <w:jc w:val="center"/>
        <w:tblInd w:w="0" w:type="dxa"/>
        <w:tblLayout w:type="fixed"/>
        <w:tblCellMar>
          <w:top w:w="0" w:type="dxa"/>
          <w:left w:w="108" w:type="dxa"/>
          <w:bottom w:w="0" w:type="dxa"/>
          <w:right w:w="108" w:type="dxa"/>
        </w:tblCellMar>
      </w:tblPr>
      <w:tblGrid>
        <w:gridCol w:w="1008"/>
        <w:gridCol w:w="1980"/>
        <w:gridCol w:w="1647"/>
        <w:gridCol w:w="1710"/>
      </w:tblGrid>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Band</w:t>
            </w:r>
          </w:p>
        </w:tc>
        <w:tc>
          <w:tcPr>
            <w:tcW w:w="1980"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DL middle channel frequency (MHz)</w:t>
            </w:r>
          </w:p>
        </w:tc>
        <w:tc>
          <w:tcPr>
            <w:tcW w:w="1647"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0.85*Wavelength (m) middle channel</w:t>
            </w:r>
          </w:p>
        </w:tc>
        <w:tc>
          <w:tcPr>
            <w:tcW w:w="1710"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Test volume sphere radius (m)</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2140</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0.119</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0.060</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1960</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0.130</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0.065</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3</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1842.5</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0.138</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0.069</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4</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2132.5</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0.119</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0.060</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5</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881.5</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0.289</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0.145</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6</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880</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0.290</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0.145</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7</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2655</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0.096</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0.048</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8</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942.5</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0.270</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0.135</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9</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1862.4</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0.137</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0.068</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10</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2140</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0.119</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0.060</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11</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1485.9</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0.171</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0.086</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12</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737.5</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0.346</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0.173</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13</w:t>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rFonts w:cs="Arial"/>
                <w:lang w:eastAsia="en-US"/>
              </w:rPr>
              <w:t>751</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0.339</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0.170</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14</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763</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0.334</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0.167</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17</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740</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0.344</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0.172</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18</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867.5</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0.294</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0.147</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19</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882.5</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0.289</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0.144</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20</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806</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0.316</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0.158</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21</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1503.4</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0.169</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0.085</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22</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3550</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0.072</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0.036</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23</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2190</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0.116</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0.058</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24</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1542</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0.165</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0.083</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25</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1962.5</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0.130</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0.065</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26</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876.5</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0.291</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0.145</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27</w:t>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rFonts w:cs="Arial"/>
                <w:lang w:eastAsia="en-US"/>
              </w:rPr>
              <w:t>860.5</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0.296</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0.148</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28</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780.5</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0.326</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0.163</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29</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722.5</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0.353</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0.176</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30</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2355</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0.108</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0.054</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31</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465</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0.548</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0.274</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32</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1474</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0.173</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0.086</w:t>
            </w:r>
          </w:p>
        </w:tc>
      </w:tr>
    </w:tbl>
    <w:p>
      <w:pPr>
        <w:pStyle w:val="Normal"/>
        <w:rPr/>
      </w:pPr>
      <w:r>
        <w:rPr/>
      </w:r>
    </w:p>
    <w:p>
      <w:pPr>
        <w:pStyle w:val="TH"/>
        <w:rPr/>
      </w:pPr>
      <w:r>
        <w:rPr/>
        <w:t>Table A.5.2.1-2: Test zone dimension definition vs. TDD band of operation</w:t>
      </w:r>
    </w:p>
    <w:tbl>
      <w:tblPr>
        <w:tblW w:w="6345" w:type="dxa"/>
        <w:jc w:val="center"/>
        <w:tblInd w:w="0" w:type="dxa"/>
        <w:tblLayout w:type="fixed"/>
        <w:tblCellMar>
          <w:top w:w="0" w:type="dxa"/>
          <w:left w:w="108" w:type="dxa"/>
          <w:bottom w:w="0" w:type="dxa"/>
          <w:right w:w="108" w:type="dxa"/>
        </w:tblCellMar>
      </w:tblPr>
      <w:tblGrid>
        <w:gridCol w:w="1008"/>
        <w:gridCol w:w="1980"/>
        <w:gridCol w:w="1647"/>
        <w:gridCol w:w="1710"/>
      </w:tblGrid>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H"/>
              <w:rPr>
                <w:rFonts w:cs="Arial"/>
                <w:color w:val="000000"/>
                <w:lang w:eastAsia="en-US"/>
              </w:rPr>
            </w:pPr>
            <w:r>
              <w:rPr>
                <w:rFonts w:cs="Arial"/>
                <w:lang w:eastAsia="en-US"/>
              </w:rPr>
              <w:t>Band</w:t>
            </w:r>
          </w:p>
        </w:tc>
        <w:tc>
          <w:tcPr>
            <w:tcW w:w="1980" w:type="dxa"/>
            <w:tcBorders>
              <w:top w:val="single" w:sz="4" w:space="0" w:color="000000"/>
              <w:left w:val="single" w:sz="4" w:space="0" w:color="000000"/>
              <w:bottom w:val="single" w:sz="4" w:space="0" w:color="000000"/>
              <w:right w:val="single" w:sz="4" w:space="0" w:color="000000"/>
            </w:tcBorders>
          </w:tcPr>
          <w:p>
            <w:pPr>
              <w:pStyle w:val="TAH"/>
              <w:rPr>
                <w:rFonts w:cs="Arial"/>
                <w:color w:val="000000"/>
                <w:lang w:eastAsia="en-US"/>
              </w:rPr>
            </w:pPr>
            <w:r>
              <w:rPr>
                <w:rFonts w:cs="Arial"/>
                <w:lang w:eastAsia="en-US"/>
              </w:rPr>
              <w:t>DL middle channel frequency (MHz)</w:t>
            </w:r>
          </w:p>
        </w:tc>
        <w:tc>
          <w:tcPr>
            <w:tcW w:w="1647" w:type="dxa"/>
            <w:tcBorders>
              <w:top w:val="single" w:sz="4" w:space="0" w:color="000000"/>
              <w:left w:val="single" w:sz="4" w:space="0" w:color="000000"/>
              <w:bottom w:val="single" w:sz="4" w:space="0" w:color="000000"/>
              <w:right w:val="single" w:sz="4" w:space="0" w:color="000000"/>
            </w:tcBorders>
          </w:tcPr>
          <w:p>
            <w:pPr>
              <w:pStyle w:val="TAH"/>
              <w:rPr>
                <w:rFonts w:cs="Arial"/>
                <w:color w:val="000000"/>
                <w:lang w:eastAsia="en-US"/>
              </w:rPr>
            </w:pPr>
            <w:r>
              <w:rPr>
                <w:rFonts w:cs="Arial"/>
                <w:lang w:eastAsia="en-US"/>
              </w:rPr>
              <w:t>0.85*Wavelength (m) middle channel</w:t>
            </w:r>
          </w:p>
        </w:tc>
        <w:tc>
          <w:tcPr>
            <w:tcW w:w="1710" w:type="dxa"/>
            <w:tcBorders>
              <w:top w:val="single" w:sz="4" w:space="0" w:color="000000"/>
              <w:left w:val="single" w:sz="4" w:space="0" w:color="000000"/>
              <w:bottom w:val="single" w:sz="4" w:space="0" w:color="000000"/>
              <w:right w:val="single" w:sz="4" w:space="0" w:color="000000"/>
            </w:tcBorders>
          </w:tcPr>
          <w:p>
            <w:pPr>
              <w:pStyle w:val="TAH"/>
              <w:rPr>
                <w:rFonts w:cs="Arial"/>
                <w:color w:val="000000"/>
                <w:lang w:eastAsia="en-US"/>
              </w:rPr>
            </w:pPr>
            <w:r>
              <w:rPr>
                <w:rFonts w:cs="Arial"/>
                <w:lang w:eastAsia="en-US"/>
              </w:rPr>
              <w:t>Test Volume Sphere Radius (m)</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34</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2017.5</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0.126</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0.063</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35</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1880</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0.136</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0.068</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36</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1960</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0.130</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0.065</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37</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1920</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0.133</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0.066</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38</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2595</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0.098</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0.049</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39</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1900</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0.134</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0.067</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40</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2350</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0.108</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0.054</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41</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2593</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0.098</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0.049</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42</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3500</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0.073</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0.036</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43</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3700</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0.069</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0.034</w:t>
            </w:r>
          </w:p>
        </w:tc>
      </w:tr>
      <w:tr>
        <w:trPr>
          <w:trHeight w:val="30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44</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753</w:t>
            </w:r>
          </w:p>
        </w:tc>
        <w:tc>
          <w:tcPr>
            <w:tcW w:w="1647"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0.338</w:t>
            </w:r>
          </w:p>
        </w:tc>
        <w:tc>
          <w:tcPr>
            <w:tcW w:w="1710" w:type="dxa"/>
            <w:tcBorders>
              <w:top w:val="single" w:sz="4" w:space="0" w:color="000000"/>
              <w:left w:val="single" w:sz="4" w:space="0" w:color="000000"/>
              <w:bottom w:val="single" w:sz="4" w:space="0" w:color="000000"/>
              <w:right w:val="single" w:sz="4" w:space="0" w:color="000000"/>
            </w:tcBorders>
          </w:tcPr>
          <w:p>
            <w:pPr>
              <w:pStyle w:val="TAC"/>
              <w:rPr>
                <w:rFonts w:cs="Arial"/>
                <w:color w:val="000000"/>
                <w:lang w:eastAsia="en-US"/>
              </w:rPr>
            </w:pPr>
            <w:r>
              <w:rPr>
                <w:rFonts w:cs="Arial"/>
                <w:lang w:eastAsia="en-US"/>
              </w:rPr>
              <w:t>0.169</w:t>
            </w:r>
          </w:p>
        </w:tc>
      </w:tr>
    </w:tbl>
    <w:p>
      <w:pPr>
        <w:pStyle w:val="Normal"/>
        <w:rPr/>
      </w:pPr>
      <w:r>
        <w:rPr/>
      </w:r>
    </w:p>
    <w:p>
      <w:pPr>
        <w:pStyle w:val="Normal"/>
        <w:rPr/>
      </w:pPr>
      <w:r>
        <w:rPr/>
        <w:t>The positioning of the device under test within the test volume shall be set as defined above and in [29].</w:t>
      </w:r>
    </w:p>
    <w:p>
      <w:pPr>
        <w:pStyle w:val="Normal"/>
        <w:rPr/>
      </w:pPr>
      <w:r>
        <w:rPr/>
        <w:t>The environmental requirements for the device under test shall be set as defined in Annex M.</w:t>
      </w:r>
    </w:p>
    <w:p>
      <w:pPr>
        <w:pStyle w:val="Heading3"/>
        <w:rPr/>
      </w:pPr>
      <w:bookmarkStart w:id="455" w:name="__RefHeading___Toc68601373"/>
      <w:bookmarkEnd w:id="455"/>
      <w:r>
        <w:rPr/>
        <w:t>A.5.2.2</w:t>
        <w:tab/>
        <w:t>RTS Positioning Guidelines and test zone dimensions</w:t>
      </w:r>
    </w:p>
    <w:p>
      <w:pPr>
        <w:pStyle w:val="Normal"/>
        <w:rPr/>
      </w:pPr>
      <w:r>
        <w:rPr/>
        <w:t xml:space="preserve">For the RTS system, it can be seen from earlier analysis in the MU budget in TR 37.977 Annex B.2 [29] that the MU elements related to device size are linked to uncertainties in the field uniformity of the anechoic chamber used for the first stage antenna pattern measurement. The RTS MU budget was calculated with the assumption that the device size was within the limits defined by the chamber quiet </w:t>
      </w:r>
      <w:r>
        <w:rPr>
          <w:rFonts w:cs="Arial"/>
        </w:rPr>
        <w:t>zone defined in TS 34.114 Annex A2.3 [6], TS 34.114 E.10 [6] and as measured in TS 34.114 Annex G.2 [6]. The applicable device size for RTS is therefore the same as used for SISO TRS in the same chamber.</w:t>
      </w:r>
    </w:p>
    <w:p>
      <w:pPr>
        <w:pStyle w:val="Normal"/>
        <w:rPr/>
      </w:pPr>
      <w:r>
        <w:rPr>
          <w:rFonts w:cs="Arial"/>
        </w:rPr>
        <w:t>The second stage of the RTS method which involves a cable replacement radiated connection, is assumed in the MU budget to take place in the same anechoic chamber as was used for the first stage antenna pattern measurement, and there are no additional test zone considerations required. The use of a different chamber for the second stage is not precluded, but would require a recalculation of the impact of any difference between the anechoic chambers.</w:t>
      </w:r>
    </w:p>
    <w:p>
      <w:pPr>
        <w:pStyle w:val="Normal"/>
        <w:rPr/>
      </w:pPr>
      <w:r>
        <w:rPr/>
        <w:t>For device positioning within the test zone for the first stage the normal positioning accuracy assumed in TR 37.977 Table B.2-1 [29] of 1 degree is considered insignificant compared to the raster used for the antenna measurement.</w:t>
      </w:r>
    </w:p>
    <w:p>
      <w:pPr>
        <w:pStyle w:val="Normal"/>
        <w:rPr/>
      </w:pPr>
      <w:r>
        <w:rPr/>
        <w:t>For the second stage positioning impact, and with the assumption the chamber is the same as used in the first stage, the issue is the repeatability of the position used from the first stage. This is likely to be less than the 1 degree absolute positioning error so is again assumed to be negligible.</w:t>
      </w:r>
    </w:p>
    <w:p>
      <w:pPr>
        <w:pStyle w:val="Heading8"/>
        <w:ind w:left="0" w:hanging="0"/>
        <w:rPr/>
      </w:pPr>
      <w:bookmarkStart w:id="456" w:name="__RefHeading___Toc68601374"/>
      <w:bookmarkEnd w:id="456"/>
      <w:r>
        <w:rPr/>
        <w:t>Annex B (normative): Calibration</w:t>
      </w:r>
    </w:p>
    <w:p>
      <w:pPr>
        <w:pStyle w:val="Heading1"/>
        <w:ind w:left="1134" w:hanging="1134"/>
        <w:rPr/>
      </w:pPr>
      <w:bookmarkStart w:id="457" w:name="__RefHeading___Toc68601375"/>
      <w:bookmarkEnd w:id="457"/>
      <w:r>
        <w:rPr/>
        <w:t>B.1</w:t>
        <w:tab/>
        <w:t>General</w:t>
      </w:r>
    </w:p>
    <w:p>
      <w:pPr>
        <w:pStyle w:val="Normal"/>
        <w:numPr>
          <w:ilvl w:val="0"/>
          <w:numId w:val="5"/>
        </w:numPr>
        <w:tabs>
          <w:tab w:val="clear" w:pos="284"/>
          <w:tab w:val="left" w:pos="0" w:leader="none"/>
        </w:tabs>
        <w:suppressAutoHyphens w:val="true"/>
        <w:ind w:left="0" w:hanging="0"/>
        <w:rPr/>
      </w:pPr>
      <w:r>
        <w:rPr/>
        <w:t>The relative power values of the measurement points will be transformed to absolute radiated power values (in dBm) by performing a calibration measurement. The calibration measurement is done by using a reference antenna with known efficiency or gain values. In the calibration measurement the reference antenna is measured in the same place as the DUT, and the attenuation of the complete transmission path (</w:t>
      </w:r>
      <w:r>
        <w:rPr/>
      </w:r>
      <m:oMath xmlns:m="http://schemas.openxmlformats.org/officeDocument/2006/math">
        <m:sSub>
          <m:e>
            <m:r>
              <w:rPr>
                <w:rFonts w:ascii="Cambria Math" w:hAnsi="Cambria Math"/>
              </w:rPr>
              <m:t xml:space="preserve">L</m:t>
            </m:r>
          </m:e>
          <m:sub>
            <m:r>
              <m:rPr>
                <m:lit/>
                <m:nor/>
              </m:rPr>
              <w:rPr>
                <w:rFonts w:ascii="Cambria Math" w:hAnsi="Cambria Math"/>
              </w:rPr>
              <m:t xml:space="preserve">total</m:t>
            </m:r>
          </m:sub>
        </m:sSub>
      </m:oMath>
      <w:r>
        <w:rPr/>
        <w:t xml:space="preserve">) from the DUT to the measurement receiver/NB/BS simulator is calibrated out. </w:t>
      </w:r>
    </w:p>
    <w:p>
      <w:pPr>
        <w:pStyle w:val="Normal"/>
        <w:numPr>
          <w:ilvl w:val="0"/>
          <w:numId w:val="5"/>
        </w:numPr>
        <w:tabs>
          <w:tab w:val="clear" w:pos="284"/>
          <w:tab w:val="left" w:pos="0" w:leader="none"/>
        </w:tabs>
        <w:suppressAutoHyphens w:val="true"/>
        <w:ind w:left="0" w:hanging="0"/>
        <w:rPr/>
      </w:pPr>
      <w:r>
        <w:rPr/>
        <w:t>The gain and/or radiation efficiency of the reference antenna shall be known at the frequency bands in which the calibrations are performed. Recommended calibration antennas are monopole antennas or sleeve dipoles tuned for the each frequency band of interest.</w:t>
      </w:r>
      <w:r>
        <w:rPr>
          <w:color w:val="FF0000"/>
        </w:rPr>
        <w:t xml:space="preserve"> </w:t>
      </w:r>
      <w:r>
        <w:rPr/>
        <w:t xml:space="preserve">Alternatively, other methods may be used if they ensure an equal or greater level of accuracy. A network analyzer is recommended to be used to perform the calibration measurement. Also other devices can be used to measure attenuation. </w:t>
      </w:r>
    </w:p>
    <w:p>
      <w:pPr>
        <w:pStyle w:val="Normal"/>
        <w:numPr>
          <w:ilvl w:val="0"/>
          <w:numId w:val="5"/>
        </w:numPr>
        <w:tabs>
          <w:tab w:val="clear" w:pos="284"/>
          <w:tab w:val="left" w:pos="0" w:leader="none"/>
        </w:tabs>
        <w:suppressAutoHyphens w:val="true"/>
        <w:ind w:left="0" w:hanging="0"/>
        <w:rPr/>
      </w:pPr>
      <w:r>
        <w:rPr/>
        <w:t xml:space="preserve">The principle is based on the use of calibration/substitution antennas presenting an efficiency known with a sufficient accuracy in the measurement bandwidths. Such a calibration antenna is placed on the DUT positioner at the exact UE location used for TRP and TRS measurement. It is possible to use a mechanical piece to place the calibration antenna on the positioner. This mechanical piece should not present any electromagnetic properties, which could influence the frequency response and the radiation properties of the calibration antenna. </w:t>
      </w:r>
    </w:p>
    <w:p>
      <w:pPr>
        <w:pStyle w:val="B1"/>
        <w:rPr/>
      </w:pPr>
      <w:r>
        <w:rPr/>
        <w:t>B.2</w:t>
        <w:tab/>
        <w:t>Calibration procedure</w:t>
      </w:r>
    </w:p>
    <w:p>
      <w:pPr>
        <w:pStyle w:val="Heading2"/>
        <w:rPr/>
      </w:pPr>
      <w:bookmarkStart w:id="458" w:name="__RefHeading___Toc68601376"/>
      <w:bookmarkEnd w:id="458"/>
      <w:r>
        <w:rPr/>
        <w:t>B.2.1</w:t>
        <w:tab/>
        <w:t>Calibration procedure for Anechoic chamber method</w:t>
      </w:r>
    </w:p>
    <w:p>
      <w:pPr>
        <w:pStyle w:val="Normal"/>
        <w:numPr>
          <w:ilvl w:val="0"/>
          <w:numId w:val="5"/>
        </w:numPr>
        <w:tabs>
          <w:tab w:val="clear" w:pos="284"/>
          <w:tab w:val="left" w:pos="0" w:leader="none"/>
        </w:tabs>
        <w:suppressAutoHyphens w:val="true"/>
        <w:ind w:left="0" w:hanging="0"/>
        <w:rPr/>
      </w:pPr>
      <w:r>
        <w:rPr/>
        <w:t>For the anechoic chamber method, the calibration is performed individually for the both orthogonal polarizations, all the transmission paths and all frequencies used in the testing. An illustration of the substitution configuration is shown in Figure B.2.1-1.</w:t>
      </w:r>
    </w:p>
    <w:p>
      <w:pPr>
        <w:pStyle w:val="Normal"/>
        <w:numPr>
          <w:ilvl w:val="0"/>
          <w:numId w:val="5"/>
        </w:numPr>
        <w:suppressAutoHyphens w:val="true"/>
        <w:rPr/>
      </w:pPr>
      <w:r>
        <w:rPr/>
      </w:r>
      <m:oMath xmlns:m="http://schemas.openxmlformats.org/officeDocument/2006/math">
        <m:sSub>
          <m:e>
            <m:r>
              <w:rPr>
                <w:rFonts w:ascii="Cambria Math" w:hAnsi="Cambria Math"/>
              </w:rPr>
              <m:t xml:space="preserve">L</m:t>
            </m:r>
          </m:e>
          <m:sub>
            <m:r>
              <m:rPr>
                <m:lit/>
                <m:nor/>
              </m:rPr>
              <w:rPr>
                <w:rFonts w:ascii="Cambria Math" w:hAnsi="Cambria Math"/>
              </w:rPr>
              <m:t xml:space="preserve">total</m:t>
            </m:r>
          </m:sub>
        </m:sSub>
      </m:oMath>
      <w:r>
        <w:rPr/>
        <w:t xml:space="preserve"> </w:t>
      </w:r>
      <w:r>
        <w:rPr/>
        <w:t>is the attenuation between P and B, see Figure B.2.1-1.</w:t>
      </w:r>
    </w:p>
    <w:p>
      <w:pPr>
        <w:pStyle w:val="EQ"/>
        <w:numPr>
          <w:ilvl w:val="0"/>
          <w:numId w:val="5"/>
        </w:numPr>
        <w:suppressAutoHyphens w:val="true"/>
        <w:rPr>
          <w:lang w:val="en-GB" w:eastAsia="en-GB"/>
        </w:rPr>
      </w:pPr>
      <w:r>
        <w:rPr>
          <w:lang w:val="en-GB" w:eastAsia="en-GB"/>
        </w:rPr>
      </w:r>
      <m:oMathPara xmlns:m="http://schemas.openxmlformats.org/officeDocument/2006/math">
        <m:oMathParaPr>
          <m:jc m:val="left"/>
        </m:oMathParaPr>
        <m:oMath>
          <m:sSub>
            <m:e>
              <m:r>
                <w:rPr>
                  <w:rFonts w:ascii="Cambria Math" w:hAnsi="Cambria Math"/>
                </w:rPr>
                <m:t xml:space="preserve">L</m:t>
              </m:r>
            </m:e>
            <m:sub>
              <m:r>
                <m:rPr>
                  <m:lit/>
                  <m:nor/>
                </m:rPr>
                <w:rPr>
                  <w:rFonts w:ascii="Cambria Math" w:hAnsi="Cambria Math"/>
                </w:rPr>
                <m:t xml:space="preserve">total</m:t>
              </m:r>
            </m:sub>
          </m:sSub>
          <m:r>
            <w:rPr>
              <w:rFonts w:ascii="Cambria Math" w:hAnsi="Cambria Math"/>
            </w:rPr>
            <m:t xml:space="preserve">=</m:t>
          </m:r>
          <m:d>
            <m:dPr>
              <m:begChr m:val="("/>
              <m:endChr m:val=")"/>
            </m:dPr>
            <m:e>
              <m:sSub>
                <m:e>
                  <m:r>
                    <w:rPr>
                      <w:rFonts w:ascii="Cambria Math" w:hAnsi="Cambria Math"/>
                    </w:rPr>
                    <m:t xml:space="preserve">L</m:t>
                  </m:r>
                </m:e>
                <m:sub>
                  <m:r>
                    <m:rPr>
                      <m:lit/>
                      <m:nor/>
                    </m:rPr>
                    <w:rPr>
                      <w:rFonts w:ascii="Cambria Math" w:hAnsi="Cambria Math"/>
                    </w:rPr>
                    <m:t xml:space="preserve">AB</m:t>
                  </m:r>
                </m:sub>
              </m:sSub>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AC</m:t>
                  </m:r>
                </m:sub>
              </m:sSub>
              <m:r>
                <w:rPr>
                  <w:rFonts w:ascii="Cambria Math" w:hAnsi="Cambria Math"/>
                </w:rPr>
                <m:t xml:space="preserve">+</m:t>
              </m:r>
              <m:sSub>
                <m:e>
                  <m:r>
                    <w:rPr>
                      <w:rFonts w:ascii="Cambria Math" w:hAnsi="Cambria Math"/>
                    </w:rPr>
                    <m:t xml:space="preserve">E</m:t>
                  </m:r>
                </m:e>
                <m:sub>
                  <m:r>
                    <m:rPr>
                      <m:lit/>
                      <m:nor/>
                    </m:rPr>
                    <w:rPr>
                      <w:rFonts w:ascii="Cambria Math" w:hAnsi="Cambria Math"/>
                    </w:rPr>
                    <m:t xml:space="preserve">cal</m:t>
                  </m:r>
                </m:sub>
              </m:sSub>
            </m:e>
          </m:d>
        </m:oMath>
      </m:oMathPara>
    </w:p>
    <w:p>
      <w:pPr>
        <w:pStyle w:val="Normal"/>
        <w:numPr>
          <w:ilvl w:val="0"/>
          <w:numId w:val="5"/>
        </w:numPr>
        <w:tabs>
          <w:tab w:val="clear" w:pos="284"/>
          <w:tab w:val="left" w:pos="0" w:leader="none"/>
        </w:tabs>
        <w:suppressAutoHyphens w:val="true"/>
        <w:ind w:left="0" w:hanging="0"/>
        <w:rPr/>
      </w:pPr>
      <w:r>
        <w:rPr/>
        <w:t xml:space="preserve">Where </w:t>
      </w:r>
      <w:r>
        <w:rPr/>
      </w:r>
      <m:oMath xmlns:m="http://schemas.openxmlformats.org/officeDocument/2006/math">
        <m:sSub>
          <m:e>
            <m:r>
              <w:rPr>
                <w:rFonts w:ascii="Cambria Math" w:hAnsi="Cambria Math"/>
              </w:rPr>
              <m:t xml:space="preserve">L</m:t>
            </m:r>
          </m:e>
          <m:sub>
            <m:r>
              <m:rPr>
                <m:lit/>
                <m:nor/>
              </m:rPr>
              <w:rPr>
                <w:rFonts w:ascii="Cambria Math" w:hAnsi="Cambria Math"/>
              </w:rPr>
              <m:t xml:space="preserve">AC</m:t>
            </m:r>
          </m:sub>
        </m:sSub>
      </m:oMath>
      <w:r>
        <w:rPr/>
        <w:t xml:space="preserve"> is cable loss from A to C. The cable AC connecting the substitution antenna should be such that its influence upon radiation pattern measurements is minimal. </w:t>
      </w:r>
      <w:r>
        <w:rPr/>
      </w:r>
      <m:oMath xmlns:m="http://schemas.openxmlformats.org/officeDocument/2006/math">
        <m:sSub>
          <m:e>
            <m:r>
              <w:rPr>
                <w:rFonts w:ascii="Cambria Math" w:hAnsi="Cambria Math"/>
              </w:rPr>
              <m:t xml:space="preserve">L</m:t>
            </m:r>
          </m:e>
          <m:sub>
            <m:r>
              <m:rPr>
                <m:lit/>
                <m:nor/>
              </m:rPr>
              <w:rPr>
                <w:rFonts w:ascii="Cambria Math" w:hAnsi="Cambria Math"/>
              </w:rPr>
              <m:t xml:space="preserve">AB</m:t>
            </m:r>
          </m:sub>
        </m:sSub>
      </m:oMath>
      <w:r>
        <w:rPr/>
        <w:t xml:space="preserve"> is the attenuation between points A and B. In TRP and TRS measurements point B is connected to the calibrated input/output port of measurement receiver.</w:t>
      </w:r>
    </w:p>
    <w:p>
      <w:pPr>
        <w:pStyle w:val="Normal"/>
        <w:numPr>
          <w:ilvl w:val="0"/>
          <w:numId w:val="5"/>
        </w:numPr>
        <w:suppressAutoHyphens w:val="true"/>
        <w:rPr/>
      </w:pPr>
      <w:r>
        <w:rPr/>
      </w:r>
      <m:oMath xmlns:m="http://schemas.openxmlformats.org/officeDocument/2006/math">
        <m:sSub>
          <m:e>
            <m:r>
              <w:rPr>
                <w:rFonts w:ascii="Cambria Math" w:hAnsi="Cambria Math"/>
              </w:rPr>
              <m:t xml:space="preserve">E</m:t>
            </m:r>
          </m:e>
          <m:sub>
            <m:r>
              <m:rPr>
                <m:lit/>
                <m:nor/>
              </m:rPr>
              <w:rPr>
                <w:rFonts w:ascii="Cambria Math" w:hAnsi="Cambria Math"/>
              </w:rPr>
              <m:t xml:space="preserve">cal</m:t>
            </m:r>
          </m:sub>
        </m:sSub>
      </m:oMath>
      <w:r>
        <w:rPr/>
        <w:t xml:space="preserve"> </w:t>
      </w:r>
      <w:r>
        <w:rPr/>
        <w:t>is the efficiency or gain of the calibration antenna at the frequency of interest.</w:t>
      </w:r>
    </w:p>
    <w:p>
      <w:pPr>
        <w:pStyle w:val="TH"/>
        <w:numPr>
          <w:ilvl w:val="0"/>
          <w:numId w:val="5"/>
        </w:numPr>
        <w:suppressAutoHyphens w:val="true"/>
        <w:rPr/>
      </w:pPr>
      <w:r>
        <w:rPr/>
        <w:drawing>
          <wp:inline distT="0" distB="0" distL="0" distR="0">
            <wp:extent cx="5953125" cy="2819400"/>
            <wp:effectExtent l="0" t="0" r="0" b="0"/>
            <wp:docPr id="107"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88" descr=""/>
                    <pic:cNvPicPr>
                      <a:picLocks noChangeAspect="1" noChangeArrowheads="1"/>
                    </pic:cNvPicPr>
                  </pic:nvPicPr>
                  <pic:blipFill>
                    <a:blip r:embed="rId103"/>
                    <a:srcRect l="-6" t="-13" r="-6" b="-13"/>
                    <a:stretch>
                      <a:fillRect/>
                    </a:stretch>
                  </pic:blipFill>
                  <pic:spPr bwMode="auto">
                    <a:xfrm>
                      <a:off x="0" y="0"/>
                      <a:ext cx="5953125" cy="2819400"/>
                    </a:xfrm>
                    <a:prstGeom prst="rect">
                      <a:avLst/>
                    </a:prstGeom>
                  </pic:spPr>
                </pic:pic>
              </a:graphicData>
            </a:graphic>
          </wp:inline>
        </w:drawing>
      </w:r>
    </w:p>
    <w:p>
      <w:pPr>
        <w:pStyle w:val="TF"/>
        <w:numPr>
          <w:ilvl w:val="0"/>
          <w:numId w:val="5"/>
        </w:numPr>
        <w:suppressAutoHyphens w:val="true"/>
        <w:rPr/>
      </w:pPr>
      <w:r>
        <w:rPr/>
        <w:t>Figure B.2.1-1: Calibration/substitution procedures using a vector network analyzer</w:t>
      </w:r>
    </w:p>
    <w:p>
      <w:pPr>
        <w:pStyle w:val="Normal"/>
        <w:numPr>
          <w:ilvl w:val="0"/>
          <w:numId w:val="5"/>
        </w:numPr>
        <w:suppressAutoHyphens w:val="true"/>
        <w:rPr/>
      </w:pPr>
      <w:r>
        <w:rPr/>
      </w:r>
    </w:p>
    <w:p>
      <w:pPr>
        <w:pStyle w:val="Normal"/>
        <w:numPr>
          <w:ilvl w:val="0"/>
          <w:numId w:val="5"/>
        </w:numPr>
        <w:tabs>
          <w:tab w:val="clear" w:pos="284"/>
        </w:tabs>
        <w:suppressAutoHyphens w:val="true"/>
        <w:ind w:left="0" w:hanging="0"/>
        <w:rPr/>
      </w:pPr>
      <w:r>
        <w:rPr/>
        <w:t>If the calibration is based on known efficiency of the calibration antenna, a full spherical scanning is performed to determine</w:t>
      </w:r>
      <w:r>
        <w:rPr/>
      </w:r>
      <m:oMath xmlns:m="http://schemas.openxmlformats.org/officeDocument/2006/math">
        <m:sSub>
          <m:e>
            <m:r>
              <w:rPr>
                <w:rFonts w:ascii="Cambria Math" w:hAnsi="Cambria Math"/>
              </w:rPr>
              <m:t xml:space="preserve">L</m:t>
            </m:r>
          </m:e>
          <m:sub>
            <m:r>
              <m:rPr>
                <m:lit/>
                <m:nor/>
              </m:rPr>
              <w:rPr>
                <w:rFonts w:ascii="Cambria Math" w:hAnsi="Cambria Math"/>
              </w:rPr>
              <m:t xml:space="preserve">AB</m:t>
            </m:r>
          </m:sub>
        </m:sSub>
      </m:oMath>
      <w:r>
        <w:rPr/>
        <w:t>. Unless the otherwise specified in the calibration antenna documentation, TRP sampling grid in clause 4.4 and equation for TRP in clause 6 should be used for head and hand phantom and TRP sampling grid in clause 4.4 and equation for TRP in clause 6 should be used for laptop ground plane phantom and embedded devices.</w:t>
      </w:r>
    </w:p>
    <w:p>
      <w:pPr>
        <w:pStyle w:val="Normal"/>
        <w:numPr>
          <w:ilvl w:val="0"/>
          <w:numId w:val="5"/>
        </w:numPr>
        <w:suppressAutoHyphens w:val="true"/>
        <w:rPr/>
      </w:pPr>
      <w:r>
        <w:rPr/>
        <w:t>This procedure has to be done at each frequency of interest.</w:t>
      </w:r>
    </w:p>
    <w:p>
      <w:pPr>
        <w:pStyle w:val="Normal"/>
        <w:numPr>
          <w:ilvl w:val="0"/>
          <w:numId w:val="5"/>
        </w:numPr>
        <w:tabs>
          <w:tab w:val="clear" w:pos="284"/>
          <w:tab w:val="left" w:pos="0" w:leader="none"/>
        </w:tabs>
        <w:suppressAutoHyphens w:val="true"/>
        <w:ind w:left="0" w:hanging="0"/>
        <w:rPr/>
      </w:pPr>
      <w:r>
        <w:rPr/>
        <w:t>To achieve measurements with an uncertainty as low as possible, it is absolutely necessary to exactly keep the same P to B configuration (cables, dual-polarized antenna.</w:t>
      </w:r>
    </w:p>
    <w:p>
      <w:pPr>
        <w:pStyle w:val="Heading2"/>
        <w:rPr/>
      </w:pPr>
      <w:bookmarkStart w:id="459" w:name="__RefHeading___Toc68601377"/>
      <w:bookmarkEnd w:id="459"/>
      <w:r>
        <w:rPr/>
        <w:t>B.2.2</w:t>
        <w:tab/>
        <w:t>Calibration procedure for Reverberation chamber method</w:t>
      </w:r>
    </w:p>
    <w:p>
      <w:pPr>
        <w:pStyle w:val="Normal"/>
        <w:tabs>
          <w:tab w:val="clear" w:pos="284"/>
          <w:tab w:val="left" w:pos="0" w:leader="none"/>
        </w:tabs>
        <w:ind w:left="18" w:hanging="0"/>
        <w:rPr/>
      </w:pPr>
      <w:r>
        <w:rPr/>
        <w:t>For the reverberation chamber method, all polarizations and transmission paths are included in one calibration measurement. The calibration antenna can be place in an arbitrarily position, as long as it is placed 0.5 wavelengths from other metallic objects and 0.7 wavelengths from absorbing objects. An illustration of the measurement setup for this procedure is shown in Figure B.2.2-1.</w:t>
      </w:r>
    </w:p>
    <w:p>
      <w:pPr>
        <w:pStyle w:val="Normal"/>
        <w:numPr>
          <w:ilvl w:val="0"/>
          <w:numId w:val="5"/>
        </w:numPr>
        <w:tabs>
          <w:tab w:val="clear" w:pos="284"/>
          <w:tab w:val="left" w:pos="0" w:leader="none"/>
        </w:tabs>
        <w:suppressAutoHyphens w:val="true"/>
        <w:ind w:left="0" w:hanging="0"/>
        <w:rPr/>
      </w:pPr>
      <w:r>
        <w:rPr/>
        <w:t>The purpose of the calibration measurement is to determine the average power transfer function in the chamber, mismatch of fixed measurement antennas and path losses in cables connecting the power sampling instrument and the fixed measurement antennas. Preferably a network analyzer is used for these measurements. Recommended calibration antennas are dipoles tuned to the frequency band of interest.</w:t>
      </w:r>
    </w:p>
    <w:p>
      <w:pPr>
        <w:pStyle w:val="Normal"/>
        <w:numPr>
          <w:ilvl w:val="0"/>
          <w:numId w:val="5"/>
        </w:numPr>
        <w:suppressAutoHyphens w:val="true"/>
        <w:rPr/>
      </w:pPr>
      <w:r>
        <w:rPr/>
        <w:t>In general, the calibration of a reverberation chamber is performed in three steps:</w:t>
      </w:r>
    </w:p>
    <w:p>
      <w:pPr>
        <w:pStyle w:val="B1"/>
        <w:numPr>
          <w:ilvl w:val="1"/>
          <w:numId w:val="5"/>
        </w:numPr>
        <w:tabs>
          <w:tab w:val="clear" w:pos="284"/>
          <w:tab w:val="left" w:pos="540" w:leader="none"/>
        </w:tabs>
        <w:suppressAutoHyphens w:val="true"/>
        <w:ind w:left="576" w:hanging="306"/>
        <w:rPr/>
      </w:pPr>
      <w:r>
        <w:rPr/>
        <w:t>1.</w:t>
        <w:tab/>
        <w:t>Measurement of S-parameters through the reverberation chamber for a complete stirring sequence</w:t>
      </w:r>
    </w:p>
    <w:p>
      <w:pPr>
        <w:pStyle w:val="B1"/>
        <w:numPr>
          <w:ilvl w:val="0"/>
          <w:numId w:val="5"/>
        </w:numPr>
        <w:tabs>
          <w:tab w:val="clear" w:pos="284"/>
          <w:tab w:val="left" w:pos="540" w:leader="none"/>
        </w:tabs>
        <w:suppressAutoHyphens w:val="true"/>
        <w:ind w:left="540" w:hanging="252"/>
        <w:rPr/>
      </w:pPr>
      <w:r>
        <w:rPr/>
        <w:t>2.</w:t>
        <w:tab/>
        <w:t>Calculation of the chamber reference transfer function</w:t>
      </w:r>
    </w:p>
    <w:p>
      <w:pPr>
        <w:pStyle w:val="B1"/>
        <w:numPr>
          <w:ilvl w:val="0"/>
          <w:numId w:val="5"/>
        </w:numPr>
        <w:tabs>
          <w:tab w:val="clear" w:pos="284"/>
          <w:tab w:val="left" w:pos="540" w:leader="none"/>
        </w:tabs>
        <w:suppressAutoHyphens w:val="true"/>
        <w:ind w:left="540" w:hanging="270"/>
        <w:rPr/>
      </w:pPr>
      <w:r>
        <w:rPr/>
        <w:t>3.</w:t>
        <w:tab/>
        <w:t>Measurement of connecting cable insertion loss</w:t>
      </w:r>
    </w:p>
    <w:p>
      <w:pPr>
        <w:pStyle w:val="Normal"/>
        <w:numPr>
          <w:ilvl w:val="0"/>
          <w:numId w:val="5"/>
        </w:numPr>
        <w:tabs>
          <w:tab w:val="clear" w:pos="284"/>
          <w:tab w:val="left" w:pos="0" w:leader="none"/>
        </w:tabs>
        <w:suppressAutoHyphens w:val="true"/>
        <w:ind w:left="0" w:hanging="0"/>
        <w:rPr/>
      </w:pPr>
      <w:r>
        <w:rPr/>
        <w:t>If several setups are used (e.g. empty chamber, chamber with head or hand phantom, etc.), steps 1 and 2 must be repeated for each configuration. The calibration measurement setup is shown in Figure B.2.2-1.</w:t>
      </w:r>
    </w:p>
    <w:p>
      <w:pPr>
        <w:pStyle w:val="TH"/>
        <w:numPr>
          <w:ilvl w:val="0"/>
          <w:numId w:val="5"/>
        </w:numPr>
        <w:suppressAutoHyphens w:val="true"/>
        <w:rPr/>
      </w:pPr>
      <w:r>
        <w:rPr/>
        <w:drawing>
          <wp:inline distT="0" distB="0" distL="0" distR="0">
            <wp:extent cx="5276215" cy="2781300"/>
            <wp:effectExtent l="0" t="0" r="0" b="0"/>
            <wp:docPr id="108" name="Objekt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Objekt 3" descr=""/>
                    <pic:cNvPicPr>
                      <a:picLocks noChangeAspect="1" noChangeArrowheads="1"/>
                    </pic:cNvPicPr>
                  </pic:nvPicPr>
                  <pic:blipFill>
                    <a:blip r:embed="rId104"/>
                    <a:srcRect l="-6" t="-2864" r="-1534" b="-290"/>
                    <a:stretch>
                      <a:fillRect/>
                    </a:stretch>
                  </pic:blipFill>
                  <pic:spPr bwMode="auto">
                    <a:xfrm>
                      <a:off x="0" y="0"/>
                      <a:ext cx="5276215" cy="2781300"/>
                    </a:xfrm>
                    <a:prstGeom prst="rect">
                      <a:avLst/>
                    </a:prstGeom>
                  </pic:spPr>
                </pic:pic>
              </a:graphicData>
            </a:graphic>
          </wp:inline>
        </w:drawing>
      </w:r>
    </w:p>
    <w:p>
      <w:pPr>
        <w:pStyle w:val="TF"/>
        <w:numPr>
          <w:ilvl w:val="0"/>
          <w:numId w:val="5"/>
        </w:numPr>
        <w:suppressAutoHyphens w:val="true"/>
        <w:rPr/>
      </w:pPr>
      <w:r>
        <w:rPr/>
        <w:t>Figure B.2.2-1: Calibration measurement setup in the reverberation chamber, using a vector network analyzer</w:t>
      </w:r>
    </w:p>
    <w:p>
      <w:pPr>
        <w:pStyle w:val="Normal"/>
        <w:rPr/>
      </w:pPr>
      <w:r>
        <w:rPr/>
      </w:r>
    </w:p>
    <w:p>
      <w:pPr>
        <w:pStyle w:val="Heading3"/>
        <w:rPr>
          <w:szCs w:val="28"/>
        </w:rPr>
      </w:pPr>
      <w:bookmarkStart w:id="460" w:name="__RefHeading___Toc68601378"/>
      <w:bookmarkEnd w:id="460"/>
      <w:r>
        <w:rPr/>
        <w:t>B.2.2.1</w:t>
        <w:tab/>
        <w:t>Measurement of S-parameters through the chamber for a complete stirring sequence</w:t>
      </w:r>
    </w:p>
    <w:p>
      <w:pPr>
        <w:pStyle w:val="Normal"/>
        <w:numPr>
          <w:ilvl w:val="0"/>
          <w:numId w:val="5"/>
        </w:numPr>
        <w:tabs>
          <w:tab w:val="clear" w:pos="284"/>
        </w:tabs>
        <w:suppressAutoHyphens w:val="true"/>
        <w:ind w:left="0" w:hanging="0"/>
        <w:rPr>
          <w:b/>
          <w:b/>
          <w:bCs/>
          <w:i/>
          <w:i/>
          <w:iCs/>
        </w:rPr>
      </w:pPr>
      <w:r>
        <w:rPr/>
        <w:t>This step will measure S-parameters through the reverberation chamber through a complete stirring sequence. This information is required to determine the chamber’s reference transfer function. The procedure must be performed separately for each measurement setup of which the loading of the chamber has been changed. The calibration procedure must be repeated for each frequency as defined above. Therefore, it is advantageous if the network analyzer can be set to a frequency sweep covering the defined frequencies, so that all frequencies of interest can be measured with a minimal number of measurement runs.</w:t>
      </w:r>
    </w:p>
    <w:p>
      <w:pPr>
        <w:pStyle w:val="B1"/>
        <w:numPr>
          <w:ilvl w:val="0"/>
          <w:numId w:val="5"/>
        </w:numPr>
        <w:tabs>
          <w:tab w:val="clear" w:pos="284"/>
          <w:tab w:val="left" w:pos="540" w:leader="none"/>
        </w:tabs>
        <w:suppressAutoHyphens w:val="true"/>
        <w:ind w:left="540" w:hanging="270"/>
        <w:rPr>
          <w:b/>
          <w:b/>
          <w:bCs/>
          <w:i/>
          <w:i/>
          <w:iCs/>
        </w:rPr>
      </w:pPr>
      <w:r>
        <w:rPr/>
        <w:t>i.</w:t>
        <w:tab/>
        <w:t>Place all objects into the RC which will be used during TRP or TRS measurements, including a head phantom, hand phantom and fixture for the EUT. This ensures that the loss in the chamber, which determines the average power transfer level, is the same during both calibration and test measurements. Also, if the EUT is large or contains many antennas, it may represent a noticeable loading of the chamber. It should then be present in the chamber and turned on during the calibration.</w:t>
      </w:r>
    </w:p>
    <w:p>
      <w:pPr>
        <w:pStyle w:val="B1"/>
        <w:numPr>
          <w:ilvl w:val="0"/>
          <w:numId w:val="5"/>
        </w:numPr>
        <w:tabs>
          <w:tab w:val="clear" w:pos="284"/>
          <w:tab w:val="left" w:pos="540" w:leader="none"/>
        </w:tabs>
        <w:suppressAutoHyphens w:val="true"/>
        <w:ind w:left="540" w:hanging="270"/>
        <w:rPr>
          <w:b/>
          <w:b/>
          <w:bCs/>
          <w:i/>
          <w:i/>
          <w:iCs/>
        </w:rPr>
      </w:pPr>
      <w:r>
        <w:rPr/>
        <w:t>ii.</w:t>
        <w:tab/>
        <w:t>Place the calibration antenna inside the chamber. The calibration antenna is preferably mounted on a low-loss dielectric fixture, to avoid effects from the fixture itself which may affect the EUT’s radiation efficiency and mismatch factor. The calibration antenna must be placed in the chamber in such a way that it is far enough from any walls, mode-stirrers, head phantom, hand phantom, or other object, such that the environment for the calibration antenna (taken over the complete stirring sequence) resembles a free space environment</w:t>
      </w:r>
      <w:r>
        <w:rPr>
          <w:b/>
          <w:bCs/>
          <w:i/>
          <w:iCs/>
        </w:rPr>
        <w:t>.</w:t>
      </w:r>
      <w:r>
        <w:rPr>
          <w:bCs/>
          <w:iCs/>
        </w:rPr>
        <w:t xml:space="preserve"> “Far enough away” depends on the type of calibration antenna used. For low gain nearly omni-directional antennas like dipoles, it is normally sufficient to ensure that this spacing is larger than 0.5 wavelengths. More directive calibration antennas should be situated towards the centre of the chamber. The calibration antenna should be present in the chamber during the TRP/TRS measurements.</w:t>
      </w:r>
    </w:p>
    <w:p>
      <w:pPr>
        <w:pStyle w:val="B1"/>
        <w:numPr>
          <w:ilvl w:val="0"/>
          <w:numId w:val="5"/>
        </w:numPr>
        <w:tabs>
          <w:tab w:val="clear" w:pos="284"/>
          <w:tab w:val="left" w:pos="540" w:leader="none"/>
        </w:tabs>
        <w:suppressAutoHyphens w:val="true"/>
        <w:ind w:left="540" w:hanging="270"/>
        <w:rPr>
          <w:b/>
          <w:b/>
          <w:bCs/>
          <w:i/>
          <w:i/>
          <w:iCs/>
        </w:rPr>
      </w:pPr>
      <w:r>
        <w:rPr/>
        <w:t>iii.</w:t>
        <w:tab/>
        <w:t>Calibrate the network analyzer with a full 2-port calibration in such a way that the vector S-parameters between the ports of the fixed measurement antenna and the calibration antenna can be accurately measured. Preferably, the network analyzer is set to perform a frequency sweep at each stirrer position. This will enable calibration of several frequency points during the same stirring sequence, thereby reducing calibration time. This will also enable frequency stirring, i.e., averaging the measured power transfer function over a small frequency bandwidth around each measured frequency point (moving frequency window). This will increase accuracy at the expense of frequency resolution.</w:t>
      </w:r>
    </w:p>
    <w:p>
      <w:pPr>
        <w:pStyle w:val="B1"/>
        <w:numPr>
          <w:ilvl w:val="0"/>
          <w:numId w:val="5"/>
        </w:numPr>
        <w:tabs>
          <w:tab w:val="clear" w:pos="284"/>
          <w:tab w:val="left" w:pos="540" w:leader="none"/>
        </w:tabs>
        <w:suppressAutoHyphens w:val="true"/>
        <w:ind w:left="540" w:hanging="270"/>
        <w:rPr>
          <w:b/>
          <w:b/>
          <w:bCs/>
          <w:i/>
          <w:i/>
          <w:iCs/>
        </w:rPr>
      </w:pPr>
      <w:r>
        <w:rPr/>
        <w:t>iv.</w:t>
        <w:tab/>
        <w:t>Connect the antennas and measure the S-parameters for each stirrer position and each fixed measurement antenna.</w:t>
      </w:r>
    </w:p>
    <w:p>
      <w:pPr>
        <w:pStyle w:val="Normal"/>
        <w:numPr>
          <w:ilvl w:val="0"/>
          <w:numId w:val="5"/>
        </w:numPr>
        <w:tabs>
          <w:tab w:val="clear" w:pos="284"/>
          <w:tab w:val="left" w:pos="0" w:leader="none"/>
        </w:tabs>
        <w:suppressAutoHyphens w:val="true"/>
        <w:ind w:left="0" w:hanging="0"/>
        <w:rPr/>
      </w:pPr>
      <w:r>
        <w:rPr/>
        <w:t>The number of stirrer positions in the chosen stirring sequence, i.e. the number of S-parameter samples at each frequency point, should be chosen in such a way that it is large enough to yield an acceptable statistical contribution to the total measurement uncertainty. As a guideline it should be larger than 100, preferable 200 or 400 to ensure that the number of independent samples is not severely limited by the total number of samples measured. The number of independent samples, which is a subset of all samples, determines the statistical contribution to the expanded accuracy (which is two times the standard deviation). This should be not less than 100 to ensure an expanded accuracy better than 0.5 dB. The number of independent samples depends on the operating frequency, volume of the chamber, efficacy of the chamber’s stirrers, the level of loading by absorbing objects, and whether or not frequency stirring is used.</w:t>
      </w:r>
    </w:p>
    <w:p>
      <w:pPr>
        <w:pStyle w:val="Normal"/>
        <w:numPr>
          <w:ilvl w:val="0"/>
          <w:numId w:val="5"/>
        </w:numPr>
        <w:tabs>
          <w:tab w:val="clear" w:pos="284"/>
          <w:tab w:val="left" w:pos="0" w:leader="none"/>
        </w:tabs>
        <w:suppressAutoHyphens w:val="true"/>
        <w:ind w:left="0" w:hanging="0"/>
        <w:rPr/>
      </w:pPr>
      <w:r>
        <w:rPr/>
        <w:t>The sequence of moving the stirrers to different positions may be either step-wise (stopping stirrer for each sample) or continuous (sampling on-the-fly). With continuous stirring it may not be possible to characterize the chamber over a wide frequency band at the same time.</w:t>
      </w:r>
    </w:p>
    <w:p>
      <w:pPr>
        <w:pStyle w:val="Heading3"/>
        <w:rPr/>
      </w:pPr>
      <w:bookmarkStart w:id="461" w:name="__RefHeading___Toc68601379"/>
      <w:bookmarkEnd w:id="461"/>
      <w:r>
        <w:rPr/>
        <w:t>B.2.2.2</w:t>
        <w:tab/>
        <w:t>Calculation of the chamber reference transfer function</w:t>
      </w:r>
    </w:p>
    <w:p>
      <w:pPr>
        <w:pStyle w:val="Normal"/>
        <w:rPr/>
      </w:pPr>
      <w:r>
        <w:rPr/>
        <w:t xml:space="preserve">From the S-parameters obtained in the calibration measurement, the chamber reference transfer function for fixed antenna </w:t>
      </w:r>
      <w:r>
        <w:rPr>
          <w:i/>
        </w:rPr>
        <w:t>n</w:t>
      </w:r>
      <w:r>
        <w:rPr/>
        <w:t xml:space="preserve"> can be calculated. The reflection coefficient for fixed antenna </w:t>
      </w:r>
      <w:r>
        <w:rPr>
          <w:i/>
        </w:rPr>
        <w:t xml:space="preserve">n </w:t>
      </w:r>
      <w:r>
        <w:rPr/>
        <w:t>can be calculated by the following equation,</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R</m:t>
              </m:r>
            </m:e>
            <m:sub>
              <m:r>
                <w:rPr>
                  <w:rFonts w:ascii="Cambria Math" w:hAnsi="Cambria Math"/>
                </w:rPr>
                <m:t xml:space="preserve">n</m:t>
              </m:r>
            </m:sub>
          </m:sSub>
          <m:r>
            <w:rPr>
              <w:rFonts w:ascii="Cambria Math" w:hAnsi="Cambria Math"/>
            </w:rPr>
            <m:t xml:space="preserve">=</m:t>
          </m:r>
          <m:sSup>
            <m:e>
              <m:d>
                <m:dPr>
                  <m:begChr m:val="|"/>
                  <m:endChr m:val="|"/>
                </m:dPr>
                <m:e>
                  <m:f>
                    <m:num>
                      <m:r>
                        <w:rPr>
                          <w:rFonts w:ascii="Cambria Math" w:hAnsi="Cambria Math"/>
                        </w:rPr>
                        <m:t xml:space="preserve">1</m:t>
                      </m:r>
                    </m:num>
                    <m:den>
                      <m:r>
                        <w:rPr>
                          <w:rFonts w:ascii="Cambria Math" w:hAnsi="Cambria Math"/>
                        </w:rPr>
                        <m:t xml:space="preserve">M</m:t>
                      </m:r>
                    </m:den>
                  </m:f>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S</m:t>
                          </m:r>
                        </m:e>
                        <m:sub>
                          <m:r>
                            <m:rPr>
                              <m:lit/>
                              <m:nor/>
                            </m:rPr>
                            <w:rPr>
                              <w:rFonts w:ascii="Cambria Math" w:hAnsi="Cambria Math"/>
                            </w:rPr>
                            <m:t xml:space="preserve">11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e>
                  </m:nary>
                </m:e>
              </m:d>
            </m:e>
            <m:sup>
              <m:r>
                <w:rPr>
                  <w:rFonts w:ascii="Cambria Math" w:hAnsi="Cambria Math"/>
                </w:rPr>
                <m:t xml:space="preserve">2</m:t>
              </m:r>
            </m:sup>
          </m:sSup>
          <m:r>
            <w:rPr>
              <w:rFonts w:ascii="Cambria Math" w:hAnsi="Cambria Math"/>
            </w:rPr>
            <m:t xml:space="preserve">=</m:t>
          </m:r>
          <m:sSup>
            <m:e>
              <m:d>
                <m:dPr>
                  <m:begChr m:val="|"/>
                  <m:endChr m:val="|"/>
                </m:dPr>
                <m:e>
                  <m:bar>
                    <m:barPr>
                      <m:pos m:val="top"/>
                    </m:barPr>
                    <m:e>
                      <m:sSub>
                        <m:e>
                          <m:r>
                            <w:rPr>
                              <w:rFonts w:ascii="Cambria Math" w:hAnsi="Cambria Math"/>
                            </w:rPr>
                            <m:t xml:space="preserve">S</m:t>
                          </m:r>
                        </m:e>
                        <m:sub>
                          <m:r>
                            <m:rPr>
                              <m:lit/>
                              <m:nor/>
                            </m:rPr>
                            <w:rPr>
                              <w:rFonts w:ascii="Cambria Math" w:hAnsi="Cambria Math"/>
                            </w:rPr>
                            <m:t xml:space="preserve">11</m:t>
                          </m:r>
                          <m:r>
                            <w:rPr>
                              <w:rFonts w:ascii="Cambria Math" w:hAnsi="Cambria Math"/>
                            </w:rPr>
                            <m:t xml:space="preserve">,</m:t>
                          </m:r>
                          <m:r>
                            <w:rPr>
                              <w:rFonts w:ascii="Cambria Math" w:hAnsi="Cambria Math"/>
                            </w:rPr>
                            <m:t xml:space="preserve">n</m:t>
                          </m:r>
                        </m:sub>
                      </m:sSub>
                    </m:e>
                  </m:bar>
                </m:e>
              </m:d>
            </m:e>
            <m:sup>
              <m:r>
                <w:rPr>
                  <w:rFonts w:ascii="Cambria Math" w:hAnsi="Cambria Math"/>
                </w:rPr>
                <m:t xml:space="preserve">2</m:t>
              </m:r>
            </m:sup>
          </m:sSup>
        </m:oMath>
      </m:oMathPara>
    </w:p>
    <w:p>
      <w:pPr>
        <w:pStyle w:val="Normal"/>
        <w:rPr/>
      </w:pPr>
      <w:r>
        <w:rPr/>
        <w:t>Thus, the chamber reference transfer function can be calculated by the following equation,</w:t>
      </w:r>
    </w:p>
    <w:p>
      <w:pPr>
        <w:pStyle w:val="EQ"/>
        <w:jc w:val="center"/>
        <w:rPr>
          <w:lang w:val="en-GB" w:eastAsia="en-GB"/>
        </w:rPr>
      </w:pPr>
      <w:r>
        <w:rPr>
          <w:lang w:val="en-GB" w:eastAsia="en-GB"/>
        </w:rPr>
      </w:r>
      <m:oMathPara xmlns:m="http://schemas.openxmlformats.org/officeDocument/2006/math">
        <m:oMathParaPr>
          <m:jc m:val="center"/>
        </m:oMathParaPr>
        <m:oMath>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M</m:t>
              </m:r>
            </m:den>
          </m:f>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f>
                <m:num>
                  <m:sSup>
                    <m:e>
                      <m:d>
                        <m:dPr>
                          <m:begChr m:val="|"/>
                          <m:endChr m:val="|"/>
                        </m:dPr>
                        <m:e>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e>
                      </m:d>
                    </m:e>
                    <m:sup>
                      <m:r>
                        <w:rPr>
                          <w:rFonts w:ascii="Cambria Math" w:hAnsi="Cambria Math"/>
                        </w:rPr>
                        <m:t xml:space="preserve">2</m:t>
                      </m:r>
                    </m:sup>
                  </m:sSup>
                </m:num>
                <m:den>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d>
                    <m:dPr>
                      <m:begChr m:val="("/>
                      <m:endChr m:val=")"/>
                    </m:dPr>
                    <m:e>
                      <m:r>
                        <w:rPr>
                          <w:rFonts w:ascii="Cambria Math" w:hAnsi="Cambria Math"/>
                        </w:rPr>
                        <m:t xml:space="preserve">1</m:t>
                      </m:r>
                      <m:r>
                        <w:rPr>
                          <w:rFonts w:ascii="Cambria Math" w:hAnsi="Cambria Math"/>
                        </w:rPr>
                        <m:t xml:space="preserve">−</m:t>
                      </m:r>
                      <m:sSup>
                        <m:e>
                          <m:d>
                            <m:dPr>
                              <m:begChr m:val="|"/>
                              <m:endChr m:val="|"/>
                            </m:dPr>
                            <m:e>
                              <m:bar>
                                <m:barPr>
                                  <m:pos m:val="top"/>
                                </m:barPr>
                                <m:e>
                                  <m:sSub>
                                    <m:e>
                                      <m:r>
                                        <w:rPr>
                                          <w:rFonts w:ascii="Cambria Math" w:hAnsi="Cambria Math"/>
                                        </w:rPr>
                                        <m:t xml:space="preserve">S</m:t>
                                      </m:r>
                                    </m:e>
                                    <m:sub>
                                      <m:r>
                                        <m:rPr>
                                          <m:lit/>
                                          <m:nor/>
                                        </m:rPr>
                                        <w:rPr>
                                          <w:rFonts w:ascii="Cambria Math" w:hAnsi="Cambria Math"/>
                                        </w:rPr>
                                        <m:t xml:space="preserve">22</m:t>
                                      </m:r>
                                    </m:sub>
                                  </m:sSub>
                                </m:e>
                              </m:bar>
                            </m:e>
                          </m:d>
                        </m:e>
                        <m:sup>
                          <m:r>
                            <w:rPr>
                              <w:rFonts w:ascii="Cambria Math" w:hAnsi="Cambria Math"/>
                            </w:rPr>
                            <m:t xml:space="preserve">2</m:t>
                          </m:r>
                        </m:sup>
                      </m:sSup>
                    </m:e>
                  </m:d>
                </m:den>
              </m:f>
            </m:e>
          </m:nary>
          <m:r>
            <w:rPr>
              <w:rFonts w:ascii="Cambria Math" w:hAnsi="Cambria Math"/>
            </w:rPr>
            <m:t xml:space="preserve">⋅</m:t>
          </m:r>
          <m:f>
            <m:num>
              <m:r>
                <w:rPr>
                  <w:rFonts w:ascii="Cambria Math" w:hAnsi="Cambria Math"/>
                </w:rPr>
                <m:t xml:space="preserve">1</m:t>
              </m:r>
            </m:num>
            <m:den>
              <m:sSub>
                <m:e>
                  <m:r>
                    <w:rPr>
                      <w:rFonts w:ascii="Cambria Math" w:hAnsi="Cambria Math"/>
                    </w:rPr>
                    <m:t xml:space="preserve">e</m:t>
                  </m:r>
                </m:e>
                <m:sub>
                  <m:r>
                    <m:rPr>
                      <m:lit/>
                      <m:nor/>
                    </m:rPr>
                    <w:rPr>
                      <w:rFonts w:ascii="Cambria Math" w:hAnsi="Cambria Math"/>
                    </w:rPr>
                    <m:t xml:space="preserve">ref</m:t>
                  </m:r>
                </m:sub>
              </m:sSub>
            </m:den>
          </m:f>
        </m:oMath>
      </m:oMathPara>
    </w:p>
    <w:p>
      <w:pPr>
        <w:pStyle w:val="EQ"/>
        <w:rPr/>
      </w:pPr>
      <w:r>
        <w:rPr>
          <w:position w:val="-50"/>
          <w:lang w:val="en-GB" w:eastAsia="en-GB"/>
        </w:rPr>
        <w:t xml:space="preserve">where </w:t>
      </w:r>
      <w:r>
        <w:rPr>
          <w:i/>
          <w:position w:val="-50"/>
          <w:lang w:val="en-GB" w:eastAsia="en-GB"/>
        </w:rPr>
        <w:t>M</w:t>
      </w:r>
      <w:r>
        <w:rPr>
          <w:position w:val="-50"/>
          <w:lang w:val="en-GB" w:eastAsia="en-GB"/>
        </w:rPr>
        <w:t xml:space="preserve"> is the total number of samples of the transfer function measured for each fixed measurement antenna and </w:t>
      </w:r>
      <w:r>
        <w:rPr>
          <w:lang w:val="en-GB" w:eastAsia="en-GB"/>
        </w:rPr>
        <w:t xml:space="preserve">   </w:t>
      </w:r>
      <w:r>
        <w:rPr>
          <w:lang w:val="en-GB" w:eastAsia="en-GB"/>
        </w:rPr>
      </w:r>
      <m:oMath xmlns:m="http://schemas.openxmlformats.org/officeDocument/2006/math">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oMath>
      <w:r>
        <w:rPr>
          <w:lang w:val="en-GB" w:eastAsia="en-GB"/>
        </w:rPr>
        <w:t xml:space="preserve"> is sample number m of the transfer function for measurement antenna n. Moreover, </w:t>
      </w:r>
      <w:r>
        <w:rPr>
          <w:lang w:val="en-GB" w:eastAsia="en-GB"/>
        </w:rPr>
      </w:r>
      <m:oMath xmlns:m="http://schemas.openxmlformats.org/officeDocument/2006/math">
        <m:bar>
          <m:barPr>
            <m:pos m:val="top"/>
          </m:barPr>
          <m:e>
            <m:sSub>
              <m:e>
                <m:r>
                  <w:rPr>
                    <w:rFonts w:ascii="Cambria Math" w:hAnsi="Cambria Math"/>
                  </w:rPr>
                  <m:t xml:space="preserve">S</m:t>
                </m:r>
              </m:e>
              <m:sub>
                <m:r>
                  <m:rPr>
                    <m:lit/>
                    <m:nor/>
                  </m:rPr>
                  <w:rPr>
                    <w:rFonts w:ascii="Cambria Math" w:hAnsi="Cambria Math"/>
                  </w:rPr>
                  <m:t xml:space="preserve">22</m:t>
                </m:r>
              </m:sub>
            </m:sSub>
          </m:e>
        </m:bar>
      </m:oMath>
      <w:r>
        <w:rPr>
          <w:lang w:val="en-GB" w:eastAsia="en-GB"/>
        </w:rPr>
        <w:t xml:space="preserve"> is the complex average of the calibration antenna reflection coefficient. Finally, </w:t>
      </w:r>
      <w:r>
        <w:rPr>
          <w:lang w:val="en-GB" w:eastAsia="en-GB"/>
        </w:rPr>
      </w:r>
      <m:oMath xmlns:m="http://schemas.openxmlformats.org/officeDocument/2006/math">
        <m:sSub>
          <m:e>
            <m:r>
              <w:rPr>
                <w:rFonts w:ascii="Cambria Math" w:hAnsi="Cambria Math"/>
              </w:rPr>
              <m:t xml:space="preserve">e</m:t>
            </m:r>
          </m:e>
          <m:sub>
            <m:r>
              <m:rPr>
                <m:lit/>
                <m:nor/>
              </m:rPr>
              <w:rPr>
                <w:rFonts w:ascii="Cambria Math" w:hAnsi="Cambria Math"/>
              </w:rPr>
              <m:t xml:space="preserve">ref</m:t>
            </m:r>
          </m:sub>
        </m:sSub>
      </m:oMath>
      <w:r>
        <w:rPr>
          <w:lang w:val="en-GB" w:eastAsia="en-GB"/>
        </w:rPr>
        <w:t xml:space="preserve"> is the radiation efficiency of the calibration antenna.</w:t>
      </w:r>
    </w:p>
    <w:p>
      <w:pPr>
        <w:pStyle w:val="NO"/>
        <w:rPr/>
      </w:pPr>
      <w:r>
        <w:rPr/>
        <w:t>NOTE:</w:t>
        <w:tab/>
        <w:t>The radiation efficiency of the fixed antenna is not corrected for because it will be the same both during calibration and measurements. Therefore, the fixed antenna’s radiation efficiency will not affect the final results. The same can be said about the mismatch factor of the fixed measurement antennas, but it is still advantageous to correct for this factor if frequency stirring is applied to improve accuracy.</w:t>
      </w:r>
    </w:p>
    <w:p>
      <w:pPr>
        <w:pStyle w:val="Heading3"/>
        <w:rPr>
          <w:rFonts w:eastAsia="Arial"/>
        </w:rPr>
      </w:pPr>
      <w:bookmarkStart w:id="462" w:name="__RefHeading___Toc68601380"/>
      <w:bookmarkEnd w:id="462"/>
      <w:r>
        <w:rPr>
          <w:rFonts w:eastAsia="Arial"/>
        </w:rPr>
        <w:t>B.2.2.3</w:t>
        <w:tab/>
        <w:t>Cable calibration</w:t>
      </w:r>
    </w:p>
    <w:p>
      <w:pPr>
        <w:pStyle w:val="Normal"/>
        <w:rPr>
          <w:b/>
          <w:b/>
          <w:bCs/>
          <w:i/>
          <w:i/>
          <w:iCs/>
        </w:rPr>
      </w:pPr>
      <w:r>
        <w:rPr/>
        <w:t>This measurement step will calibrate the power loss of the cable needed to connect the instrument used to measure the received power at the fixed measurement antenna during TRP measurements, and to generate the power radiated by the fixed antenna during TRS measurements.</w:t>
      </w:r>
    </w:p>
    <w:p>
      <w:pPr>
        <w:pStyle w:val="B1"/>
        <w:rPr>
          <w:b/>
          <w:b/>
          <w:bCs/>
          <w:i/>
          <w:i/>
          <w:iCs/>
        </w:rPr>
      </w:pPr>
      <w:r>
        <w:rPr/>
        <w:t>i.</w:t>
        <w:tab/>
        <w:t>Disconnect the cables between the VNA and the chamber</w:t>
      </w:r>
      <w:r>
        <w:rPr>
          <w:rStyle w:val="CommentReference"/>
          <w:rFonts w:cs="Calibri" w:ascii="Calibri" w:hAnsi="Calibri"/>
          <w:lang w:bidi="en-US"/>
        </w:rPr>
        <w:t>.</w:t>
      </w:r>
    </w:p>
    <w:p>
      <w:pPr>
        <w:pStyle w:val="B1"/>
        <w:rPr>
          <w:b/>
          <w:b/>
          <w:bCs/>
          <w:i/>
          <w:i/>
          <w:iCs/>
        </w:rPr>
      </w:pPr>
      <w:r>
        <w:rPr/>
        <w:t>ii.</w:t>
        <w:tab/>
        <w:t>Connect the cables one-by-one between the two ports of the network analyzer. The VNA must be calibrated at its own two ports.</w:t>
      </w:r>
    </w:p>
    <w:p>
      <w:pPr>
        <w:pStyle w:val="B1"/>
        <w:rPr>
          <w:b/>
          <w:b/>
          <w:bCs/>
          <w:i/>
          <w:i/>
          <w:iCs/>
        </w:rPr>
      </w:pPr>
      <w:r>
        <w:rPr/>
        <w:t>iii.</w:t>
        <w:tab/>
        <w:t>Measure the frequency response of the transmission S-parameter (</w:t>
      </w:r>
      <w:r>
        <w:rPr/>
        <w:object w:dxaOrig="300" w:dyaOrig="300">
          <v:shapetype id="_x0000_tole_rId105" coordsize="21600,21600" o:spt="ole_rId1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 type="_x0000_tole_rId105" style="width:15pt;height:15pt" filled="f" o:ole="">
            <v:imagedata r:id="rId106" o:title=""/>
          </v:shape>
          <o:OLEObject Type="Embed" ProgID="" ShapeID="ole_rId105" DrawAspect="Content" ObjectID="_1755740508" r:id="rId105"/>
        </w:object>
      </w:r>
      <w:r>
        <w:rPr/>
        <w:t xml:space="preserve"> or </w:t>
      </w:r>
      <w:r>
        <w:rPr/>
        <w:object w:dxaOrig="300" w:dyaOrig="300">
          <v:shapetype id="_x0000_tole_rId107" coordsize="21600,21600" o:spt="ole_rId1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 type="_x0000_tole_rId107" style="width:15pt;height:15pt" filled="f" o:ole="">
            <v:imagedata r:id="rId108" o:title=""/>
          </v:shape>
          <o:OLEObject Type="Embed" ProgID="" ShapeID="ole_rId107" DrawAspect="Content" ObjectID="_2142465020" r:id="rId107"/>
        </w:object>
      </w:r>
      <w:r>
        <w:rPr/>
        <w:t>) of the cable.</w:t>
      </w:r>
    </w:p>
    <w:p>
      <w:pPr>
        <w:pStyle w:val="Normal"/>
        <w:ind w:left="540" w:hanging="270"/>
        <w:rPr/>
      </w:pPr>
      <w:r>
        <w:rPr/>
        <w:t>iv.</w:t>
        <w:tab/>
        <w:t>Save the power transfer values (</w:t>
      </w:r>
      <w:r>
        <w:rPr/>
        <w:object w:dxaOrig="460" w:dyaOrig="380">
          <v:shapetype id="_x0000_tole_rId109" coordsize="21600,21600" o:spt="ole_rId1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 type="_x0000_tole_rId109" style="width:23pt;height:19pt" filled="f" o:ole="">
            <v:imagedata r:id="rId110" o:title=""/>
          </v:shape>
          <o:OLEObject Type="Embed" ProgID="" ShapeID="ole_rId109" DrawAspect="Content" ObjectID="_1048962541" r:id="rId109"/>
        </w:object>
      </w:r>
      <w:r>
        <w:rPr/>
        <w:t xml:space="preserve">) of the frequency response curve for the test </w:t>
      </w:r>
      <w:r>
        <w:rPr>
          <w:color w:val="000000"/>
        </w:rPr>
        <w:t>frequencies</w:t>
      </w:r>
      <w:r>
        <w:rPr/>
        <w:t xml:space="preserve"> and cables positions, etc).</w:t>
      </w:r>
    </w:p>
    <w:p>
      <w:pPr>
        <w:pStyle w:val="Normal"/>
        <w:rPr/>
      </w:pPr>
      <w:r>
        <w:rPr/>
        <w:t>Calibration shall be performed yearly or if any equipment in the measurement system is changed.</w:t>
      </w:r>
    </w:p>
    <w:p>
      <w:pPr>
        <w:pStyle w:val="Heading2"/>
        <w:rPr/>
      </w:pPr>
      <w:bookmarkStart w:id="463" w:name="__RefHeading___Toc68601381"/>
      <w:bookmarkEnd w:id="463"/>
      <w:r>
        <w:rPr/>
        <w:t>B.2.3</w:t>
        <w:tab/>
        <w:t>Calibration procedure for Anechoic chamber method with Multiprobe configuration</w:t>
      </w:r>
    </w:p>
    <w:p>
      <w:pPr>
        <w:pStyle w:val="Normal"/>
        <w:rPr/>
      </w:pPr>
      <w:r>
        <w:rPr/>
        <w:t xml:space="preserve">The system needs to be calibrated in two steps in order to ensure that the absolute power is correct. The first calibration steps ensures the accurate generation of the channel model in the centre of the chamber as required by </w:t>
      </w:r>
      <w:r>
        <w:rPr>
          <w:rFonts w:eastAsia="PMingLiU;新細明體"/>
          <w:lang w:eastAsia="zh-TW"/>
        </w:rPr>
        <w:t>Annex L.4</w:t>
      </w:r>
      <w:r>
        <w:rPr/>
        <w:t xml:space="preserve">. </w:t>
        <w:br/>
        <w:t>The second step validates the total power as would be seen by the DUT and allows for that power to be scaled up or down if necessary.</w:t>
      </w:r>
    </w:p>
    <w:p>
      <w:pPr>
        <w:pStyle w:val="Normal"/>
        <w:rPr/>
      </w:pPr>
      <w:r>
        <w:rPr/>
        <w:t>Considering the complexity of the system various way to calibrate are possible. The end goals are however the same no matter the exact procedure. The two steps must achieve the following:</w:t>
      </w:r>
    </w:p>
    <w:p>
      <w:pPr>
        <w:pStyle w:val="B1"/>
        <w:rPr/>
      </w:pPr>
      <w:r>
        <w:rPr/>
        <w:tab/>
      </w:r>
      <w:r>
        <w:rPr>
          <w:b/>
        </w:rPr>
        <w:t>Step 1:</w:t>
      </w:r>
      <w:r>
        <w:rPr/>
        <w:t xml:space="preserve"> This step is used to equalize the power in the centre coming from the different probes. This being a relative measurement is very robust and with minimal uncertainty. It is sufficient to use instruments calibrated according to the manufacturer's specifications and the measurements require no additional calibration. This step is done for both vertical and horizontal polarizations. The relative differences between probe path losses are recorded and used (typically in the fading emulator) to adjust the generated fading signals for each probe. Example measurement set-up is shown in Figure </w:t>
      </w:r>
      <w:r>
        <w:rPr>
          <w:rFonts w:eastAsia="PMingLiU;新細明體"/>
          <w:lang w:eastAsia="zh-TW"/>
        </w:rPr>
        <w:t>B.2.3.1-1</w:t>
      </w:r>
      <w:r>
        <w:rPr/>
        <w:t>.</w:t>
      </w:r>
    </w:p>
    <w:p>
      <w:pPr>
        <w:pStyle w:val="NO"/>
        <w:rPr/>
      </w:pPr>
      <w:r>
        <w:rPr/>
        <w:t xml:space="preserve">NOTE 1: </w:t>
        <w:tab/>
        <w:t>If Step 1 is performed as an absolute measurement accounting for the cable and reference antenna gains Step 2 can be omitted.</w:t>
      </w:r>
    </w:p>
    <w:p>
      <w:pPr>
        <w:pStyle w:val="B1"/>
        <w:rPr/>
      </w:pPr>
      <w:r>
        <w:rPr/>
        <w:tab/>
      </w:r>
      <w:r>
        <w:rPr>
          <w:b/>
        </w:rPr>
        <w:t>Step 2:</w:t>
      </w:r>
      <w:r>
        <w:rPr/>
        <w:t xml:space="preserve"> This step is used to measure the total absolute power of at least one polarization in the centre of the ring. Then assuming that validation of the channel models has been done, the total power available to the DUT in the centre of the chamber can be computed. If necessary the power can be scaled up or down to achieve the desired power level. Since this is an absolute power measurement, the measurement cable and reference antenna gains have to be accounted for.</w:t>
      </w:r>
    </w:p>
    <w:p>
      <w:pPr>
        <w:pStyle w:val="NO"/>
        <w:rPr/>
      </w:pPr>
      <w:r>
        <w:rPr/>
        <w:t xml:space="preserve">NOTE 2: </w:t>
        <w:tab/>
        <w:t>To minimize measurement uncertainty the passive and active components of the system may be calibrated independently as well as at different intervals.</w:t>
      </w:r>
    </w:p>
    <w:p>
      <w:pPr>
        <w:pStyle w:val="NO"/>
        <w:rPr/>
      </w:pPr>
      <w:r>
        <w:rPr/>
        <w:t xml:space="preserve">NOTE 3: </w:t>
        <w:tab/>
        <w:t>Step 2 of the calibration should be performed with the channel model loaded and LTE signalling active. Sufficient amount of time averaging is required because of the fading nature of the models used.</w:t>
      </w:r>
    </w:p>
    <w:p>
      <w:pPr>
        <w:pStyle w:val="NO"/>
        <w:rPr/>
      </w:pPr>
      <w:r>
        <w:rPr/>
        <w:t xml:space="preserve">NOTE 4: </w:t>
        <w:tab/>
        <w:t xml:space="preserve">Various ways of performing the two steps may exist depending on the equipment used. </w:t>
        <w:br/>
        <w:t>The lab is responsible for providing a comprehensive calibration procedure.</w:t>
      </w:r>
    </w:p>
    <w:p>
      <w:pPr>
        <w:pStyle w:val="NO"/>
        <w:rPr/>
      </w:pPr>
      <w:r>
        <w:rPr/>
        <w:t xml:space="preserve">NOTE 5: </w:t>
        <w:tab/>
        <w:t>Steps one and two may be combined with the channel verification procedure.</w:t>
      </w:r>
    </w:p>
    <w:p>
      <w:pPr>
        <w:pStyle w:val="NO"/>
        <w:rPr/>
      </w:pPr>
      <w:r>
        <w:rPr/>
        <w:t xml:space="preserve">NOTE 6: </w:t>
        <w:tab/>
        <w:t>The calibration must be performed for all frequencies of interest.</w:t>
      </w:r>
    </w:p>
    <w:p>
      <w:pPr>
        <w:pStyle w:val="Heading3"/>
        <w:rPr>
          <w:rFonts w:eastAsia="Arial"/>
        </w:rPr>
      </w:pPr>
      <w:bookmarkStart w:id="464" w:name="__RefHeading___Toc68601382"/>
      <w:bookmarkEnd w:id="464"/>
      <w:r>
        <w:rPr>
          <w:rFonts w:eastAsia="Arial"/>
        </w:rPr>
        <w:t>B.2.3.1</w:t>
        <w:tab/>
        <w:t>Example Calibration Procedure</w:t>
      </w:r>
    </w:p>
    <w:p>
      <w:pPr>
        <w:pStyle w:val="Normal"/>
        <w:rPr/>
      </w:pPr>
      <w:r>
        <w:rPr/>
        <w:t>The calibration procedure outlined below is only one possibility based on a concrete measurement set-up. Improvements can be made to minimize measurement uncertainty.</w:t>
      </w:r>
    </w:p>
    <w:p>
      <w:pPr>
        <w:pStyle w:val="H6"/>
        <w:rPr/>
      </w:pPr>
      <w:r>
        <w:rPr/>
        <w:t>Step 1</w:t>
      </w:r>
      <w:r>
        <w:rPr>
          <w:rFonts w:eastAsia="PMingLiU;新細明體"/>
          <w:lang w:eastAsia="zh-TW"/>
        </w:rPr>
        <w:t xml:space="preserve"> </w:t>
      </w:r>
      <w:r>
        <w:rPr/>
        <w:t>(see Figure B.2.3.1-</w:t>
      </w:r>
      <w:r>
        <w:rPr>
          <w:rFonts w:eastAsia="PMingLiU;新細明體"/>
          <w:lang w:eastAsia="zh-TW"/>
        </w:rPr>
        <w:t>1</w:t>
      </w:r>
      <w:r>
        <w:rPr/>
        <w:t>)</w:t>
      </w:r>
    </w:p>
    <w:p>
      <w:pPr>
        <w:pStyle w:val="B1"/>
        <w:rPr/>
      </w:pPr>
      <w:r>
        <w:rPr/>
        <w:t>1. Place a vertical reference dipole in the centre of the chamber, connected to a VNA port, with the other VNA port connected to the input of the channel emulator unit.</w:t>
      </w:r>
    </w:p>
    <w:p>
      <w:pPr>
        <w:pStyle w:val="B1"/>
        <w:rPr/>
      </w:pPr>
      <w:r>
        <w:rPr/>
        <w:t>2. Configure the channel emulator for bypass mode (NOTE this might not be available in all instruments)</w:t>
      </w:r>
    </w:p>
    <w:p>
      <w:pPr>
        <w:pStyle w:val="B1"/>
        <w:rPr/>
      </w:pPr>
      <w:r>
        <w:rPr/>
        <w:t>3. Measure the response of each path from each vertical polarization probe to the reference antenna in the centre.</w:t>
      </w:r>
    </w:p>
    <w:p>
      <w:pPr>
        <w:pStyle w:val="B1"/>
        <w:rPr/>
      </w:pPr>
      <w:r>
        <w:rPr/>
        <w:t>4. Adjust the power on all vertical polarization branches of the channel emulator so that the powers received at the centre are equal.</w:t>
      </w:r>
    </w:p>
    <w:p>
      <w:pPr>
        <w:pStyle w:val="B1"/>
        <w:rPr/>
      </w:pPr>
      <w:r>
        <w:rPr/>
        <w:t>5. Repeat the steps 1 to 4 with the magnetic loop and horizontally polarized probes instead, and adjust the horizontal polarization branches of the channel emulator.</w:t>
      </w:r>
    </w:p>
    <w:p>
      <w:pPr>
        <w:pStyle w:val="NO"/>
        <w:rPr>
          <w:rFonts w:eastAsia="PMingLiU;新細明體"/>
          <w:lang w:eastAsia="zh-TW"/>
        </w:rPr>
      </w:pPr>
      <w:r>
        <w:rPr/>
        <w:t>NOTE:</w:t>
        <w:tab/>
        <w:t>At this stage all vertical polarization paths have equalized gains, and so do all horizontal polarization paths. The two polarizations however do not necessarily produce the same signal strength in the centre of the chamber – this most commonly happens if two physically different channel emulators are used for the two polarizations. The resulting power imbalance can be accounted for either at this step or adjusted at point 7 of step 2.</w:t>
      </w:r>
    </w:p>
    <w:p>
      <w:pPr>
        <w:pStyle w:val="TH"/>
        <w:rPr/>
      </w:pPr>
      <w:r>
        <w:rPr/>
        <w:drawing>
          <wp:inline distT="0" distB="0" distL="0" distR="0">
            <wp:extent cx="3837940" cy="1924050"/>
            <wp:effectExtent l="0" t="0" r="0" b="0"/>
            <wp:docPr id="10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4" descr=""/>
                    <pic:cNvPicPr>
                      <a:picLocks noChangeAspect="1" noChangeArrowheads="1"/>
                    </pic:cNvPicPr>
                  </pic:nvPicPr>
                  <pic:blipFill>
                    <a:blip r:embed="rId111"/>
                    <a:srcRect l="-5" t="-10" r="-5" b="-10"/>
                    <a:stretch>
                      <a:fillRect/>
                    </a:stretch>
                  </pic:blipFill>
                  <pic:spPr bwMode="auto">
                    <a:xfrm>
                      <a:off x="0" y="0"/>
                      <a:ext cx="3837940" cy="1924050"/>
                    </a:xfrm>
                    <a:prstGeom prst="rect">
                      <a:avLst/>
                    </a:prstGeom>
                  </pic:spPr>
                </pic:pic>
              </a:graphicData>
            </a:graphic>
          </wp:inline>
        </w:drawing>
      </w:r>
    </w:p>
    <w:p>
      <w:pPr>
        <w:pStyle w:val="TF"/>
        <w:rPr/>
      </w:pPr>
      <w:r>
        <w:rPr/>
        <w:t>Figure B.2.3.1-1: Setup for VNA measurements</w:t>
      </w:r>
    </w:p>
    <w:p>
      <w:pPr>
        <w:pStyle w:val="Normal"/>
        <w:rPr/>
      </w:pPr>
      <w:r>
        <w:rPr/>
      </w:r>
    </w:p>
    <w:p>
      <w:pPr>
        <w:pStyle w:val="H6"/>
        <w:rPr/>
      </w:pPr>
      <w:r>
        <w:rPr/>
        <w:t>Step 2 (see Figure B.2.3.1-</w:t>
      </w:r>
      <w:r>
        <w:rPr>
          <w:rFonts w:eastAsia="PMingLiU;新細明體"/>
          <w:lang w:eastAsia="zh-TW"/>
        </w:rPr>
        <w:t>2</w:t>
      </w:r>
      <w:r>
        <w:rPr/>
        <w:t>)</w:t>
      </w:r>
    </w:p>
    <w:p>
      <w:pPr>
        <w:pStyle w:val="B1"/>
        <w:rPr/>
      </w:pPr>
      <w:r>
        <w:rPr/>
        <w:t>1. Place a vertical reference dipole in the centre of the chamber connected to a spectrum analyzer via an RF cable. NOTE: A power meter can also be used.</w:t>
      </w:r>
    </w:p>
    <w:p>
      <w:pPr>
        <w:pStyle w:val="B1"/>
        <w:rPr/>
      </w:pPr>
      <w:r>
        <w:rPr/>
        <w:t>2. Record the cable and reference dipole gains.</w:t>
      </w:r>
    </w:p>
    <w:p>
      <w:pPr>
        <w:pStyle w:val="B1"/>
        <w:rPr/>
      </w:pPr>
      <w:r>
        <w:rPr/>
        <w:t>3. Load the target channel model</w:t>
      </w:r>
    </w:p>
    <w:p>
      <w:pPr>
        <w:pStyle w:val="B1"/>
        <w:rPr/>
      </w:pPr>
      <w:r>
        <w:rPr/>
        <w:t>4. Start the LTE signalling in the base station emulator with the required parameter identical to the measurements conditions (some special instrument options might be necessary).</w:t>
      </w:r>
    </w:p>
    <w:p>
      <w:pPr>
        <w:pStyle w:val="B1"/>
        <w:rPr/>
      </w:pPr>
      <w:r>
        <w:rPr/>
        <w:t>5. Average the power received by the spectrum analyzer for a sufficient amount of time to account for the fading channel – one full channel simulation might be unnecessary.</w:t>
      </w:r>
    </w:p>
    <w:p>
      <w:pPr>
        <w:pStyle w:val="B1"/>
        <w:rPr/>
      </w:pPr>
      <w:r>
        <w:rPr/>
        <w:t>6. Repeat steps 1 to 4 with a magnetic loop for the horizontal polarization (NOTE: this way no prior validation of the channel model is required)</w:t>
      </w:r>
    </w:p>
    <w:p>
      <w:pPr>
        <w:pStyle w:val="B1"/>
        <w:rPr/>
      </w:pPr>
      <w:r>
        <w:rPr/>
        <w:t>7. Calculate the total power received at the test area as the sum of the power in the two polarizations.</w:t>
      </w:r>
    </w:p>
    <w:p>
      <w:pPr>
        <w:pStyle w:val="B1"/>
        <w:rPr/>
      </w:pPr>
      <w:r>
        <w:rPr/>
        <w:t>8. Adjust the power in the two polarizations if necessary. The power adjustment can be a simple scaling of the power up or down or adjustment of the XPR due to slight differences in the fading unit's branches. Depending on the adjustment needed, it can be done at the base station emulator or the channel emulator or both.</w:t>
      </w:r>
    </w:p>
    <w:p>
      <w:pPr>
        <w:pStyle w:val="TH"/>
        <w:rPr/>
      </w:pPr>
      <w:r>
        <w:rPr/>
        <w:drawing>
          <wp:inline distT="0" distB="0" distL="0" distR="0">
            <wp:extent cx="5117465" cy="2467610"/>
            <wp:effectExtent l="0" t="0" r="0" b="0"/>
            <wp:docPr id="11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2" descr=""/>
                    <pic:cNvPicPr>
                      <a:picLocks noChangeAspect="1" noChangeArrowheads="1"/>
                    </pic:cNvPicPr>
                  </pic:nvPicPr>
                  <pic:blipFill>
                    <a:blip r:embed="rId112"/>
                    <a:srcRect l="-8" t="-17" r="-8" b="-17"/>
                    <a:stretch>
                      <a:fillRect/>
                    </a:stretch>
                  </pic:blipFill>
                  <pic:spPr bwMode="auto">
                    <a:xfrm>
                      <a:off x="0" y="0"/>
                      <a:ext cx="5117465" cy="2467610"/>
                    </a:xfrm>
                    <a:prstGeom prst="rect">
                      <a:avLst/>
                    </a:prstGeom>
                  </pic:spPr>
                </pic:pic>
              </a:graphicData>
            </a:graphic>
          </wp:inline>
        </w:drawing>
      </w:r>
    </w:p>
    <w:p>
      <w:pPr>
        <w:pStyle w:val="TF"/>
        <w:rPr/>
      </w:pPr>
      <w:r>
        <w:rPr/>
        <w:t xml:space="preserve">Figure </w:t>
      </w:r>
      <w:r>
        <w:rPr>
          <w:rFonts w:eastAsia="PMingLiU;新細明體"/>
          <w:lang w:eastAsia="zh-TW"/>
        </w:rPr>
        <w:t>B</w:t>
      </w:r>
      <w:r>
        <w:rPr/>
        <w:t>.2.</w:t>
      </w:r>
      <w:r>
        <w:rPr>
          <w:rFonts w:eastAsia="PMingLiU;新細明體"/>
          <w:lang w:eastAsia="zh-TW"/>
        </w:rPr>
        <w:t>3.1</w:t>
      </w:r>
      <w:r>
        <w:rPr/>
        <w:t>-</w:t>
      </w:r>
      <w:r>
        <w:rPr>
          <w:rFonts w:eastAsia="PMingLiU;新細明體"/>
          <w:lang w:eastAsia="zh-TW"/>
        </w:rPr>
        <w:t>2</w:t>
      </w:r>
      <w:r>
        <w:rPr/>
        <w:t>: Example setup for step 2 of the calibration</w:t>
      </w:r>
    </w:p>
    <w:p>
      <w:pPr>
        <w:pStyle w:val="Normal"/>
        <w:rPr>
          <w:rFonts w:eastAsia="PMingLiU;新細明體"/>
          <w:lang w:eastAsia="zh-TW"/>
        </w:rPr>
      </w:pPr>
      <w:r>
        <w:rPr>
          <w:rFonts w:eastAsia="PMingLiU;新細明體"/>
          <w:lang w:eastAsia="zh-TW"/>
        </w:rPr>
      </w:r>
    </w:p>
    <w:p>
      <w:pPr>
        <w:pStyle w:val="Heading2"/>
        <w:rPr/>
      </w:pPr>
      <w:bookmarkStart w:id="465" w:name="__RefHeading___Toc68601383"/>
      <w:bookmarkEnd w:id="465"/>
      <w:r>
        <w:rPr/>
        <w:t>B.2.4</w:t>
        <w:tab/>
        <w:t>Calibration procedure for RTS method</w:t>
      </w:r>
    </w:p>
    <w:p>
      <w:pPr>
        <w:pStyle w:val="Normal"/>
        <w:rPr/>
      </w:pPr>
      <w:r>
        <w:rPr/>
        <w:t>For the RTS method, only the DUT reporting RSAP calibration is to perform. The RTS method depends on reported RSAP to do the antenna pattern measurement, and the power calibration for radiated second-stage throughput test. Since these reported readings do not come from a calibrated measurement instrument, their accuracies are often subject to questioning. Below procedure provides method for proper calibration to validate the reported RSAP accuracy.</w:t>
      </w:r>
    </w:p>
    <w:p>
      <w:pPr>
        <w:pStyle w:val="B1"/>
        <w:rPr/>
      </w:pPr>
      <w:r>
        <w:rPr/>
        <w:t>-</w:t>
        <w:tab/>
        <w:t>DUT reporting RSAP calibration:</w:t>
      </w:r>
    </w:p>
    <w:p>
      <w:pPr>
        <w:pStyle w:val="Normal"/>
        <w:rPr/>
      </w:pPr>
      <w:r>
        <w:rPr/>
        <w:t>With proper spherical coordinate definition of mobile terminal setup, the receive antenna pattern at any coordinate (θi, ϕi) can be expressed as:</w:t>
      </w:r>
    </w:p>
    <w:p>
      <w:pPr>
        <w:pStyle w:val="EQ"/>
        <w:jc w:val="center"/>
        <w:rPr>
          <w:lang w:val="en-GB" w:eastAsia="en-GB"/>
        </w:rPr>
      </w:pPr>
      <w:r>
        <w:rPr>
          <w:lang w:val="en-GB" w:eastAsia="en-GB"/>
        </w:rPr>
        <w:t>P(θi, ϕi)= RSi  (1)</w:t>
      </w:r>
    </w:p>
    <w:p>
      <w:pPr>
        <w:pStyle w:val="Normal"/>
        <w:rPr/>
      </w:pPr>
      <w:r>
        <w:rPr/>
        <w:t>The test point (θi, ϕi) can be at any point on the 4π solid angle of the coordinate. More precisely, the reported RS of the UE can be expressed as:</w:t>
      </w:r>
    </w:p>
    <w:p>
      <w:pPr>
        <w:pStyle w:val="EQ"/>
        <w:jc w:val="center"/>
        <w:rPr>
          <w:lang w:val="en-GB" w:eastAsia="en-GB"/>
        </w:rPr>
      </w:pPr>
      <w:r>
        <w:rPr>
          <w:lang w:val="en-GB" w:eastAsia="en-GB"/>
        </w:rPr>
        <w:t>RSi (x)= m(x)*x+c  (2)</w:t>
      </w:r>
    </w:p>
    <w:p>
      <w:pPr>
        <w:pStyle w:val="Normal"/>
        <w:rPr/>
      </w:pPr>
      <w:r>
        <w:rPr/>
        <w:t>where m(x</w:t>
      </w:r>
      <w:r>
        <w:rPr>
          <w:vertAlign w:val="subscript"/>
        </w:rPr>
        <w:t>i</w:t>
      </w:r>
      <w:r>
        <w:rPr/>
        <w:t>) and c is a function of signal strength independent of testing point angular coordinates. x is the actual incident field power density that can be derived from the signal power and test range loss.  The above equation (2) assumes that the signal variables in both sides of the equation are expressed in decibels or dB. When m(x)=1 and c=g</w:t>
      </w:r>
      <w:r>
        <w:rPr>
          <w:vertAlign w:val="subscript"/>
        </w:rPr>
        <w:t>0</w:t>
      </w:r>
      <w:r>
        <w:rPr/>
        <w:t>, where g</w:t>
      </w:r>
      <w:r>
        <w:rPr>
          <w:vertAlign w:val="subscript"/>
        </w:rPr>
        <w:t>0</w:t>
      </w:r>
      <w:r>
        <w:rPr/>
        <w:t xml:space="preserve"> is the received antenna gain at the test point, we would have declared that the RS report is a true reading of the signal strength.  But in reality, m(x) can be biased by either the signal level relative to the receiver's detector operating condition, or by application software programming errors. Meanwhile, the offset constant c can also be biased by either the noise floor of the receiver and/or other artificial factors in the UE RS reporting. Therefore, a Taylor's series can be introduced to have a better representation of the RS report value:</w:t>
      </w:r>
    </w:p>
    <w:p>
      <w:pPr>
        <w:pStyle w:val="EQ"/>
        <w:jc w:val="center"/>
        <w:rPr/>
      </w:pPr>
      <w:r>
        <w:rPr>
          <w:lang w:val="en-GB" w:eastAsia="en-GB"/>
        </w:rPr>
        <w:t>RSi (x)= c +ax+ bx</w:t>
      </w:r>
      <w:r>
        <w:rPr>
          <w:vertAlign w:val="superscript"/>
          <w:lang w:val="en-GB" w:eastAsia="en-GB"/>
        </w:rPr>
        <w:t>2</w:t>
      </w:r>
      <w:r>
        <w:rPr>
          <w:lang w:val="en-GB" w:eastAsia="en-GB"/>
        </w:rPr>
        <w:t xml:space="preserve"> +dx</w:t>
      </w:r>
      <w:r>
        <w:rPr>
          <w:vertAlign w:val="superscript"/>
          <w:lang w:val="en-GB" w:eastAsia="en-GB"/>
        </w:rPr>
        <w:t>3</w:t>
      </w:r>
      <w:r>
        <w:rPr>
          <w:lang w:val="en-GB" w:eastAsia="en-GB"/>
        </w:rPr>
        <w:t xml:space="preserve"> + ex</w:t>
      </w:r>
      <w:r>
        <w:rPr>
          <w:vertAlign w:val="superscript"/>
          <w:lang w:val="en-GB" w:eastAsia="en-GB"/>
        </w:rPr>
        <w:t>4</w:t>
      </w:r>
      <w:r>
        <w:rPr>
          <w:lang w:val="en-GB" w:eastAsia="en-GB"/>
        </w:rPr>
        <w:t xml:space="preserve"> + .... (3)</w:t>
      </w:r>
    </w:p>
    <w:p>
      <w:pPr>
        <w:pStyle w:val="Normal"/>
        <w:rPr/>
      </w:pPr>
      <w:r>
        <w:rPr/>
        <w:t>In theory, equation (3) may require many terms to represent the RS report accurately.  However, since the reported RS reading in the receive antenna pattern in (1) has a limited signal dynamic range, the following  three term expression is enough to correct for the reporting errors:</w:t>
      </w:r>
    </w:p>
    <w:p>
      <w:pPr>
        <w:pStyle w:val="EQ"/>
        <w:jc w:val="center"/>
        <w:rPr/>
      </w:pPr>
      <w:r>
        <w:rPr>
          <w:lang w:val="en-GB" w:eastAsia="en-GB"/>
        </w:rPr>
        <w:t>RSi (x)= c +ax+ bx</w:t>
      </w:r>
      <w:r>
        <w:rPr>
          <w:vertAlign w:val="superscript"/>
          <w:lang w:val="en-GB" w:eastAsia="en-GB"/>
        </w:rPr>
        <w:t>2</w:t>
      </w:r>
      <w:r>
        <w:rPr>
          <w:lang w:val="en-GB" w:eastAsia="en-GB"/>
        </w:rPr>
        <w:t xml:space="preserve"> +o(x</w:t>
      </w:r>
      <w:r>
        <w:rPr>
          <w:vertAlign w:val="superscript"/>
          <w:lang w:val="en-GB" w:eastAsia="en-GB"/>
        </w:rPr>
        <w:t>3</w:t>
      </w:r>
      <w:r>
        <w:rPr>
          <w:lang w:val="en-GB" w:eastAsia="en-GB"/>
        </w:rPr>
        <w:t>)  (4)</w:t>
      </w:r>
    </w:p>
    <w:p>
      <w:pPr>
        <w:pStyle w:val="Normal"/>
        <w:rPr/>
      </w:pPr>
      <w:r>
        <w:rPr/>
        <w:t>The third order term o(x</w:t>
      </w:r>
      <w:r>
        <w:rPr>
          <w:vertAlign w:val="superscript"/>
        </w:rPr>
        <w:t>3</w:t>
      </w:r>
      <w:r>
        <w:rPr/>
        <w:t>) is ignored since it is not significant for limited signal dynamic range.</w:t>
      </w:r>
    </w:p>
    <w:p>
      <w:pPr>
        <w:pStyle w:val="Normal"/>
        <w:rPr/>
      </w:pPr>
      <w:r>
        <w:rPr/>
        <w:t>The RS pattern in (1) will need to be calibrated for its possible reporting errors.  One practical method is to introduce signal correction terms in equation (4) to enhance the accuracy.  This process is also referred to as the linearization.  The following steps describe what is needed to linearize the RS report and the RS antenna pattern in (1):</w:t>
      </w:r>
    </w:p>
    <w:p>
      <w:pPr>
        <w:pStyle w:val="B1"/>
        <w:rPr/>
      </w:pPr>
      <w:r>
        <w:rPr/>
        <w:t>1. Find the maximum RS reading in the pattern obtained in (1) from all angular test points, and at all polarizations.  Set this point as the reference point and record signal generator power P</w:t>
      </w:r>
      <w:r>
        <w:rPr>
          <w:vertAlign w:val="subscript"/>
        </w:rPr>
        <w:t>0</w:t>
      </w:r>
      <w:r>
        <w:rPr/>
        <w:t xml:space="preserve"> and let x</w:t>
      </w:r>
      <w:r>
        <w:rPr>
          <w:vertAlign w:val="subscript"/>
        </w:rPr>
        <w:t>0</w:t>
      </w:r>
      <w:r>
        <w:rPr/>
        <w:t xml:space="preserve"> =P</w:t>
      </w:r>
      <w:r>
        <w:rPr>
          <w:vertAlign w:val="subscript"/>
        </w:rPr>
        <w:t>0</w:t>
      </w:r>
      <w:r>
        <w:rPr/>
        <w:t>-Test Range Path Loss (in dB), and note the maximum RS reading as r</w:t>
      </w:r>
      <w:r>
        <w:rPr>
          <w:vertAlign w:val="subscript"/>
        </w:rPr>
        <w:t>0</w:t>
      </w:r>
      <w:r>
        <w:rPr/>
        <w:t>.</w:t>
      </w:r>
    </w:p>
    <w:p>
      <w:pPr>
        <w:pStyle w:val="B1"/>
        <w:rPr/>
      </w:pPr>
      <w:r>
        <w:rPr/>
        <w:t>2. At the reference test point, decrease the signal generator's output power P</w:t>
      </w:r>
      <w:r>
        <w:rPr>
          <w:vertAlign w:val="subscript"/>
        </w:rPr>
        <w:t>i</w:t>
      </w:r>
      <w:r>
        <w:rPr/>
        <w:t>, and let x</w:t>
      </w:r>
      <w:r>
        <w:rPr>
          <w:vertAlign w:val="subscript"/>
        </w:rPr>
        <w:t>i</w:t>
      </w:r>
      <w:r>
        <w:rPr/>
        <w:t xml:space="preserve"> = P</w:t>
      </w:r>
      <w:r>
        <w:rPr>
          <w:vertAlign w:val="subscript"/>
        </w:rPr>
        <w:t>i</w:t>
      </w:r>
      <w:r>
        <w:rPr/>
        <w:t>-Test Range Path Loss (in dB), starting from P</w:t>
      </w:r>
      <w:r>
        <w:rPr>
          <w:vertAlign w:val="subscript"/>
        </w:rPr>
        <w:t>0</w:t>
      </w:r>
      <w:r>
        <w:rPr/>
        <w:t xml:space="preserve"> with a step size (1.0 dB by default) to a power range so as to obtain the full RS reading range while searching from the reference point r</w:t>
      </w:r>
      <w:r>
        <w:rPr>
          <w:vertAlign w:val="subscript"/>
        </w:rPr>
        <w:t>0</w:t>
      </w:r>
      <w:r>
        <w:rPr/>
        <w:t xml:space="preserve"> when the test system dynamic range allows, or to 20 dB by default when the system dynamic range is known to be limited, whichever is lower in range. Record the corresponding RS reading of the UE as r</w:t>
      </w:r>
      <w:r>
        <w:rPr>
          <w:vertAlign w:val="subscript"/>
        </w:rPr>
        <w:t>i</w:t>
      </w:r>
      <w:r>
        <w:rPr/>
        <w:t>. Repeat this process until all angular test points are completed as required.</w:t>
      </w:r>
    </w:p>
    <w:p>
      <w:pPr>
        <w:pStyle w:val="B1"/>
        <w:rPr/>
      </w:pPr>
      <w:r>
        <w:rPr/>
        <w:t>3. Use those pairs of data obtained in Step 2) (r</w:t>
      </w:r>
      <w:r>
        <w:rPr>
          <w:vertAlign w:val="subscript"/>
        </w:rPr>
        <w:t>i</w:t>
      </w:r>
      <w:r>
        <w:rPr/>
        <w:t>, x</w:t>
      </w:r>
      <w:r>
        <w:rPr>
          <w:vertAlign w:val="subscript"/>
        </w:rPr>
        <w:t>i</w:t>
      </w:r>
      <w:r>
        <w:rPr/>
        <w:t>) as the input of the quadratic fitting curve in (4) to formulate the Algorithm LSF (Least Square Fit) to calculate the three coefficients (a,b, and c) in:</w:t>
      </w:r>
    </w:p>
    <w:p>
      <w:pPr>
        <w:pStyle w:val="EQ"/>
        <w:jc w:val="center"/>
        <w:rPr/>
      </w:pPr>
      <w:r>
        <w:rPr>
          <w:lang w:val="en-GB" w:eastAsia="en-GB"/>
        </w:rPr>
        <w:t>Err(a,b,c)= Σ(c + ax</w:t>
      </w:r>
      <w:r>
        <w:rPr>
          <w:vertAlign w:val="subscript"/>
          <w:lang w:val="en-GB" w:eastAsia="en-GB"/>
        </w:rPr>
        <w:t>i</w:t>
      </w:r>
      <w:r>
        <w:rPr>
          <w:lang w:val="en-GB" w:eastAsia="en-GB"/>
        </w:rPr>
        <w:t xml:space="preserve"> + bx</w:t>
      </w:r>
      <w:r>
        <w:rPr>
          <w:vertAlign w:val="subscript"/>
          <w:lang w:val="en-GB" w:eastAsia="en-GB"/>
        </w:rPr>
        <w:t>i</w:t>
      </w:r>
      <w:r>
        <w:rPr>
          <w:lang w:val="en-GB" w:eastAsia="en-GB"/>
        </w:rPr>
        <w:t xml:space="preserve"> - r</w:t>
      </w:r>
      <w:r>
        <w:rPr>
          <w:vertAlign w:val="subscript"/>
          <w:lang w:val="en-GB" w:eastAsia="en-GB"/>
        </w:rPr>
        <w:t>i</w:t>
      </w:r>
      <w:r>
        <w:rPr>
          <w:lang w:val="en-GB" w:eastAsia="en-GB"/>
        </w:rPr>
        <w:t>)</w:t>
      </w:r>
      <w:r>
        <w:rPr>
          <w:vertAlign w:val="superscript"/>
          <w:lang w:val="en-GB" w:eastAsia="en-GB"/>
        </w:rPr>
        <w:t>2</w:t>
      </w:r>
      <w:r>
        <w:rPr>
          <w:lang w:val="en-GB" w:eastAsia="en-GB"/>
        </w:rPr>
        <w:t xml:space="preserve">  (5)</w:t>
      </w:r>
    </w:p>
    <w:p>
      <w:pPr>
        <w:pStyle w:val="Normal"/>
        <w:rPr/>
      </w:pPr>
      <w:r>
        <w:rPr/>
        <w:t>Please note that the power range of the linearization can be limited to 20 dB as stated in Step 2) since the lower RS readings than the processed range do not contribute to the overall receive antenna pattern as much.</w:t>
      </w:r>
    </w:p>
    <w:p>
      <w:pPr>
        <w:pStyle w:val="Normal"/>
        <w:rPr/>
      </w:pPr>
      <w:r>
        <w:rPr/>
        <w:t>Once the three coefficients (a,b, and c) are obtained in LSF of (5), the use of the inverse function of Equation (4) to convert RS pattern in (1) into the normalized incident power pattern.  This process completes the error correction for both constant biased and the non-linearity in the RS report from the UE within the limited signal dynamic range as tested in (1) and Step 1. Similar steps can be applied for error corrections if multiple receiver RS are involved in the testing.</w:t>
      </w:r>
    </w:p>
    <w:p>
      <w:pPr>
        <w:pStyle w:val="Normal"/>
        <w:rPr>
          <w:rFonts w:eastAsia="PMingLiU;新細明體"/>
          <w:lang w:eastAsia="zh-TW"/>
        </w:rPr>
      </w:pPr>
      <w:r>
        <w:rPr/>
        <w:t>Of course, the reference test point can also be further tested for the threshold of the receiver sensitivity and/or throughput knee-point for the required calibrated reference power level.</w:t>
      </w:r>
    </w:p>
    <w:p>
      <w:pPr>
        <w:pStyle w:val="Heading8"/>
        <w:ind w:left="0" w:hanging="0"/>
        <w:rPr/>
      </w:pPr>
      <w:bookmarkStart w:id="466" w:name="__RefHeading___Toc68601384"/>
      <w:bookmarkEnd w:id="466"/>
      <w:r>
        <w:rPr/>
        <w:t>Annex C (informative): Measurement test report</w:t>
      </w:r>
    </w:p>
    <w:p>
      <w:pPr>
        <w:pStyle w:val="Heading1"/>
        <w:ind w:left="1134" w:hanging="1134"/>
        <w:rPr/>
      </w:pPr>
      <w:bookmarkStart w:id="467" w:name="__RefHeading___Toc68601385"/>
      <w:bookmarkEnd w:id="467"/>
      <w:r>
        <w:rPr/>
        <w:t>C.1</w:t>
        <w:tab/>
        <w:t>General</w:t>
      </w:r>
    </w:p>
    <w:p>
      <w:pPr>
        <w:pStyle w:val="Normal"/>
        <w:numPr>
          <w:ilvl w:val="0"/>
          <w:numId w:val="5"/>
        </w:numPr>
        <w:tabs>
          <w:tab w:val="clear" w:pos="284"/>
          <w:tab w:val="left" w:pos="0" w:leader="none"/>
        </w:tabs>
        <w:suppressAutoHyphens w:val="true"/>
        <w:ind w:left="0" w:hanging="0"/>
        <w:rPr/>
      </w:pPr>
      <w:r>
        <w:rPr>
          <w:rFonts w:eastAsia="Osaka;MS Mincho"/>
        </w:rPr>
        <w:t>Operational mode, model and serial number of the DUT shall be documented to the test report. Whether the DUT is positioned against the phantom head with a specific device holder or by other means it should be described in the test report. When the DUT is positioned on the hand phantom it should be described in the test report. When the DUT is positioned on the laptop ground plane phantom it should be described in the test report. A photograph of the test setup is recommended.</w:t>
      </w:r>
    </w:p>
    <w:p>
      <w:pPr>
        <w:pStyle w:val="Normal"/>
        <w:numPr>
          <w:ilvl w:val="0"/>
          <w:numId w:val="5"/>
        </w:numPr>
        <w:suppressAutoHyphens w:val="true"/>
        <w:rPr>
          <w:rFonts w:eastAsia="Osaka;MS Mincho"/>
        </w:rPr>
      </w:pPr>
      <w:r>
        <w:rPr>
          <w:rFonts w:eastAsia="Osaka;MS Mincho"/>
        </w:rPr>
        <w:t>Test equipment list should be included in the test report.</w:t>
      </w:r>
    </w:p>
    <w:p>
      <w:pPr>
        <w:pStyle w:val="Normal"/>
        <w:numPr>
          <w:ilvl w:val="0"/>
          <w:numId w:val="5"/>
        </w:numPr>
        <w:suppressAutoHyphens w:val="true"/>
        <w:rPr/>
      </w:pPr>
      <w:r>
        <w:rPr/>
      </w:r>
      <m:oMath xmlns:m="http://schemas.openxmlformats.org/officeDocument/2006/math">
        <m:bar>
          <m:barPr>
            <m:pos m:val="top"/>
          </m:barPr>
          <m:e>
            <m:r>
              <m:rPr>
                <m:lit/>
                <m:nor/>
              </m:rPr>
              <w:rPr>
                <w:rFonts w:ascii="Cambria Math" w:hAnsi="Cambria Math"/>
              </w:rPr>
              <m:t xml:space="preserve">TRP</m:t>
            </m:r>
          </m:e>
        </m:bar>
      </m:oMath>
      <w:r>
        <w:rPr>
          <w:rFonts w:eastAsia="Times New Roman"/>
        </w:rPr>
        <w:t xml:space="preserve"> </w:t>
      </w:r>
      <w:r>
        <w:rPr>
          <w:rFonts w:eastAsia="Osaka;MS Mincho"/>
        </w:rPr>
        <w:t>[dBm] and</w:t>
      </w:r>
      <w:r>
        <w:rPr/>
        <w:t xml:space="preserve"> </w:t>
      </w:r>
      <w:r>
        <w:rPr/>
      </w:r>
      <m:oMath xmlns:m="http://schemas.openxmlformats.org/officeDocument/2006/math">
        <m:bar>
          <m:barPr>
            <m:pos m:val="top"/>
          </m:barPr>
          <m:e>
            <m:r>
              <m:rPr>
                <m:lit/>
                <m:nor/>
              </m:rPr>
              <w:rPr>
                <w:rFonts w:ascii="Cambria Math" w:hAnsi="Cambria Math"/>
              </w:rPr>
              <m:t xml:space="preserve">TRS</m:t>
            </m:r>
          </m:e>
        </m:bar>
      </m:oMath>
      <w:r>
        <w:rPr>
          <w:rFonts w:eastAsia="Osaka;MS Mincho"/>
        </w:rPr>
        <w:t xml:space="preserve"> [dBm] values shall be reported for each tested channel and for each side of the head and a frequency band average shall be calculated by using the following equations when the phantom head is used.</w:t>
      </w:r>
    </w:p>
    <w:p>
      <w:pPr>
        <w:pStyle w:val="EQ"/>
        <w:numPr>
          <w:ilvl w:val="0"/>
          <w:numId w:val="5"/>
        </w:numPr>
        <w:suppressAutoHyphens w:val="true"/>
        <w:rPr>
          <w:rFonts w:eastAsia="Osaka;MS Mincho"/>
          <w:lang w:val="en-GB" w:eastAsia="en-GB"/>
        </w:rPr>
      </w:pPr>
      <w:r>
        <w:rPr>
          <w:lang w:val="en-GB" w:eastAsia="en-GB"/>
        </w:rPr>
      </w:r>
      <m:oMathPara xmlns:m="http://schemas.openxmlformats.org/officeDocument/2006/math">
        <m:oMathParaPr>
          <m:jc m:val="left"/>
        </m:oMathParaPr>
        <m:oMath>
          <m:bar>
            <m:barPr>
              <m:pos m:val="top"/>
            </m:barPr>
            <m:e>
              <m:r>
                <m:rPr>
                  <m:lit/>
                  <m:nor/>
                </m:rPr>
                <w:rPr>
                  <w:rFonts w:ascii="Cambria Math" w:hAnsi="Cambria Math"/>
                </w:rPr>
                <m:t xml:space="preserve">TRP</m:t>
              </m:r>
            </m:e>
          </m:bar>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sSub>
                        <m:e>
                          <m:r>
                            <m:rPr>
                              <m:lit/>
                              <m:nor/>
                            </m:rPr>
                            <w:rPr>
                              <w:rFonts w:ascii="Cambria Math" w:hAnsi="Cambria Math"/>
                            </w:rPr>
                            <m:t xml:space="preserve">TRP</m:t>
                          </m:r>
                        </m:e>
                        <m:sub>
                          <m:sSub>
                            <m:e>
                              <m:r>
                                <m:rPr>
                                  <m:lit/>
                                  <m:nor/>
                                </m:rPr>
                                <w:rPr>
                                  <w:rFonts w:ascii="Cambria Math" w:hAnsi="Cambria Math"/>
                                </w:rPr>
                                <m:t xml:space="preserve">low</m:t>
                              </m:r>
                            </m:e>
                            <m:sub>
                              <m:r>
                                <m:rPr>
                                  <m:lit/>
                                  <m:nor/>
                                </m:rPr>
                                <w:rPr>
                                  <w:rFonts w:ascii="Cambria Math" w:hAnsi="Cambria Math"/>
                                </w:rPr>
                                <m:t xml:space="preserve">right</m:t>
                              </m:r>
                            </m:sub>
                          </m:sSub>
                        </m:sub>
                      </m:sSub>
                      <m:r>
                        <m:rPr>
                          <m:lit/>
                          <m:nor/>
                        </m:rPr>
                        <w:rPr>
                          <w:rFonts w:ascii="Cambria Math" w:hAnsi="Cambria Math"/>
                        </w:rPr>
                        <m:t xml:space="preserve">10</m:t>
                      </m:r>
                    </m:sup>
                  </m:sSup>
                  <m:r>
                    <w:rPr>
                      <w:rFonts w:ascii="Cambria Math" w:hAnsi="Cambria Math"/>
                    </w:rPr>
                    <m:t xml:space="preserve">+</m:t>
                  </m:r>
                  <m:sSup>
                    <m:e>
                      <m:r>
                        <m:rPr>
                          <m:lit/>
                          <m:nor/>
                        </m:rPr>
                        <w:rPr>
                          <w:rFonts w:ascii="Cambria Math" w:hAnsi="Cambria Math"/>
                        </w:rPr>
                        <m:t xml:space="preserve">10</m:t>
                      </m:r>
                    </m:e>
                    <m:sup>
                      <m:sSub>
                        <m:e>
                          <m:r>
                            <m:rPr>
                              <m:lit/>
                              <m:nor/>
                            </m:rPr>
                            <w:rPr>
                              <w:rFonts w:ascii="Cambria Math" w:hAnsi="Cambria Math"/>
                            </w:rPr>
                            <m:t xml:space="preserve">TRP</m:t>
                          </m:r>
                        </m:e>
                        <m:sub>
                          <m:sSub>
                            <m:e>
                              <m:r>
                                <m:rPr>
                                  <m:lit/>
                                  <m:nor/>
                                </m:rPr>
                                <w:rPr>
                                  <w:rFonts w:ascii="Cambria Math" w:hAnsi="Cambria Math"/>
                                </w:rPr>
                                <m:t xml:space="preserve">mid</m:t>
                              </m:r>
                            </m:e>
                            <m:sub>
                              <m:r>
                                <m:rPr>
                                  <m:lit/>
                                  <m:nor/>
                                </m:rPr>
                                <w:rPr>
                                  <w:rFonts w:ascii="Cambria Math" w:hAnsi="Cambria Math"/>
                                </w:rPr>
                                <m:t xml:space="preserve">right</m:t>
                              </m:r>
                            </m:sub>
                          </m:sSub>
                        </m:sub>
                      </m:sSub>
                      <m:r>
                        <m:rPr>
                          <m:lit/>
                          <m:nor/>
                        </m:rPr>
                        <w:rPr>
                          <w:rFonts w:ascii="Cambria Math" w:hAnsi="Cambria Math"/>
                        </w:rPr>
                        <m:t xml:space="preserve">10</m:t>
                      </m:r>
                    </m:sup>
                  </m:sSup>
                  <m:r>
                    <w:rPr>
                      <w:rFonts w:ascii="Cambria Math" w:hAnsi="Cambria Math"/>
                    </w:rPr>
                    <m:t xml:space="preserve">+</m:t>
                  </m:r>
                  <m:sSup>
                    <m:e>
                      <m:r>
                        <m:rPr>
                          <m:lit/>
                          <m:nor/>
                        </m:rPr>
                        <w:rPr>
                          <w:rFonts w:ascii="Cambria Math" w:hAnsi="Cambria Math"/>
                        </w:rPr>
                        <m:t xml:space="preserve">10</m:t>
                      </m:r>
                    </m:e>
                    <m:sup>
                      <m:sSub>
                        <m:e>
                          <m:r>
                            <m:rPr>
                              <m:lit/>
                              <m:nor/>
                            </m:rPr>
                            <w:rPr>
                              <w:rFonts w:ascii="Cambria Math" w:hAnsi="Cambria Math"/>
                            </w:rPr>
                            <m:t xml:space="preserve">TRP</m:t>
                          </m:r>
                        </m:e>
                        <m:sub>
                          <m:sSub>
                            <m:e>
                              <m:r>
                                <m:rPr>
                                  <m:lit/>
                                  <m:nor/>
                                </m:rPr>
                                <w:rPr>
                                  <w:rFonts w:ascii="Cambria Math" w:hAnsi="Cambria Math"/>
                                </w:rPr>
                                <m:t xml:space="preserve">high</m:t>
                              </m:r>
                            </m:e>
                            <m:sub>
                              <m:r>
                                <m:rPr>
                                  <m:lit/>
                                  <m:nor/>
                                </m:rPr>
                                <w:rPr>
                                  <w:rFonts w:ascii="Cambria Math" w:hAnsi="Cambria Math"/>
                                </w:rPr>
                                <m:t xml:space="preserve">right</m:t>
                              </m:r>
                            </m:sub>
                          </m:sSub>
                        </m:sub>
                      </m:sSub>
                      <m:r>
                        <m:rPr>
                          <m:lit/>
                          <m:nor/>
                        </m:rPr>
                        <w:rPr>
                          <w:rFonts w:ascii="Cambria Math" w:hAnsi="Cambria Math"/>
                        </w:rPr>
                        <m:t xml:space="preserve">10</m:t>
                      </m:r>
                    </m:sup>
                  </m:sSup>
                  <m:r>
                    <w:rPr>
                      <w:rFonts w:ascii="Cambria Math" w:hAnsi="Cambria Math"/>
                    </w:rPr>
                    <m:t xml:space="preserve">+</m:t>
                  </m:r>
                  <m:sSup>
                    <m:e>
                      <m:r>
                        <m:rPr>
                          <m:lit/>
                          <m:nor/>
                        </m:rPr>
                        <w:rPr>
                          <w:rFonts w:ascii="Cambria Math" w:hAnsi="Cambria Math"/>
                        </w:rPr>
                        <m:t xml:space="preserve">10</m:t>
                      </m:r>
                    </m:e>
                    <m:sup>
                      <m:sSub>
                        <m:e>
                          <m:r>
                            <m:rPr>
                              <m:lit/>
                              <m:nor/>
                            </m:rPr>
                            <w:rPr>
                              <w:rFonts w:ascii="Cambria Math" w:hAnsi="Cambria Math"/>
                            </w:rPr>
                            <m:t xml:space="preserve">TRP</m:t>
                          </m:r>
                        </m:e>
                        <m:sub>
                          <m:sSub>
                            <m:e>
                              <m:r>
                                <m:rPr>
                                  <m:lit/>
                                  <m:nor/>
                                </m:rPr>
                                <w:rPr>
                                  <w:rFonts w:ascii="Cambria Math" w:hAnsi="Cambria Math"/>
                                </w:rPr>
                                <m:t xml:space="preserve">low</m:t>
                              </m:r>
                            </m:e>
                            <m:sub>
                              <m:r>
                                <m:rPr>
                                  <m:lit/>
                                  <m:nor/>
                                </m:rPr>
                                <w:rPr>
                                  <w:rFonts w:ascii="Cambria Math" w:hAnsi="Cambria Math"/>
                                </w:rPr>
                                <m:t xml:space="preserve">left</m:t>
                              </m:r>
                            </m:sub>
                          </m:sSub>
                        </m:sub>
                      </m:sSub>
                      <m:r>
                        <m:rPr>
                          <m:lit/>
                          <m:nor/>
                        </m:rPr>
                        <w:rPr>
                          <w:rFonts w:ascii="Cambria Math" w:hAnsi="Cambria Math"/>
                        </w:rPr>
                        <m:t xml:space="preserve">10</m:t>
                      </m:r>
                    </m:sup>
                  </m:sSup>
                  <m:r>
                    <w:rPr>
                      <w:rFonts w:ascii="Cambria Math" w:hAnsi="Cambria Math"/>
                    </w:rPr>
                    <m:t xml:space="preserve">+</m:t>
                  </m:r>
                  <m:sSup>
                    <m:e>
                      <m:r>
                        <m:rPr>
                          <m:lit/>
                          <m:nor/>
                        </m:rPr>
                        <w:rPr>
                          <w:rFonts w:ascii="Cambria Math" w:hAnsi="Cambria Math"/>
                        </w:rPr>
                        <m:t xml:space="preserve">10</m:t>
                      </m:r>
                    </m:e>
                    <m:sup>
                      <m:sSub>
                        <m:e>
                          <m:r>
                            <m:rPr>
                              <m:lit/>
                              <m:nor/>
                            </m:rPr>
                            <w:rPr>
                              <w:rFonts w:ascii="Cambria Math" w:hAnsi="Cambria Math"/>
                            </w:rPr>
                            <m:t xml:space="preserve">TRP</m:t>
                          </m:r>
                        </m:e>
                        <m:sub>
                          <m:sSub>
                            <m:e>
                              <m:r>
                                <m:rPr>
                                  <m:lit/>
                                  <m:nor/>
                                </m:rPr>
                                <w:rPr>
                                  <w:rFonts w:ascii="Cambria Math" w:hAnsi="Cambria Math"/>
                                </w:rPr>
                                <m:t xml:space="preserve">mid</m:t>
                              </m:r>
                            </m:e>
                            <m:sub>
                              <m:r>
                                <m:rPr>
                                  <m:lit/>
                                  <m:nor/>
                                </m:rPr>
                                <w:rPr>
                                  <w:rFonts w:ascii="Cambria Math" w:hAnsi="Cambria Math"/>
                                </w:rPr>
                                <m:t xml:space="preserve">left</m:t>
                              </m:r>
                            </m:sub>
                          </m:sSub>
                        </m:sub>
                      </m:sSub>
                      <m:r>
                        <m:rPr>
                          <m:lit/>
                          <m:nor/>
                        </m:rPr>
                        <w:rPr>
                          <w:rFonts w:ascii="Cambria Math" w:hAnsi="Cambria Math"/>
                        </w:rPr>
                        <m:t xml:space="preserve">10</m:t>
                      </m:r>
                    </m:sup>
                  </m:sSup>
                  <m:r>
                    <w:rPr>
                      <w:rFonts w:ascii="Cambria Math" w:hAnsi="Cambria Math"/>
                    </w:rPr>
                    <m:t xml:space="preserve">+</m:t>
                  </m:r>
                  <m:sSup>
                    <m:e>
                      <m:r>
                        <m:rPr>
                          <m:lit/>
                          <m:nor/>
                        </m:rPr>
                        <w:rPr>
                          <w:rFonts w:ascii="Cambria Math" w:hAnsi="Cambria Math"/>
                        </w:rPr>
                        <m:t xml:space="preserve">10</m:t>
                      </m:r>
                    </m:e>
                    <m:sup>
                      <m:sSub>
                        <m:e>
                          <m:r>
                            <m:rPr>
                              <m:lit/>
                              <m:nor/>
                            </m:rPr>
                            <w:rPr>
                              <w:rFonts w:ascii="Cambria Math" w:hAnsi="Cambria Math"/>
                            </w:rPr>
                            <m:t xml:space="preserve">TRP</m:t>
                          </m:r>
                        </m:e>
                        <m:sub>
                          <m:sSub>
                            <m:e>
                              <m:r>
                                <m:rPr>
                                  <m:lit/>
                                  <m:nor/>
                                </m:rPr>
                                <w:rPr>
                                  <w:rFonts w:ascii="Cambria Math" w:hAnsi="Cambria Math"/>
                                </w:rPr>
                                <m:t xml:space="preserve">high</m:t>
                              </m:r>
                            </m:e>
                            <m:sub>
                              <m:r>
                                <m:rPr>
                                  <m:lit/>
                                  <m:nor/>
                                </m:rPr>
                                <w:rPr>
                                  <w:rFonts w:ascii="Cambria Math" w:hAnsi="Cambria Math"/>
                                </w:rPr>
                                <m:t xml:space="preserve">left</m:t>
                              </m:r>
                            </m:sub>
                          </m:sSub>
                        </m:sub>
                      </m:sSub>
                      <m:r>
                        <m:rPr>
                          <m:lit/>
                          <m:nor/>
                        </m:rPr>
                        <w:rPr>
                          <w:rFonts w:ascii="Cambria Math" w:hAnsi="Cambria Math"/>
                        </w:rPr>
                        <m:t xml:space="preserve">10</m:t>
                      </m:r>
                    </m:sup>
                  </m:sSup>
                </m:num>
                <m:den>
                  <m:r>
                    <w:rPr>
                      <w:rFonts w:ascii="Cambria Math" w:hAnsi="Cambria Math"/>
                    </w:rPr>
                    <m:t xml:space="preserve">6</m:t>
                  </m:r>
                </m:den>
              </m:f>
            </m:e>
          </m:d>
        </m:oMath>
      </m:oMathPara>
    </w:p>
    <w:p>
      <w:pPr>
        <w:pStyle w:val="EQ"/>
        <w:numPr>
          <w:ilvl w:val="0"/>
          <w:numId w:val="5"/>
        </w:numPr>
        <w:suppressAutoHyphens w:val="true"/>
        <w:rPr>
          <w:lang w:val="en-GB" w:eastAsia="en-GB"/>
        </w:rPr>
      </w:pPr>
      <w:r>
        <w:rPr>
          <w:lang w:val="en-GB" w:eastAsia="en-GB"/>
        </w:rPr>
      </w:r>
      <m:oMathPara xmlns:m="http://schemas.openxmlformats.org/officeDocument/2006/math">
        <m:oMathParaPr>
          <m:jc m:val="left"/>
        </m:oMathParaPr>
        <m:oMath>
          <m:bar>
            <m:barPr>
              <m:pos m:val="top"/>
            </m:barPr>
            <m:e>
              <m:r>
                <m:rPr>
                  <m:lit/>
                  <m:nor/>
                </m:rPr>
                <w:rPr>
                  <w:rFonts w:ascii="Cambria Math" w:hAnsi="Cambria Math"/>
                </w:rPr>
                <m:t xml:space="preserve">TRS</m:t>
              </m:r>
            </m:e>
          </m:bar>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r>
                    <w:rPr>
                      <w:rFonts w:ascii="Cambria Math" w:hAnsi="Cambria Math"/>
                    </w:rPr>
                    <m:t xml:space="preserve">6</m:t>
                  </m:r>
                </m:num>
                <m:den>
                  <m:sSup>
                    <m:e>
                      <m:r>
                        <m:rPr>
                          <m:lit/>
                          <m:nor/>
                        </m:rPr>
                        <w:rPr>
                          <w:rFonts w:ascii="Cambria Math" w:hAnsi="Cambria Math"/>
                        </w:rPr>
                        <m:t xml:space="preserve">10</m:t>
                      </m:r>
                    </m:e>
                    <m:sup>
                      <m:r>
                        <w:rPr>
                          <w:rFonts w:ascii="Cambria Math" w:hAnsi="Cambria Math"/>
                        </w:rPr>
                        <m:t xml:space="preserve">−</m:t>
                      </m:r>
                      <m:sSub>
                        <m:e>
                          <m:r>
                            <m:rPr>
                              <m:lit/>
                              <m:nor/>
                            </m:rPr>
                            <w:rPr>
                              <w:rFonts w:ascii="Cambria Math" w:hAnsi="Cambria Math"/>
                            </w:rPr>
                            <m:t xml:space="preserve">TRS</m:t>
                          </m:r>
                        </m:e>
                        <m:sub>
                          <m:sSub>
                            <m:e>
                              <m:r>
                                <m:rPr>
                                  <m:lit/>
                                  <m:nor/>
                                </m:rPr>
                                <w:rPr>
                                  <w:rFonts w:ascii="Cambria Math" w:hAnsi="Cambria Math"/>
                                </w:rPr>
                                <m:t xml:space="preserve">low</m:t>
                              </m:r>
                            </m:e>
                            <m:sub>
                              <m:r>
                                <m:rPr>
                                  <m:lit/>
                                  <m:nor/>
                                </m:rPr>
                                <w:rPr>
                                  <w:rFonts w:ascii="Cambria Math" w:hAnsi="Cambria Math"/>
                                </w:rPr>
                                <m:t xml:space="preserve">right</m:t>
                              </m:r>
                            </m:sub>
                          </m:sSub>
                        </m:sub>
                      </m:sSub>
                      <m:r>
                        <m:rPr>
                          <m:lit/>
                          <m:nor/>
                        </m:rPr>
                        <w:rPr>
                          <w:rFonts w:ascii="Cambria Math" w:hAnsi="Cambria Math"/>
                        </w:rPr>
                        <m:t xml:space="preserve">10</m:t>
                      </m:r>
                    </m:sup>
                  </m:sSup>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sSub>
                        <m:e>
                          <m:r>
                            <m:rPr>
                              <m:lit/>
                              <m:nor/>
                            </m:rPr>
                            <w:rPr>
                              <w:rFonts w:ascii="Cambria Math" w:hAnsi="Cambria Math"/>
                            </w:rPr>
                            <m:t xml:space="preserve">TRS</m:t>
                          </m:r>
                        </m:e>
                        <m:sub>
                          <m:sSub>
                            <m:e>
                              <m:r>
                                <m:rPr>
                                  <m:lit/>
                                  <m:nor/>
                                </m:rPr>
                                <w:rPr>
                                  <w:rFonts w:ascii="Cambria Math" w:hAnsi="Cambria Math"/>
                                </w:rPr>
                                <m:t xml:space="preserve">mid</m:t>
                              </m:r>
                            </m:e>
                            <m:sub>
                              <m:r>
                                <m:rPr>
                                  <m:lit/>
                                  <m:nor/>
                                </m:rPr>
                                <w:rPr>
                                  <w:rFonts w:ascii="Cambria Math" w:hAnsi="Cambria Math"/>
                                </w:rPr>
                                <m:t xml:space="preserve">righ</m:t>
                              </m:r>
                            </m:sub>
                          </m:sSub>
                        </m:sub>
                      </m:sSub>
                      <m:r>
                        <m:rPr>
                          <m:lit/>
                          <m:nor/>
                        </m:rPr>
                        <w:rPr>
                          <w:rFonts w:ascii="Cambria Math" w:hAnsi="Cambria Math"/>
                        </w:rPr>
                        <m:t xml:space="preserve">10</m:t>
                      </m:r>
                    </m:sup>
                  </m:sSup>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sSub>
                        <m:e>
                          <m:r>
                            <m:rPr>
                              <m:lit/>
                              <m:nor/>
                            </m:rPr>
                            <w:rPr>
                              <w:rFonts w:ascii="Cambria Math" w:hAnsi="Cambria Math"/>
                            </w:rPr>
                            <m:t xml:space="preserve">TRS</m:t>
                          </m:r>
                        </m:e>
                        <m:sub>
                          <m:sSub>
                            <m:e>
                              <m:r>
                                <m:rPr>
                                  <m:lit/>
                                  <m:nor/>
                                </m:rPr>
                                <w:rPr>
                                  <w:rFonts w:ascii="Cambria Math" w:hAnsi="Cambria Math"/>
                                </w:rPr>
                                <m:t xml:space="preserve">high</m:t>
                              </m:r>
                            </m:e>
                            <m:sub>
                              <m:r>
                                <m:rPr>
                                  <m:lit/>
                                  <m:nor/>
                                </m:rPr>
                                <w:rPr>
                                  <w:rFonts w:ascii="Cambria Math" w:hAnsi="Cambria Math"/>
                                </w:rPr>
                                <m:t xml:space="preserve">righ</m:t>
                              </m:r>
                            </m:sub>
                          </m:sSub>
                        </m:sub>
                      </m:sSub>
                      <m:r>
                        <m:rPr>
                          <m:lit/>
                          <m:nor/>
                        </m:rPr>
                        <w:rPr>
                          <w:rFonts w:ascii="Cambria Math" w:hAnsi="Cambria Math"/>
                        </w:rPr>
                        <m:t xml:space="preserve">10</m:t>
                      </m:r>
                    </m:sup>
                  </m:sSup>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sSub>
                        <m:e>
                          <m:r>
                            <m:rPr>
                              <m:lit/>
                              <m:nor/>
                            </m:rPr>
                            <w:rPr>
                              <w:rFonts w:ascii="Cambria Math" w:hAnsi="Cambria Math"/>
                            </w:rPr>
                            <m:t xml:space="preserve">TRS</m:t>
                          </m:r>
                        </m:e>
                        <m:sub>
                          <m:sSub>
                            <m:e>
                              <m:r>
                                <m:rPr>
                                  <m:lit/>
                                  <m:nor/>
                                </m:rPr>
                                <w:rPr>
                                  <w:rFonts w:ascii="Cambria Math" w:hAnsi="Cambria Math"/>
                                </w:rPr>
                                <m:t xml:space="preserve">low</m:t>
                              </m:r>
                            </m:e>
                            <m:sub>
                              <m:r>
                                <m:rPr>
                                  <m:lit/>
                                  <m:nor/>
                                </m:rPr>
                                <w:rPr>
                                  <w:rFonts w:ascii="Cambria Math" w:hAnsi="Cambria Math"/>
                                </w:rPr>
                                <m:t xml:space="preserve">left</m:t>
                              </m:r>
                            </m:sub>
                          </m:sSub>
                        </m:sub>
                      </m:sSub>
                      <m:r>
                        <m:rPr>
                          <m:lit/>
                          <m:nor/>
                        </m:rPr>
                        <w:rPr>
                          <w:rFonts w:ascii="Cambria Math" w:hAnsi="Cambria Math"/>
                        </w:rPr>
                        <m:t xml:space="preserve">10</m:t>
                      </m:r>
                    </m:sup>
                  </m:sSup>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sSub>
                        <m:e>
                          <m:r>
                            <m:rPr>
                              <m:lit/>
                              <m:nor/>
                            </m:rPr>
                            <w:rPr>
                              <w:rFonts w:ascii="Cambria Math" w:hAnsi="Cambria Math"/>
                            </w:rPr>
                            <m:t xml:space="preserve">TRS</m:t>
                          </m:r>
                        </m:e>
                        <m:sub>
                          <m:sSub>
                            <m:e>
                              <m:r>
                                <m:rPr>
                                  <m:lit/>
                                  <m:nor/>
                                </m:rPr>
                                <w:rPr>
                                  <w:rFonts w:ascii="Cambria Math" w:hAnsi="Cambria Math"/>
                                </w:rPr>
                                <m:t xml:space="preserve">mid</m:t>
                              </m:r>
                            </m:e>
                            <m:sub>
                              <m:r>
                                <m:rPr>
                                  <m:lit/>
                                  <m:nor/>
                                </m:rPr>
                                <w:rPr>
                                  <w:rFonts w:ascii="Cambria Math" w:hAnsi="Cambria Math"/>
                                </w:rPr>
                                <m:t xml:space="preserve">left</m:t>
                              </m:r>
                            </m:sub>
                          </m:sSub>
                        </m:sub>
                      </m:sSub>
                      <m:r>
                        <m:rPr>
                          <m:lit/>
                          <m:nor/>
                        </m:rPr>
                        <w:rPr>
                          <w:rFonts w:ascii="Cambria Math" w:hAnsi="Cambria Math"/>
                        </w:rPr>
                        <m:t xml:space="preserve">10</m:t>
                      </m:r>
                    </m:sup>
                  </m:sSup>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sSub>
                        <m:e>
                          <m:r>
                            <m:rPr>
                              <m:lit/>
                              <m:nor/>
                            </m:rPr>
                            <w:rPr>
                              <w:rFonts w:ascii="Cambria Math" w:hAnsi="Cambria Math"/>
                            </w:rPr>
                            <m:t xml:space="preserve">TRS</m:t>
                          </m:r>
                        </m:e>
                        <m:sub>
                          <m:sSub>
                            <m:e>
                              <m:r>
                                <m:rPr>
                                  <m:lit/>
                                  <m:nor/>
                                </m:rPr>
                                <w:rPr>
                                  <w:rFonts w:ascii="Cambria Math" w:hAnsi="Cambria Math"/>
                                </w:rPr>
                                <m:t xml:space="preserve">high</m:t>
                              </m:r>
                            </m:e>
                            <m:sub>
                              <m:r>
                                <m:rPr>
                                  <m:lit/>
                                  <m:nor/>
                                </m:rPr>
                                <w:rPr>
                                  <w:rFonts w:ascii="Cambria Math" w:hAnsi="Cambria Math"/>
                                </w:rPr>
                                <m:t xml:space="preserve">left</m:t>
                              </m:r>
                            </m:sub>
                          </m:sSub>
                        </m:sub>
                      </m:sSub>
                      <m:r>
                        <m:rPr>
                          <m:lit/>
                          <m:nor/>
                        </m:rPr>
                        <w:rPr>
                          <w:rFonts w:ascii="Cambria Math" w:hAnsi="Cambria Math"/>
                        </w:rPr>
                        <m:t xml:space="preserve">10</m:t>
                      </m:r>
                    </m:sup>
                  </m:sSup>
                </m:den>
              </m:f>
            </m:e>
          </m:d>
        </m:oMath>
      </m:oMathPara>
    </w:p>
    <w:p>
      <w:pPr>
        <w:pStyle w:val="Normal"/>
        <w:numPr>
          <w:ilvl w:val="0"/>
          <w:numId w:val="5"/>
        </w:numPr>
        <w:suppressAutoHyphens w:val="true"/>
        <w:rPr>
          <w:rFonts w:eastAsia="Osaka;MS Mincho"/>
          <w:lang w:val="en-GB" w:eastAsia="en-GB"/>
        </w:rPr>
      </w:pPr>
      <w:r>
        <w:rPr>
          <w:rFonts w:eastAsia="Osaka;MS Mincho"/>
          <w:lang w:val="en-GB" w:eastAsia="en-GB"/>
        </w:rPr>
      </w:r>
    </w:p>
    <w:p>
      <w:pPr>
        <w:pStyle w:val="Normal"/>
        <w:numPr>
          <w:ilvl w:val="0"/>
          <w:numId w:val="5"/>
        </w:numPr>
        <w:suppressAutoHyphens w:val="true"/>
        <w:rPr/>
      </w:pPr>
      <w:r>
        <w:rPr/>
      </w:r>
      <m:oMath xmlns:m="http://schemas.openxmlformats.org/officeDocument/2006/math">
        <m:bar>
          <m:barPr>
            <m:pos m:val="top"/>
          </m:barPr>
          <m:e>
            <m:r>
              <m:rPr>
                <m:lit/>
                <m:nor/>
              </m:rPr>
              <w:rPr>
                <w:rFonts w:ascii="Cambria Math" w:hAnsi="Cambria Math"/>
              </w:rPr>
              <m:t xml:space="preserve">TRP</m:t>
            </m:r>
          </m:e>
        </m:bar>
      </m:oMath>
      <w:r>
        <w:rPr>
          <w:rFonts w:eastAsia="Times New Roman"/>
        </w:rPr>
        <w:t xml:space="preserve"> </w:t>
      </w:r>
      <w:r>
        <w:rPr>
          <w:rFonts w:eastAsia="Osaka;MS Mincho"/>
        </w:rPr>
        <w:t>[dBm] and</w:t>
      </w:r>
      <w:r>
        <w:rPr/>
        <w:t xml:space="preserve"> </w:t>
      </w:r>
      <w:r>
        <w:rPr/>
      </w:r>
      <m:oMath xmlns:m="http://schemas.openxmlformats.org/officeDocument/2006/math">
        <m:bar>
          <m:barPr>
            <m:pos m:val="top"/>
          </m:barPr>
          <m:e>
            <m:r>
              <m:rPr>
                <m:lit/>
                <m:nor/>
              </m:rPr>
              <w:rPr>
                <w:rFonts w:ascii="Cambria Math" w:hAnsi="Cambria Math"/>
              </w:rPr>
              <m:t xml:space="preserve">TRS</m:t>
            </m:r>
          </m:e>
        </m:bar>
      </m:oMath>
      <w:r>
        <w:rPr>
          <w:rFonts w:eastAsia="Osaka;MS Mincho"/>
        </w:rPr>
        <w:t xml:space="preserve"> [dBm] values shall be reported for each tested channel and for each hand and a frequency band average shall be calculated by using the following equations when the hand phantom is used.</w:t>
      </w:r>
    </w:p>
    <w:p>
      <w:pPr>
        <w:pStyle w:val="EQ"/>
        <w:numPr>
          <w:ilvl w:val="0"/>
          <w:numId w:val="5"/>
        </w:numPr>
        <w:suppressAutoHyphens w:val="true"/>
        <w:rPr>
          <w:rFonts w:eastAsia="Osaka;MS Mincho"/>
          <w:lang w:val="en-GB" w:eastAsia="en-GB"/>
        </w:rPr>
      </w:pPr>
      <w:r>
        <w:rPr>
          <w:lang w:val="en-GB" w:eastAsia="en-GB"/>
        </w:rPr>
      </w:r>
      <m:oMathPara xmlns:m="http://schemas.openxmlformats.org/officeDocument/2006/math">
        <m:oMathParaPr>
          <m:jc m:val="left"/>
        </m:oMathParaPr>
        <m:oMath>
          <m:bar>
            <m:barPr>
              <m:pos m:val="top"/>
            </m:barPr>
            <m:e>
              <m:r>
                <m:rPr>
                  <m:lit/>
                  <m:nor/>
                </m:rPr>
                <w:rPr>
                  <w:rFonts w:ascii="Cambria Math" w:hAnsi="Cambria Math"/>
                </w:rPr>
                <m:t xml:space="preserve">TRP</m:t>
              </m:r>
            </m:e>
          </m:bar>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sSub>
                        <m:e>
                          <m:r>
                            <m:rPr>
                              <m:lit/>
                              <m:nor/>
                            </m:rPr>
                            <w:rPr>
                              <w:rFonts w:ascii="Cambria Math" w:hAnsi="Cambria Math"/>
                            </w:rPr>
                            <m:t xml:space="preserve">TRP</m:t>
                          </m:r>
                        </m:e>
                        <m:sub>
                          <m:sSub>
                            <m:e>
                              <m:r>
                                <m:rPr>
                                  <m:lit/>
                                  <m:nor/>
                                </m:rPr>
                                <w:rPr>
                                  <w:rFonts w:ascii="Cambria Math" w:hAnsi="Cambria Math"/>
                                </w:rPr>
                                <m:t xml:space="preserve">low</m:t>
                              </m:r>
                            </m:e>
                            <m:sub>
                              <m:r>
                                <m:rPr>
                                  <m:lit/>
                                  <m:nor/>
                                </m:rPr>
                                <w:rPr>
                                  <w:rFonts w:ascii="Cambria Math" w:hAnsi="Cambria Math"/>
                                </w:rPr>
                                <m:t xml:space="preserve">right</m:t>
                              </m:r>
                            </m:sub>
                          </m:sSub>
                        </m:sub>
                      </m:sSub>
                      <m:r>
                        <m:rPr>
                          <m:lit/>
                          <m:nor/>
                        </m:rPr>
                        <w:rPr>
                          <w:rFonts w:ascii="Cambria Math" w:hAnsi="Cambria Math"/>
                        </w:rPr>
                        <m:t xml:space="preserve">10</m:t>
                      </m:r>
                    </m:sup>
                  </m:sSup>
                  <m:r>
                    <w:rPr>
                      <w:rFonts w:ascii="Cambria Math" w:hAnsi="Cambria Math"/>
                    </w:rPr>
                    <m:t xml:space="preserve">+</m:t>
                  </m:r>
                  <m:sSup>
                    <m:e>
                      <m:r>
                        <m:rPr>
                          <m:lit/>
                          <m:nor/>
                        </m:rPr>
                        <w:rPr>
                          <w:rFonts w:ascii="Cambria Math" w:hAnsi="Cambria Math"/>
                        </w:rPr>
                        <m:t xml:space="preserve">10</m:t>
                      </m:r>
                    </m:e>
                    <m:sup>
                      <m:sSub>
                        <m:e>
                          <m:r>
                            <m:rPr>
                              <m:lit/>
                              <m:nor/>
                            </m:rPr>
                            <w:rPr>
                              <w:rFonts w:ascii="Cambria Math" w:hAnsi="Cambria Math"/>
                            </w:rPr>
                            <m:t xml:space="preserve">TRP</m:t>
                          </m:r>
                        </m:e>
                        <m:sub>
                          <m:sSub>
                            <m:e>
                              <m:r>
                                <m:rPr>
                                  <m:lit/>
                                  <m:nor/>
                                </m:rPr>
                                <w:rPr>
                                  <w:rFonts w:ascii="Cambria Math" w:hAnsi="Cambria Math"/>
                                </w:rPr>
                                <m:t xml:space="preserve">mid</m:t>
                              </m:r>
                            </m:e>
                            <m:sub>
                              <m:r>
                                <m:rPr>
                                  <m:lit/>
                                  <m:nor/>
                                </m:rPr>
                                <w:rPr>
                                  <w:rFonts w:ascii="Cambria Math" w:hAnsi="Cambria Math"/>
                                </w:rPr>
                                <m:t xml:space="preserve">right</m:t>
                              </m:r>
                            </m:sub>
                          </m:sSub>
                        </m:sub>
                      </m:sSub>
                      <m:r>
                        <m:rPr>
                          <m:lit/>
                          <m:nor/>
                        </m:rPr>
                        <w:rPr>
                          <w:rFonts w:ascii="Cambria Math" w:hAnsi="Cambria Math"/>
                        </w:rPr>
                        <m:t xml:space="preserve">10</m:t>
                      </m:r>
                    </m:sup>
                  </m:sSup>
                  <m:r>
                    <w:rPr>
                      <w:rFonts w:ascii="Cambria Math" w:hAnsi="Cambria Math"/>
                    </w:rPr>
                    <m:t xml:space="preserve">+</m:t>
                  </m:r>
                  <m:sSup>
                    <m:e>
                      <m:r>
                        <m:rPr>
                          <m:lit/>
                          <m:nor/>
                        </m:rPr>
                        <w:rPr>
                          <w:rFonts w:ascii="Cambria Math" w:hAnsi="Cambria Math"/>
                        </w:rPr>
                        <m:t xml:space="preserve">10</m:t>
                      </m:r>
                    </m:e>
                    <m:sup>
                      <m:sSub>
                        <m:e>
                          <m:r>
                            <m:rPr>
                              <m:lit/>
                              <m:nor/>
                            </m:rPr>
                            <w:rPr>
                              <w:rFonts w:ascii="Cambria Math" w:hAnsi="Cambria Math"/>
                            </w:rPr>
                            <m:t xml:space="preserve">TRP</m:t>
                          </m:r>
                        </m:e>
                        <m:sub>
                          <m:sSub>
                            <m:e>
                              <m:r>
                                <m:rPr>
                                  <m:lit/>
                                  <m:nor/>
                                </m:rPr>
                                <w:rPr>
                                  <w:rFonts w:ascii="Cambria Math" w:hAnsi="Cambria Math"/>
                                </w:rPr>
                                <m:t xml:space="preserve">high</m:t>
                              </m:r>
                            </m:e>
                            <m:sub>
                              <m:r>
                                <m:rPr>
                                  <m:lit/>
                                  <m:nor/>
                                </m:rPr>
                                <w:rPr>
                                  <w:rFonts w:ascii="Cambria Math" w:hAnsi="Cambria Math"/>
                                </w:rPr>
                                <m:t xml:space="preserve">right</m:t>
                              </m:r>
                            </m:sub>
                          </m:sSub>
                        </m:sub>
                      </m:sSub>
                      <m:r>
                        <m:rPr>
                          <m:lit/>
                          <m:nor/>
                        </m:rPr>
                        <w:rPr>
                          <w:rFonts w:ascii="Cambria Math" w:hAnsi="Cambria Math"/>
                        </w:rPr>
                        <m:t xml:space="preserve">10</m:t>
                      </m:r>
                    </m:sup>
                  </m:sSup>
                  <m:r>
                    <w:rPr>
                      <w:rFonts w:ascii="Cambria Math" w:hAnsi="Cambria Math"/>
                    </w:rPr>
                    <m:t xml:space="preserve">+</m:t>
                  </m:r>
                  <m:sSup>
                    <m:e>
                      <m:r>
                        <m:rPr>
                          <m:lit/>
                          <m:nor/>
                        </m:rPr>
                        <w:rPr>
                          <w:rFonts w:ascii="Cambria Math" w:hAnsi="Cambria Math"/>
                        </w:rPr>
                        <m:t xml:space="preserve">10</m:t>
                      </m:r>
                    </m:e>
                    <m:sup>
                      <m:sSub>
                        <m:e>
                          <m:r>
                            <m:rPr>
                              <m:lit/>
                              <m:nor/>
                            </m:rPr>
                            <w:rPr>
                              <w:rFonts w:ascii="Cambria Math" w:hAnsi="Cambria Math"/>
                            </w:rPr>
                            <m:t xml:space="preserve">TRP</m:t>
                          </m:r>
                        </m:e>
                        <m:sub>
                          <m:sSub>
                            <m:e>
                              <m:r>
                                <m:rPr>
                                  <m:lit/>
                                  <m:nor/>
                                </m:rPr>
                                <w:rPr>
                                  <w:rFonts w:ascii="Cambria Math" w:hAnsi="Cambria Math"/>
                                </w:rPr>
                                <m:t xml:space="preserve">low</m:t>
                              </m:r>
                            </m:e>
                            <m:sub>
                              <m:r>
                                <m:rPr>
                                  <m:lit/>
                                  <m:nor/>
                                </m:rPr>
                                <w:rPr>
                                  <w:rFonts w:ascii="Cambria Math" w:hAnsi="Cambria Math"/>
                                </w:rPr>
                                <m:t xml:space="preserve">left</m:t>
                              </m:r>
                            </m:sub>
                          </m:sSub>
                        </m:sub>
                      </m:sSub>
                      <m:r>
                        <m:rPr>
                          <m:lit/>
                          <m:nor/>
                        </m:rPr>
                        <w:rPr>
                          <w:rFonts w:ascii="Cambria Math" w:hAnsi="Cambria Math"/>
                        </w:rPr>
                        <m:t xml:space="preserve">10</m:t>
                      </m:r>
                    </m:sup>
                  </m:sSup>
                  <m:r>
                    <w:rPr>
                      <w:rFonts w:ascii="Cambria Math" w:hAnsi="Cambria Math"/>
                    </w:rPr>
                    <m:t xml:space="preserve">+</m:t>
                  </m:r>
                  <m:sSup>
                    <m:e>
                      <m:r>
                        <m:rPr>
                          <m:lit/>
                          <m:nor/>
                        </m:rPr>
                        <w:rPr>
                          <w:rFonts w:ascii="Cambria Math" w:hAnsi="Cambria Math"/>
                        </w:rPr>
                        <m:t xml:space="preserve">10</m:t>
                      </m:r>
                    </m:e>
                    <m:sup>
                      <m:sSub>
                        <m:e>
                          <m:r>
                            <m:rPr>
                              <m:lit/>
                              <m:nor/>
                            </m:rPr>
                            <w:rPr>
                              <w:rFonts w:ascii="Cambria Math" w:hAnsi="Cambria Math"/>
                            </w:rPr>
                            <m:t xml:space="preserve">TRP</m:t>
                          </m:r>
                        </m:e>
                        <m:sub>
                          <m:sSub>
                            <m:e>
                              <m:r>
                                <m:rPr>
                                  <m:lit/>
                                  <m:nor/>
                                </m:rPr>
                                <w:rPr>
                                  <w:rFonts w:ascii="Cambria Math" w:hAnsi="Cambria Math"/>
                                </w:rPr>
                                <m:t xml:space="preserve">mid</m:t>
                              </m:r>
                            </m:e>
                            <m:sub>
                              <m:r>
                                <m:rPr>
                                  <m:lit/>
                                  <m:nor/>
                                </m:rPr>
                                <w:rPr>
                                  <w:rFonts w:ascii="Cambria Math" w:hAnsi="Cambria Math"/>
                                </w:rPr>
                                <m:t xml:space="preserve">left</m:t>
                              </m:r>
                            </m:sub>
                          </m:sSub>
                        </m:sub>
                      </m:sSub>
                      <m:r>
                        <m:rPr>
                          <m:lit/>
                          <m:nor/>
                        </m:rPr>
                        <w:rPr>
                          <w:rFonts w:ascii="Cambria Math" w:hAnsi="Cambria Math"/>
                        </w:rPr>
                        <m:t xml:space="preserve">10</m:t>
                      </m:r>
                    </m:sup>
                  </m:sSup>
                  <m:r>
                    <w:rPr>
                      <w:rFonts w:ascii="Cambria Math" w:hAnsi="Cambria Math"/>
                    </w:rPr>
                    <m:t xml:space="preserve">+</m:t>
                  </m:r>
                  <m:sSup>
                    <m:e>
                      <m:r>
                        <m:rPr>
                          <m:lit/>
                          <m:nor/>
                        </m:rPr>
                        <w:rPr>
                          <w:rFonts w:ascii="Cambria Math" w:hAnsi="Cambria Math"/>
                        </w:rPr>
                        <m:t xml:space="preserve">10</m:t>
                      </m:r>
                    </m:e>
                    <m:sup>
                      <m:sSub>
                        <m:e>
                          <m:r>
                            <m:rPr>
                              <m:lit/>
                              <m:nor/>
                            </m:rPr>
                            <w:rPr>
                              <w:rFonts w:ascii="Cambria Math" w:hAnsi="Cambria Math"/>
                            </w:rPr>
                            <m:t xml:space="preserve">TRP</m:t>
                          </m:r>
                        </m:e>
                        <m:sub>
                          <m:sSub>
                            <m:e>
                              <m:r>
                                <m:rPr>
                                  <m:lit/>
                                  <m:nor/>
                                </m:rPr>
                                <w:rPr>
                                  <w:rFonts w:ascii="Cambria Math" w:hAnsi="Cambria Math"/>
                                </w:rPr>
                                <m:t xml:space="preserve">high</m:t>
                              </m:r>
                            </m:e>
                            <m:sub>
                              <m:r>
                                <m:rPr>
                                  <m:lit/>
                                  <m:nor/>
                                </m:rPr>
                                <w:rPr>
                                  <w:rFonts w:ascii="Cambria Math" w:hAnsi="Cambria Math"/>
                                </w:rPr>
                                <m:t xml:space="preserve">left</m:t>
                              </m:r>
                            </m:sub>
                          </m:sSub>
                        </m:sub>
                      </m:sSub>
                      <m:r>
                        <m:rPr>
                          <m:lit/>
                          <m:nor/>
                        </m:rPr>
                        <w:rPr>
                          <w:rFonts w:ascii="Cambria Math" w:hAnsi="Cambria Math"/>
                        </w:rPr>
                        <m:t xml:space="preserve">10</m:t>
                      </m:r>
                    </m:sup>
                  </m:sSup>
                </m:num>
                <m:den>
                  <m:r>
                    <w:rPr>
                      <w:rFonts w:ascii="Cambria Math" w:hAnsi="Cambria Math"/>
                    </w:rPr>
                    <m:t xml:space="preserve">6</m:t>
                  </m:r>
                </m:den>
              </m:f>
            </m:e>
          </m:d>
        </m:oMath>
      </m:oMathPara>
    </w:p>
    <w:p>
      <w:pPr>
        <w:pStyle w:val="Normal"/>
        <w:rPr/>
      </w:pPr>
      <w:r>
        <w:rPr/>
      </w:r>
      <m:oMath xmlns:m="http://schemas.openxmlformats.org/officeDocument/2006/math">
        <m:bar>
          <m:barPr>
            <m:pos m:val="top"/>
          </m:barPr>
          <m:e>
            <m:r>
              <m:rPr>
                <m:lit/>
                <m:nor/>
              </m:rPr>
              <w:rPr>
                <w:rFonts w:ascii="Cambria Math" w:hAnsi="Cambria Math"/>
              </w:rPr>
              <m:t xml:space="preserve">TRS</m:t>
            </m:r>
          </m:e>
        </m:bar>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r>
                  <w:rPr>
                    <w:rFonts w:ascii="Cambria Math" w:hAnsi="Cambria Math"/>
                  </w:rPr>
                  <m:t xml:space="preserve">6</m:t>
                </m:r>
              </m:num>
              <m:den>
                <m:sSup>
                  <m:e>
                    <m:r>
                      <m:rPr>
                        <m:lit/>
                        <m:nor/>
                      </m:rPr>
                      <w:rPr>
                        <w:rFonts w:ascii="Cambria Math" w:hAnsi="Cambria Math"/>
                      </w:rPr>
                      <m:t xml:space="preserve">10</m:t>
                    </m:r>
                  </m:e>
                  <m:sup>
                    <m:r>
                      <w:rPr>
                        <w:rFonts w:ascii="Cambria Math" w:hAnsi="Cambria Math"/>
                      </w:rPr>
                      <m:t xml:space="preserve">−</m:t>
                    </m:r>
                    <m:sSub>
                      <m:e>
                        <m:r>
                          <m:rPr>
                            <m:lit/>
                            <m:nor/>
                          </m:rPr>
                          <w:rPr>
                            <w:rFonts w:ascii="Cambria Math" w:hAnsi="Cambria Math"/>
                          </w:rPr>
                          <m:t xml:space="preserve">TRS</m:t>
                        </m:r>
                      </m:e>
                      <m:sub>
                        <m:sSub>
                          <m:e>
                            <m:r>
                              <m:rPr>
                                <m:lit/>
                                <m:nor/>
                              </m:rPr>
                              <w:rPr>
                                <w:rFonts w:ascii="Cambria Math" w:hAnsi="Cambria Math"/>
                              </w:rPr>
                              <m:t xml:space="preserve">low</m:t>
                            </m:r>
                          </m:e>
                          <m:sub>
                            <m:r>
                              <m:rPr>
                                <m:lit/>
                                <m:nor/>
                              </m:rPr>
                              <w:rPr>
                                <w:rFonts w:ascii="Cambria Math" w:hAnsi="Cambria Math"/>
                              </w:rPr>
                              <m:t xml:space="preserve">right</m:t>
                            </m:r>
                          </m:sub>
                        </m:sSub>
                      </m:sub>
                    </m:sSub>
                    <m:r>
                      <m:rPr>
                        <m:lit/>
                        <m:nor/>
                      </m:rPr>
                      <w:rPr>
                        <w:rFonts w:ascii="Cambria Math" w:hAnsi="Cambria Math"/>
                      </w:rPr>
                      <m:t xml:space="preserve">10</m:t>
                    </m:r>
                  </m:sup>
                </m:sSup>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sSub>
                      <m:e>
                        <m:r>
                          <m:rPr>
                            <m:lit/>
                            <m:nor/>
                          </m:rPr>
                          <w:rPr>
                            <w:rFonts w:ascii="Cambria Math" w:hAnsi="Cambria Math"/>
                          </w:rPr>
                          <m:t xml:space="preserve">TRS</m:t>
                        </m:r>
                      </m:e>
                      <m:sub>
                        <m:sSub>
                          <m:e>
                            <m:r>
                              <m:rPr>
                                <m:lit/>
                                <m:nor/>
                              </m:rPr>
                              <w:rPr>
                                <w:rFonts w:ascii="Cambria Math" w:hAnsi="Cambria Math"/>
                              </w:rPr>
                              <m:t xml:space="preserve">mid</m:t>
                            </m:r>
                          </m:e>
                          <m:sub>
                            <m:r>
                              <m:rPr>
                                <m:lit/>
                                <m:nor/>
                              </m:rPr>
                              <w:rPr>
                                <w:rFonts w:ascii="Cambria Math" w:hAnsi="Cambria Math"/>
                              </w:rPr>
                              <m:t xml:space="preserve">righ</m:t>
                            </m:r>
                          </m:sub>
                        </m:sSub>
                      </m:sub>
                    </m:sSub>
                    <m:r>
                      <m:rPr>
                        <m:lit/>
                        <m:nor/>
                      </m:rPr>
                      <w:rPr>
                        <w:rFonts w:ascii="Cambria Math" w:hAnsi="Cambria Math"/>
                      </w:rPr>
                      <m:t xml:space="preserve">10</m:t>
                    </m:r>
                  </m:sup>
                </m:sSup>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sSub>
                      <m:e>
                        <m:r>
                          <m:rPr>
                            <m:lit/>
                            <m:nor/>
                          </m:rPr>
                          <w:rPr>
                            <w:rFonts w:ascii="Cambria Math" w:hAnsi="Cambria Math"/>
                          </w:rPr>
                          <m:t xml:space="preserve">TRS</m:t>
                        </m:r>
                      </m:e>
                      <m:sub>
                        <m:sSub>
                          <m:e>
                            <m:r>
                              <m:rPr>
                                <m:lit/>
                                <m:nor/>
                              </m:rPr>
                              <w:rPr>
                                <w:rFonts w:ascii="Cambria Math" w:hAnsi="Cambria Math"/>
                              </w:rPr>
                              <m:t xml:space="preserve">high</m:t>
                            </m:r>
                          </m:e>
                          <m:sub>
                            <m:r>
                              <m:rPr>
                                <m:lit/>
                                <m:nor/>
                              </m:rPr>
                              <w:rPr>
                                <w:rFonts w:ascii="Cambria Math" w:hAnsi="Cambria Math"/>
                              </w:rPr>
                              <m:t xml:space="preserve">righ</m:t>
                            </m:r>
                          </m:sub>
                        </m:sSub>
                      </m:sub>
                    </m:sSub>
                    <m:r>
                      <m:rPr>
                        <m:lit/>
                        <m:nor/>
                      </m:rPr>
                      <w:rPr>
                        <w:rFonts w:ascii="Cambria Math" w:hAnsi="Cambria Math"/>
                      </w:rPr>
                      <m:t xml:space="preserve">10</m:t>
                    </m:r>
                  </m:sup>
                </m:sSup>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sSub>
                      <m:e>
                        <m:r>
                          <m:rPr>
                            <m:lit/>
                            <m:nor/>
                          </m:rPr>
                          <w:rPr>
                            <w:rFonts w:ascii="Cambria Math" w:hAnsi="Cambria Math"/>
                          </w:rPr>
                          <m:t xml:space="preserve">TRS</m:t>
                        </m:r>
                      </m:e>
                      <m:sub>
                        <m:sSub>
                          <m:e>
                            <m:r>
                              <m:rPr>
                                <m:lit/>
                                <m:nor/>
                              </m:rPr>
                              <w:rPr>
                                <w:rFonts w:ascii="Cambria Math" w:hAnsi="Cambria Math"/>
                              </w:rPr>
                              <m:t xml:space="preserve">low</m:t>
                            </m:r>
                          </m:e>
                          <m:sub>
                            <m:r>
                              <m:rPr>
                                <m:lit/>
                                <m:nor/>
                              </m:rPr>
                              <w:rPr>
                                <w:rFonts w:ascii="Cambria Math" w:hAnsi="Cambria Math"/>
                              </w:rPr>
                              <m:t xml:space="preserve">left</m:t>
                            </m:r>
                          </m:sub>
                        </m:sSub>
                      </m:sub>
                    </m:sSub>
                    <m:r>
                      <m:rPr>
                        <m:lit/>
                        <m:nor/>
                      </m:rPr>
                      <w:rPr>
                        <w:rFonts w:ascii="Cambria Math" w:hAnsi="Cambria Math"/>
                      </w:rPr>
                      <m:t xml:space="preserve">10</m:t>
                    </m:r>
                  </m:sup>
                </m:sSup>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sSub>
                      <m:e>
                        <m:r>
                          <m:rPr>
                            <m:lit/>
                            <m:nor/>
                          </m:rPr>
                          <w:rPr>
                            <w:rFonts w:ascii="Cambria Math" w:hAnsi="Cambria Math"/>
                          </w:rPr>
                          <m:t xml:space="preserve">TRS</m:t>
                        </m:r>
                      </m:e>
                      <m:sub>
                        <m:sSub>
                          <m:e>
                            <m:r>
                              <m:rPr>
                                <m:lit/>
                                <m:nor/>
                              </m:rPr>
                              <w:rPr>
                                <w:rFonts w:ascii="Cambria Math" w:hAnsi="Cambria Math"/>
                              </w:rPr>
                              <m:t xml:space="preserve">mid</m:t>
                            </m:r>
                          </m:e>
                          <m:sub>
                            <m:r>
                              <m:rPr>
                                <m:lit/>
                                <m:nor/>
                              </m:rPr>
                              <w:rPr>
                                <w:rFonts w:ascii="Cambria Math" w:hAnsi="Cambria Math"/>
                              </w:rPr>
                              <m:t xml:space="preserve">left</m:t>
                            </m:r>
                          </m:sub>
                        </m:sSub>
                      </m:sub>
                    </m:sSub>
                    <m:r>
                      <m:rPr>
                        <m:lit/>
                        <m:nor/>
                      </m:rPr>
                      <w:rPr>
                        <w:rFonts w:ascii="Cambria Math" w:hAnsi="Cambria Math"/>
                      </w:rPr>
                      <m:t xml:space="preserve">10</m:t>
                    </m:r>
                  </m:sup>
                </m:sSup>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sSub>
                      <m:e>
                        <m:r>
                          <m:rPr>
                            <m:lit/>
                            <m:nor/>
                          </m:rPr>
                          <w:rPr>
                            <w:rFonts w:ascii="Cambria Math" w:hAnsi="Cambria Math"/>
                          </w:rPr>
                          <m:t xml:space="preserve">TRS</m:t>
                        </m:r>
                      </m:e>
                      <m:sub>
                        <m:sSub>
                          <m:e>
                            <m:r>
                              <m:rPr>
                                <m:lit/>
                                <m:nor/>
                              </m:rPr>
                              <w:rPr>
                                <w:rFonts w:ascii="Cambria Math" w:hAnsi="Cambria Math"/>
                              </w:rPr>
                              <m:t xml:space="preserve">high</m:t>
                            </m:r>
                          </m:e>
                          <m:sub>
                            <m:r>
                              <m:rPr>
                                <m:lit/>
                                <m:nor/>
                              </m:rPr>
                              <w:rPr>
                                <w:rFonts w:ascii="Cambria Math" w:hAnsi="Cambria Math"/>
                              </w:rPr>
                              <m:t xml:space="preserve">left</m:t>
                            </m:r>
                          </m:sub>
                        </m:sSub>
                      </m:sub>
                    </m:sSub>
                    <m:r>
                      <m:rPr>
                        <m:lit/>
                        <m:nor/>
                      </m:rPr>
                      <w:rPr>
                        <w:rFonts w:ascii="Cambria Math" w:hAnsi="Cambria Math"/>
                      </w:rPr>
                      <m:t xml:space="preserve">10</m:t>
                    </m:r>
                  </m:sup>
                </m:sSup>
              </m:den>
            </m:f>
          </m:e>
        </m:d>
      </m:oMath>
      <w:r>
        <w:rPr/>
        <w:t xml:space="preserve"> </w:t>
      </w:r>
    </w:p>
    <w:p>
      <w:pPr>
        <w:pStyle w:val="Normal"/>
        <w:numPr>
          <w:ilvl w:val="0"/>
          <w:numId w:val="5"/>
        </w:numPr>
        <w:suppressAutoHyphens w:val="true"/>
        <w:rPr>
          <w:rFonts w:eastAsia="Osaka;MS Mincho"/>
        </w:rPr>
      </w:pPr>
      <w:r>
        <w:rPr>
          <w:rFonts w:eastAsia="Osaka;MS Mincho"/>
        </w:rPr>
      </w:r>
    </w:p>
    <w:p>
      <w:pPr>
        <w:pStyle w:val="Normal"/>
        <w:numPr>
          <w:ilvl w:val="0"/>
          <w:numId w:val="5"/>
        </w:numPr>
        <w:tabs>
          <w:tab w:val="clear" w:pos="284"/>
          <w:tab w:val="left" w:pos="0" w:leader="none"/>
        </w:tabs>
        <w:suppressAutoHyphens w:val="true"/>
        <w:ind w:left="0" w:hanging="0"/>
        <w:rPr/>
      </w:pPr>
      <w:r>
        <w:rPr/>
      </w:r>
      <m:oMath xmlns:m="http://schemas.openxmlformats.org/officeDocument/2006/math">
        <m:bar>
          <m:barPr>
            <m:pos m:val="top"/>
          </m:barPr>
          <m:e>
            <m:r>
              <m:rPr>
                <m:lit/>
                <m:nor/>
              </m:rPr>
              <w:rPr>
                <w:rFonts w:ascii="Cambria Math" w:hAnsi="Cambria Math"/>
              </w:rPr>
              <m:t xml:space="preserve">TRP</m:t>
            </m:r>
          </m:e>
        </m:bar>
      </m:oMath>
      <w:r>
        <w:rPr>
          <w:rFonts w:eastAsia="Times New Roman"/>
        </w:rPr>
        <w:t xml:space="preserve"> </w:t>
      </w:r>
      <w:r>
        <w:rPr>
          <w:rFonts w:eastAsia="Osaka;MS Mincho"/>
        </w:rPr>
        <w:t>[dBm] and</w:t>
      </w:r>
      <w:r>
        <w:rPr/>
        <w:t xml:space="preserve"> </w:t>
      </w:r>
      <w:r>
        <w:rPr/>
      </w:r>
      <m:oMath xmlns:m="http://schemas.openxmlformats.org/officeDocument/2006/math">
        <m:bar>
          <m:barPr>
            <m:pos m:val="top"/>
          </m:barPr>
          <m:e>
            <m:r>
              <m:rPr>
                <m:lit/>
                <m:nor/>
              </m:rPr>
              <w:rPr>
                <w:rFonts w:ascii="Cambria Math" w:hAnsi="Cambria Math"/>
              </w:rPr>
              <m:t xml:space="preserve">TRS</m:t>
            </m:r>
          </m:e>
        </m:bar>
      </m:oMath>
      <w:r>
        <w:rPr>
          <w:rFonts w:eastAsia="Osaka;MS Mincho"/>
        </w:rPr>
        <w:t xml:space="preserve"> [dBm] values shall be reported for each tested channel and a frequency band average shall be calculated by using the following equations when the laptop ground plane phantom is used and when the embedded devices are tested.</w:t>
      </w:r>
    </w:p>
    <w:p>
      <w:pPr>
        <w:pStyle w:val="EQ"/>
        <w:numPr>
          <w:ilvl w:val="0"/>
          <w:numId w:val="5"/>
        </w:numPr>
        <w:suppressAutoHyphens w:val="true"/>
        <w:jc w:val="center"/>
        <w:rPr>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TRP</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r>
                    <w:rPr>
                      <w:rFonts w:ascii="Cambria Math" w:hAnsi="Cambria Math"/>
                    </w:rPr>
                    <m:t xml:space="preserve">+</m:t>
                  </m:r>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num>
                <m:den>
                  <m:r>
                    <w:rPr>
                      <w:rFonts w:ascii="Cambria Math" w:hAnsi="Cambria Math"/>
                    </w:rPr>
                    <m:t xml:space="preserve">3</m:t>
                  </m:r>
                </m:den>
              </m:f>
            </m:e>
          </m:d>
        </m:oMath>
      </m:oMathPara>
    </w:p>
    <w:p>
      <w:pPr>
        <w:pStyle w:val="EQ"/>
        <w:numPr>
          <w:ilvl w:val="0"/>
          <w:numId w:val="5"/>
        </w:numPr>
        <w:suppressAutoHyphens w:val="true"/>
        <w:jc w:val="center"/>
        <w:rPr>
          <w:rFonts w:eastAsia="Osaka;MS Mincho"/>
          <w:lang w:val="en-GB" w:eastAsia="en-GB"/>
        </w:rPr>
      </w:pPr>
      <w:r>
        <w:rPr>
          <w:lang w:val="en-GB" w:eastAsia="en-GB"/>
        </w:rPr>
      </w:r>
      <m:oMathPara xmlns:m="http://schemas.openxmlformats.org/officeDocument/2006/math">
        <m:oMathParaPr>
          <m:jc m:val="center"/>
        </m:oMathParaPr>
        <m:oMath>
          <m:sSub>
            <m:e>
              <m:r>
                <m:rPr>
                  <m:lit/>
                  <m:nor/>
                </m:rPr>
                <w:rPr>
                  <w:rFonts w:ascii="Cambria Math" w:hAnsi="Cambria Math"/>
                </w:rPr>
                <m:t xml:space="preserve">TRS</m:t>
              </m:r>
            </m:e>
            <m:sub>
              <m:r>
                <m:rPr>
                  <m:lit/>
                  <m:nor/>
                </m:rPr>
                <w:rPr>
                  <w:rFonts w:ascii="Cambria Math" w:hAnsi="Cambria Math"/>
                </w:rPr>
                <m:t xml:space="preserve">average</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r>
                <w:rPr>
                  <w:rFonts w:ascii="Cambria Math" w:hAnsi="Cambria Math"/>
                </w:rPr>
                <m:t xml:space="preserve">3</m:t>
              </m:r>
              <m:r>
                <w:rPr>
                  <w:rFonts w:ascii="Cambria Math" w:hAnsi="Cambria Math"/>
                </w:rPr>
                <m:t xml:space="preserve">/</m:t>
              </m:r>
              <m:d>
                <m:dPr>
                  <m:begChr m:val="("/>
                  <m:endChr m:val=")"/>
                </m:dPr>
                <m:e>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low</m:t>
                                  </m:r>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mid</m:t>
                                  </m:r>
                                </m:sub>
                              </m:sSub>
                            </m:num>
                            <m:den>
                              <m:r>
                                <m:rPr>
                                  <m:lit/>
                                  <m:nor/>
                                </m:rPr>
                                <w:rPr>
                                  <w:rFonts w:ascii="Cambria Math" w:hAnsi="Cambria Math"/>
                                </w:rPr>
                                <m:t xml:space="preserve">10</m:t>
                              </m:r>
                            </m:den>
                          </m:f>
                        </m:sup>
                      </m:sSup>
                    </m:den>
                  </m:f>
                  <m:r>
                    <w:rPr>
                      <w:rFonts w:ascii="Cambria Math" w:hAnsi="Cambria Math"/>
                    </w:rPr>
                    <m:t xml:space="preserve">+</m:t>
                  </m:r>
                  <m:f>
                    <m:num>
                      <m:r>
                        <w:rPr>
                          <w:rFonts w:ascii="Cambria Math" w:hAnsi="Cambria Math"/>
                        </w:rPr>
                        <m:t xml:space="preserve">1</m:t>
                      </m:r>
                    </m:num>
                    <m:den>
                      <m:sSup>
                        <m:e>
                          <m:r>
                            <m:rPr>
                              <m:lit/>
                              <m:nor/>
                            </m:rPr>
                            <w:rPr>
                              <w:rFonts w:ascii="Cambria Math" w:hAnsi="Cambria Math"/>
                            </w:rPr>
                            <m:t xml:space="preserve">10</m:t>
                          </m:r>
                        </m:e>
                        <m:sup>
                          <m:f>
                            <m:fPr>
                              <m:type m:val="lin"/>
                            </m:fPr>
                            <m:num>
                              <m:sSub>
                                <m:e>
                                  <m:r>
                                    <w:rPr>
                                      <w:rFonts w:ascii="Cambria Math" w:hAnsi="Cambria Math"/>
                                    </w:rPr>
                                    <m:t xml:space="preserve">P</m:t>
                                  </m:r>
                                </m:e>
                                <m:sub>
                                  <m:r>
                                    <m:rPr>
                                      <m:lit/>
                                      <m:nor/>
                                    </m:rPr>
                                    <w:rPr>
                                      <w:rFonts w:ascii="Cambria Math" w:hAnsi="Cambria Math"/>
                                    </w:rPr>
                                    <m:t xml:space="preserve">high</m:t>
                                  </m:r>
                                </m:sub>
                              </m:sSub>
                            </m:num>
                            <m:den>
                              <m:r>
                                <m:rPr>
                                  <m:lit/>
                                  <m:nor/>
                                </m:rPr>
                                <w:rPr>
                                  <w:rFonts w:ascii="Cambria Math" w:hAnsi="Cambria Math"/>
                                </w:rPr>
                                <m:t xml:space="preserve">10</m:t>
                              </m:r>
                            </m:den>
                          </m:f>
                        </m:sup>
                      </m:sSup>
                    </m:den>
                  </m:f>
                </m:e>
              </m:d>
            </m:e>
          </m:d>
        </m:oMath>
      </m:oMathPara>
    </w:p>
    <w:p>
      <w:pPr>
        <w:pStyle w:val="Normal"/>
        <w:numPr>
          <w:ilvl w:val="0"/>
          <w:numId w:val="5"/>
        </w:numPr>
        <w:tabs>
          <w:tab w:val="clear" w:pos="284"/>
          <w:tab w:val="left" w:pos="0" w:leader="none"/>
        </w:tabs>
        <w:suppressAutoHyphens w:val="true"/>
        <w:ind w:left="0" w:hanging="0"/>
        <w:rPr>
          <w:rFonts w:eastAsia="Osaka;MS Mincho"/>
        </w:rPr>
      </w:pPr>
      <w:r>
        <w:rPr>
          <w:rFonts w:eastAsia="Osaka;MS Mincho"/>
        </w:rPr>
        <w:t>The expanded measurement uncertainty, assessed according Annex E, shall be documented next to the corresponding TRP and TRS results. The uncertainty calculation shall be made available.</w:t>
      </w:r>
    </w:p>
    <w:p>
      <w:pPr>
        <w:pStyle w:val="Heading8"/>
        <w:ind w:left="0" w:hanging="0"/>
        <w:rPr/>
      </w:pPr>
      <w:bookmarkStart w:id="468" w:name="__RefHeading___Toc68601386"/>
      <w:bookmarkEnd w:id="468"/>
      <w:r>
        <w:rPr/>
        <w:t>Annex D (normative): Maximum uncertainty of test system and test tolerance</w:t>
      </w:r>
    </w:p>
    <w:p>
      <w:pPr>
        <w:pStyle w:val="Heading1"/>
        <w:ind w:left="1134" w:hanging="1134"/>
        <w:rPr/>
      </w:pPr>
      <w:bookmarkStart w:id="469" w:name="__RefHeading___Toc68601387"/>
      <w:bookmarkEnd w:id="469"/>
      <w:r>
        <w:rPr/>
        <w:t>D.1</w:t>
        <w:tab/>
        <w:t>Maximum uncertainty of test system</w:t>
      </w:r>
    </w:p>
    <w:p>
      <w:pPr>
        <w:pStyle w:val="Normal"/>
        <w:numPr>
          <w:ilvl w:val="0"/>
          <w:numId w:val="5"/>
        </w:numPr>
        <w:tabs>
          <w:tab w:val="clear" w:pos="284"/>
          <w:tab w:val="left" w:pos="0" w:leader="none"/>
        </w:tabs>
        <w:suppressAutoHyphens w:val="true"/>
        <w:ind w:left="0" w:right="336" w:hanging="0"/>
        <w:rPr/>
      </w:pPr>
      <w:r>
        <w:rPr/>
        <w:t>The maximum acceptable uncertainty of the Test System is specified in Table D.1-1 for each test, where appropriate. The Test System shall enable each test to be measured with an uncertainty not exceeding the specified values. All ranges and uncertainties are absolute values and are valid for a confidence level of 95 %.</w:t>
      </w:r>
    </w:p>
    <w:p>
      <w:pPr>
        <w:pStyle w:val="Normal"/>
        <w:numPr>
          <w:ilvl w:val="0"/>
          <w:numId w:val="5"/>
        </w:numPr>
        <w:tabs>
          <w:tab w:val="clear" w:pos="284"/>
          <w:tab w:val="left" w:pos="0" w:leader="none"/>
        </w:tabs>
        <w:suppressAutoHyphens w:val="true"/>
        <w:ind w:left="0" w:right="336" w:hanging="0"/>
        <w:rPr>
          <w:rFonts w:eastAsia="Osaka;MS Mincho"/>
        </w:rPr>
      </w:pPr>
      <w:r>
        <w:rPr>
          <w:rFonts w:eastAsia="Osaka;MS Mincho"/>
        </w:rPr>
        <w:t>In Annex E, the estimation of measurement uncertainty is defined.</w:t>
      </w:r>
    </w:p>
    <w:p>
      <w:pPr>
        <w:pStyle w:val="TH"/>
        <w:numPr>
          <w:ilvl w:val="0"/>
          <w:numId w:val="5"/>
        </w:numPr>
        <w:suppressAutoHyphens w:val="true"/>
        <w:rPr/>
      </w:pPr>
      <w:r>
        <w:rPr/>
        <w:t>Table D.1-1: Maximum Test System uncertainties for OTA tests</w:t>
      </w:r>
    </w:p>
    <w:tbl>
      <w:tblPr>
        <w:tblW w:w="9533" w:type="dxa"/>
        <w:jc w:val="center"/>
        <w:tblInd w:w="0" w:type="dxa"/>
        <w:tblLayout w:type="fixed"/>
        <w:tblCellMar>
          <w:top w:w="0" w:type="dxa"/>
          <w:left w:w="115" w:type="dxa"/>
          <w:bottom w:w="0" w:type="dxa"/>
          <w:right w:w="115" w:type="dxa"/>
        </w:tblCellMar>
      </w:tblPr>
      <w:tblGrid>
        <w:gridCol w:w="3150"/>
        <w:gridCol w:w="3593"/>
        <w:gridCol w:w="2790"/>
      </w:tblGrid>
      <w:tr>
        <w:trPr>
          <w:trHeight w:val="395" w:hRule="atLeast"/>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rPr>
                <w:rFonts w:eastAsia="Osaka;MS Mincho"/>
                <w:b w:val="false"/>
                <w:b w:val="false"/>
                <w:sz w:val="18"/>
                <w:szCs w:val="18"/>
                <w:lang w:eastAsia="en-US"/>
              </w:rPr>
            </w:pPr>
            <w:r>
              <w:rPr>
                <w:sz w:val="18"/>
                <w:szCs w:val="18"/>
                <w:lang w:eastAsia="en-US"/>
              </w:rPr>
              <w:t>Clause</w:t>
            </w:r>
          </w:p>
        </w:tc>
        <w:tc>
          <w:tcPr>
            <w:tcW w:w="3593"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rPr>
                <w:rFonts w:eastAsia="Osaka;MS Mincho"/>
                <w:b w:val="false"/>
                <w:b w:val="false"/>
                <w:sz w:val="18"/>
                <w:szCs w:val="18"/>
                <w:lang w:eastAsia="en-US"/>
              </w:rPr>
            </w:pPr>
            <w:r>
              <w:rPr>
                <w:sz w:val="18"/>
                <w:szCs w:val="18"/>
                <w:lang w:eastAsia="en-US"/>
              </w:rPr>
              <w:t>Maximum Test System Uncertainty</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rPr>
                <w:rFonts w:eastAsia="Osaka;MS Mincho"/>
                <w:b w:val="false"/>
                <w:b w:val="false"/>
                <w:sz w:val="18"/>
                <w:szCs w:val="18"/>
                <w:lang w:eastAsia="en-US"/>
              </w:rPr>
            </w:pPr>
            <w:r>
              <w:rPr>
                <w:sz w:val="18"/>
                <w:szCs w:val="18"/>
                <w:lang w:eastAsia="en-US"/>
              </w:rPr>
              <w:t>Derivation of Test System Uncertainty</w:t>
            </w:r>
          </w:p>
        </w:tc>
      </w:tr>
      <w:tr>
        <w:trPr>
          <w:trHeight w:val="323" w:hRule="atLeast"/>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pPr>
            <w:r>
              <w:rPr>
                <w:rFonts w:eastAsia="Osaka;MS Mincho"/>
                <w:b w:val="false"/>
                <w:sz w:val="18"/>
                <w:szCs w:val="18"/>
                <w:lang w:eastAsia="en-US"/>
              </w:rPr>
              <w:t>6.1.1 TRP for UTRA FDD in Speech Mode with beside the Head Phantom</w:t>
            </w:r>
          </w:p>
        </w:tc>
        <w:tc>
          <w:tcPr>
            <w:tcW w:w="35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Bands I,II,III,IV,V,VI,VII,VIII,IX</w:t>
            </w:r>
          </w:p>
          <w:p>
            <w:pPr>
              <w:pStyle w:val="TAL1"/>
              <w:rPr>
                <w:lang w:eastAsia="en-US"/>
              </w:rPr>
            </w:pPr>
            <w:r>
              <w:rPr>
                <w:lang w:eastAsia="en-US"/>
              </w:rPr>
              <w:t>±1.9 dB for single measurement</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Refer to Annex E</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pPr>
            <w:r>
              <w:rPr>
                <w:rFonts w:eastAsia="Osaka;MS Mincho"/>
                <w:b w:val="false"/>
                <w:sz w:val="18"/>
                <w:szCs w:val="18"/>
                <w:lang w:eastAsia="en-US"/>
              </w:rPr>
              <w:t>6.1.2 TRP for UTRA TDD in Speech Mode with beside the Head Phantom</w:t>
            </w:r>
          </w:p>
        </w:tc>
        <w:tc>
          <w:tcPr>
            <w:tcW w:w="35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Bands a,e,f</w:t>
            </w:r>
          </w:p>
          <w:p>
            <w:pPr>
              <w:pStyle w:val="TAL1"/>
              <w:rPr>
                <w:lang w:eastAsia="en-US"/>
              </w:rPr>
            </w:pPr>
            <w:r>
              <w:rPr>
                <w:lang w:eastAsia="en-US"/>
              </w:rPr>
              <w:t>±1.9 dB for single measurement</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Refer to Annex E</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pPr>
            <w:r>
              <w:rPr>
                <w:rFonts w:eastAsia="Osaka;MS Mincho"/>
                <w:b w:val="false"/>
                <w:sz w:val="18"/>
                <w:szCs w:val="18"/>
                <w:lang w:eastAsia="en-US"/>
              </w:rPr>
              <w:t>6.1.3 TRP for UTRA FDD in Speech Mode with beside the Head and Hand Phantom</w:t>
            </w:r>
          </w:p>
        </w:tc>
        <w:tc>
          <w:tcPr>
            <w:tcW w:w="3593"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b w:val="false"/>
                <w:lang w:eastAsia="sv-SE"/>
              </w:rPr>
              <w:t>±</w:t>
            </w:r>
            <w:r>
              <w:rPr>
                <w:b w:val="false"/>
                <w:lang w:eastAsia="en-US"/>
              </w:rPr>
              <w:t>1.9 dB for single measurement</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pPr>
            <w:r>
              <w:rPr>
                <w:rFonts w:eastAsia="Osaka;MS Mincho"/>
                <w:b w:val="false"/>
                <w:sz w:val="18"/>
                <w:szCs w:val="18"/>
                <w:lang w:eastAsia="en-US"/>
              </w:rPr>
              <w:t>6.1.4 TRP for UTRA TDD in Speech Mode with beside the Head and Hand Phantom</w:t>
            </w:r>
          </w:p>
        </w:tc>
        <w:tc>
          <w:tcPr>
            <w:tcW w:w="3593"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b w:val="false"/>
                <w:lang w:eastAsia="sv-SE"/>
              </w:rPr>
              <w:t>±</w:t>
            </w:r>
            <w:r>
              <w:rPr>
                <w:b w:val="false"/>
                <w:lang w:eastAsia="en-US"/>
              </w:rPr>
              <w:t>1.9 dB for single measurement</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pPr>
            <w:r>
              <w:rPr>
                <w:rFonts w:eastAsia="Osaka;MS Mincho"/>
                <w:b w:val="false"/>
                <w:sz w:val="18"/>
                <w:szCs w:val="18"/>
                <w:lang w:eastAsia="en-US"/>
              </w:rPr>
              <w:t>6.1.5 TRP for E-UTRA FDD in Speech Mode with beside the Head and Hand Phantom</w:t>
            </w:r>
          </w:p>
        </w:tc>
        <w:tc>
          <w:tcPr>
            <w:tcW w:w="3593"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pPr>
            <w:r>
              <w:rPr>
                <w:rFonts w:eastAsia="Osaka;MS Mincho"/>
                <w:b w:val="false"/>
                <w:sz w:val="18"/>
                <w:szCs w:val="18"/>
                <w:lang w:eastAsia="en-US"/>
              </w:rPr>
              <w:t>6.1.6 TRP for E-UTRA TDD in Speech Mode with beside the Head and Hand Phantom</w:t>
            </w:r>
          </w:p>
        </w:tc>
        <w:tc>
          <w:tcPr>
            <w:tcW w:w="3593"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6.1.7 TRP for UTRA FDD in Browsing Mode with Hand Phantom</w:t>
            </w:r>
          </w:p>
        </w:tc>
        <w:tc>
          <w:tcPr>
            <w:tcW w:w="3593"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6.1.8 TRP for UTRA TDD in Browsing Mode with Hand Phantom</w:t>
            </w:r>
          </w:p>
        </w:tc>
        <w:tc>
          <w:tcPr>
            <w:tcW w:w="3593"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6.1.9 TRP for E-UTRA FDD in Browsing Mode with Hand Phantom</w:t>
            </w:r>
          </w:p>
        </w:tc>
        <w:tc>
          <w:tcPr>
            <w:tcW w:w="3593"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6.1.10 TRP for E-UTRA TDD in Browsing Mode with Hand Phantom</w:t>
            </w:r>
          </w:p>
        </w:tc>
        <w:tc>
          <w:tcPr>
            <w:tcW w:w="3593"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6.2.1 TRP for UTRA FDD LME</w:t>
            </w:r>
          </w:p>
        </w:tc>
        <w:tc>
          <w:tcPr>
            <w:tcW w:w="35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Bands I,II,III,IV,V,VI,VII,VIII,IX</w:t>
            </w:r>
          </w:p>
          <w:p>
            <w:pPr>
              <w:pStyle w:val="TAL1"/>
              <w:rPr/>
            </w:pPr>
            <w:r>
              <w:rPr>
                <w:lang w:eastAsia="en-US"/>
              </w:rPr>
              <w:t>±1.9 dB for single measurement</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Refer to Annex E</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6.2.2 TRP for UTRA TDD LME</w:t>
            </w:r>
          </w:p>
        </w:tc>
        <w:tc>
          <w:tcPr>
            <w:tcW w:w="35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Bands a,e,f</w:t>
            </w:r>
          </w:p>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b w:val="false"/>
                <w:sz w:val="18"/>
                <w:szCs w:val="18"/>
                <w:lang w:eastAsia="en-US"/>
              </w:rPr>
              <w:t>±1.9 dB for single measurement</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Refer to Annex E</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6.2.3 TRP for E-UTRA FDD LME</w:t>
            </w:r>
          </w:p>
        </w:tc>
        <w:tc>
          <w:tcPr>
            <w:tcW w:w="3593"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6.2.4 TRP for E-UTRA TDD LME</w:t>
            </w:r>
          </w:p>
        </w:tc>
        <w:tc>
          <w:tcPr>
            <w:tcW w:w="3593"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6.3.1 TRP for UTRA FDD LEE</w:t>
            </w:r>
          </w:p>
        </w:tc>
        <w:tc>
          <w:tcPr>
            <w:tcW w:w="35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Bands I,II,III,IV,V,VI,VII,VIII,IX</w:t>
            </w:r>
          </w:p>
          <w:p>
            <w:pPr>
              <w:pStyle w:val="TAL1"/>
              <w:rPr>
                <w:lang w:eastAsia="en-US"/>
              </w:rPr>
            </w:pPr>
            <w:r>
              <w:rPr>
                <w:lang w:eastAsia="en-US"/>
              </w:rPr>
              <w:t>±1.9 dB for single measurement</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Refer to Annex E</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6.3.2 TRP for UTRA TDD LEE</w:t>
            </w:r>
          </w:p>
        </w:tc>
        <w:tc>
          <w:tcPr>
            <w:tcW w:w="35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Bands a,e,f</w:t>
            </w:r>
          </w:p>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b w:val="false"/>
                <w:sz w:val="18"/>
                <w:szCs w:val="18"/>
                <w:lang w:eastAsia="en-US"/>
              </w:rPr>
              <w:t>±1.9 dB for single measurement</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Refer to Annex E</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6.3.3 TRP for E-UTRA FDD LEE</w:t>
            </w:r>
          </w:p>
        </w:tc>
        <w:tc>
          <w:tcPr>
            <w:tcW w:w="3593"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b w:val="false"/>
                <w:lang w:eastAsia="sv-SE"/>
              </w:rPr>
              <w:t>±</w:t>
            </w:r>
            <w:r>
              <w:rPr>
                <w:b w:val="false"/>
                <w:lang w:eastAsia="en-US"/>
              </w:rPr>
              <w:t>1.9 dB for single measurement</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6.3.4 TRP for E-UTRA TDD LEE</w:t>
            </w:r>
          </w:p>
        </w:tc>
        <w:tc>
          <w:tcPr>
            <w:tcW w:w="3593"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b w:val="false"/>
                <w:lang w:eastAsia="sv-SE"/>
              </w:rPr>
              <w:t>±</w:t>
            </w:r>
            <w:r>
              <w:rPr>
                <w:b w:val="false"/>
                <w:lang w:eastAsia="en-US"/>
              </w:rPr>
              <w:t>1.9 dB for single measurement</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pPr>
            <w:r>
              <w:rPr>
                <w:rFonts w:eastAsia="Osaka;MS Mincho"/>
                <w:b w:val="false"/>
                <w:sz w:val="18"/>
                <w:szCs w:val="18"/>
                <w:lang w:eastAsia="en-US"/>
              </w:rPr>
              <w:t>7.1.1 TRS for UTRA FDD in Speech Mode with beside the Head Phantom</w:t>
            </w:r>
          </w:p>
        </w:tc>
        <w:tc>
          <w:tcPr>
            <w:tcW w:w="3593" w:type="dxa"/>
            <w:tcBorders>
              <w:top w:val="single" w:sz="4" w:space="0" w:color="000000"/>
              <w:left w:val="single" w:sz="4" w:space="0" w:color="000000"/>
              <w:bottom w:val="single" w:sz="4" w:space="0" w:color="000000"/>
              <w:right w:val="single" w:sz="4" w:space="0" w:color="000000"/>
            </w:tcBorders>
          </w:tcPr>
          <w:p>
            <w:pPr>
              <w:pStyle w:val="TAL1"/>
              <w:rPr>
                <w:lang w:eastAsia="sv-SE"/>
              </w:rPr>
            </w:pPr>
            <w:r>
              <w:rPr>
                <w:lang w:eastAsia="en-US"/>
              </w:rPr>
              <w:t>Bands I,II,III,IV,V,VI,VII,VIII,IX</w:t>
            </w:r>
          </w:p>
          <w:p>
            <w:pPr>
              <w:pStyle w:val="TAL1"/>
              <w:rPr>
                <w:rFonts w:eastAsia="Osaka;MS Mincho"/>
                <w:b/>
                <w:b/>
                <w:lang w:eastAsia="en-US"/>
              </w:rPr>
            </w:pPr>
            <w:r>
              <w:rPr>
                <w:lang w:eastAsia="en-US"/>
              </w:rPr>
              <w:t>±2.3 dB for single measurement</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Refer to Annex E</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pPr>
            <w:r>
              <w:rPr>
                <w:rFonts w:eastAsia="Osaka;MS Mincho"/>
                <w:b w:val="false"/>
                <w:sz w:val="18"/>
                <w:szCs w:val="18"/>
                <w:lang w:eastAsia="en-US"/>
              </w:rPr>
              <w:t>7.1.2 TRS for UTRA TDD in Speech Mode with beside the Head Phantom</w:t>
            </w:r>
          </w:p>
        </w:tc>
        <w:tc>
          <w:tcPr>
            <w:tcW w:w="3593"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lang w:eastAsia="zh-CN"/>
              </w:rPr>
              <w:t>Bands a,e,f</w:t>
            </w:r>
          </w:p>
          <w:p>
            <w:pPr>
              <w:pStyle w:val="TAL1"/>
              <w:rPr>
                <w:rFonts w:eastAsia="Osaka;MS Mincho"/>
                <w:b/>
                <w:b/>
                <w:lang w:eastAsia="en-US"/>
              </w:rPr>
            </w:pPr>
            <w:r>
              <w:rPr>
                <w:lang w:eastAsia="zh-CN"/>
              </w:rPr>
              <w:t>±2.3 dB for single measurement</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Refer to Annex E</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pPr>
            <w:r>
              <w:rPr>
                <w:rFonts w:eastAsia="Osaka;MS Mincho"/>
                <w:b w:val="false"/>
                <w:sz w:val="18"/>
                <w:szCs w:val="18"/>
                <w:lang w:eastAsia="en-US"/>
              </w:rPr>
              <w:t>7.1.3 TRS for UTRA FDD in Speech Mode with Head and Hand Phantom</w:t>
            </w:r>
          </w:p>
        </w:tc>
        <w:tc>
          <w:tcPr>
            <w:tcW w:w="3593"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b w:val="false"/>
                <w:lang w:eastAsia="sv-SE"/>
              </w:rPr>
              <w:t>±</w:t>
            </w:r>
            <w:r>
              <w:rPr>
                <w:b w:val="false"/>
                <w:lang w:eastAsia="en-US"/>
              </w:rPr>
              <w:t>2.3 dB for single measurement</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pPr>
            <w:r>
              <w:rPr>
                <w:rFonts w:eastAsia="Osaka;MS Mincho"/>
                <w:b w:val="false"/>
                <w:sz w:val="18"/>
                <w:szCs w:val="18"/>
                <w:lang w:eastAsia="en-US"/>
              </w:rPr>
              <w:t>7.1.4 TRS for UTRA TDD in Speech Mode with beside the Head and Hand Phantom</w:t>
            </w:r>
          </w:p>
        </w:tc>
        <w:tc>
          <w:tcPr>
            <w:tcW w:w="3593"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b w:val="false"/>
                <w:lang w:eastAsia="sv-SE"/>
              </w:rPr>
              <w:t>±</w:t>
            </w:r>
            <w:r>
              <w:rPr>
                <w:b w:val="false"/>
                <w:lang w:eastAsia="en-US"/>
              </w:rPr>
              <w:t>2.3 dB for single measurement</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pPr>
            <w:r>
              <w:rPr>
                <w:rFonts w:eastAsia="Osaka;MS Mincho"/>
                <w:b w:val="false"/>
                <w:sz w:val="18"/>
                <w:szCs w:val="18"/>
                <w:lang w:eastAsia="en-US"/>
              </w:rPr>
              <w:t>7.1.5 TRS for E-UTRA FDD in Speech Mode with beside the Head and Hand Phantom</w:t>
            </w:r>
          </w:p>
        </w:tc>
        <w:tc>
          <w:tcPr>
            <w:tcW w:w="3593"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pPr>
            <w:r>
              <w:rPr>
                <w:rFonts w:eastAsia="Osaka;MS Mincho"/>
                <w:b w:val="false"/>
                <w:sz w:val="18"/>
                <w:szCs w:val="18"/>
                <w:lang w:eastAsia="en-US"/>
              </w:rPr>
              <w:t>7.1.6 TRS for E-UTRA TDD in Speech Mode with beside the Head and Hand Phantom</w:t>
            </w:r>
          </w:p>
        </w:tc>
        <w:tc>
          <w:tcPr>
            <w:tcW w:w="3593"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 xml:space="preserve">7.1.7 TRS for UTRA FDD in Browsing Mode with Hand Phantom </w:t>
            </w:r>
          </w:p>
        </w:tc>
        <w:tc>
          <w:tcPr>
            <w:tcW w:w="3593"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 xml:space="preserve">7.1.8 TRS for UTRA TDD in Browsing Mode with Hand Phantom </w:t>
            </w:r>
          </w:p>
        </w:tc>
        <w:tc>
          <w:tcPr>
            <w:tcW w:w="3593"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7.1.9 TRS for E-UTRA FDD in Browsing Mode with Hand Phantom</w:t>
            </w:r>
          </w:p>
        </w:tc>
        <w:tc>
          <w:tcPr>
            <w:tcW w:w="3593"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7.1.10 TRS for E-UTRA TDD in Browsing Mode with Hand Phantom</w:t>
            </w:r>
          </w:p>
        </w:tc>
        <w:tc>
          <w:tcPr>
            <w:tcW w:w="3593"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7.2.1 TRS for UTRA FDD LME</w:t>
            </w:r>
          </w:p>
        </w:tc>
        <w:tc>
          <w:tcPr>
            <w:tcW w:w="3593" w:type="dxa"/>
            <w:tcBorders>
              <w:top w:val="single" w:sz="4" w:space="0" w:color="000000"/>
              <w:left w:val="single" w:sz="4" w:space="0" w:color="000000"/>
              <w:bottom w:val="single" w:sz="4" w:space="0" w:color="000000"/>
              <w:right w:val="single" w:sz="4" w:space="0" w:color="000000"/>
            </w:tcBorders>
          </w:tcPr>
          <w:p>
            <w:pPr>
              <w:pStyle w:val="TAL1"/>
              <w:rPr/>
            </w:pPr>
            <w:r>
              <w:rPr>
                <w:lang w:eastAsia="en-US"/>
              </w:rPr>
              <w:t>Bands I,II,III,IV,V,VI,VII,VIII,IX</w:t>
            </w:r>
          </w:p>
          <w:p>
            <w:pPr>
              <w:pStyle w:val="TH"/>
              <w:numPr>
                <w:ilvl w:val="0"/>
                <w:numId w:val="5"/>
              </w:numPr>
              <w:suppressAutoHyphens w:val="true"/>
              <w:spacing w:before="0" w:after="0"/>
              <w:ind w:left="0" w:hanging="0"/>
              <w:jc w:val="left"/>
              <w:rPr>
                <w:b w:val="false"/>
                <w:b w:val="false"/>
                <w:bCs/>
                <w:sz w:val="18"/>
                <w:szCs w:val="18"/>
                <w:lang w:eastAsia="en-US"/>
              </w:rPr>
            </w:pPr>
            <w:r>
              <w:rPr>
                <w:b w:val="false"/>
                <w:bCs/>
                <w:sz w:val="18"/>
                <w:szCs w:val="18"/>
                <w:lang w:eastAsia="en-US"/>
              </w:rPr>
              <w:t>±2.3 dB for single measurement</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Refer to Annex E</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7.2.2 TRS for UTRA TDD LME</w:t>
            </w:r>
          </w:p>
        </w:tc>
        <w:tc>
          <w:tcPr>
            <w:tcW w:w="35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Bands a,e,f</w:t>
            </w:r>
          </w:p>
          <w:p>
            <w:pPr>
              <w:pStyle w:val="TH"/>
              <w:numPr>
                <w:ilvl w:val="0"/>
                <w:numId w:val="5"/>
              </w:numPr>
              <w:suppressAutoHyphens w:val="true"/>
              <w:spacing w:before="0" w:after="0"/>
              <w:ind w:left="0" w:hanging="0"/>
              <w:jc w:val="left"/>
              <w:rPr>
                <w:b w:val="false"/>
                <w:b w:val="false"/>
                <w:bCs/>
                <w:sz w:val="18"/>
                <w:szCs w:val="18"/>
                <w:lang w:eastAsia="en-US"/>
              </w:rPr>
            </w:pPr>
            <w:r>
              <w:rPr>
                <w:b w:val="false"/>
                <w:bCs/>
                <w:sz w:val="18"/>
                <w:szCs w:val="18"/>
                <w:lang w:eastAsia="en-US"/>
              </w:rPr>
              <w:t>±2.3 dB for single measurement</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Refer to Annex E</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7.2.3 TRS for E-UTRA FDD LME</w:t>
            </w:r>
          </w:p>
        </w:tc>
        <w:tc>
          <w:tcPr>
            <w:tcW w:w="3593"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7.2.4 TRS for E-UTRA TDD LME</w:t>
            </w:r>
          </w:p>
        </w:tc>
        <w:tc>
          <w:tcPr>
            <w:tcW w:w="3593"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pPr>
            <w:r>
              <w:rPr>
                <w:rFonts w:eastAsia="Osaka;MS Mincho"/>
                <w:b w:val="false"/>
                <w:sz w:val="18"/>
                <w:szCs w:val="18"/>
                <w:lang w:eastAsia="en-US"/>
              </w:rPr>
              <w:t>7.3.1 TRS for UTRA FDD LEE</w:t>
            </w:r>
          </w:p>
        </w:tc>
        <w:tc>
          <w:tcPr>
            <w:tcW w:w="35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Bands I,II,III,IV,V,VI,VII,VIII,IX</w:t>
            </w:r>
          </w:p>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b w:val="false"/>
                <w:bCs/>
                <w:sz w:val="18"/>
                <w:szCs w:val="18"/>
                <w:lang w:eastAsia="en-US"/>
              </w:rPr>
              <w:t>±2.3 dB for single measurement</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Refer to Annex E</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7.3.2 TRS for UTRA TDD LEE</w:t>
            </w:r>
          </w:p>
        </w:tc>
        <w:tc>
          <w:tcPr>
            <w:tcW w:w="35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Bands a,e,f</w:t>
            </w:r>
          </w:p>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b w:val="false"/>
                <w:bCs/>
                <w:sz w:val="18"/>
                <w:szCs w:val="18"/>
                <w:lang w:eastAsia="en-US"/>
              </w:rPr>
              <w:t>±2.3 dB for single measurement</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Refer to Annex E</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7.3.3 TRS for E-UTRA FDD LEE</w:t>
            </w:r>
          </w:p>
        </w:tc>
        <w:tc>
          <w:tcPr>
            <w:tcW w:w="3593"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b w:val="false"/>
                <w:lang w:eastAsia="sv-SE"/>
              </w:rPr>
              <w:t>±</w:t>
            </w:r>
            <w:r>
              <w:rPr>
                <w:b w:val="false"/>
                <w:lang w:eastAsia="en-US"/>
              </w:rPr>
              <w:t>2.3 dB for single measurement</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pPr>
            <w:r>
              <w:rPr>
                <w:rFonts w:eastAsia="Osaka;MS Mincho"/>
                <w:b w:val="false"/>
                <w:sz w:val="18"/>
                <w:szCs w:val="18"/>
                <w:lang w:eastAsia="en-US"/>
              </w:rPr>
              <w:t>7.3.4 TRS for E-UTRA TDD LEE</w:t>
            </w:r>
          </w:p>
        </w:tc>
        <w:tc>
          <w:tcPr>
            <w:tcW w:w="3593"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b w:val="false"/>
                <w:lang w:eastAsia="sv-SE"/>
              </w:rPr>
              <w:t>±</w:t>
            </w:r>
            <w:r>
              <w:rPr>
                <w:b w:val="false"/>
                <w:lang w:eastAsia="en-US"/>
              </w:rPr>
              <w:t>2.3 dB for single measurement</w:t>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7.4.1 Radiated Performance of Multiple-antenna Receivers FDD</w:t>
            </w:r>
          </w:p>
        </w:tc>
        <w:tc>
          <w:tcPr>
            <w:tcW w:w="3593"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b w:val="false"/>
                <w:b w:val="false"/>
                <w:lang w:eastAsia="sv-SE"/>
              </w:rPr>
            </w:pPr>
            <w:r>
              <w:rPr>
                <w:b w:val="false"/>
                <w:lang w:eastAsia="en-US"/>
              </w:rPr>
              <w:t>±2.65 dB for MPAC</w:t>
            </w:r>
          </w:p>
          <w:p>
            <w:pPr>
              <w:pStyle w:val="TH"/>
              <w:suppressAutoHyphens w:val="true"/>
              <w:spacing w:before="0" w:after="0"/>
              <w:jc w:val="left"/>
              <w:rPr>
                <w:b w:val="false"/>
                <w:b w:val="false"/>
                <w:lang w:eastAsia="sv-SE"/>
              </w:rPr>
            </w:pPr>
            <w:r>
              <w:rPr>
                <w:b w:val="false"/>
                <w:lang w:eastAsia="sv-SE"/>
              </w:rPr>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Refer to Annex N</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7.4.2 Radiated Performance of Multiple-antenna Receivers TDD</w:t>
            </w:r>
          </w:p>
        </w:tc>
        <w:tc>
          <w:tcPr>
            <w:tcW w:w="3593"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b w:val="false"/>
                <w:b w:val="false"/>
                <w:lang w:eastAsia="sv-SE"/>
              </w:rPr>
            </w:pPr>
            <w:r>
              <w:rPr>
                <w:b w:val="false"/>
                <w:lang w:eastAsia="en-US"/>
              </w:rPr>
              <w:t>±2.65 dB for MPAC</w:t>
            </w:r>
          </w:p>
          <w:p>
            <w:pPr>
              <w:pStyle w:val="TAL1"/>
              <w:rPr>
                <w:b/>
                <w:b/>
                <w:lang w:eastAsia="en-US"/>
              </w:rPr>
            </w:pPr>
            <w:r>
              <w:rPr>
                <w:b/>
                <w:lang w:eastAsia="en-US"/>
              </w:rPr>
            </w:r>
          </w:p>
        </w:tc>
        <w:tc>
          <w:tcPr>
            <w:tcW w:w="2790"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pPr>
            <w:r>
              <w:rPr>
                <w:rFonts w:eastAsia="Osaka;MS Mincho"/>
                <w:b w:val="false"/>
                <w:sz w:val="18"/>
                <w:szCs w:val="18"/>
                <w:lang w:eastAsia="en-US"/>
              </w:rPr>
              <w:t>Refer to Annex N</w:t>
            </w:r>
          </w:p>
        </w:tc>
      </w:tr>
    </w:tbl>
    <w:p>
      <w:pPr>
        <w:pStyle w:val="Normal"/>
        <w:rPr/>
      </w:pPr>
      <w:r>
        <w:rPr/>
      </w:r>
    </w:p>
    <w:p>
      <w:pPr>
        <w:pStyle w:val="Heading1"/>
        <w:ind w:left="1134" w:hanging="1134"/>
        <w:rPr/>
      </w:pPr>
      <w:bookmarkStart w:id="470" w:name="__RefHeading___Toc68601388"/>
      <w:bookmarkEnd w:id="470"/>
      <w:r>
        <w:rPr/>
        <w:t>D.2</w:t>
        <w:tab/>
        <w:t>Test tolerances</w:t>
      </w:r>
    </w:p>
    <w:p>
      <w:pPr>
        <w:pStyle w:val="Normal"/>
        <w:numPr>
          <w:ilvl w:val="0"/>
          <w:numId w:val="5"/>
        </w:numPr>
        <w:tabs>
          <w:tab w:val="clear" w:pos="284"/>
          <w:tab w:val="left" w:pos="0" w:leader="none"/>
        </w:tabs>
        <w:suppressAutoHyphens w:val="true"/>
        <w:ind w:left="0" w:right="426" w:hanging="0"/>
        <w:rPr>
          <w:rFonts w:eastAsia="Osaka;MS Mincho"/>
        </w:rPr>
      </w:pPr>
      <w:r>
        <w:rPr>
          <w:rFonts w:eastAsia="Osaka;MS Mincho"/>
        </w:rPr>
        <w:t xml:space="preserve">Test tolerances in Table D.2-1 are used to </w:t>
      </w:r>
      <w:r>
        <w:rPr/>
        <w:t>relax the Minimum Requirements in the present document and to derive the Test Requirements.</w:t>
      </w:r>
    </w:p>
    <w:p>
      <w:pPr>
        <w:pStyle w:val="TH"/>
        <w:numPr>
          <w:ilvl w:val="0"/>
          <w:numId w:val="5"/>
        </w:numPr>
        <w:suppressAutoHyphens w:val="true"/>
        <w:rPr/>
      </w:pPr>
      <w:r>
        <w:rPr/>
        <w:t>Table D.2-1: Test Tolerances for OTA tests</w:t>
      </w:r>
    </w:p>
    <w:tbl>
      <w:tblPr>
        <w:tblW w:w="7029" w:type="dxa"/>
        <w:jc w:val="center"/>
        <w:tblInd w:w="0" w:type="dxa"/>
        <w:tblLayout w:type="fixed"/>
        <w:tblCellMar>
          <w:top w:w="0" w:type="dxa"/>
          <w:left w:w="115" w:type="dxa"/>
          <w:bottom w:w="0" w:type="dxa"/>
          <w:right w:w="115" w:type="dxa"/>
        </w:tblCellMar>
      </w:tblPr>
      <w:tblGrid>
        <w:gridCol w:w="3842"/>
        <w:gridCol w:w="3187"/>
      </w:tblGrid>
      <w:tr>
        <w:trPr>
          <w:trHeight w:val="116"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rPr>
                <w:rFonts w:eastAsia="Osaka;MS Mincho"/>
                <w:b w:val="false"/>
                <w:b w:val="false"/>
                <w:sz w:val="18"/>
                <w:szCs w:val="18"/>
                <w:lang w:eastAsia="en-US"/>
              </w:rPr>
            </w:pPr>
            <w:r>
              <w:rPr>
                <w:sz w:val="18"/>
                <w:szCs w:val="18"/>
                <w:lang w:eastAsia="en-US"/>
              </w:rPr>
              <w:t>Clause</w:t>
            </w:r>
          </w:p>
        </w:tc>
        <w:tc>
          <w:tcPr>
            <w:tcW w:w="3187"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rPr>
                <w:rFonts w:eastAsia="Osaka;MS Mincho"/>
                <w:b w:val="false"/>
                <w:b w:val="false"/>
                <w:sz w:val="18"/>
                <w:szCs w:val="18"/>
                <w:lang w:eastAsia="en-US"/>
              </w:rPr>
            </w:pPr>
            <w:r>
              <w:rPr>
                <w:sz w:val="18"/>
                <w:szCs w:val="18"/>
                <w:lang w:eastAsia="en-US"/>
              </w:rPr>
              <w:t>Test Tolerance</w:t>
            </w:r>
          </w:p>
        </w:tc>
      </w:tr>
      <w:tr>
        <w:trPr>
          <w:trHeight w:val="359"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pPr>
            <w:r>
              <w:rPr>
                <w:rFonts w:eastAsia="Osaka;MS Mincho"/>
                <w:b w:val="false"/>
                <w:sz w:val="18"/>
                <w:szCs w:val="18"/>
                <w:lang w:eastAsia="en-US"/>
              </w:rPr>
              <w:t>6.1.1 TRP for UTRA FDD in Speech Mode with beside the Head Phantom</w:t>
            </w:r>
          </w:p>
        </w:tc>
        <w:tc>
          <w:tcPr>
            <w:tcW w:w="3187" w:type="dxa"/>
            <w:tcBorders>
              <w:top w:val="single" w:sz="4" w:space="0" w:color="000000"/>
              <w:left w:val="single" w:sz="4" w:space="0" w:color="000000"/>
              <w:bottom w:val="single" w:sz="4" w:space="0" w:color="000000"/>
              <w:right w:val="single" w:sz="4" w:space="0" w:color="000000"/>
            </w:tcBorders>
          </w:tcPr>
          <w:p>
            <w:pPr>
              <w:pStyle w:val="TAL1"/>
              <w:rPr>
                <w:lang w:eastAsia="sv-SE"/>
              </w:rPr>
            </w:pPr>
            <w:r>
              <w:rPr>
                <w:lang w:eastAsia="en-US"/>
              </w:rPr>
              <w:t>Bands I,II,III,IV,V,VI,VII,VIII,IX</w:t>
            </w:r>
            <w:r>
              <w:rPr/>
              <w:t>,XIX</w:t>
            </w:r>
          </w:p>
          <w:p>
            <w:pPr>
              <w:pStyle w:val="TAL1"/>
              <w:rPr>
                <w:lang w:eastAsia="en-US"/>
              </w:rPr>
            </w:pPr>
            <w:r>
              <w:rPr>
                <w:lang w:eastAsia="en-US"/>
              </w:rPr>
              <w:t>1.0 dB for minimum requirement</w:t>
            </w:r>
          </w:p>
          <w:p>
            <w:pPr>
              <w:pStyle w:val="TAL1"/>
              <w:rPr>
                <w:rFonts w:eastAsia="Osaka;MS Mincho"/>
                <w:b/>
                <w:b/>
                <w:lang w:eastAsia="en-US"/>
              </w:rPr>
            </w:pPr>
            <w:r>
              <w:rPr>
                <w:lang w:eastAsia="en-US"/>
              </w:rPr>
              <w:t>0.7 dB for average requirement</w:t>
            </w:r>
          </w:p>
        </w:tc>
      </w:tr>
      <w:tr>
        <w:trPr>
          <w:trHeight w:val="170"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pPr>
            <w:r>
              <w:rPr>
                <w:rFonts w:eastAsia="Osaka;MS Mincho"/>
                <w:b w:val="false"/>
                <w:sz w:val="18"/>
                <w:szCs w:val="18"/>
                <w:lang w:eastAsia="en-US"/>
              </w:rPr>
              <w:t>6.1.2 TRP for UTRA TDD in Speech Mode with beside the Head Phantom</w:t>
            </w:r>
          </w:p>
        </w:tc>
        <w:tc>
          <w:tcPr>
            <w:tcW w:w="3187" w:type="dxa"/>
            <w:tcBorders>
              <w:top w:val="single" w:sz="4" w:space="0" w:color="000000"/>
              <w:left w:val="single" w:sz="4" w:space="0" w:color="000000"/>
              <w:bottom w:val="single" w:sz="4" w:space="0" w:color="000000"/>
              <w:right w:val="single" w:sz="4" w:space="0" w:color="000000"/>
            </w:tcBorders>
          </w:tcPr>
          <w:p>
            <w:pPr>
              <w:pStyle w:val="ListBullet5"/>
              <w:numPr>
                <w:ilvl w:val="0"/>
                <w:numId w:val="5"/>
              </w:numPr>
              <w:suppressAutoHyphens w:val="true"/>
              <w:spacing w:before="0" w:after="0"/>
              <w:ind w:left="0" w:hanging="0"/>
              <w:rPr>
                <w:rFonts w:ascii="Arial" w:hAnsi="Arial" w:eastAsia="Osaka;MS Mincho" w:cs="Arial"/>
                <w:bCs/>
                <w:sz w:val="18"/>
                <w:szCs w:val="18"/>
              </w:rPr>
            </w:pPr>
            <w:r>
              <w:rPr>
                <w:rFonts w:eastAsia="Osaka;MS Mincho" w:cs="Arial" w:ascii="Arial" w:hAnsi="Arial"/>
                <w:bCs/>
                <w:sz w:val="18"/>
                <w:szCs w:val="18"/>
              </w:rPr>
              <w:t>Bands a,e,f</w:t>
            </w:r>
          </w:p>
          <w:p>
            <w:pPr>
              <w:pStyle w:val="ListBullet5"/>
              <w:numPr>
                <w:ilvl w:val="0"/>
                <w:numId w:val="5"/>
              </w:numPr>
              <w:suppressAutoHyphens w:val="true"/>
              <w:spacing w:before="0" w:after="0"/>
              <w:ind w:left="0" w:hanging="0"/>
              <w:rPr>
                <w:rFonts w:ascii="Arial" w:hAnsi="Arial" w:eastAsia="Osaka;MS Mincho" w:cs="Arial"/>
                <w:bCs/>
                <w:sz w:val="18"/>
                <w:szCs w:val="18"/>
              </w:rPr>
            </w:pPr>
            <w:r>
              <w:rPr>
                <w:rFonts w:eastAsia="Osaka;MS Mincho" w:cs="Arial" w:ascii="Arial" w:hAnsi="Arial"/>
                <w:bCs/>
                <w:sz w:val="18"/>
                <w:szCs w:val="18"/>
              </w:rPr>
              <w:t>1.0 dB for minimum requirement</w:t>
            </w:r>
          </w:p>
          <w:p>
            <w:pPr>
              <w:pStyle w:val="TH"/>
              <w:numPr>
                <w:ilvl w:val="0"/>
                <w:numId w:val="5"/>
              </w:numPr>
              <w:suppressAutoHyphens w:val="true"/>
              <w:spacing w:before="0" w:after="0"/>
              <w:ind w:left="0" w:hanging="0"/>
              <w:jc w:val="left"/>
              <w:rPr/>
            </w:pPr>
            <w:r>
              <w:rPr>
                <w:rFonts w:eastAsia="Osaka;MS Mincho"/>
                <w:b w:val="false"/>
                <w:sz w:val="18"/>
                <w:szCs w:val="18"/>
                <w:lang w:eastAsia="en-US"/>
              </w:rPr>
              <w:t>0.7 dB for average requirement</w:t>
            </w:r>
          </w:p>
        </w:tc>
      </w:tr>
      <w:tr>
        <w:trPr>
          <w:trHeight w:val="251"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pPr>
            <w:r>
              <w:rPr>
                <w:rFonts w:eastAsia="Osaka;MS Mincho"/>
                <w:b w:val="false"/>
                <w:sz w:val="18"/>
                <w:szCs w:val="18"/>
                <w:lang w:eastAsia="en-US"/>
              </w:rPr>
              <w:t>6.1.3 TRP for UTRA FDD in Speech Mode with beside the Head and Hand Phantom</w:t>
            </w:r>
          </w:p>
        </w:tc>
        <w:tc>
          <w:tcPr>
            <w:tcW w:w="3187"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1.0 dB for minimum requirement</w:t>
            </w:r>
          </w:p>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b w:val="false"/>
                <w:sz w:val="18"/>
                <w:lang w:eastAsia="en-US"/>
              </w:rPr>
              <w:t>0.7 dB for average requirement</w:t>
            </w:r>
          </w:p>
        </w:tc>
      </w:tr>
      <w:tr>
        <w:trPr>
          <w:trHeight w:val="251"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pPr>
            <w:r>
              <w:rPr>
                <w:rFonts w:eastAsia="Osaka;MS Mincho"/>
                <w:b w:val="false"/>
                <w:sz w:val="18"/>
                <w:szCs w:val="18"/>
                <w:lang w:eastAsia="en-US"/>
              </w:rPr>
              <w:t>6.1.4 TRP for UTRA TDD in Speech Mode with beside the Head and Hand Phantom</w:t>
            </w:r>
          </w:p>
        </w:tc>
        <w:tc>
          <w:tcPr>
            <w:tcW w:w="3187" w:type="dxa"/>
            <w:tcBorders>
              <w:top w:val="single" w:sz="4" w:space="0" w:color="000000"/>
              <w:left w:val="single" w:sz="4" w:space="0" w:color="000000"/>
              <w:bottom w:val="single" w:sz="4" w:space="0" w:color="000000"/>
              <w:right w:val="single" w:sz="4" w:space="0" w:color="000000"/>
            </w:tcBorders>
          </w:tcPr>
          <w:p>
            <w:pPr>
              <w:pStyle w:val="TAL1"/>
              <w:rPr/>
            </w:pPr>
            <w:r>
              <w:rPr>
                <w:lang w:eastAsia="en-US"/>
              </w:rPr>
              <w:t>1.0 dB for minimum requirement</w:t>
            </w:r>
          </w:p>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b w:val="false"/>
                <w:sz w:val="18"/>
                <w:lang w:eastAsia="en-US"/>
              </w:rPr>
              <w:t>0.7 dB for average requirement</w:t>
            </w:r>
          </w:p>
        </w:tc>
      </w:tr>
      <w:tr>
        <w:trPr>
          <w:trHeight w:val="233"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pPr>
            <w:r>
              <w:rPr>
                <w:rFonts w:eastAsia="Osaka;MS Mincho"/>
                <w:b w:val="false"/>
                <w:sz w:val="18"/>
                <w:szCs w:val="18"/>
                <w:lang w:eastAsia="en-US"/>
              </w:rPr>
              <w:t>6.1.5 TRP for E-UTRA FDD UE in Speech Mode with beside the Head and Hand Phantom</w:t>
            </w:r>
          </w:p>
        </w:tc>
        <w:tc>
          <w:tcPr>
            <w:tcW w:w="3187"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rHeight w:val="224"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pPr>
            <w:r>
              <w:rPr>
                <w:rFonts w:eastAsia="Osaka;MS Mincho"/>
                <w:b w:val="false"/>
                <w:sz w:val="18"/>
                <w:szCs w:val="18"/>
                <w:lang w:eastAsia="en-US"/>
              </w:rPr>
              <w:t>6.1.6 TRP for E-UTRA TDD UE in Speech Mode with beside the Head and Hand Phantom</w:t>
            </w:r>
          </w:p>
        </w:tc>
        <w:tc>
          <w:tcPr>
            <w:tcW w:w="3187"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rHeight w:val="224"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6.1.7 TRP for UTRA FDD UE in Browsing Mode with Hand Phantom</w:t>
            </w:r>
          </w:p>
        </w:tc>
        <w:tc>
          <w:tcPr>
            <w:tcW w:w="3187"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rHeight w:val="305"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6.1.8 TRP for UTRA TDD UE in Browsing Mode with Hand Phantom</w:t>
            </w:r>
          </w:p>
        </w:tc>
        <w:tc>
          <w:tcPr>
            <w:tcW w:w="3187"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rHeight w:val="296"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6.1.9 TRP for E-UTRA FDD UE in Browsing Mode with Hand Phantom</w:t>
            </w:r>
          </w:p>
        </w:tc>
        <w:tc>
          <w:tcPr>
            <w:tcW w:w="3187"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rHeight w:val="116"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6.1.10 TRP for E-UTRA TDD UE in Browsing Mode with Hand Phantom</w:t>
            </w:r>
          </w:p>
        </w:tc>
        <w:tc>
          <w:tcPr>
            <w:tcW w:w="3187"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rHeight w:val="107"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pPr>
            <w:r>
              <w:rPr>
                <w:rFonts w:eastAsia="Osaka;MS Mincho"/>
                <w:b w:val="false"/>
                <w:sz w:val="18"/>
                <w:szCs w:val="18"/>
                <w:lang w:eastAsia="en-US"/>
              </w:rPr>
              <w:t>6.2.1 TRP for UTRA FDD LME</w:t>
            </w:r>
          </w:p>
        </w:tc>
        <w:tc>
          <w:tcPr>
            <w:tcW w:w="3187"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Bands I,II,III,IV,V,VI,VII,VIII,IX</w:t>
            </w:r>
            <w:r>
              <w:rPr/>
              <w:t>,XIX</w:t>
            </w:r>
          </w:p>
          <w:p>
            <w:pPr>
              <w:pStyle w:val="TAL1"/>
              <w:rPr>
                <w:lang w:eastAsia="en-US"/>
              </w:rPr>
            </w:pPr>
            <w:r>
              <w:rPr>
                <w:lang w:eastAsia="en-US"/>
              </w:rPr>
              <w:t>1.0 dB for minimum requirement</w:t>
            </w:r>
          </w:p>
          <w:p>
            <w:pPr>
              <w:pStyle w:val="TAL1"/>
              <w:rPr>
                <w:rFonts w:eastAsia="Osaka;MS Mincho"/>
                <w:b/>
                <w:b/>
                <w:lang w:eastAsia="en-US"/>
              </w:rPr>
            </w:pPr>
            <w:r>
              <w:rPr>
                <w:lang w:eastAsia="en-US"/>
              </w:rPr>
              <w:t>0.7 dB for average requirement</w:t>
            </w:r>
          </w:p>
        </w:tc>
      </w:tr>
      <w:tr>
        <w:trPr>
          <w:trHeight w:val="188"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6.2.2 TRP for UTRA TDD LME</w:t>
            </w:r>
          </w:p>
        </w:tc>
        <w:tc>
          <w:tcPr>
            <w:tcW w:w="3187" w:type="dxa"/>
            <w:tcBorders>
              <w:top w:val="single" w:sz="4" w:space="0" w:color="000000"/>
              <w:left w:val="single" w:sz="4" w:space="0" w:color="000000"/>
              <w:bottom w:val="single" w:sz="4" w:space="0" w:color="000000"/>
              <w:right w:val="single" w:sz="4" w:space="0" w:color="000000"/>
            </w:tcBorders>
          </w:tcPr>
          <w:p>
            <w:pPr>
              <w:pStyle w:val="ListBullet5"/>
              <w:numPr>
                <w:ilvl w:val="0"/>
                <w:numId w:val="5"/>
              </w:numPr>
              <w:suppressAutoHyphens w:val="true"/>
              <w:spacing w:before="0" w:after="0"/>
              <w:ind w:left="0" w:hanging="0"/>
              <w:rPr>
                <w:rFonts w:ascii="Arial" w:hAnsi="Arial" w:eastAsia="Osaka;MS Mincho" w:cs="Arial"/>
                <w:bCs/>
                <w:sz w:val="18"/>
                <w:szCs w:val="18"/>
              </w:rPr>
            </w:pPr>
            <w:r>
              <w:rPr>
                <w:rFonts w:eastAsia="Osaka;MS Mincho" w:cs="Arial" w:ascii="Arial" w:hAnsi="Arial"/>
                <w:bCs/>
                <w:sz w:val="18"/>
                <w:szCs w:val="18"/>
              </w:rPr>
              <w:t>Bands a,e,f</w:t>
            </w:r>
          </w:p>
          <w:p>
            <w:pPr>
              <w:pStyle w:val="ListBullet5"/>
              <w:numPr>
                <w:ilvl w:val="0"/>
                <w:numId w:val="5"/>
              </w:numPr>
              <w:suppressAutoHyphens w:val="true"/>
              <w:spacing w:before="0" w:after="0"/>
              <w:ind w:left="0" w:hanging="0"/>
              <w:rPr>
                <w:rFonts w:ascii="Arial" w:hAnsi="Arial" w:eastAsia="Osaka;MS Mincho" w:cs="Arial"/>
                <w:bCs/>
                <w:sz w:val="18"/>
                <w:szCs w:val="18"/>
              </w:rPr>
            </w:pPr>
            <w:r>
              <w:rPr>
                <w:rFonts w:eastAsia="Osaka;MS Mincho" w:cs="Arial" w:ascii="Arial" w:hAnsi="Arial"/>
                <w:bCs/>
                <w:sz w:val="18"/>
                <w:szCs w:val="18"/>
              </w:rPr>
              <w:t>1.0 dB for minimum requirement</w:t>
            </w:r>
          </w:p>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0.7 dB for average requirement</w:t>
            </w:r>
          </w:p>
        </w:tc>
      </w:tr>
      <w:tr>
        <w:trPr>
          <w:trHeight w:val="188"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6.2.3 TRP for E-UTRA FDD LME</w:t>
            </w:r>
          </w:p>
        </w:tc>
        <w:tc>
          <w:tcPr>
            <w:tcW w:w="3187"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rHeight w:val="56"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pPr>
            <w:r>
              <w:rPr>
                <w:rFonts w:eastAsia="Osaka;MS Mincho"/>
                <w:b w:val="false"/>
                <w:sz w:val="18"/>
                <w:szCs w:val="18"/>
                <w:lang w:eastAsia="en-US"/>
              </w:rPr>
              <w:t>6.2.4 TRP for E-UTRA TDD LME</w:t>
            </w:r>
          </w:p>
        </w:tc>
        <w:tc>
          <w:tcPr>
            <w:tcW w:w="3187"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rHeight w:val="71"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6.3.1 TRP for UTRA FDD LEE</w:t>
            </w:r>
          </w:p>
        </w:tc>
        <w:tc>
          <w:tcPr>
            <w:tcW w:w="3187"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Bands I,II,III,IV,V,VI,VII,VIII,IX</w:t>
            </w:r>
            <w:r>
              <w:rPr/>
              <w:t>,XIX</w:t>
            </w:r>
          </w:p>
          <w:p>
            <w:pPr>
              <w:pStyle w:val="TAL1"/>
              <w:rPr>
                <w:lang w:eastAsia="en-US"/>
              </w:rPr>
            </w:pPr>
            <w:r>
              <w:rPr>
                <w:lang w:eastAsia="en-US"/>
              </w:rPr>
              <w:t>1.0 dB for minimum requirement</w:t>
            </w:r>
          </w:p>
          <w:p>
            <w:pPr>
              <w:pStyle w:val="TAL1"/>
              <w:rPr>
                <w:rFonts w:eastAsia="Osaka;MS Mincho"/>
                <w:b/>
                <w:b/>
                <w:lang w:eastAsia="en-US"/>
              </w:rPr>
            </w:pPr>
            <w:r>
              <w:rPr>
                <w:lang w:eastAsia="en-US"/>
              </w:rPr>
              <w:t>0.7 dB for average requirement</w:t>
            </w:r>
          </w:p>
        </w:tc>
      </w:tr>
      <w:tr>
        <w:trPr>
          <w:trHeight w:val="431"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6.3.2 TRP for UTRA TDD LEE</w:t>
            </w:r>
          </w:p>
        </w:tc>
        <w:tc>
          <w:tcPr>
            <w:tcW w:w="3187" w:type="dxa"/>
            <w:tcBorders>
              <w:top w:val="single" w:sz="4" w:space="0" w:color="000000"/>
              <w:left w:val="single" w:sz="4" w:space="0" w:color="000000"/>
              <w:bottom w:val="single" w:sz="4" w:space="0" w:color="000000"/>
              <w:right w:val="single" w:sz="4" w:space="0" w:color="000000"/>
            </w:tcBorders>
          </w:tcPr>
          <w:p>
            <w:pPr>
              <w:pStyle w:val="ListBullet5"/>
              <w:numPr>
                <w:ilvl w:val="0"/>
                <w:numId w:val="5"/>
              </w:numPr>
              <w:suppressAutoHyphens w:val="true"/>
              <w:spacing w:before="0" w:after="0"/>
              <w:ind w:left="0" w:hanging="0"/>
              <w:rPr>
                <w:rFonts w:ascii="Arial" w:hAnsi="Arial" w:eastAsia="Osaka;MS Mincho" w:cs="Arial"/>
                <w:bCs/>
                <w:sz w:val="18"/>
                <w:szCs w:val="18"/>
              </w:rPr>
            </w:pPr>
            <w:r>
              <w:rPr>
                <w:rFonts w:eastAsia="Osaka;MS Mincho" w:cs="Arial" w:ascii="Arial" w:hAnsi="Arial"/>
                <w:bCs/>
                <w:sz w:val="18"/>
                <w:szCs w:val="18"/>
              </w:rPr>
              <w:t>Bands a,e,f</w:t>
            </w:r>
          </w:p>
          <w:p>
            <w:pPr>
              <w:pStyle w:val="ListBullet5"/>
              <w:numPr>
                <w:ilvl w:val="0"/>
                <w:numId w:val="5"/>
              </w:numPr>
              <w:suppressAutoHyphens w:val="true"/>
              <w:spacing w:before="0" w:after="0"/>
              <w:ind w:left="0" w:hanging="0"/>
              <w:rPr>
                <w:rFonts w:ascii="Arial" w:hAnsi="Arial" w:eastAsia="Osaka;MS Mincho" w:cs="Arial"/>
                <w:bCs/>
                <w:sz w:val="18"/>
                <w:szCs w:val="18"/>
              </w:rPr>
            </w:pPr>
            <w:r>
              <w:rPr>
                <w:rFonts w:eastAsia="Osaka;MS Mincho" w:cs="Arial" w:ascii="Arial" w:hAnsi="Arial"/>
                <w:bCs/>
                <w:sz w:val="18"/>
                <w:szCs w:val="18"/>
              </w:rPr>
              <w:t>1.0 dB for minimum requirement</w:t>
            </w:r>
          </w:p>
          <w:p>
            <w:pPr>
              <w:pStyle w:val="TH"/>
              <w:numPr>
                <w:ilvl w:val="0"/>
                <w:numId w:val="5"/>
              </w:numPr>
              <w:suppressAutoHyphens w:val="true"/>
              <w:spacing w:before="0" w:after="0"/>
              <w:ind w:left="0" w:hanging="0"/>
              <w:jc w:val="left"/>
              <w:rPr/>
            </w:pPr>
            <w:r>
              <w:rPr>
                <w:rFonts w:eastAsia="Osaka;MS Mincho"/>
                <w:b w:val="false"/>
                <w:sz w:val="18"/>
                <w:szCs w:val="18"/>
                <w:lang w:eastAsia="en-US"/>
              </w:rPr>
              <w:t>0.7 dB for average requirement</w:t>
            </w:r>
          </w:p>
        </w:tc>
      </w:tr>
      <w:tr>
        <w:trPr>
          <w:trHeight w:val="152"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pPr>
            <w:r>
              <w:rPr>
                <w:rFonts w:eastAsia="Osaka;MS Mincho"/>
                <w:b w:val="false"/>
                <w:sz w:val="18"/>
                <w:szCs w:val="18"/>
                <w:lang w:eastAsia="en-US"/>
              </w:rPr>
              <w:t>6.3.3 TRP for E-UTRA FDD LEE</w:t>
            </w:r>
          </w:p>
        </w:tc>
        <w:tc>
          <w:tcPr>
            <w:tcW w:w="3187"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1.0 dB for minimum requirement</w:t>
            </w:r>
          </w:p>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b w:val="false"/>
                <w:sz w:val="18"/>
                <w:lang w:eastAsia="en-US"/>
              </w:rPr>
              <w:t>0.7 dB for average requirement</w:t>
            </w:r>
          </w:p>
        </w:tc>
      </w:tr>
      <w:tr>
        <w:trPr>
          <w:trHeight w:val="233"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6.3.4 TRP for E-UTRA TDD LEE</w:t>
            </w:r>
          </w:p>
        </w:tc>
        <w:tc>
          <w:tcPr>
            <w:tcW w:w="3187"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1.0 dB for minimum requirement</w:t>
            </w:r>
          </w:p>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b w:val="false"/>
                <w:sz w:val="18"/>
                <w:lang w:eastAsia="en-US"/>
              </w:rPr>
              <w:t>0.7 dB for average requirement</w:t>
            </w:r>
          </w:p>
        </w:tc>
      </w:tr>
      <w:tr>
        <w:trPr>
          <w:trHeight w:val="56"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pPr>
            <w:r>
              <w:rPr>
                <w:rFonts w:eastAsia="Osaka;MS Mincho"/>
                <w:b w:val="false"/>
                <w:sz w:val="18"/>
                <w:szCs w:val="18"/>
                <w:lang w:eastAsia="en-US"/>
              </w:rPr>
              <w:t>7.1.1 TRS for UTRA FDD in Speech Mode with beside the Head Phantom</w:t>
            </w:r>
          </w:p>
        </w:tc>
        <w:tc>
          <w:tcPr>
            <w:tcW w:w="3187" w:type="dxa"/>
            <w:tcBorders>
              <w:top w:val="single" w:sz="4" w:space="0" w:color="000000"/>
              <w:left w:val="single" w:sz="4" w:space="0" w:color="000000"/>
              <w:bottom w:val="single" w:sz="4" w:space="0" w:color="000000"/>
              <w:right w:val="single" w:sz="4" w:space="0" w:color="000000"/>
            </w:tcBorders>
          </w:tcPr>
          <w:p>
            <w:pPr>
              <w:pStyle w:val="TAL1"/>
              <w:rPr>
                <w:lang w:eastAsia="sv-SE"/>
              </w:rPr>
            </w:pPr>
            <w:r>
              <w:rPr>
                <w:lang w:eastAsia="en-US"/>
              </w:rPr>
              <w:t>Bands I,II,III,IV,V,VI,VII,VIII,IX</w:t>
            </w:r>
            <w:r>
              <w:rPr/>
              <w:t>,XIX</w:t>
            </w:r>
          </w:p>
          <w:p>
            <w:pPr>
              <w:pStyle w:val="TAL1"/>
              <w:rPr>
                <w:lang w:eastAsia="en-US"/>
              </w:rPr>
            </w:pPr>
            <w:r>
              <w:rPr>
                <w:lang w:eastAsia="en-US"/>
              </w:rPr>
              <w:t>1.2 dB for maximum requirement</w:t>
            </w:r>
          </w:p>
          <w:p>
            <w:pPr>
              <w:pStyle w:val="TAL1"/>
              <w:rPr>
                <w:rFonts w:eastAsia="Osaka;MS Mincho"/>
                <w:b/>
                <w:b/>
                <w:lang w:eastAsia="en-US"/>
              </w:rPr>
            </w:pPr>
            <w:r>
              <w:rPr>
                <w:lang w:eastAsia="en-US"/>
              </w:rPr>
              <w:t>0.9 dB for average requirement</w:t>
            </w:r>
          </w:p>
        </w:tc>
      </w:tr>
      <w:tr>
        <w:trPr>
          <w:trHeight w:val="314"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pPr>
            <w:r>
              <w:rPr>
                <w:rFonts w:eastAsia="Osaka;MS Mincho"/>
                <w:b w:val="false"/>
                <w:sz w:val="18"/>
                <w:szCs w:val="18"/>
                <w:lang w:eastAsia="en-US"/>
              </w:rPr>
              <w:t>7.1.2 TRS for UTRA TDD in Speech Mode with beside the Head Phantom</w:t>
            </w:r>
          </w:p>
        </w:tc>
        <w:tc>
          <w:tcPr>
            <w:tcW w:w="3187"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lang w:eastAsia="zh-CN"/>
              </w:rPr>
              <w:t>Bands a,e,f</w:t>
            </w:r>
          </w:p>
          <w:p>
            <w:pPr>
              <w:pStyle w:val="TAL1"/>
              <w:rPr>
                <w:lang w:eastAsia="zh-CN"/>
              </w:rPr>
            </w:pPr>
            <w:r>
              <w:rPr>
                <w:lang w:eastAsia="zh-CN"/>
              </w:rPr>
              <w:t>1.2 dB for minimum requirement</w:t>
            </w:r>
          </w:p>
          <w:p>
            <w:pPr>
              <w:pStyle w:val="TAL1"/>
              <w:rPr>
                <w:rFonts w:eastAsia="Osaka;MS Mincho"/>
                <w:b/>
                <w:b/>
                <w:lang w:eastAsia="en-US"/>
              </w:rPr>
            </w:pPr>
            <w:r>
              <w:rPr>
                <w:lang w:eastAsia="zh-CN"/>
              </w:rPr>
              <w:t>0.9 dB for average requirement</w:t>
            </w:r>
          </w:p>
        </w:tc>
      </w:tr>
      <w:tr>
        <w:trPr>
          <w:trHeight w:val="215"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pPr>
            <w:r>
              <w:rPr>
                <w:rFonts w:eastAsia="Osaka;MS Mincho"/>
                <w:b w:val="false"/>
                <w:sz w:val="18"/>
                <w:szCs w:val="18"/>
                <w:lang w:eastAsia="en-US"/>
              </w:rPr>
              <w:t>7.1.3 TRS for UTRA FDD in Speech Mode with beside the Head and Hand Phantom</w:t>
            </w:r>
          </w:p>
        </w:tc>
        <w:tc>
          <w:tcPr>
            <w:tcW w:w="3187"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lang w:eastAsia="zh-CN"/>
              </w:rPr>
              <w:t>1.2 dB for maximum requirement</w:t>
            </w:r>
          </w:p>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b w:val="false"/>
                <w:sz w:val="18"/>
                <w:lang w:eastAsia="en-US"/>
              </w:rPr>
              <w:t>0.9 dB for average requirement</w:t>
            </w:r>
          </w:p>
        </w:tc>
      </w:tr>
      <w:tr>
        <w:trPr>
          <w:trHeight w:val="215"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pPr>
            <w:r>
              <w:rPr>
                <w:rFonts w:eastAsia="Osaka;MS Mincho"/>
                <w:b w:val="false"/>
                <w:sz w:val="18"/>
                <w:szCs w:val="18"/>
                <w:lang w:eastAsia="en-US"/>
              </w:rPr>
              <w:t>7.1.4 TRS for UTRA TDD in Speech Mode with beside the Head and Hand Phantom</w:t>
            </w:r>
          </w:p>
        </w:tc>
        <w:tc>
          <w:tcPr>
            <w:tcW w:w="3187"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lang w:eastAsia="zh-CN"/>
              </w:rPr>
              <w:t>1.2 dB for maximum requirement</w:t>
            </w:r>
          </w:p>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b w:val="false"/>
                <w:sz w:val="18"/>
                <w:lang w:eastAsia="en-US"/>
              </w:rPr>
              <w:t>0.9 dB for average requirement</w:t>
            </w:r>
          </w:p>
        </w:tc>
      </w:tr>
      <w:tr>
        <w:trPr>
          <w:trHeight w:val="206"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pPr>
            <w:r>
              <w:rPr>
                <w:rFonts w:eastAsia="Osaka;MS Mincho"/>
                <w:b w:val="false"/>
                <w:sz w:val="18"/>
                <w:szCs w:val="18"/>
                <w:lang w:eastAsia="en-US"/>
              </w:rPr>
              <w:t>7.1.5 TRS for E-UTRA FDD in Speech Mode with beside the Head and Hand Phantom</w:t>
            </w:r>
          </w:p>
        </w:tc>
        <w:tc>
          <w:tcPr>
            <w:tcW w:w="3187"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rHeight w:val="188"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pPr>
            <w:r>
              <w:rPr>
                <w:rFonts w:eastAsia="Osaka;MS Mincho"/>
                <w:b w:val="false"/>
                <w:sz w:val="18"/>
                <w:szCs w:val="18"/>
                <w:lang w:eastAsia="en-US"/>
              </w:rPr>
              <w:t>7.1.6 TRS for E-UTRA TDD in Speech Mode with beside the Head and Hand Phantom</w:t>
            </w:r>
          </w:p>
        </w:tc>
        <w:tc>
          <w:tcPr>
            <w:tcW w:w="3187"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rHeight w:val="98"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7.1.7 TRS for UTRA FDD in Browsing Mode with Hand Phantom</w:t>
            </w:r>
          </w:p>
        </w:tc>
        <w:tc>
          <w:tcPr>
            <w:tcW w:w="3187"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rHeight w:val="56"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7.1.8 TRS for UTRA TDD in Browsing Mode with Hand Phantom</w:t>
            </w:r>
          </w:p>
        </w:tc>
        <w:tc>
          <w:tcPr>
            <w:tcW w:w="3187"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rHeight w:val="56"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7.1.9 TRS for E-UTRA FDD in Browsing Mode with Hand Phantom</w:t>
            </w:r>
          </w:p>
        </w:tc>
        <w:tc>
          <w:tcPr>
            <w:tcW w:w="3187"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rHeight w:val="56"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7.1.10 TRS for E-UTRA TDD in Browsing Mode with Hand Phantom</w:t>
            </w:r>
          </w:p>
        </w:tc>
        <w:tc>
          <w:tcPr>
            <w:tcW w:w="3187"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rHeight w:val="56"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7.2.1 TRS for UTRA FDD LME</w:t>
            </w:r>
          </w:p>
        </w:tc>
        <w:tc>
          <w:tcPr>
            <w:tcW w:w="3187" w:type="dxa"/>
            <w:tcBorders>
              <w:top w:val="single" w:sz="4" w:space="0" w:color="000000"/>
              <w:left w:val="single" w:sz="4" w:space="0" w:color="000000"/>
              <w:bottom w:val="single" w:sz="4" w:space="0" w:color="000000"/>
              <w:right w:val="single" w:sz="4" w:space="0" w:color="000000"/>
            </w:tcBorders>
          </w:tcPr>
          <w:p>
            <w:pPr>
              <w:pStyle w:val="TAL1"/>
              <w:rPr>
                <w:lang w:eastAsia="sv-SE"/>
              </w:rPr>
            </w:pPr>
            <w:r>
              <w:rPr>
                <w:lang w:eastAsia="en-US"/>
              </w:rPr>
              <w:t>Bands I,II,III,IV,V,VI,VII,VIII,IX</w:t>
            </w:r>
            <w:r>
              <w:rPr/>
              <w:t>,XIX</w:t>
            </w:r>
          </w:p>
          <w:p>
            <w:pPr>
              <w:pStyle w:val="TAL1"/>
              <w:rPr/>
            </w:pPr>
            <w:r>
              <w:rPr>
                <w:lang w:eastAsia="en-US"/>
              </w:rPr>
              <w:t>1.2 dB for maximum requirement</w:t>
            </w:r>
          </w:p>
          <w:p>
            <w:pPr>
              <w:pStyle w:val="TAL1"/>
              <w:rPr>
                <w:rFonts w:eastAsia="Osaka;MS Mincho"/>
                <w:b/>
                <w:b/>
                <w:lang w:eastAsia="en-US"/>
              </w:rPr>
            </w:pPr>
            <w:r>
              <w:rPr>
                <w:lang w:eastAsia="zh-CN"/>
              </w:rPr>
              <w:t>0.9 dB for average requirement</w:t>
            </w:r>
          </w:p>
        </w:tc>
      </w:tr>
      <w:tr>
        <w:trPr>
          <w:trHeight w:val="71"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7.2.2 TRS for UTRA TDD LME</w:t>
            </w:r>
          </w:p>
        </w:tc>
        <w:tc>
          <w:tcPr>
            <w:tcW w:w="3187"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lang w:eastAsia="zh-CN"/>
              </w:rPr>
              <w:t>Bands a,e,f</w:t>
            </w:r>
          </w:p>
          <w:p>
            <w:pPr>
              <w:pStyle w:val="TAL1"/>
              <w:rPr>
                <w:lang w:eastAsia="zh-CN"/>
              </w:rPr>
            </w:pPr>
            <w:r>
              <w:rPr>
                <w:lang w:eastAsia="zh-CN"/>
              </w:rPr>
              <w:t>1.2 dB for minimum requirement</w:t>
            </w:r>
          </w:p>
          <w:p>
            <w:pPr>
              <w:pStyle w:val="TAL1"/>
              <w:rPr>
                <w:rFonts w:eastAsia="Osaka;MS Mincho"/>
                <w:b/>
                <w:b/>
                <w:lang w:eastAsia="en-US"/>
              </w:rPr>
            </w:pPr>
            <w:r>
              <w:rPr>
                <w:lang w:eastAsia="zh-CN"/>
              </w:rPr>
              <w:t>0.9 dB for average requirement</w:t>
            </w:r>
          </w:p>
        </w:tc>
      </w:tr>
      <w:tr>
        <w:trPr>
          <w:trHeight w:val="56"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7.2.3 TRS for E-UTRA FDD LME</w:t>
            </w:r>
          </w:p>
        </w:tc>
        <w:tc>
          <w:tcPr>
            <w:tcW w:w="3187"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rHeight w:val="56"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7.2.4 TRS for E-UTRA TDD LME</w:t>
            </w:r>
          </w:p>
        </w:tc>
        <w:tc>
          <w:tcPr>
            <w:tcW w:w="3187"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[TBD]</w:t>
            </w:r>
          </w:p>
        </w:tc>
      </w:tr>
      <w:tr>
        <w:trPr>
          <w:trHeight w:val="56"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pPr>
            <w:r>
              <w:rPr>
                <w:rFonts w:eastAsia="Osaka;MS Mincho"/>
                <w:b w:val="false"/>
                <w:sz w:val="18"/>
                <w:szCs w:val="18"/>
                <w:lang w:eastAsia="en-US"/>
              </w:rPr>
              <w:t>7.3.1 TRS for UTRA FDD LEE</w:t>
            </w:r>
          </w:p>
        </w:tc>
        <w:tc>
          <w:tcPr>
            <w:tcW w:w="3187"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Bands I,II,III,IV,V,VI,VII,VIII,IX</w:t>
            </w:r>
            <w:r>
              <w:rPr/>
              <w:t>,XIX</w:t>
            </w:r>
          </w:p>
          <w:p>
            <w:pPr>
              <w:pStyle w:val="TAL1"/>
              <w:rPr>
                <w:lang w:eastAsia="en-US"/>
              </w:rPr>
            </w:pPr>
            <w:r>
              <w:rPr>
                <w:lang w:eastAsia="en-US"/>
              </w:rPr>
              <w:t>1.2 dB for maximum requirement</w:t>
            </w:r>
          </w:p>
          <w:p>
            <w:pPr>
              <w:pStyle w:val="TH"/>
              <w:numPr>
                <w:ilvl w:val="0"/>
                <w:numId w:val="5"/>
              </w:numPr>
              <w:suppressAutoHyphens w:val="true"/>
              <w:spacing w:before="0" w:after="0"/>
              <w:ind w:left="0" w:hanging="0"/>
              <w:jc w:val="left"/>
              <w:rPr>
                <w:b w:val="false"/>
                <w:b w:val="false"/>
                <w:bCs/>
                <w:sz w:val="18"/>
                <w:szCs w:val="18"/>
                <w:lang w:eastAsia="en-US"/>
              </w:rPr>
            </w:pPr>
            <w:r>
              <w:rPr>
                <w:b w:val="false"/>
                <w:bCs/>
                <w:sz w:val="18"/>
                <w:szCs w:val="18"/>
                <w:lang w:eastAsia="en-US"/>
              </w:rPr>
              <w:t>0.9 dB for average requirement</w:t>
            </w:r>
          </w:p>
        </w:tc>
      </w:tr>
      <w:tr>
        <w:trPr>
          <w:trHeight w:val="56"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7.3.2 TRS for UTRA TDD LEE</w:t>
            </w:r>
          </w:p>
        </w:tc>
        <w:tc>
          <w:tcPr>
            <w:tcW w:w="3187"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Bands a,e,f</w:t>
            </w:r>
          </w:p>
          <w:p>
            <w:pPr>
              <w:pStyle w:val="TAL1"/>
              <w:rPr>
                <w:lang w:eastAsia="en-US"/>
              </w:rPr>
            </w:pPr>
            <w:r>
              <w:rPr>
                <w:lang w:eastAsia="en-US"/>
              </w:rPr>
              <w:t>1.2 dB for minimum requirement</w:t>
            </w:r>
          </w:p>
          <w:p>
            <w:pPr>
              <w:pStyle w:val="TH"/>
              <w:numPr>
                <w:ilvl w:val="0"/>
                <w:numId w:val="5"/>
              </w:numPr>
              <w:suppressAutoHyphens w:val="true"/>
              <w:spacing w:before="0" w:after="0"/>
              <w:ind w:left="0" w:hanging="0"/>
              <w:jc w:val="left"/>
              <w:rPr>
                <w:b w:val="false"/>
                <w:b w:val="false"/>
                <w:bCs/>
                <w:sz w:val="18"/>
                <w:szCs w:val="18"/>
                <w:lang w:eastAsia="en-US"/>
              </w:rPr>
            </w:pPr>
            <w:r>
              <w:rPr>
                <w:b w:val="false"/>
                <w:bCs/>
                <w:sz w:val="18"/>
                <w:szCs w:val="18"/>
                <w:lang w:eastAsia="en-US"/>
              </w:rPr>
              <w:t>0.9 dB for average requirement</w:t>
            </w:r>
          </w:p>
        </w:tc>
      </w:tr>
      <w:tr>
        <w:trPr>
          <w:trHeight w:val="56"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7.3.3 TRS for E-UTRA FDD LEE</w:t>
            </w:r>
          </w:p>
        </w:tc>
        <w:tc>
          <w:tcPr>
            <w:tcW w:w="3187" w:type="dxa"/>
            <w:tcBorders>
              <w:top w:val="single" w:sz="4" w:space="0" w:color="000000"/>
              <w:left w:val="single" w:sz="4" w:space="0" w:color="000000"/>
              <w:bottom w:val="single" w:sz="4" w:space="0" w:color="000000"/>
              <w:right w:val="single" w:sz="4" w:space="0" w:color="000000"/>
            </w:tcBorders>
          </w:tcPr>
          <w:p>
            <w:pPr>
              <w:pStyle w:val="TAL1"/>
              <w:rPr/>
            </w:pPr>
            <w:r>
              <w:rPr>
                <w:lang w:eastAsia="zh-CN"/>
              </w:rPr>
              <w:t>1.2 dB for maximum requirement</w:t>
            </w:r>
          </w:p>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b w:val="false"/>
                <w:sz w:val="18"/>
                <w:lang w:eastAsia="en-US"/>
              </w:rPr>
              <w:t>0.9 dB for average requirement</w:t>
            </w:r>
          </w:p>
        </w:tc>
      </w:tr>
      <w:tr>
        <w:trPr>
          <w:trHeight w:val="56"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7.3.4 TRS for E-UTRA TDD LEE</w:t>
            </w:r>
          </w:p>
        </w:tc>
        <w:tc>
          <w:tcPr>
            <w:tcW w:w="3187"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lang w:eastAsia="zh-CN"/>
              </w:rPr>
              <w:t>1.2 dB for maximum requirement</w:t>
            </w:r>
          </w:p>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b w:val="false"/>
                <w:sz w:val="18"/>
                <w:lang w:eastAsia="en-US"/>
              </w:rPr>
              <w:t>0.9 dB for average requirement</w:t>
            </w:r>
          </w:p>
        </w:tc>
      </w:tr>
      <w:tr>
        <w:trPr>
          <w:trHeight w:val="56"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rFonts w:eastAsia="Osaka;MS Mincho"/>
                <w:b w:val="false"/>
                <w:b w:val="false"/>
                <w:sz w:val="18"/>
                <w:szCs w:val="18"/>
                <w:lang w:eastAsia="en-US"/>
              </w:rPr>
            </w:pPr>
            <w:r>
              <w:rPr>
                <w:rFonts w:eastAsia="Osaka;MS Mincho"/>
                <w:b w:val="false"/>
                <w:sz w:val="18"/>
                <w:szCs w:val="18"/>
                <w:lang w:eastAsia="en-US"/>
              </w:rPr>
              <w:t>7.4.1 Radiated Performance of Multiple-antenna Receivers FDD</w:t>
            </w:r>
          </w:p>
        </w:tc>
        <w:tc>
          <w:tcPr>
            <w:tcW w:w="3187"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lang w:eastAsia="en-US"/>
              </w:rPr>
              <w:t>1 dB</w:t>
            </w:r>
          </w:p>
        </w:tc>
      </w:tr>
      <w:tr>
        <w:trPr>
          <w:trHeight w:val="56" w:hRule="atLeast"/>
        </w:trPr>
        <w:tc>
          <w:tcPr>
            <w:tcW w:w="3842" w:type="dxa"/>
            <w:tcBorders>
              <w:top w:val="single" w:sz="4" w:space="0" w:color="000000"/>
              <w:left w:val="single" w:sz="4" w:space="0" w:color="000000"/>
              <w:bottom w:val="single" w:sz="4" w:space="0" w:color="000000"/>
              <w:right w:val="single" w:sz="4" w:space="0" w:color="000000"/>
            </w:tcBorders>
          </w:tcPr>
          <w:p>
            <w:pPr>
              <w:pStyle w:val="TH"/>
              <w:numPr>
                <w:ilvl w:val="0"/>
                <w:numId w:val="5"/>
              </w:numPr>
              <w:suppressAutoHyphens w:val="true"/>
              <w:spacing w:before="0" w:after="0"/>
              <w:ind w:left="0" w:hanging="0"/>
              <w:jc w:val="left"/>
              <w:rPr/>
            </w:pPr>
            <w:r>
              <w:rPr>
                <w:rFonts w:eastAsia="Osaka;MS Mincho"/>
                <w:b w:val="false"/>
                <w:sz w:val="18"/>
                <w:szCs w:val="18"/>
                <w:lang w:eastAsia="en-US"/>
              </w:rPr>
              <w:t>7.4.2 Radiated Performance of Multiple-antenna Receivers TDD</w:t>
            </w:r>
          </w:p>
        </w:tc>
        <w:tc>
          <w:tcPr>
            <w:tcW w:w="3187"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lang w:eastAsia="en-US"/>
              </w:rPr>
              <w:t>1 dB</w:t>
            </w:r>
          </w:p>
        </w:tc>
      </w:tr>
    </w:tbl>
    <w:p>
      <w:pPr>
        <w:pStyle w:val="Normal"/>
        <w:numPr>
          <w:ilvl w:val="0"/>
          <w:numId w:val="5"/>
        </w:numPr>
        <w:tabs>
          <w:tab w:val="clear" w:pos="284"/>
          <w:tab w:val="left" w:pos="0" w:leader="none"/>
        </w:tabs>
        <w:suppressAutoHyphens w:val="true"/>
        <w:ind w:left="0" w:right="426" w:hanging="0"/>
        <w:rPr>
          <w:rFonts w:eastAsia="Osaka;MS Mincho"/>
        </w:rPr>
      </w:pPr>
      <w:r>
        <w:rPr>
          <w:rFonts w:eastAsia="Osaka;MS Mincho"/>
        </w:rPr>
      </w:r>
    </w:p>
    <w:p>
      <w:pPr>
        <w:pStyle w:val="Heading8"/>
        <w:ind w:left="0" w:hanging="0"/>
        <w:rPr/>
      </w:pPr>
      <w:bookmarkStart w:id="471" w:name="__RefHeading___Toc68601389"/>
      <w:bookmarkEnd w:id="471"/>
      <w:r>
        <w:rPr/>
        <w:t>Annex E (informative): Estimation of measurement uncertainty</w:t>
      </w:r>
    </w:p>
    <w:p>
      <w:pPr>
        <w:pStyle w:val="Heading1"/>
        <w:ind w:left="1134" w:hanging="1134"/>
        <w:rPr/>
      </w:pPr>
      <w:bookmarkStart w:id="472" w:name="__RefHeading___Toc68601390"/>
      <w:bookmarkEnd w:id="472"/>
      <w:r>
        <w:rPr/>
        <w:t>E.1</w:t>
        <w:tab/>
        <w:t>General</w:t>
      </w:r>
    </w:p>
    <w:p>
      <w:pPr>
        <w:pStyle w:val="Normal"/>
        <w:numPr>
          <w:ilvl w:val="0"/>
          <w:numId w:val="5"/>
        </w:numPr>
        <w:tabs>
          <w:tab w:val="clear" w:pos="284"/>
          <w:tab w:val="left" w:pos="0" w:leader="none"/>
        </w:tabs>
        <w:suppressAutoHyphens w:val="true"/>
        <w:ind w:left="0" w:hanging="0"/>
        <w:rPr/>
      </w:pPr>
      <w:r>
        <w:rPr/>
        <w:t xml:space="preserve">Individual uncertainty contributions in the TRP and TRS measurements are discussed and evaluated in this Annex. A technique for calculating the total measurement uncertainty is also presented. </w:t>
      </w:r>
    </w:p>
    <w:p>
      <w:pPr>
        <w:pStyle w:val="Normal"/>
        <w:numPr>
          <w:ilvl w:val="0"/>
          <w:numId w:val="5"/>
        </w:numPr>
        <w:tabs>
          <w:tab w:val="clear" w:pos="284"/>
          <w:tab w:val="left" w:pos="0" w:leader="none"/>
        </w:tabs>
        <w:suppressAutoHyphens w:val="true"/>
        <w:ind w:left="0" w:hanging="0"/>
        <w:rPr/>
      </w:pPr>
      <w:r>
        <w:rPr/>
        <w:t xml:space="preserve">An important part of a standard measurement procedure is the identification of uncertainty sources and the evaluation of the overall measurement uncertainty. There are various individual uncertainty sources in the measurement procedure that introduce a certain uncertainty contribution to the final measurement result. The approach in this standard test procedure is that the test laboratories are not limited to using some specific instruments and antenna positioners, for example. However, a limit is set for the maximum overall measurement uncertainty. </w:t>
      </w:r>
    </w:p>
    <w:p>
      <w:pPr>
        <w:pStyle w:val="Normal"/>
        <w:numPr>
          <w:ilvl w:val="0"/>
          <w:numId w:val="5"/>
        </w:numPr>
        <w:tabs>
          <w:tab w:val="clear" w:pos="284"/>
          <w:tab w:val="left" w:pos="0" w:leader="none"/>
        </w:tabs>
        <w:suppressAutoHyphens w:val="true"/>
        <w:ind w:left="0" w:hanging="0"/>
        <w:rPr/>
      </w:pPr>
      <w:r>
        <w:rPr/>
        <w:t>The TRP/TRS measurement procedure can be considered to include two stages. In Stage 1 the actual measurement of the 3-D pattern of the Device Under Test (DUT) is performed. In Stage 2 the calibration of the absolute level of the DUT measurement results is performed by means of using a calibration antenna whose absolute gain/radiation efficiency is known at the frequencies of interest. The uncertainty contributions related to TRP are listed in Tables E.1-1 and E.1-2 and the contributions related to TRS are in Tables E.1-3 and E.1-4. The uncertainty contributions are analyzed in the following paragraphs.</w:t>
      </w:r>
    </w:p>
    <w:p>
      <w:pPr>
        <w:pStyle w:val="Normal"/>
        <w:numPr>
          <w:ilvl w:val="0"/>
          <w:numId w:val="5"/>
        </w:numPr>
        <w:tabs>
          <w:tab w:val="clear" w:pos="284"/>
          <w:tab w:val="left" w:pos="0" w:leader="none"/>
        </w:tabs>
        <w:suppressAutoHyphens w:val="true"/>
        <w:ind w:left="0" w:hanging="0"/>
        <w:rPr/>
      </w:pPr>
      <w:r>
        <w:rPr/>
        <w:t>The calculation of the uncertainty contribution is based on the ISO Guide to the expression of uncertainty in measurement. Each individual uncertainty is expressed by its Standard Deviation (termed here as ‘standard uncertainty’) and represented by symbol U. The uncertainty contributions can be classified to two categories: Type-A uncertainties, which are statistically determined e.g. by repeated measurements, and Type-B uncertainties, which are derived from existing data e.g. data sheets. Several individual uncertainties are common in Stage 1 and Stage 2 and therefore cancel.</w:t>
      </w:r>
    </w:p>
    <w:p>
      <w:pPr>
        <w:pStyle w:val="Normal"/>
        <w:numPr>
          <w:ilvl w:val="0"/>
          <w:numId w:val="5"/>
        </w:numPr>
        <w:suppressAutoHyphens w:val="true"/>
        <w:rPr/>
      </w:pPr>
      <w:r>
        <w:rPr/>
        <w:t>The procedure of forming the uncertainty budget in TRP measurement is:</w:t>
      </w:r>
    </w:p>
    <w:p>
      <w:pPr>
        <w:pStyle w:val="B1"/>
        <w:numPr>
          <w:ilvl w:val="2"/>
          <w:numId w:val="5"/>
        </w:numPr>
        <w:tabs>
          <w:tab w:val="clear" w:pos="284"/>
          <w:tab w:val="left" w:pos="450" w:leader="none"/>
        </w:tabs>
        <w:suppressAutoHyphens w:val="true"/>
        <w:ind w:left="450" w:hanging="0"/>
        <w:rPr/>
      </w:pPr>
      <w:r>
        <w:rPr/>
        <w:t>1)</w:t>
        <w:tab/>
        <w:t>Compile lists of individual uncertainty contributions for TRP measurement in both Stage 1 and Stage 2.</w:t>
      </w:r>
    </w:p>
    <w:p>
      <w:pPr>
        <w:pStyle w:val="B1"/>
        <w:numPr>
          <w:ilvl w:val="0"/>
          <w:numId w:val="5"/>
        </w:numPr>
        <w:suppressAutoHyphens w:val="true"/>
        <w:ind w:left="432" w:firstLine="18"/>
        <w:rPr/>
      </w:pPr>
      <w:r>
        <w:rPr/>
        <w:t>2)</w:t>
        <w:tab/>
        <w:t>Determine the standard uncertainty of each contribution by</w:t>
      </w:r>
    </w:p>
    <w:p>
      <w:pPr>
        <w:pStyle w:val="B2"/>
        <w:numPr>
          <w:ilvl w:val="0"/>
          <w:numId w:val="5"/>
        </w:numPr>
        <w:tabs>
          <w:tab w:val="clear" w:pos="284"/>
        </w:tabs>
        <w:suppressAutoHyphens w:val="true"/>
        <w:ind w:left="1260" w:hanging="270"/>
        <w:rPr/>
      </w:pPr>
      <w:r>
        <w:rPr/>
        <w:t>a)</w:t>
        <w:tab/>
        <w:t>Determining the distribution of the uncertainty (Gaussian, U-shaped, rectangular, etc.)</w:t>
      </w:r>
    </w:p>
    <w:p>
      <w:pPr>
        <w:pStyle w:val="B2"/>
        <w:numPr>
          <w:ilvl w:val="0"/>
          <w:numId w:val="5"/>
        </w:numPr>
        <w:tabs>
          <w:tab w:val="clear" w:pos="284"/>
          <w:tab w:val="left" w:pos="1260" w:leader="none"/>
        </w:tabs>
        <w:suppressAutoHyphens w:val="true"/>
        <w:ind w:left="990" w:hanging="0"/>
        <w:rPr/>
      </w:pPr>
      <w:r>
        <w:rPr/>
        <w:t>b)</w:t>
        <w:tab/>
        <w:t>Determining the maximum value of each uncertainty (unless the distributions is Gaussian)</w:t>
      </w:r>
    </w:p>
    <w:p>
      <w:pPr>
        <w:pStyle w:val="B2"/>
        <w:numPr>
          <w:ilvl w:val="0"/>
          <w:numId w:val="5"/>
        </w:numPr>
        <w:tabs>
          <w:tab w:val="clear" w:pos="284"/>
        </w:tabs>
        <w:suppressAutoHyphens w:val="true"/>
        <w:ind w:left="1260" w:hanging="270"/>
        <w:rPr>
          <w:szCs w:val="22"/>
        </w:rPr>
      </w:pPr>
      <w:r>
        <w:rPr/>
        <w:t>c)</w:t>
        <w:tab/>
        <w:t xml:space="preserve">Calculating the standard uncertainty by dividing the uncertainty by </w:t>
      </w:r>
      <w:r>
        <w:rPr/>
        <w:drawing>
          <wp:inline distT="0" distB="0" distL="0" distR="0">
            <wp:extent cx="241300" cy="215900"/>
            <wp:effectExtent l="0" t="0" r="0" b="0"/>
            <wp:docPr id="111"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89" descr=""/>
                    <pic:cNvPicPr>
                      <a:picLocks noChangeAspect="1" noChangeArrowheads="1"/>
                    </pic:cNvPicPr>
                  </pic:nvPicPr>
                  <pic:blipFill>
                    <a:blip r:embed="rId113"/>
                    <a:srcRect l="-149" t="-167" r="-149" b="-167"/>
                    <a:stretch>
                      <a:fillRect/>
                    </a:stretch>
                  </pic:blipFill>
                  <pic:spPr bwMode="auto">
                    <a:xfrm>
                      <a:off x="0" y="0"/>
                      <a:ext cx="241300" cy="215900"/>
                    </a:xfrm>
                    <a:prstGeom prst="rect">
                      <a:avLst/>
                    </a:prstGeom>
                  </pic:spPr>
                </pic:pic>
              </a:graphicData>
            </a:graphic>
          </wp:inline>
        </w:drawing>
      </w:r>
      <w:r>
        <w:rPr/>
        <w:t xml:space="preserve"> if the distribution is U-shaped, and by </w:t>
      </w:r>
      <w:r>
        <w:rPr/>
        <w:drawing>
          <wp:inline distT="0" distB="0" distL="0" distR="0">
            <wp:extent cx="228600" cy="228600"/>
            <wp:effectExtent l="0" t="0" r="0" b="0"/>
            <wp:docPr id="112"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90" descr=""/>
                    <pic:cNvPicPr>
                      <a:picLocks noChangeAspect="1" noChangeArrowheads="1"/>
                    </pic:cNvPicPr>
                  </pic:nvPicPr>
                  <pic:blipFill>
                    <a:blip r:embed="rId114"/>
                    <a:srcRect l="-157" t="-157" r="-157" b="-157"/>
                    <a:stretch>
                      <a:fillRect/>
                    </a:stretch>
                  </pic:blipFill>
                  <pic:spPr bwMode="auto">
                    <a:xfrm>
                      <a:off x="0" y="0"/>
                      <a:ext cx="228600" cy="228600"/>
                    </a:xfrm>
                    <a:prstGeom prst="rect">
                      <a:avLst/>
                    </a:prstGeom>
                  </pic:spPr>
                </pic:pic>
              </a:graphicData>
            </a:graphic>
          </wp:inline>
        </w:drawing>
      </w:r>
      <w:r>
        <w:rPr/>
        <w:t xml:space="preserve"> if the distribution is rectangular.</w:t>
      </w:r>
    </w:p>
    <w:p>
      <w:pPr>
        <w:pStyle w:val="B1"/>
        <w:numPr>
          <w:ilvl w:val="0"/>
          <w:numId w:val="5"/>
        </w:numPr>
        <w:suppressAutoHyphens w:val="true"/>
        <w:ind w:left="432" w:firstLine="18"/>
        <w:rPr/>
      </w:pPr>
      <w:r>
        <w:rPr/>
        <w:t>3)</w:t>
        <w:tab/>
        <w:t>Convert the units into decibel, if necessary.</w:t>
      </w:r>
    </w:p>
    <w:p>
      <w:pPr>
        <w:pStyle w:val="B1"/>
        <w:numPr>
          <w:ilvl w:val="0"/>
          <w:numId w:val="5"/>
        </w:numPr>
        <w:suppressAutoHyphens w:val="true"/>
        <w:ind w:left="432" w:firstLine="18"/>
        <w:rPr/>
      </w:pPr>
      <w:r>
        <w:rPr/>
        <w:t>4)</w:t>
        <w:tab/>
        <w:t>Combine all the standard uncertainties by the Root of the Sum of the Squares (RSS) method.</w:t>
      </w:r>
    </w:p>
    <w:p>
      <w:pPr>
        <w:pStyle w:val="B1"/>
        <w:numPr>
          <w:ilvl w:val="0"/>
          <w:numId w:val="5"/>
        </w:numPr>
        <w:suppressAutoHyphens w:val="true"/>
        <w:ind w:left="432" w:firstLine="18"/>
        <w:rPr/>
      </w:pPr>
      <w:r>
        <w:rPr/>
        <w:t>5)</w:t>
        <w:tab/>
        <w:t xml:space="preserve">Combine the total uncertainties in Stage 1 and Stage 2 also by the RSS method: </w:t>
      </w:r>
      <w:r>
        <w:rPr/>
        <w:drawing>
          <wp:inline distT="0" distB="0" distL="0" distR="0">
            <wp:extent cx="2362200" cy="266700"/>
            <wp:effectExtent l="0" t="0" r="0" b="0"/>
            <wp:docPr id="113"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91" descr=""/>
                    <pic:cNvPicPr>
                      <a:picLocks noChangeAspect="1" noChangeArrowheads="1"/>
                    </pic:cNvPicPr>
                  </pic:nvPicPr>
                  <pic:blipFill>
                    <a:blip r:embed="rId115"/>
                    <a:srcRect l="-15" t="-135" r="-15" b="-135"/>
                    <a:stretch>
                      <a:fillRect/>
                    </a:stretch>
                  </pic:blipFill>
                  <pic:spPr bwMode="auto">
                    <a:xfrm>
                      <a:off x="0" y="0"/>
                      <a:ext cx="2362200" cy="266700"/>
                    </a:xfrm>
                    <a:prstGeom prst="rect">
                      <a:avLst/>
                    </a:prstGeom>
                  </pic:spPr>
                </pic:pic>
              </a:graphicData>
            </a:graphic>
          </wp:inline>
        </w:drawing>
      </w:r>
      <w:r>
        <w:rPr/>
        <w:t>.</w:t>
      </w:r>
    </w:p>
    <w:p>
      <w:pPr>
        <w:pStyle w:val="B1"/>
        <w:numPr>
          <w:ilvl w:val="0"/>
          <w:numId w:val="5"/>
        </w:numPr>
        <w:suppressAutoHyphens w:val="true"/>
        <w:ind w:left="432" w:firstLine="18"/>
        <w:rPr/>
      </w:pPr>
      <w:r>
        <w:rPr/>
        <w:t>6)</w:t>
        <w:tab/>
        <w:t xml:space="preserve">Multiply the result by an expansion factor of 1.96 to derive expanded uncertainty at 95% confidence level: 1.96 * </w:t>
      </w:r>
      <w:r>
        <w:rPr/>
        <w:drawing>
          <wp:inline distT="0" distB="0" distL="0" distR="0">
            <wp:extent cx="165100" cy="190500"/>
            <wp:effectExtent l="0" t="0" r="0" b="0"/>
            <wp:docPr id="114"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92" descr=""/>
                    <pic:cNvPicPr>
                      <a:picLocks noChangeAspect="1" noChangeArrowheads="1"/>
                    </pic:cNvPicPr>
                  </pic:nvPicPr>
                  <pic:blipFill>
                    <a:blip r:embed="rId116"/>
                    <a:srcRect l="-218" t="-189" r="-218" b="-189"/>
                    <a:stretch>
                      <a:fillRect/>
                    </a:stretch>
                  </pic:blipFill>
                  <pic:spPr bwMode="auto">
                    <a:xfrm>
                      <a:off x="0" y="0"/>
                      <a:ext cx="165100" cy="190500"/>
                    </a:xfrm>
                    <a:prstGeom prst="rect">
                      <a:avLst/>
                    </a:prstGeom>
                  </pic:spPr>
                </pic:pic>
              </a:graphicData>
            </a:graphic>
          </wp:inline>
        </w:drawing>
      </w:r>
      <w:r>
        <w:rPr/>
        <w:t>.</w:t>
      </w:r>
    </w:p>
    <w:p>
      <w:pPr>
        <w:pStyle w:val="Normal"/>
        <w:numPr>
          <w:ilvl w:val="0"/>
          <w:numId w:val="5"/>
        </w:numPr>
        <w:tabs>
          <w:tab w:val="clear" w:pos="284"/>
          <w:tab w:val="left" w:pos="0" w:leader="none"/>
        </w:tabs>
        <w:suppressAutoHyphens w:val="true"/>
        <w:ind w:left="0" w:hanging="0"/>
        <w:rPr/>
      </w:pPr>
      <w:r>
        <w:rPr/>
        <w:t xml:space="preserve">Example uncertainty budgets are presented in Tables E.29-1, E.29-2, E.29-3, E.29-4, E.29-5, E.29-6, E.29-7, E.29-8, E.29.9, and E.29-10. </w:t>
      </w:r>
    </w:p>
    <w:p>
      <w:pPr>
        <w:pStyle w:val="TH"/>
        <w:numPr>
          <w:ilvl w:val="0"/>
          <w:numId w:val="5"/>
        </w:numPr>
        <w:suppressAutoHyphens w:val="true"/>
        <w:rPr/>
      </w:pPr>
      <w:r>
        <w:rPr/>
        <w:t>Table E.1-1: Uncertainty contributions in TRP measurement for anechoic chamber method</w:t>
      </w:r>
    </w:p>
    <w:tbl>
      <w:tblPr>
        <w:tblW w:w="8607" w:type="dxa"/>
        <w:jc w:val="center"/>
        <w:tblInd w:w="0" w:type="dxa"/>
        <w:tblLayout w:type="fixed"/>
        <w:tblCellMar>
          <w:top w:w="0" w:type="dxa"/>
          <w:left w:w="107" w:type="dxa"/>
          <w:bottom w:w="0" w:type="dxa"/>
          <w:right w:w="107" w:type="dxa"/>
        </w:tblCellMar>
      </w:tblPr>
      <w:tblGrid>
        <w:gridCol w:w="6906"/>
        <w:gridCol w:w="1701"/>
      </w:tblGrid>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H"/>
              <w:rPr>
                <w:lang w:eastAsia="en-US"/>
              </w:rPr>
            </w:pPr>
            <w:r>
              <w:rPr>
                <w:lang w:eastAsia="en-US"/>
              </w:rPr>
              <w:t>Description of uncertainty contribution</w:t>
            </w:r>
          </w:p>
        </w:tc>
        <w:tc>
          <w:tcPr>
            <w:tcW w:w="1701"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Details in paragraph</w:t>
            </w:r>
          </w:p>
        </w:tc>
      </w:tr>
      <w:tr>
        <w:trPr>
          <w:cantSplit w:val="true"/>
        </w:trPr>
        <w:tc>
          <w:tcPr>
            <w:tcW w:w="8607" w:type="dxa"/>
            <w:gridSpan w:val="2"/>
            <w:tcBorders>
              <w:top w:val="single" w:sz="6" w:space="0" w:color="000000"/>
              <w:left w:val="single" w:sz="6" w:space="0" w:color="000000"/>
              <w:bottom w:val="single" w:sz="6" w:space="0" w:color="000000"/>
              <w:right w:val="single" w:sz="6" w:space="0" w:color="000000"/>
            </w:tcBorders>
            <w:vAlign w:val="center"/>
          </w:tcPr>
          <w:p>
            <w:pPr>
              <w:pStyle w:val="TAC"/>
              <w:rPr/>
            </w:pPr>
            <w:r>
              <w:rPr>
                <w:b/>
                <w:lang w:eastAsia="en-US"/>
              </w:rPr>
              <w:t>Stage 1, DUT measurement</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pPr>
            <w:r>
              <w:rPr>
                <w:lang w:eastAsia="en-US"/>
              </w:rPr>
              <w:t>1) Mismatch of receiver chain (i.e. between probe antenna and measurement receiver)</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E.2-E.3</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2) Insertion loss of receiver chain</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E.4-E.6</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3) Influence of the probe antenna cable</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E.7</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pPr>
            <w:r>
              <w:rPr>
                <w:lang w:eastAsia="en-US"/>
              </w:rPr>
              <w:t>4) Uncertainty of the absolute antenna gain of the probe antenna</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E.8</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5) Measurement Receiver: uncertainty of the absolute level</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E.9</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6) Measurement distance:</w:t>
            </w:r>
          </w:p>
          <w:p>
            <w:pPr>
              <w:pStyle w:val="TAL1"/>
              <w:rPr/>
            </w:pPr>
            <w:r>
              <w:rPr>
                <w:lang w:eastAsia="en-US"/>
              </w:rPr>
              <w:t>a) offset of DUT phase centre from axis(es) of rotation</w:t>
            </w:r>
          </w:p>
          <w:p>
            <w:pPr>
              <w:pStyle w:val="TAL1"/>
              <w:rPr>
                <w:lang w:eastAsia="en-US"/>
              </w:rPr>
            </w:pPr>
            <w:r>
              <w:rPr>
                <w:lang w:eastAsia="en-US"/>
              </w:rPr>
              <w:t>b) mutual coupling between the DUT and the probe antenna</w:t>
            </w:r>
          </w:p>
          <w:p>
            <w:pPr>
              <w:pStyle w:val="TAL1"/>
              <w:rPr/>
            </w:pPr>
            <w:r>
              <w:rPr>
                <w:lang w:eastAsia="en-US"/>
              </w:rPr>
              <w:t>c) phase curvature across the DUT</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E.10</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pPr>
            <w:r>
              <w:rPr>
                <w:lang w:eastAsia="en-US"/>
              </w:rPr>
              <w:t>7) Quality of quiet zone</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E.11</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8) DUT Tx-power drift</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E.12</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9) Uncertainty related to the use of phantoms: (applicable when a phantom is used):</w:t>
            </w:r>
          </w:p>
          <w:p>
            <w:pPr>
              <w:pStyle w:val="TAL1"/>
              <w:rPr>
                <w:lang w:eastAsia="en-US"/>
              </w:rPr>
            </w:pPr>
            <w:r>
              <w:rPr>
                <w:lang w:eastAsia="en-US"/>
              </w:rPr>
            </w:r>
          </w:p>
          <w:p>
            <w:pPr>
              <w:pStyle w:val="TAL1"/>
              <w:rPr>
                <w:lang w:eastAsia="en-US"/>
              </w:rPr>
            </w:pPr>
            <w:r>
              <w:rPr>
                <w:lang w:eastAsia="en-US"/>
              </w:rPr>
              <w:t>If SAM head phantom is used:</w:t>
            </w:r>
          </w:p>
          <w:p>
            <w:pPr>
              <w:pStyle w:val="TAL1"/>
              <w:rPr>
                <w:lang w:eastAsia="en-US"/>
              </w:rPr>
            </w:pPr>
            <w:r>
              <w:rPr>
                <w:lang w:eastAsia="en-US"/>
              </w:rPr>
              <w:t>a) uncertainty from using different types of SAM phantom</w:t>
            </w:r>
          </w:p>
          <w:p>
            <w:pPr>
              <w:pStyle w:val="TAL1"/>
              <w:rPr/>
            </w:pPr>
            <w:r>
              <w:rPr>
                <w:lang w:eastAsia="en-US"/>
              </w:rPr>
              <w:t>b) simulated tissue liquid uncertainty</w:t>
            </w:r>
          </w:p>
          <w:p>
            <w:pPr>
              <w:pStyle w:val="TAL1"/>
              <w:rPr>
                <w:lang w:eastAsia="en-US"/>
              </w:rPr>
            </w:pPr>
            <w:r>
              <w:rPr>
                <w:lang w:eastAsia="en-US"/>
              </w:rPr>
            </w:r>
          </w:p>
          <w:p>
            <w:pPr>
              <w:pStyle w:val="TAL1"/>
              <w:rPr>
                <w:lang w:eastAsia="en-US"/>
              </w:rPr>
            </w:pPr>
            <w:r>
              <w:rPr>
                <w:lang w:eastAsia="en-US"/>
              </w:rPr>
              <w:t>If SAM head and hand phantoms are used:</w:t>
            </w:r>
          </w:p>
          <w:p>
            <w:pPr>
              <w:pStyle w:val="TAL1"/>
              <w:rPr>
                <w:lang w:eastAsia="en-US"/>
              </w:rPr>
            </w:pPr>
            <w:r>
              <w:rPr>
                <w:lang w:eastAsia="en-US"/>
              </w:rPr>
              <w:t>a) uncertainty from using different types of SAM phantom</w:t>
            </w:r>
          </w:p>
          <w:p>
            <w:pPr>
              <w:pStyle w:val="TAL1"/>
              <w:rPr>
                <w:lang w:eastAsia="en-US"/>
              </w:rPr>
            </w:pPr>
            <w:r>
              <w:rPr>
                <w:lang w:eastAsia="en-US"/>
              </w:rPr>
              <w:t>b) simulated tissue liquid uncertainty</w:t>
            </w:r>
          </w:p>
          <w:p>
            <w:pPr>
              <w:pStyle w:val="TAL1"/>
              <w:rPr>
                <w:lang w:eastAsia="en-US"/>
              </w:rPr>
            </w:pPr>
            <w:r>
              <w:rPr>
                <w:lang w:eastAsia="en-US"/>
              </w:rPr>
              <w:t>c) uncertainty of dielectric properties and shape of the hand phantom</w:t>
            </w:r>
          </w:p>
          <w:p>
            <w:pPr>
              <w:pStyle w:val="TAL1"/>
              <w:rPr>
                <w:lang w:eastAsia="en-US"/>
              </w:rPr>
            </w:pPr>
            <w:r>
              <w:rPr>
                <w:lang w:eastAsia="en-US"/>
              </w:rPr>
            </w:r>
          </w:p>
          <w:p>
            <w:pPr>
              <w:pStyle w:val="TAL1"/>
              <w:rPr/>
            </w:pPr>
            <w:r>
              <w:rPr>
                <w:lang w:eastAsia="en-US"/>
              </w:rPr>
              <w:t>If a hand phantom is used:</w:t>
            </w:r>
          </w:p>
          <w:p>
            <w:pPr>
              <w:pStyle w:val="TAL1"/>
              <w:rPr/>
            </w:pPr>
            <w:r>
              <w:rPr>
                <w:lang w:eastAsia="en-US"/>
              </w:rPr>
              <w:t>a) uncertainty of dielectric properties and shape of the hand phantom</w:t>
            </w:r>
          </w:p>
          <w:p>
            <w:pPr>
              <w:pStyle w:val="TAL1"/>
              <w:rPr>
                <w:lang w:eastAsia="en-US"/>
              </w:rPr>
            </w:pPr>
            <w:r>
              <w:rPr>
                <w:lang w:eastAsia="en-US"/>
              </w:rPr>
            </w:r>
          </w:p>
          <w:p>
            <w:pPr>
              <w:pStyle w:val="TAL1"/>
              <w:rPr>
                <w:lang w:eastAsia="en-US"/>
              </w:rPr>
            </w:pPr>
            <w:r>
              <w:rPr>
                <w:lang w:eastAsia="en-US"/>
              </w:rPr>
              <w:t>If a laptop ground plane phantom is used:</w:t>
            </w:r>
          </w:p>
          <w:p>
            <w:pPr>
              <w:pStyle w:val="TAL1"/>
              <w:rPr>
                <w:lang w:eastAsia="en-US"/>
              </w:rPr>
            </w:pPr>
            <w:r>
              <w:rPr>
                <w:lang w:eastAsia="en-US"/>
              </w:rPr>
              <w:t>a) Uncertainty related to the use of the Laptop Ground Plane phantom</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E.13</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10) Coarse sampling grid</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E.14</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pPr>
            <w:r>
              <w:rPr>
                <w:lang w:eastAsia="en-US"/>
              </w:rPr>
              <w:t>11 ) Random uncertainty (repeatability, including positioning uncertainty of the DUT against the SAM phantom or DUT plugged into the Laptop Ground Plane phantom)</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E.15</w:t>
            </w:r>
          </w:p>
        </w:tc>
      </w:tr>
      <w:tr>
        <w:trPr>
          <w:cantSplit w:val="true"/>
        </w:trPr>
        <w:tc>
          <w:tcPr>
            <w:tcW w:w="8607" w:type="dxa"/>
            <w:gridSpan w:val="2"/>
            <w:tcBorders>
              <w:top w:val="single" w:sz="6" w:space="0" w:color="000000"/>
              <w:left w:val="single" w:sz="6" w:space="0" w:color="000000"/>
              <w:bottom w:val="single" w:sz="6" w:space="0" w:color="000000"/>
              <w:right w:val="single" w:sz="6" w:space="0" w:color="000000"/>
            </w:tcBorders>
            <w:vAlign w:val="center"/>
          </w:tcPr>
          <w:p>
            <w:pPr>
              <w:pStyle w:val="TAC"/>
              <w:rPr>
                <w:b/>
                <w:b/>
                <w:lang w:eastAsia="en-US"/>
              </w:rPr>
            </w:pPr>
            <w:r>
              <w:rPr>
                <w:b/>
                <w:lang w:eastAsia="en-US"/>
              </w:rPr>
              <w:t>Stage 2 , Calibration measurement, network analyzer method, figure B.2.1-1</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13) Uncertainty of network analyzer</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E.16</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pPr>
            <w:r>
              <w:rPr>
                <w:lang w:eastAsia="en-US"/>
              </w:rPr>
              <w:t>14) Mismatch of receiver chain</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E.2-E.3</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15) Insertion loss of receiver chain</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E.4-E.6</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16) Mismatch in the connection of calibration antenna</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E.2</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17) Influence of the calibration antenna feed cable</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E.7</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18) Influence of the probe antenna cable</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E.7</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pPr>
            <w:r>
              <w:rPr>
                <w:lang w:eastAsia="en-US"/>
              </w:rPr>
              <w:t>19) Uncertainty of the absolute gain of the probe antenna</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E.8</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20) Uncertainty of the absolute gain/ radiation efficiency of the calibration antenna</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E.17</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21)Measurement distance:</w:t>
            </w:r>
          </w:p>
          <w:p>
            <w:pPr>
              <w:pStyle w:val="TAL1"/>
              <w:rPr/>
            </w:pPr>
            <w:r>
              <w:rPr>
                <w:lang w:eastAsia="en-US"/>
              </w:rPr>
              <w:t>a) Offset of calibration antenna's phase centre from axis(es) of rotation</w:t>
            </w:r>
          </w:p>
          <w:p>
            <w:pPr>
              <w:pStyle w:val="TAL1"/>
              <w:rPr/>
            </w:pPr>
            <w:r>
              <w:rPr>
                <w:lang w:eastAsia="en-US"/>
              </w:rPr>
              <w:t>b) Mutual coupling between the calibration antenna and the probe antenna</w:t>
            </w:r>
          </w:p>
          <w:p>
            <w:pPr>
              <w:pStyle w:val="TAL1"/>
              <w:rPr>
                <w:lang w:eastAsia="en-US"/>
              </w:rPr>
            </w:pPr>
            <w:r>
              <w:rPr>
                <w:lang w:eastAsia="en-US"/>
              </w:rPr>
              <w:t>c) Phase curvature across the calibration antenna</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E.10</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22) Quality of quiet zone</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E.11</w:t>
            </w:r>
          </w:p>
        </w:tc>
      </w:tr>
    </w:tbl>
    <w:p>
      <w:pPr>
        <w:pStyle w:val="Normal"/>
        <w:rPr/>
      </w:pPr>
      <w:r>
        <w:rPr/>
      </w:r>
    </w:p>
    <w:p>
      <w:pPr>
        <w:pStyle w:val="TH"/>
        <w:numPr>
          <w:ilvl w:val="0"/>
          <w:numId w:val="5"/>
        </w:numPr>
        <w:suppressAutoHyphens w:val="true"/>
        <w:rPr/>
      </w:pPr>
      <w:r>
        <w:rPr/>
        <w:t>Table E.1-2: Uncertainty contributions in Uncertainty contributions in TRP measurement for reverberation chamber method</w:t>
      </w:r>
    </w:p>
    <w:tbl>
      <w:tblPr>
        <w:tblW w:w="8607" w:type="dxa"/>
        <w:jc w:val="center"/>
        <w:tblInd w:w="0" w:type="dxa"/>
        <w:tblLayout w:type="fixed"/>
        <w:tblCellMar>
          <w:top w:w="0" w:type="dxa"/>
          <w:left w:w="107" w:type="dxa"/>
          <w:bottom w:w="0" w:type="dxa"/>
          <w:right w:w="107" w:type="dxa"/>
        </w:tblCellMar>
      </w:tblPr>
      <w:tblGrid>
        <w:gridCol w:w="6906"/>
        <w:gridCol w:w="1701"/>
      </w:tblGrid>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H"/>
              <w:rPr/>
            </w:pPr>
            <w:r>
              <w:rPr>
                <w:lang w:eastAsia="en-US"/>
              </w:rPr>
              <w:t>Description of uncertainty contribution</w:t>
            </w:r>
          </w:p>
        </w:tc>
        <w:tc>
          <w:tcPr>
            <w:tcW w:w="170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Details in paragraph</w:t>
            </w:r>
          </w:p>
        </w:tc>
      </w:tr>
      <w:tr>
        <w:trPr>
          <w:trHeight w:val="284" w:hRule="atLeast"/>
          <w:cantSplit w:val="true"/>
        </w:trPr>
        <w:tc>
          <w:tcPr>
            <w:tcW w:w="8607" w:type="dxa"/>
            <w:gridSpan w:val="2"/>
            <w:tcBorders>
              <w:top w:val="single" w:sz="6" w:space="0" w:color="000000"/>
              <w:left w:val="single" w:sz="6" w:space="0" w:color="000000"/>
              <w:bottom w:val="single" w:sz="6" w:space="0" w:color="000000"/>
              <w:right w:val="single" w:sz="6" w:space="0" w:color="000000"/>
            </w:tcBorders>
            <w:vAlign w:val="center"/>
          </w:tcPr>
          <w:p>
            <w:pPr>
              <w:pStyle w:val="TAH"/>
              <w:rPr>
                <w:lang w:eastAsia="en-US"/>
              </w:rPr>
            </w:pPr>
            <w:r>
              <w:rPr>
                <w:lang w:eastAsia="en-US"/>
              </w:rPr>
              <w:t>Stage 1, DUT measurement</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1) Mismatch of receiver chain (i.e. between fixed measurement antenna and measurement receiver)</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E.2-E.3</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2) Insertion loss of receiver chain</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E.4-E.6</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pPr>
            <w:r>
              <w:rPr>
                <w:lang w:eastAsia="en-US"/>
              </w:rPr>
              <w:t>3) Influence of the fixed measurement antenna cable</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E.7</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4) Uncertainty of the absolute antenna gain of the fixed measurement antenna</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E.8</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5) Measurement Receiver: uncertainty of the absolute level</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E.9</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6) Chamber statistical ripple and repeatability</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E.28</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highlight w:val="yellow"/>
                <w:lang w:eastAsia="en-US"/>
              </w:rPr>
            </w:pPr>
            <w:r>
              <w:rPr>
                <w:lang w:eastAsia="en-US"/>
              </w:rPr>
              <w:t>7) Additional power loss in EUT chassis</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highlight w:val="yellow"/>
                <w:lang w:eastAsia="en-US"/>
              </w:rPr>
            </w:pPr>
            <w:r>
              <w:rPr>
                <w:lang w:eastAsia="en-US"/>
              </w:rPr>
              <w:t>E.29</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8) DUT Tx-power drift</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E12</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9) Uncertainty related to the use of phantoms: (applicable when a phantom is used):</w:t>
            </w:r>
          </w:p>
          <w:p>
            <w:pPr>
              <w:pStyle w:val="TAL1"/>
              <w:rPr>
                <w:lang w:eastAsia="en-US"/>
              </w:rPr>
            </w:pPr>
            <w:r>
              <w:rPr>
                <w:lang w:eastAsia="en-US"/>
              </w:rPr>
            </w:r>
          </w:p>
          <w:p>
            <w:pPr>
              <w:pStyle w:val="TAL1"/>
              <w:rPr>
                <w:lang w:eastAsia="en-US"/>
              </w:rPr>
            </w:pPr>
            <w:r>
              <w:rPr>
                <w:lang w:eastAsia="en-US"/>
              </w:rPr>
              <w:t>If SAM head phantom is used:</w:t>
            </w:r>
          </w:p>
          <w:p>
            <w:pPr>
              <w:pStyle w:val="TAL1"/>
              <w:rPr>
                <w:lang w:eastAsia="en-US"/>
              </w:rPr>
            </w:pPr>
            <w:r>
              <w:rPr>
                <w:lang w:eastAsia="en-US"/>
              </w:rPr>
              <w:t>a) uncertainty from using different types of SAM phantom</w:t>
            </w:r>
          </w:p>
          <w:p>
            <w:pPr>
              <w:pStyle w:val="TAL1"/>
              <w:rPr/>
            </w:pPr>
            <w:r>
              <w:rPr>
                <w:lang w:eastAsia="en-US"/>
              </w:rPr>
              <w:t>b) simulated tissue liquid uncertainty</w:t>
            </w:r>
          </w:p>
          <w:p>
            <w:pPr>
              <w:pStyle w:val="TAL1"/>
              <w:rPr>
                <w:lang w:eastAsia="en-US"/>
              </w:rPr>
            </w:pPr>
            <w:r>
              <w:rPr>
                <w:lang w:eastAsia="en-US"/>
              </w:rPr>
            </w:r>
          </w:p>
          <w:p>
            <w:pPr>
              <w:pStyle w:val="TAL1"/>
              <w:rPr>
                <w:lang w:eastAsia="en-US"/>
              </w:rPr>
            </w:pPr>
            <w:r>
              <w:rPr>
                <w:lang w:eastAsia="en-US"/>
              </w:rPr>
              <w:t>If SAM head and hand phantoms are used:</w:t>
            </w:r>
          </w:p>
          <w:p>
            <w:pPr>
              <w:pStyle w:val="TAL1"/>
              <w:rPr>
                <w:lang w:eastAsia="en-US"/>
              </w:rPr>
            </w:pPr>
            <w:r>
              <w:rPr>
                <w:lang w:eastAsia="en-US"/>
              </w:rPr>
              <w:t>a) uncertainty from using different types of SAM phantom</w:t>
            </w:r>
          </w:p>
          <w:p>
            <w:pPr>
              <w:pStyle w:val="TAL1"/>
              <w:rPr>
                <w:lang w:eastAsia="en-US"/>
              </w:rPr>
            </w:pPr>
            <w:r>
              <w:rPr>
                <w:lang w:eastAsia="en-US"/>
              </w:rPr>
              <w:t>b) simulated tissue liquid uncertainty</w:t>
            </w:r>
          </w:p>
          <w:p>
            <w:pPr>
              <w:pStyle w:val="TAL1"/>
              <w:rPr>
                <w:lang w:eastAsia="en-US"/>
              </w:rPr>
            </w:pPr>
            <w:r>
              <w:rPr>
                <w:lang w:eastAsia="en-US"/>
              </w:rPr>
              <w:t>c) uncertainty of dielectric properties and shape of the hand phantom</w:t>
            </w:r>
          </w:p>
          <w:p>
            <w:pPr>
              <w:pStyle w:val="TAL1"/>
              <w:rPr>
                <w:lang w:eastAsia="en-US"/>
              </w:rPr>
            </w:pPr>
            <w:r>
              <w:rPr>
                <w:lang w:eastAsia="en-US"/>
              </w:rPr>
            </w:r>
          </w:p>
          <w:p>
            <w:pPr>
              <w:pStyle w:val="TAL1"/>
              <w:rPr/>
            </w:pPr>
            <w:r>
              <w:rPr>
                <w:lang w:eastAsia="en-US"/>
              </w:rPr>
              <w:t>If a hand phantom is used:</w:t>
            </w:r>
          </w:p>
          <w:p>
            <w:pPr>
              <w:pStyle w:val="TAL1"/>
              <w:rPr/>
            </w:pPr>
            <w:r>
              <w:rPr>
                <w:lang w:eastAsia="en-US"/>
              </w:rPr>
              <w:t>a) uncertainty of dielectric properties and shape of the hand phantom</w:t>
            </w:r>
          </w:p>
          <w:p>
            <w:pPr>
              <w:pStyle w:val="TAL1"/>
              <w:rPr>
                <w:lang w:eastAsia="en-US"/>
              </w:rPr>
            </w:pPr>
            <w:r>
              <w:rPr>
                <w:lang w:eastAsia="en-US"/>
              </w:rPr>
            </w:r>
          </w:p>
          <w:p>
            <w:pPr>
              <w:pStyle w:val="TAL1"/>
              <w:rPr>
                <w:lang w:eastAsia="en-US"/>
              </w:rPr>
            </w:pPr>
            <w:r>
              <w:rPr>
                <w:lang w:eastAsia="en-US"/>
              </w:rPr>
              <w:t>If a laptop ground plane phantom is used:</w:t>
            </w:r>
          </w:p>
          <w:p>
            <w:pPr>
              <w:pStyle w:val="TAL1"/>
              <w:rPr>
                <w:lang w:eastAsia="en-US"/>
              </w:rPr>
            </w:pPr>
            <w:r>
              <w:rPr>
                <w:lang w:eastAsia="en-US"/>
              </w:rPr>
              <w:t>a) Uncertainty related to the use of the Laptop Ground Plane phantom</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E.13</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10) Independent samples</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E.14</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pPr>
            <w:r>
              <w:rPr>
                <w:lang w:eastAsia="en-US"/>
              </w:rPr>
              <w:t>11) Random uncertainty (repeatability, including positioning uncertainty of the DUT against the SAM phantom or DUT plugged into the Laptop Ground Plane phantom)</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E.15</w:t>
            </w:r>
          </w:p>
        </w:tc>
      </w:tr>
      <w:tr>
        <w:trPr>
          <w:trHeight w:val="284" w:hRule="atLeast"/>
          <w:cantSplit w:val="true"/>
        </w:trPr>
        <w:tc>
          <w:tcPr>
            <w:tcW w:w="8607" w:type="dxa"/>
            <w:gridSpan w:val="2"/>
            <w:tcBorders>
              <w:top w:val="single" w:sz="6" w:space="0" w:color="000000"/>
              <w:left w:val="single" w:sz="6" w:space="0" w:color="000000"/>
              <w:bottom w:val="single" w:sz="6" w:space="0" w:color="000000"/>
              <w:right w:val="single" w:sz="6" w:space="0" w:color="000000"/>
            </w:tcBorders>
            <w:vAlign w:val="center"/>
          </w:tcPr>
          <w:p>
            <w:pPr>
              <w:pStyle w:val="TAH"/>
              <w:rPr>
                <w:lang w:eastAsia="en-US"/>
              </w:rPr>
            </w:pPr>
            <w:r>
              <w:rPr>
                <w:lang w:eastAsia="en-US"/>
              </w:rPr>
              <w:t>Stage 2 , Calibration measurement, network analyzer method, figure B.2.2-1</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12) Uncertainty of network analyzer</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E.16</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pPr>
            <w:r>
              <w:rPr>
                <w:lang w:eastAsia="en-US"/>
              </w:rPr>
              <w:t>13) Mismatch of receiver chain</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E.2-E.3</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14) Insertion loss of receiver chain</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E.4-E.6</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15) Mismatch in the connection of calibration antenna</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E.2</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16) Influence of the calibration antenna feed cable</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E.7</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17) Influence of the fixed measurement antenna cable</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E.7</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pPr>
            <w:r>
              <w:rPr>
                <w:lang w:eastAsia="en-US"/>
              </w:rPr>
              <w:t>18) Uncertainty of the absolute gain of the fixed measurement antenna</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E.8</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19) Uncertainty of the absolute gain/ radiation efficiency of the calibration antenna</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E.17</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1"/>
              <w:rPr>
                <w:highlight w:val="yellow"/>
                <w:lang w:eastAsia="en-US"/>
              </w:rPr>
            </w:pPr>
            <w:r>
              <w:rPr>
                <w:lang w:eastAsia="en-US"/>
              </w:rPr>
              <w:t>20) Chamber statistical ripple and repeatability</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E.28</w:t>
            </w:r>
          </w:p>
        </w:tc>
      </w:tr>
    </w:tbl>
    <w:p>
      <w:pPr>
        <w:pStyle w:val="Normal"/>
        <w:rPr/>
      </w:pPr>
      <w:r>
        <w:rPr/>
      </w:r>
    </w:p>
    <w:p>
      <w:pPr>
        <w:pStyle w:val="TH"/>
        <w:numPr>
          <w:ilvl w:val="0"/>
          <w:numId w:val="5"/>
        </w:numPr>
        <w:suppressAutoHyphens w:val="true"/>
        <w:rPr/>
      </w:pPr>
      <w:r>
        <w:rPr/>
        <w:t>Table E.1-3: Uncertainty contributions in TRS measurement for anechoic chamber method</w:t>
      </w:r>
    </w:p>
    <w:tbl>
      <w:tblPr>
        <w:tblW w:w="4100" w:type="pct"/>
        <w:jc w:val="center"/>
        <w:tblInd w:w="0" w:type="dxa"/>
        <w:tblLayout w:type="fixed"/>
        <w:tblCellMar>
          <w:top w:w="0" w:type="dxa"/>
          <w:left w:w="107" w:type="dxa"/>
          <w:bottom w:w="0" w:type="dxa"/>
          <w:right w:w="107" w:type="dxa"/>
        </w:tblCellMar>
      </w:tblPr>
      <w:tblGrid>
        <w:gridCol w:w="6341"/>
        <w:gridCol w:w="1563"/>
      </w:tblGrid>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H"/>
              <w:rPr>
                <w:lang w:eastAsia="en-US"/>
              </w:rPr>
            </w:pPr>
            <w:r>
              <w:rPr>
                <w:lang w:eastAsia="en-US"/>
              </w:rPr>
              <w:t>Description of uncertainty contribution</w:t>
            </w:r>
          </w:p>
        </w:tc>
        <w:tc>
          <w:tcPr>
            <w:tcW w:w="1563"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Details in paragraph</w:t>
            </w:r>
          </w:p>
        </w:tc>
      </w:tr>
      <w:tr>
        <w:trPr>
          <w:cantSplit w:val="true"/>
        </w:trPr>
        <w:tc>
          <w:tcPr>
            <w:tcW w:w="7904" w:type="dxa"/>
            <w:gridSpan w:val="2"/>
            <w:tcBorders>
              <w:top w:val="single" w:sz="6" w:space="0" w:color="000000"/>
              <w:left w:val="single" w:sz="6" w:space="0" w:color="000000"/>
              <w:bottom w:val="single" w:sz="6" w:space="0" w:color="000000"/>
              <w:right w:val="single" w:sz="6" w:space="0" w:color="000000"/>
            </w:tcBorders>
            <w:vAlign w:val="center"/>
          </w:tcPr>
          <w:p>
            <w:pPr>
              <w:pStyle w:val="TAC"/>
              <w:rPr/>
            </w:pPr>
            <w:r>
              <w:rPr>
                <w:b/>
                <w:lang w:eastAsia="en-US"/>
              </w:rPr>
              <w:t>Stage 1, DUT measurement</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pPr>
            <w:r>
              <w:rPr>
                <w:lang w:eastAsia="en-US"/>
              </w:rPr>
              <w:t xml:space="preserve">1) Mismatch of transmitter chain (i.e. between probe antenna and base station simulator) </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E.2-E.3</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bookmarkStart w:id="473" w:name="_Hlk132617288"/>
            <w:bookmarkStart w:id="474" w:name="OLE_LINK19"/>
            <w:bookmarkStart w:id="475" w:name="OLE_LINK18"/>
            <w:bookmarkEnd w:id="473"/>
            <w:bookmarkEnd w:id="474"/>
            <w:bookmarkEnd w:id="475"/>
            <w:r>
              <w:rPr>
                <w:lang w:eastAsia="en-US"/>
              </w:rPr>
              <w:t>2) Insertion loss of transmitter chain</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E.4-E.6</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3) Influence of the probe antenna cable</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E.7</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4) Uncertainty of the absolute antenna gain of the probe antenna</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E.8</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bookmarkStart w:id="476" w:name="_Hlk125875349"/>
            <w:bookmarkStart w:id="477" w:name="OLE_LINK3"/>
            <w:bookmarkStart w:id="478" w:name="OLE_LINK2"/>
            <w:bookmarkEnd w:id="476"/>
            <w:bookmarkEnd w:id="477"/>
            <w:bookmarkEnd w:id="478"/>
            <w:r>
              <w:rPr>
                <w:lang w:eastAsia="en-US"/>
              </w:rPr>
              <w:t>5) Base station simulator: uncertainty of the absolute output level</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E.18</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pPr>
            <w:r>
              <w:rPr>
                <w:lang w:eastAsia="en-US"/>
              </w:rPr>
              <w:t>6) BER measurement: output level step resolution</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E.19</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pPr>
            <w:r>
              <w:rPr>
                <w:lang w:eastAsia="en-US"/>
              </w:rPr>
              <w:t>7) Statistical uncertainty of BER measurement</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E.20</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8) BER data rate normalization</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E.21</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9) Measurement distance:</w:t>
            </w:r>
          </w:p>
          <w:p>
            <w:pPr>
              <w:pStyle w:val="TAL1"/>
              <w:rPr/>
            </w:pPr>
            <w:r>
              <w:rPr>
                <w:lang w:eastAsia="en-US"/>
              </w:rPr>
              <w:t>a) offset of DUT phase centre from axis(es) of rotation</w:t>
            </w:r>
          </w:p>
          <w:p>
            <w:pPr>
              <w:pStyle w:val="TAL1"/>
              <w:rPr>
                <w:lang w:eastAsia="en-US"/>
              </w:rPr>
            </w:pPr>
            <w:r>
              <w:rPr>
                <w:lang w:eastAsia="en-US"/>
              </w:rPr>
              <w:t>b) mutual coupling between the DUT and the probe antenna</w:t>
            </w:r>
          </w:p>
          <w:p>
            <w:pPr>
              <w:pStyle w:val="TAL1"/>
              <w:rPr/>
            </w:pPr>
            <w:r>
              <w:rPr>
                <w:lang w:eastAsia="en-US"/>
              </w:rPr>
              <w:t>c) phase curvature across the DUT</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E.10</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 xml:space="preserve">10) Quality of quiet zone </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E.11</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11) DUT sensitivity drift</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E.22</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12) Uncertainty related to the use of phantoms: (applicable when a phantom is used):</w:t>
            </w:r>
          </w:p>
          <w:p>
            <w:pPr>
              <w:pStyle w:val="TAL1"/>
              <w:rPr>
                <w:lang w:eastAsia="en-US"/>
              </w:rPr>
            </w:pPr>
            <w:r>
              <w:rPr>
                <w:lang w:eastAsia="en-US"/>
              </w:rPr>
            </w:r>
          </w:p>
          <w:p>
            <w:pPr>
              <w:pStyle w:val="TAL1"/>
              <w:rPr>
                <w:lang w:eastAsia="en-US"/>
              </w:rPr>
            </w:pPr>
            <w:r>
              <w:rPr>
                <w:lang w:eastAsia="en-US"/>
              </w:rPr>
              <w:t>If SAM head phantom is used:</w:t>
            </w:r>
          </w:p>
          <w:p>
            <w:pPr>
              <w:pStyle w:val="TAL1"/>
              <w:rPr/>
            </w:pPr>
            <w:r>
              <w:rPr>
                <w:lang w:eastAsia="en-US"/>
              </w:rPr>
              <w:t xml:space="preserve">a) uncertainty from using different types of SAM phantom </w:t>
            </w:r>
          </w:p>
          <w:p>
            <w:pPr>
              <w:pStyle w:val="TAL1"/>
              <w:rPr/>
            </w:pPr>
            <w:r>
              <w:rPr>
                <w:lang w:eastAsia="en-US"/>
              </w:rPr>
              <w:t>b) simulated tissue liquid uncertainty</w:t>
            </w:r>
          </w:p>
          <w:p>
            <w:pPr>
              <w:pStyle w:val="TAL1"/>
              <w:rPr>
                <w:lang w:eastAsia="en-US"/>
              </w:rPr>
            </w:pPr>
            <w:r>
              <w:rPr>
                <w:lang w:eastAsia="en-US"/>
              </w:rPr>
            </w:r>
          </w:p>
          <w:p>
            <w:pPr>
              <w:pStyle w:val="TAL1"/>
              <w:rPr>
                <w:lang w:eastAsia="en-US"/>
              </w:rPr>
            </w:pPr>
            <w:r>
              <w:rPr>
                <w:lang w:eastAsia="en-US"/>
              </w:rPr>
              <w:t>If SAM head and hand phantoms are used:</w:t>
            </w:r>
          </w:p>
          <w:p>
            <w:pPr>
              <w:pStyle w:val="TAL1"/>
              <w:rPr>
                <w:lang w:eastAsia="en-US"/>
              </w:rPr>
            </w:pPr>
            <w:r>
              <w:rPr>
                <w:lang w:eastAsia="en-US"/>
              </w:rPr>
              <w:t>a) uncertainty from using different types of SAM phantom</w:t>
            </w:r>
          </w:p>
          <w:p>
            <w:pPr>
              <w:pStyle w:val="TAL1"/>
              <w:rPr>
                <w:lang w:eastAsia="en-US"/>
              </w:rPr>
            </w:pPr>
            <w:r>
              <w:rPr>
                <w:lang w:eastAsia="en-US"/>
              </w:rPr>
              <w:t>b) simulated tissue liquid uncertainty</w:t>
            </w:r>
          </w:p>
          <w:p>
            <w:pPr>
              <w:pStyle w:val="TAL1"/>
              <w:rPr/>
            </w:pPr>
            <w:r>
              <w:rPr>
                <w:lang w:eastAsia="en-US"/>
              </w:rPr>
              <w:t>c) uncertainty of dielectric properties and shape of the hand phantom</w:t>
            </w:r>
          </w:p>
          <w:p>
            <w:pPr>
              <w:pStyle w:val="TAL1"/>
              <w:rPr>
                <w:lang w:eastAsia="en-US"/>
              </w:rPr>
            </w:pPr>
            <w:r>
              <w:rPr>
                <w:lang w:eastAsia="en-US"/>
              </w:rPr>
            </w:r>
          </w:p>
          <w:p>
            <w:pPr>
              <w:pStyle w:val="TAL1"/>
              <w:rPr/>
            </w:pPr>
            <w:r>
              <w:rPr>
                <w:lang w:eastAsia="en-US"/>
              </w:rPr>
              <w:t>If a hand phantom is used:</w:t>
            </w:r>
          </w:p>
          <w:p>
            <w:pPr>
              <w:pStyle w:val="TAL1"/>
              <w:rPr>
                <w:lang w:eastAsia="en-US"/>
              </w:rPr>
            </w:pPr>
            <w:r>
              <w:rPr>
                <w:lang w:eastAsia="en-US"/>
              </w:rPr>
              <w:t>a) uncertainty of dielectric properties and shape of the hand phantom</w:t>
            </w:r>
          </w:p>
          <w:p>
            <w:pPr>
              <w:pStyle w:val="TAL1"/>
              <w:rPr>
                <w:lang w:eastAsia="en-US"/>
              </w:rPr>
            </w:pPr>
            <w:r>
              <w:rPr>
                <w:lang w:eastAsia="en-US"/>
              </w:rPr>
            </w:r>
          </w:p>
          <w:p>
            <w:pPr>
              <w:pStyle w:val="TAL1"/>
              <w:rPr>
                <w:lang w:eastAsia="en-US"/>
              </w:rPr>
            </w:pPr>
            <w:r>
              <w:rPr>
                <w:lang w:eastAsia="en-US"/>
              </w:rPr>
              <w:t>If a laptop ground plane phantom is used:</w:t>
            </w:r>
          </w:p>
          <w:p>
            <w:pPr>
              <w:pStyle w:val="TAL1"/>
              <w:rPr>
                <w:lang w:eastAsia="en-US"/>
              </w:rPr>
            </w:pPr>
            <w:r>
              <w:rPr>
                <w:lang w:eastAsia="en-US"/>
              </w:rPr>
              <w:t>a) Uncertainty related to the use of the Laptop Ground Plane phantom</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E.13</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13) Coarse sampling grid</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E.14</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pPr>
            <w:r>
              <w:rPr>
                <w:lang w:eastAsia="en-US"/>
              </w:rPr>
              <w:t>14 ) Random uncertainty (repeatability)</w:t>
            </w:r>
          </w:p>
          <w:p>
            <w:pPr>
              <w:pStyle w:val="TAL1"/>
              <w:rPr>
                <w:lang w:eastAsia="en-US"/>
              </w:rPr>
            </w:pPr>
            <w:r>
              <w:rPr>
                <w:lang w:eastAsia="en-US"/>
              </w:rPr>
              <w:t>-positioning uncertainty of the DUT against the SAM or DUT plugged into the Laptop Ground Plane phantom</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E.15</w:t>
            </w:r>
          </w:p>
        </w:tc>
      </w:tr>
      <w:tr>
        <w:trPr>
          <w:cantSplit w:val="true"/>
        </w:trPr>
        <w:tc>
          <w:tcPr>
            <w:tcW w:w="7904" w:type="dxa"/>
            <w:gridSpan w:val="2"/>
            <w:tcBorders>
              <w:top w:val="single" w:sz="6" w:space="0" w:color="000000"/>
              <w:left w:val="single" w:sz="6" w:space="0" w:color="000000"/>
              <w:bottom w:val="single" w:sz="6" w:space="0" w:color="000000"/>
              <w:right w:val="single" w:sz="6" w:space="0" w:color="000000"/>
            </w:tcBorders>
            <w:vAlign w:val="center"/>
          </w:tcPr>
          <w:p>
            <w:pPr>
              <w:pStyle w:val="TAC"/>
              <w:rPr>
                <w:b/>
                <w:b/>
                <w:lang w:eastAsia="en-US"/>
              </w:rPr>
            </w:pPr>
            <w:r>
              <w:rPr>
                <w:b/>
                <w:lang w:eastAsia="en-US"/>
              </w:rPr>
              <w:t>Stage 2 , Calibration measurement, network analyzer method, figure B.2.1-1</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pPr>
            <w:r>
              <w:rPr>
                <w:lang w:eastAsia="en-US"/>
              </w:rPr>
              <w:t xml:space="preserve">16) Uncertainty of network analyzer </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E.16</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pPr>
            <w:r>
              <w:rPr>
                <w:lang w:eastAsia="en-US"/>
              </w:rPr>
              <w:t>17) Mismatch in the connection of transmitter chain (i.e. between probe antenna and NA)</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E.2-E.3</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18) Insertion loss of transmitter chain</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E.4-E.6</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19)</w:t>
            </w:r>
            <w:bookmarkStart w:id="479" w:name="OLE_LINK13"/>
            <w:bookmarkStart w:id="480" w:name="OLE_LINK12"/>
            <w:r>
              <w:rPr>
                <w:lang w:eastAsia="en-US"/>
              </w:rPr>
              <w:t xml:space="preserve"> Mismatch in the connection of calibration antenna</w:t>
            </w:r>
            <w:bookmarkEnd w:id="479"/>
            <w:bookmarkEnd w:id="480"/>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E.2</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pPr>
            <w:r>
              <w:rPr>
                <w:lang w:eastAsia="en-US"/>
              </w:rPr>
              <w:t>20) Influence of the calibration antenna feed cable</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E.7</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pPr>
            <w:r>
              <w:rPr>
                <w:lang w:eastAsia="en-US"/>
              </w:rPr>
              <w:t>21) Influence of the probe antenna cable</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E.7</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22) Uncertainty of the absolute gain of the probe antenna</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E.8</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23) Uncertainty of the absolute gain/radiation efficiency of the calibration antenna</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E.17</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24)Measurement distance:</w:t>
            </w:r>
          </w:p>
          <w:p>
            <w:pPr>
              <w:pStyle w:val="TAL1"/>
              <w:rPr/>
            </w:pPr>
            <w:r>
              <w:rPr>
                <w:lang w:eastAsia="en-US"/>
              </w:rPr>
              <w:t>a) Offset of calibration antenna's phase centre from axis(es) of rotation</w:t>
            </w:r>
          </w:p>
          <w:p>
            <w:pPr>
              <w:pStyle w:val="TAL1"/>
              <w:rPr>
                <w:lang w:eastAsia="en-US"/>
              </w:rPr>
            </w:pPr>
            <w:r>
              <w:rPr>
                <w:lang w:eastAsia="en-US"/>
              </w:rPr>
              <w:t>b) Mutual coupling between the calibration antenna and the probe antenna</w:t>
            </w:r>
          </w:p>
          <w:p>
            <w:pPr>
              <w:pStyle w:val="TAL1"/>
              <w:rPr>
                <w:lang w:eastAsia="en-US"/>
              </w:rPr>
            </w:pPr>
            <w:r>
              <w:rPr>
                <w:lang w:eastAsia="en-US"/>
              </w:rPr>
              <w:t>c) Phase curvature across the calibration antenna</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E.10</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25) Quality of quiet zone</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E.11</w:t>
            </w:r>
          </w:p>
        </w:tc>
      </w:tr>
    </w:tbl>
    <w:p>
      <w:pPr>
        <w:pStyle w:val="Normal"/>
        <w:rPr/>
      </w:pPr>
      <w:r>
        <w:rPr/>
      </w:r>
    </w:p>
    <w:p>
      <w:pPr>
        <w:pStyle w:val="TH"/>
        <w:numPr>
          <w:ilvl w:val="0"/>
          <w:numId w:val="5"/>
        </w:numPr>
        <w:suppressAutoHyphens w:val="true"/>
        <w:rPr/>
      </w:pPr>
      <w:r>
        <w:rPr/>
        <w:t>Table E.1-4: Uncertainty contributions in Uncertainty contributions in TRS measurement for reverberation chamber method</w:t>
      </w:r>
    </w:p>
    <w:tbl>
      <w:tblPr>
        <w:tblW w:w="4100" w:type="pct"/>
        <w:jc w:val="center"/>
        <w:tblInd w:w="0" w:type="dxa"/>
        <w:tblLayout w:type="fixed"/>
        <w:tblCellMar>
          <w:top w:w="0" w:type="dxa"/>
          <w:left w:w="107" w:type="dxa"/>
          <w:bottom w:w="0" w:type="dxa"/>
          <w:right w:w="107" w:type="dxa"/>
        </w:tblCellMar>
      </w:tblPr>
      <w:tblGrid>
        <w:gridCol w:w="6341"/>
        <w:gridCol w:w="1563"/>
      </w:tblGrid>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H"/>
              <w:rPr>
                <w:lang w:eastAsia="en-US"/>
              </w:rPr>
            </w:pPr>
            <w:r>
              <w:rPr>
                <w:lang w:eastAsia="en-US"/>
              </w:rPr>
              <w:t>Description of uncertainty contribution</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H"/>
              <w:rPr>
                <w:lang w:eastAsia="en-US"/>
              </w:rPr>
            </w:pPr>
            <w:r>
              <w:rPr>
                <w:lang w:eastAsia="en-US"/>
              </w:rPr>
              <w:t>Details in paragraph</w:t>
            </w:r>
          </w:p>
        </w:tc>
      </w:tr>
      <w:tr>
        <w:trPr>
          <w:trHeight w:val="284" w:hRule="atLeast"/>
          <w:cantSplit w:val="true"/>
        </w:trPr>
        <w:tc>
          <w:tcPr>
            <w:tcW w:w="7904" w:type="dxa"/>
            <w:gridSpan w:val="2"/>
            <w:tcBorders>
              <w:top w:val="single" w:sz="6" w:space="0" w:color="000000"/>
              <w:left w:val="single" w:sz="6" w:space="0" w:color="000000"/>
              <w:bottom w:val="single" w:sz="6" w:space="0" w:color="000000"/>
              <w:right w:val="single" w:sz="6" w:space="0" w:color="000000"/>
            </w:tcBorders>
            <w:vAlign w:val="center"/>
          </w:tcPr>
          <w:p>
            <w:pPr>
              <w:pStyle w:val="TAH"/>
              <w:rPr>
                <w:lang w:eastAsia="en-US"/>
              </w:rPr>
            </w:pPr>
            <w:r>
              <w:rPr>
                <w:lang w:eastAsia="en-US"/>
              </w:rPr>
              <w:t>Stage 1, DUT measurement</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pPr>
            <w:r>
              <w:rPr>
                <w:lang w:eastAsia="en-US"/>
              </w:rPr>
              <w:t xml:space="preserve">1) Mismatch of transmitter chain (i.e. between fixed measurement antenna and base station simulator) </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pPr>
            <w:r>
              <w:rPr>
                <w:lang w:eastAsia="en-US"/>
              </w:rPr>
              <w:t>E.2-E.3</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2) Insertion loss of transmitter chain</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E.4-E.6</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3) Influence of the fixed measurement antenna cable</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E.7</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4) Uncertainty of the absolute antenna gain of the fixed measurement antenna</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E.8</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pPr>
            <w:r>
              <w:rPr>
                <w:lang w:eastAsia="en-US"/>
              </w:rPr>
              <w:t>5) Base station simulator: uncertainty of the absolute output level</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E.18</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6) BER measurement: output level step resolution</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E.19</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7) Statistical uncertainty of BER measurement</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E.20</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8) BER data rate normalization</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E.21</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9) Chamber statistical ripple and repeatability</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E.28</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pPr>
            <w:r>
              <w:rPr>
                <w:lang w:eastAsia="en-US"/>
              </w:rPr>
              <w:t>10) Additional power loss in EUT chassis</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E.29</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pPr>
            <w:r>
              <w:rPr>
                <w:lang w:eastAsia="en-US"/>
              </w:rPr>
              <w:t>11) DUT sensitivity drift</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E.22</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12) Uncertainty related to the use of phantoms: (applicable when a phantom is used):</w:t>
            </w:r>
          </w:p>
          <w:p>
            <w:pPr>
              <w:pStyle w:val="TAL1"/>
              <w:rPr>
                <w:lang w:eastAsia="en-US"/>
              </w:rPr>
            </w:pPr>
            <w:r>
              <w:rPr>
                <w:lang w:eastAsia="en-US"/>
              </w:rPr>
            </w:r>
          </w:p>
          <w:p>
            <w:pPr>
              <w:pStyle w:val="TAL1"/>
              <w:rPr>
                <w:lang w:eastAsia="en-US"/>
              </w:rPr>
            </w:pPr>
            <w:r>
              <w:rPr>
                <w:lang w:eastAsia="en-US"/>
              </w:rPr>
              <w:t>If SAM head phantom is used:</w:t>
            </w:r>
          </w:p>
          <w:p>
            <w:pPr>
              <w:pStyle w:val="TAL1"/>
              <w:rPr>
                <w:lang w:eastAsia="en-US"/>
              </w:rPr>
            </w:pPr>
            <w:r>
              <w:rPr>
                <w:lang w:eastAsia="en-US"/>
              </w:rPr>
              <w:t xml:space="preserve">a) uncertainty from using different types of SAM phantom </w:t>
            </w:r>
          </w:p>
          <w:p>
            <w:pPr>
              <w:pStyle w:val="TAL1"/>
              <w:rPr/>
            </w:pPr>
            <w:r>
              <w:rPr>
                <w:lang w:eastAsia="en-US"/>
              </w:rPr>
              <w:t>b) simulated tissue liquid uncertainty</w:t>
            </w:r>
          </w:p>
          <w:p>
            <w:pPr>
              <w:pStyle w:val="TAL1"/>
              <w:rPr>
                <w:lang w:eastAsia="en-US"/>
              </w:rPr>
            </w:pPr>
            <w:r>
              <w:rPr>
                <w:lang w:eastAsia="en-US"/>
              </w:rPr>
            </w:r>
          </w:p>
          <w:p>
            <w:pPr>
              <w:pStyle w:val="TAL1"/>
              <w:rPr/>
            </w:pPr>
            <w:r>
              <w:rPr>
                <w:lang w:eastAsia="en-US"/>
              </w:rPr>
              <w:t>If SAM head and hand phantoms are used:</w:t>
            </w:r>
          </w:p>
          <w:p>
            <w:pPr>
              <w:pStyle w:val="TAL1"/>
              <w:rPr>
                <w:lang w:eastAsia="en-US"/>
              </w:rPr>
            </w:pPr>
            <w:r>
              <w:rPr>
                <w:lang w:eastAsia="en-US"/>
              </w:rPr>
              <w:t>a) uncertainty from using different types of SAM phantom</w:t>
            </w:r>
          </w:p>
          <w:p>
            <w:pPr>
              <w:pStyle w:val="TAL1"/>
              <w:rPr>
                <w:lang w:eastAsia="en-US"/>
              </w:rPr>
            </w:pPr>
            <w:r>
              <w:rPr>
                <w:lang w:eastAsia="en-US"/>
              </w:rPr>
              <w:t>b) simulated tissue liquid uncertainty</w:t>
            </w:r>
          </w:p>
          <w:p>
            <w:pPr>
              <w:pStyle w:val="TAL1"/>
              <w:rPr>
                <w:lang w:eastAsia="en-US"/>
              </w:rPr>
            </w:pPr>
            <w:r>
              <w:rPr>
                <w:lang w:eastAsia="en-US"/>
              </w:rPr>
              <w:t>c) uncertainty of dielectric properties and shape of the hand phantom</w:t>
            </w:r>
          </w:p>
          <w:p>
            <w:pPr>
              <w:pStyle w:val="TAL1"/>
              <w:rPr>
                <w:lang w:eastAsia="en-US"/>
              </w:rPr>
            </w:pPr>
            <w:r>
              <w:rPr>
                <w:lang w:eastAsia="en-US"/>
              </w:rPr>
            </w:r>
          </w:p>
          <w:p>
            <w:pPr>
              <w:pStyle w:val="TAL1"/>
              <w:rPr>
                <w:lang w:eastAsia="en-US"/>
              </w:rPr>
            </w:pPr>
            <w:r>
              <w:rPr>
                <w:lang w:eastAsia="en-US"/>
              </w:rPr>
              <w:t>If a hand phantom is used:</w:t>
            </w:r>
          </w:p>
          <w:p>
            <w:pPr>
              <w:pStyle w:val="TAL1"/>
              <w:rPr/>
            </w:pPr>
            <w:r>
              <w:rPr>
                <w:lang w:eastAsia="en-US"/>
              </w:rPr>
              <w:t>a) uncertainty of dielectric properties and shape of the hand phantom</w:t>
            </w:r>
          </w:p>
          <w:p>
            <w:pPr>
              <w:pStyle w:val="TAL1"/>
              <w:rPr>
                <w:lang w:eastAsia="en-US"/>
              </w:rPr>
            </w:pPr>
            <w:r>
              <w:rPr>
                <w:lang w:eastAsia="en-US"/>
              </w:rPr>
            </w:r>
          </w:p>
          <w:p>
            <w:pPr>
              <w:pStyle w:val="TAL1"/>
              <w:rPr>
                <w:lang w:eastAsia="en-US"/>
              </w:rPr>
            </w:pPr>
            <w:r>
              <w:rPr>
                <w:lang w:eastAsia="en-US"/>
              </w:rPr>
              <w:t>If a laptop ground plane phantom is used:</w:t>
            </w:r>
          </w:p>
          <w:p>
            <w:pPr>
              <w:pStyle w:val="TAL1"/>
              <w:rPr>
                <w:lang w:eastAsia="en-US"/>
              </w:rPr>
            </w:pPr>
            <w:r>
              <w:rPr>
                <w:lang w:eastAsia="en-US"/>
              </w:rPr>
              <w:t>a) Uncertainty related to the use of the Laptop Ground Plane phantom</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E.13</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14) Independent samples</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E.14</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13) Random uncertainty (repeatability)</w:t>
            </w:r>
          </w:p>
          <w:p>
            <w:pPr>
              <w:pStyle w:val="TAL1"/>
              <w:rPr/>
            </w:pPr>
            <w:r>
              <w:rPr>
                <w:lang w:eastAsia="en-US"/>
              </w:rPr>
              <w:t>- positioning uncertainty of the DUT against the SAM or DUT plugged into the Laptop Ground Plane phantom</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E.15</w:t>
            </w:r>
          </w:p>
        </w:tc>
      </w:tr>
      <w:tr>
        <w:trPr>
          <w:trHeight w:val="284" w:hRule="atLeast"/>
          <w:cantSplit w:val="true"/>
        </w:trPr>
        <w:tc>
          <w:tcPr>
            <w:tcW w:w="7904" w:type="dxa"/>
            <w:gridSpan w:val="2"/>
            <w:tcBorders>
              <w:top w:val="single" w:sz="6" w:space="0" w:color="000000"/>
              <w:left w:val="single" w:sz="6" w:space="0" w:color="000000"/>
              <w:bottom w:val="single" w:sz="6" w:space="0" w:color="000000"/>
              <w:right w:val="single" w:sz="6" w:space="0" w:color="000000"/>
            </w:tcBorders>
            <w:vAlign w:val="center"/>
          </w:tcPr>
          <w:p>
            <w:pPr>
              <w:pStyle w:val="TAH"/>
              <w:rPr>
                <w:lang w:eastAsia="en-US"/>
              </w:rPr>
            </w:pPr>
            <w:r>
              <w:rPr>
                <w:lang w:eastAsia="en-US"/>
              </w:rPr>
              <w:t>Stage 2 , Calibration measurement, network analyzer method, figure B.2.2-1</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15) Uncertainty of network analyzer</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E.16</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16) Mismatch of receiver chain</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E.2-E.3</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pPr>
            <w:r>
              <w:rPr>
                <w:lang w:eastAsia="en-US"/>
              </w:rPr>
              <w:t>17) Insertion loss of receiver chain</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E.4-E.6</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18) Mismatch in the connection of calibration antenna</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E.2</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19) Influence of the calibration antenna feed cable</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E.7</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20) Influence of the fixed measurement antenna cable</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E.7</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pPr>
            <w:r>
              <w:rPr>
                <w:lang w:eastAsia="en-US"/>
              </w:rPr>
              <w:t>21) Uncertainty of the absolute gain of the fixed measurement antenna</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E.8</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lang w:eastAsia="en-US"/>
              </w:rPr>
            </w:pPr>
            <w:r>
              <w:rPr>
                <w:lang w:eastAsia="en-US"/>
              </w:rPr>
              <w:t>22) Uncertainty of the absolute gain/ radiation efficiency of the calibration antenna</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E.17</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1"/>
              <w:rPr>
                <w:highlight w:val="yellow"/>
                <w:lang w:eastAsia="en-US"/>
              </w:rPr>
            </w:pPr>
            <w:r>
              <w:rPr>
                <w:lang w:eastAsia="en-US"/>
              </w:rPr>
              <w:t>23) Chamber statistical ripple and repeatability</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lang w:eastAsia="en-US"/>
              </w:rPr>
            </w:pPr>
            <w:r>
              <w:rPr>
                <w:lang w:eastAsia="en-US"/>
              </w:rPr>
              <w:t>E.28</w:t>
            </w:r>
          </w:p>
        </w:tc>
      </w:tr>
    </w:tbl>
    <w:p>
      <w:pPr>
        <w:pStyle w:val="Normal"/>
        <w:rPr/>
      </w:pPr>
      <w:r>
        <w:rPr/>
      </w:r>
    </w:p>
    <w:p>
      <w:pPr>
        <w:pStyle w:val="Heading1"/>
        <w:ind w:left="1134" w:hanging="1134"/>
        <w:rPr/>
      </w:pPr>
      <w:bookmarkStart w:id="481" w:name="__RefHeading___Toc68601391"/>
      <w:bookmarkEnd w:id="481"/>
      <w:r>
        <w:rPr/>
        <w:t>E.2</w:t>
        <w:tab/>
        <w:t>Mismatch uncertainty between measurement receiver and the probe antenna</w:t>
      </w:r>
    </w:p>
    <w:p>
      <w:pPr>
        <w:pStyle w:val="Normal"/>
        <w:rPr/>
      </w:pPr>
      <w:r>
        <w:rPr/>
        <w:t xml:space="preserve">If the same chain configuration (including the measurement receiver; the probe antenna and other elements) is used in both stages, the uncertainty is considered systematic and constant </w:t>
      </w:r>
      <w:r>
        <w:rPr>
          <w:rFonts w:eastAsia="Wingdings" w:cs="Wingdings" w:ascii="Wingdings" w:hAnsi="Wingdings"/>
        </w:rPr>
        <w:t></w:t>
      </w:r>
      <w:r>
        <w:rPr/>
        <w:t xml:space="preserve"> 0.00dB value.</w:t>
      </w:r>
    </w:p>
    <w:p>
      <w:pPr>
        <w:pStyle w:val="Normal"/>
        <w:rPr/>
      </w:pPr>
      <w:r>
        <w:rPr/>
        <w:t xml:space="preserve">If it is not the case, this uncertainty contribution has to be taken into account and determined by the following method. </w:t>
      </w:r>
    </w:p>
    <w:p>
      <w:pPr>
        <w:pStyle w:val="Normal"/>
        <w:rPr/>
      </w:pPr>
      <w:r>
        <w:rPr/>
        <w:t>In a measurement configuration, when two elements (devices, networks…) are connected, if the matching is not ideal, there is an uncertainty in the RF level signal passing through the connection. The magnitude of the uncertainty depends on the VSWR at the junction of the two connectors. In practical measurement system there are probably several connections in a test set-up, they will all interact and contribute to the combined mismatch uncertainty.</w:t>
      </w:r>
    </w:p>
    <w:p>
      <w:pPr>
        <w:pStyle w:val="Normal"/>
        <w:rPr/>
      </w:pPr>
      <w:r>
        <w:rPr/>
        <w:t>The total combined mismatch uncertainty is composed of 2 parts:</w:t>
      </w:r>
    </w:p>
    <w:p>
      <w:pPr>
        <w:pStyle w:val="B1"/>
        <w:rPr/>
      </w:pPr>
      <w:r>
        <w:rPr/>
        <w:t>1)</w:t>
        <w:tab/>
        <w:t xml:space="preserve">The mismatch through the connector between two elements </w:t>
      </w:r>
    </w:p>
    <w:p>
      <w:pPr>
        <w:pStyle w:val="B1"/>
        <w:rPr/>
      </w:pPr>
      <w:r>
        <w:rPr/>
        <w:t>2)</w:t>
        <w:tab/>
        <w:t xml:space="preserve">The mismatch due to the interaction between two elements </w:t>
      </w:r>
    </w:p>
    <w:p>
      <w:pPr>
        <w:pStyle w:val="Heading2"/>
        <w:rPr/>
      </w:pPr>
      <w:bookmarkStart w:id="482" w:name="__RefHeading___Toc68601392"/>
      <w:bookmarkEnd w:id="482"/>
      <w:r>
        <w:rPr/>
        <w:t>E.2.1</w:t>
        <w:tab/>
        <w:t>Total combined mismatch uncertainty calculations</w:t>
      </w:r>
    </w:p>
    <w:p>
      <w:pPr>
        <w:pStyle w:val="Heading3"/>
        <w:rPr/>
      </w:pPr>
      <w:bookmarkStart w:id="483" w:name="__RefHeading___Toc68601393"/>
      <w:bookmarkEnd w:id="483"/>
      <w:r>
        <w:rPr>
          <w:sz w:val="24"/>
          <w:szCs w:val="24"/>
          <w:lang w:eastAsia="zh-TW"/>
        </w:rPr>
        <w:t>E</w:t>
      </w:r>
      <w:r>
        <w:rPr>
          <w:sz w:val="24"/>
          <w:szCs w:val="24"/>
        </w:rPr>
        <w:t>.2.1.1</w:t>
        <w:tab/>
        <w:t>Mismatch uncertainty through the connector between two elements</w:t>
      </w:r>
    </w:p>
    <w:p>
      <w:pPr>
        <w:pStyle w:val="Normal"/>
        <w:rPr/>
      </w:pPr>
      <w:r>
        <w:rPr/>
        <w:t>Hereunder, a measurement configuration:</w:t>
      </w:r>
    </w:p>
    <w:p>
      <w:pPr>
        <w:pStyle w:val="TH"/>
        <w:rPr/>
      </w:pPr>
      <w:r>
        <w:rPr/>
        <w:drawing>
          <wp:inline distT="0" distB="0" distL="0" distR="0">
            <wp:extent cx="4838065" cy="466090"/>
            <wp:effectExtent l="0" t="0" r="0" b="0"/>
            <wp:docPr id="115"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93" descr=""/>
                    <pic:cNvPicPr>
                      <a:picLocks noChangeAspect="1" noChangeArrowheads="1"/>
                    </pic:cNvPicPr>
                  </pic:nvPicPr>
                  <pic:blipFill>
                    <a:blip r:embed="rId117"/>
                    <a:srcRect l="-7" t="-77" r="-7" b="-77"/>
                    <a:stretch>
                      <a:fillRect/>
                    </a:stretch>
                  </pic:blipFill>
                  <pic:spPr bwMode="auto">
                    <a:xfrm>
                      <a:off x="0" y="0"/>
                      <a:ext cx="4838065" cy="466090"/>
                    </a:xfrm>
                    <a:prstGeom prst="rect">
                      <a:avLst/>
                    </a:prstGeom>
                  </pic:spPr>
                </pic:pic>
              </a:graphicData>
            </a:graphic>
          </wp:inline>
        </w:drawing>
      </w:r>
    </w:p>
    <w:p>
      <w:pPr>
        <w:pStyle w:val="TF"/>
        <w:rPr/>
      </w:pPr>
      <w:r>
        <w:rPr/>
        <w:t>Figure E.2.1.1-1: Mismatch uncertainty through the connector</w:t>
      </w:r>
    </w:p>
    <w:p>
      <w:pPr>
        <w:pStyle w:val="Normal"/>
        <w:rPr/>
      </w:pPr>
      <w:r>
        <w:rPr/>
      </w:r>
    </w:p>
    <w:p>
      <w:pPr>
        <w:pStyle w:val="Normal"/>
        <w:rPr/>
      </w:pPr>
      <w:r>
        <w:rPr/>
        <w:t xml:space="preserve">Г </w:t>
      </w:r>
      <w:r>
        <w:rPr>
          <w:vertAlign w:val="subscript"/>
        </w:rPr>
        <w:t>MR</w:t>
      </w:r>
      <w:r>
        <w:rPr/>
        <w:t xml:space="preserve"> is the complex reflection coefficient of the Measurement Receiver</w:t>
      </w:r>
    </w:p>
    <w:p>
      <w:pPr>
        <w:pStyle w:val="Normal"/>
        <w:rPr/>
      </w:pPr>
      <w:r>
        <w:rPr/>
        <w:t xml:space="preserve">Г </w:t>
      </w:r>
      <w:r>
        <w:rPr>
          <w:vertAlign w:val="subscript"/>
        </w:rPr>
        <w:t>cable4</w:t>
      </w:r>
      <w:r>
        <w:rPr/>
        <w:t xml:space="preserve"> is the complex reflection coefficient of the cable4</w:t>
      </w:r>
    </w:p>
    <w:p>
      <w:pPr>
        <w:pStyle w:val="Normal"/>
        <w:rPr/>
      </w:pPr>
      <w:r>
        <w:rPr/>
        <w:t>S</w:t>
      </w:r>
      <w:r>
        <w:rPr>
          <w:vertAlign w:val="subscript"/>
        </w:rPr>
        <w:t>21</w:t>
      </w:r>
      <w:r>
        <w:rPr/>
        <w:t xml:space="preserve"> is the forward gain in the network between the two reflection coefficients of interest</w:t>
      </w:r>
    </w:p>
    <w:p>
      <w:pPr>
        <w:pStyle w:val="Normal"/>
        <w:rPr/>
      </w:pPr>
      <w:r>
        <w:rPr/>
        <w:t>S</w:t>
      </w:r>
      <w:r>
        <w:rPr>
          <w:vertAlign w:val="subscript"/>
        </w:rPr>
        <w:t>12</w:t>
      </w:r>
      <w:r>
        <w:rPr/>
        <w:t xml:space="preserve"> is the backward gain in the network between the two reflection coefficients of interest</w:t>
      </w:r>
    </w:p>
    <w:p>
      <w:pPr>
        <w:pStyle w:val="Normal"/>
        <w:rPr/>
      </w:pPr>
      <w:r>
        <w:rPr/>
        <w:t>Note that S</w:t>
      </w:r>
      <w:r>
        <w:rPr>
          <w:vertAlign w:val="subscript"/>
        </w:rPr>
        <w:t>21</w:t>
      </w:r>
      <w:r>
        <w:rPr/>
        <w:t xml:space="preserve"> and S</w:t>
      </w:r>
      <w:r>
        <w:rPr>
          <w:vertAlign w:val="subscript"/>
        </w:rPr>
        <w:t>12</w:t>
      </w:r>
      <w:r>
        <w:rPr/>
        <w:t xml:space="preserve"> are set to1 if the two parts are directly connected.</w:t>
      </w:r>
    </w:p>
    <w:p>
      <w:pPr>
        <w:pStyle w:val="Normal"/>
        <w:rPr/>
      </w:pPr>
      <w:r>
        <w:rPr/>
        <w:t>The uncertainty limits of the mismatch are calculated by means of the following formula table 1 of [26]:</w:t>
      </w:r>
    </w:p>
    <w:p>
      <w:pPr>
        <w:pStyle w:val="EQ"/>
        <w:rPr>
          <w:lang w:val="en-GB" w:eastAsia="en-GB"/>
        </w:rPr>
      </w:pPr>
      <w:r>
        <w:rPr>
          <w:lang w:val="en-GB" w:eastAsia="en-GB"/>
        </w:rPr>
        <w:t>Mismatch limits(% voltage) =</w:t>
      </w:r>
      <w:r>
        <w:rPr>
          <w:lang w:val="en-GB" w:eastAsia="en-GB"/>
        </w:rPr>
      </w:r>
      <m:oMath xmlns:m="http://schemas.openxmlformats.org/officeDocument/2006/math">
        <m:d>
          <m:dPr>
            <m:begChr m:val="|"/>
            <m:endChr m:val="|"/>
          </m:dPr>
          <m:e>
            <m:sSub>
              <m:e>
                <m:r>
                  <w:rPr>
                    <w:rFonts w:ascii="Cambria Math" w:hAnsi="Cambria Math"/>
                  </w:rPr>
                  <m:t xml:space="preserve">Γ</m:t>
                </m:r>
              </m:e>
              <m:sub>
                <m:r>
                  <m:rPr>
                    <m:lit/>
                    <m:nor/>
                  </m:rPr>
                  <w:rPr>
                    <w:rFonts w:ascii="Cambria Math" w:hAnsi="Cambria Math"/>
                  </w:rPr>
                  <m:t xml:space="preserve">MR</m:t>
                </m:r>
              </m:sub>
            </m:sSub>
          </m:e>
        </m:d>
        <m:r>
          <w:rPr>
            <w:rFonts w:ascii="Cambria Math" w:hAnsi="Cambria Math"/>
          </w:rPr>
          <m:t xml:space="preserve">×</m:t>
        </m:r>
        <m:d>
          <m:dPr>
            <m:begChr m:val="|"/>
            <m:endChr m:val="|"/>
          </m:dPr>
          <m:e>
            <m:sSub>
              <m:e>
                <m:r>
                  <w:rPr>
                    <w:rFonts w:ascii="Cambria Math" w:hAnsi="Cambria Math"/>
                  </w:rPr>
                  <m:t xml:space="preserve">Γ</m:t>
                </m:r>
              </m:e>
              <m:sub>
                <m:r>
                  <m:rPr>
                    <m:lit/>
                    <m:nor/>
                  </m:rPr>
                  <w:rPr>
                    <w:rFonts w:ascii="Cambria Math" w:hAnsi="Cambria Math"/>
                  </w:rPr>
                  <m:t xml:space="preserve">cable</m:t>
                </m:r>
                <m:r>
                  <w:rPr>
                    <w:rFonts w:ascii="Cambria Math" w:hAnsi="Cambria Math"/>
                  </w:rPr>
                  <m:t xml:space="preserve">4</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21</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12</m:t>
                </m:r>
              </m:sub>
            </m:sSub>
          </m:e>
        </m:d>
        <m:r>
          <w:rPr>
            <w:rFonts w:ascii="Cambria Math" w:hAnsi="Cambria Math"/>
          </w:rPr>
          <m:t xml:space="preserve">×</m:t>
        </m:r>
        <m:r>
          <m:rPr>
            <m:lit/>
            <m:nor/>
          </m:rPr>
          <w:rPr>
            <w:rFonts w:ascii="Cambria Math" w:hAnsi="Cambria Math"/>
          </w:rPr>
          <m:t xml:space="preserve">100</m:t>
        </m:r>
      </m:oMath>
    </w:p>
    <w:p>
      <w:pPr>
        <w:pStyle w:val="Normal"/>
        <w:rPr/>
      </w:pPr>
      <w:r>
        <w:rPr/>
        <w:t xml:space="preserve">These mismatch limits are divided by </w:t>
      </w:r>
      <w:r>
        <w:rPr/>
      </w:r>
      <m:oMath xmlns:m="http://schemas.openxmlformats.org/officeDocument/2006/math">
        <m:rad>
          <m:radPr>
            <m:degHide m:val="1"/>
          </m:radPr>
          <m:deg/>
          <m:e>
            <m:r>
              <w:rPr>
                <w:rFonts w:ascii="Cambria Math" w:hAnsi="Cambria Math"/>
              </w:rPr>
              <m:t xml:space="preserve">2</m:t>
            </m:r>
          </m:e>
        </m:rad>
      </m:oMath>
      <w:r>
        <w:rPr/>
        <w:t xml:space="preserve"> because of the U-shaped (table 1 of) [26] distribution of the mismatch uncertainty and give the following standard uncertainty:</w:t>
      </w:r>
    </w:p>
    <w:p>
      <w:pPr>
        <w:pStyle w:val="EQ"/>
        <w:rPr>
          <w:lang w:val="en-GB" w:eastAsia="en-GB"/>
        </w:rPr>
      </w:pPr>
      <w:r>
        <w:rPr>
          <w:lang w:val="en-GB" w:eastAsia="en-GB"/>
        </w:rPr>
        <w:tab/>
        <w:t>U</w:t>
      </w:r>
      <w:r>
        <w:rPr>
          <w:vertAlign w:val="subscript"/>
          <w:lang w:val="en-GB" w:eastAsia="en-GB"/>
        </w:rPr>
        <w:t>mismatch</w:t>
      </w:r>
      <w:r>
        <w:rPr>
          <w:lang w:val="en-GB" w:eastAsia="en-GB"/>
        </w:rPr>
        <w:t xml:space="preserve"> (% voltage) = </w:t>
      </w:r>
      <w:r>
        <w:rPr>
          <w:lang w:val="en-GB" w:eastAsia="en-GB"/>
        </w:rPr>
      </w:r>
      <m:oMath xmlns:m="http://schemas.openxmlformats.org/officeDocument/2006/math">
        <m:f>
          <m:num>
            <m:d>
              <m:dPr>
                <m:begChr m:val="|"/>
                <m:endChr m:val="|"/>
              </m:dPr>
              <m:e>
                <m:sSub>
                  <m:e>
                    <m:r>
                      <w:rPr>
                        <w:rFonts w:ascii="Cambria Math" w:hAnsi="Cambria Math"/>
                      </w:rPr>
                      <m:t xml:space="preserve">Γ</m:t>
                    </m:r>
                  </m:e>
                  <m:sub>
                    <m:r>
                      <m:rPr>
                        <m:lit/>
                        <m:nor/>
                      </m:rPr>
                      <w:rPr>
                        <w:rFonts w:ascii="Cambria Math" w:hAnsi="Cambria Math"/>
                      </w:rPr>
                      <m:t xml:space="preserve">MR</m:t>
                    </m:r>
                  </m:sub>
                </m:sSub>
              </m:e>
            </m:d>
            <m:r>
              <w:rPr>
                <w:rFonts w:ascii="Cambria Math" w:hAnsi="Cambria Math"/>
              </w:rPr>
              <m:t xml:space="preserve">×</m:t>
            </m:r>
            <m:d>
              <m:dPr>
                <m:begChr m:val="|"/>
                <m:endChr m:val="|"/>
              </m:dPr>
              <m:e>
                <m:sSub>
                  <m:e>
                    <m:r>
                      <w:rPr>
                        <w:rFonts w:ascii="Cambria Math" w:hAnsi="Cambria Math"/>
                      </w:rPr>
                      <m:t xml:space="preserve">Γ</m:t>
                    </m:r>
                  </m:e>
                  <m:sub>
                    <m:r>
                      <m:rPr>
                        <m:lit/>
                        <m:nor/>
                      </m:rPr>
                      <w:rPr>
                        <w:rFonts w:ascii="Cambria Math" w:hAnsi="Cambria Math"/>
                      </w:rPr>
                      <m:t xml:space="preserve">cable</m:t>
                    </m:r>
                    <m:r>
                      <w:rPr>
                        <w:rFonts w:ascii="Cambria Math" w:hAnsi="Cambria Math"/>
                      </w:rPr>
                      <m:t xml:space="preserve">4</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21</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12</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den>
        </m:f>
      </m:oMath>
    </w:p>
    <w:p>
      <w:pPr>
        <w:pStyle w:val="Normal"/>
        <w:rPr/>
      </w:pPr>
      <w:r>
        <w:rPr/>
        <w:t>To convert this standard uncertainty in dB, we divide it by the standard uncertainty conversion factor (table 1 of) [26]:</w:t>
      </w:r>
    </w:p>
    <w:p>
      <w:pPr>
        <w:pStyle w:val="EQ"/>
        <w:rPr>
          <w:lang w:val="en-GB" w:eastAsia="en-GB"/>
        </w:rPr>
      </w:pPr>
      <w:r>
        <w:rPr>
          <w:lang w:val="en-GB" w:eastAsia="en-GB"/>
        </w:rPr>
        <w:tab/>
        <w:t>U</w:t>
      </w:r>
      <w:r>
        <w:rPr>
          <w:vertAlign w:val="subscript"/>
          <w:lang w:val="en-GB" w:eastAsia="en-GB"/>
        </w:rPr>
        <w:t>mismatch</w:t>
      </w:r>
      <w:r>
        <w:rPr>
          <w:lang w:val="en-GB" w:eastAsia="en-GB"/>
        </w:rPr>
        <w:t>(dB) =</w:t>
      </w:r>
      <w:r>
        <w:rPr>
          <w:lang w:val="en-GB" w:eastAsia="en-GB"/>
        </w:rPr>
      </w:r>
      <m:oMath xmlns:m="http://schemas.openxmlformats.org/officeDocument/2006/math">
        <m:f>
          <m:num>
            <m:d>
              <m:dPr>
                <m:begChr m:val="|"/>
                <m:endChr m:val="|"/>
              </m:dPr>
              <m:e>
                <m:sSub>
                  <m:e>
                    <m:r>
                      <w:rPr>
                        <w:rFonts w:ascii="Cambria Math" w:hAnsi="Cambria Math"/>
                      </w:rPr>
                      <m:t xml:space="preserve">Γ</m:t>
                    </m:r>
                  </m:e>
                  <m:sub>
                    <m:r>
                      <m:rPr>
                        <m:lit/>
                        <m:nor/>
                      </m:rPr>
                      <w:rPr>
                        <w:rFonts w:ascii="Cambria Math" w:hAnsi="Cambria Math"/>
                      </w:rPr>
                      <m:t xml:space="preserve">MR</m:t>
                    </m:r>
                  </m:sub>
                </m:sSub>
              </m:e>
            </m:d>
            <m:r>
              <w:rPr>
                <w:rFonts w:ascii="Cambria Math" w:hAnsi="Cambria Math"/>
              </w:rPr>
              <m:t xml:space="preserve">×</m:t>
            </m:r>
            <m:d>
              <m:dPr>
                <m:begChr m:val="|"/>
                <m:endChr m:val="|"/>
              </m:dPr>
              <m:e>
                <m:sSub>
                  <m:e>
                    <m:r>
                      <w:rPr>
                        <w:rFonts w:ascii="Cambria Math" w:hAnsi="Cambria Math"/>
                      </w:rPr>
                      <m:t xml:space="preserve">Γ</m:t>
                    </m:r>
                  </m:e>
                  <m:sub>
                    <m:r>
                      <m:rPr>
                        <m:lit/>
                        <m:nor/>
                      </m:rPr>
                      <w:rPr>
                        <w:rFonts w:ascii="Cambria Math" w:hAnsi="Cambria Math"/>
                      </w:rPr>
                      <m:t xml:space="preserve">cable</m:t>
                    </m:r>
                    <m:r>
                      <w:rPr>
                        <w:rFonts w:ascii="Cambria Math" w:hAnsi="Cambria Math"/>
                      </w:rPr>
                      <m:t xml:space="preserve">4</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21</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12</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Heading3"/>
        <w:rPr/>
      </w:pPr>
      <w:bookmarkStart w:id="484" w:name="__RefHeading___Toc68601394"/>
      <w:bookmarkEnd w:id="484"/>
      <w:r>
        <w:rPr>
          <w:sz w:val="24"/>
          <w:szCs w:val="24"/>
          <w:lang w:eastAsia="zh-TW"/>
        </w:rPr>
        <w:t>E</w:t>
      </w:r>
      <w:r>
        <w:rPr>
          <w:sz w:val="24"/>
          <w:szCs w:val="24"/>
        </w:rPr>
        <w:t>.2.1.2</w:t>
        <w:tab/>
        <w:t>Mismatch uncertainty due to the interaction of several elements</w:t>
      </w:r>
    </w:p>
    <w:p>
      <w:pPr>
        <w:pStyle w:val="Normal"/>
        <w:rPr/>
      </w:pPr>
      <w:r>
        <w:rPr/>
        <w:t>Previously, we presented how to determine the mismatch uncertainty between two elements through the junction (connector). Now, we introduce the other type of mismatch uncertainty, which is a result of the interaction between several elements.</w:t>
      </w:r>
    </w:p>
    <w:p>
      <w:pPr>
        <w:pStyle w:val="Normal"/>
        <w:rPr/>
      </w:pPr>
      <w:r>
        <w:rPr/>
        <w:t>Hereunder, a measurement configuration:</w:t>
      </w:r>
    </w:p>
    <w:p>
      <w:pPr>
        <w:pStyle w:val="TH"/>
        <w:rPr/>
      </w:pPr>
      <w:r>
        <w:rPr/>
        <w:drawing>
          <wp:inline distT="0" distB="0" distL="0" distR="0">
            <wp:extent cx="5546090" cy="685165"/>
            <wp:effectExtent l="0" t="0" r="0" b="0"/>
            <wp:docPr id="116"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94" descr=""/>
                    <pic:cNvPicPr>
                      <a:picLocks noChangeAspect="1" noChangeArrowheads="1"/>
                    </pic:cNvPicPr>
                  </pic:nvPicPr>
                  <pic:blipFill>
                    <a:blip r:embed="rId118"/>
                    <a:srcRect l="-6" t="-52" r="-6" b="-52"/>
                    <a:stretch>
                      <a:fillRect/>
                    </a:stretch>
                  </pic:blipFill>
                  <pic:spPr bwMode="auto">
                    <a:xfrm>
                      <a:off x="0" y="0"/>
                      <a:ext cx="5546090" cy="685165"/>
                    </a:xfrm>
                    <a:prstGeom prst="rect">
                      <a:avLst/>
                    </a:prstGeom>
                  </pic:spPr>
                </pic:pic>
              </a:graphicData>
            </a:graphic>
          </wp:inline>
        </w:drawing>
      </w:r>
    </w:p>
    <w:p>
      <w:pPr>
        <w:pStyle w:val="TF"/>
        <w:rPr/>
      </w:pPr>
      <w:r>
        <w:rPr/>
        <w:t>Figure E.2.1.2-1: Mismatch uncertainty due to the interaction of several elements</w:t>
      </w:r>
    </w:p>
    <w:p>
      <w:pPr>
        <w:pStyle w:val="Normal"/>
        <w:rPr/>
      </w:pPr>
      <w:r>
        <w:rPr/>
        <w:t>Firstly, we determine the mismatch uncertainty between junctions of the elements:</w:t>
      </w:r>
    </w:p>
    <w:p>
      <w:pPr>
        <w:pStyle w:val="Normal"/>
        <w:rPr/>
      </w:pPr>
      <w:r>
        <w:rPr/>
        <w:t>Between the MR and the cable3:</w:t>
      </w:r>
    </w:p>
    <w:p>
      <w:pPr>
        <w:pStyle w:val="EQ"/>
        <w:rPr>
          <w:lang w:val="en-GB" w:eastAsia="en-GB"/>
        </w:rPr>
      </w:pPr>
      <w:r>
        <w:rPr>
          <w:lang w:val="en-GB" w:eastAsia="en-GB"/>
        </w:rPr>
        <w:tab/>
        <w:t>U</w:t>
      </w:r>
      <w:r>
        <w:rPr>
          <w:vertAlign w:val="subscript"/>
          <w:lang w:val="en-GB" w:eastAsia="en-GB"/>
        </w:rPr>
        <w:t>mismatch1</w:t>
      </w:r>
      <w:r>
        <w:rPr>
          <w:lang w:val="en-GB" w:eastAsia="en-GB"/>
        </w:rPr>
        <w:t>(dB) =</w:t>
      </w:r>
      <w:r>
        <w:rPr>
          <w:lang w:val="en-GB" w:eastAsia="en-GB"/>
        </w:rPr>
      </w:r>
      <m:oMath xmlns:m="http://schemas.openxmlformats.org/officeDocument/2006/math">
        <m:f>
          <m:num>
            <m:d>
              <m:dPr>
                <m:begChr m:val="|"/>
                <m:endChr m:val="|"/>
              </m:dPr>
              <m:e>
                <m:sSub>
                  <m:e>
                    <m:r>
                      <w:rPr>
                        <w:rFonts w:ascii="Cambria Math" w:hAnsi="Cambria Math"/>
                      </w:rPr>
                      <m:t xml:space="preserve">Γ</m:t>
                    </m:r>
                  </m:e>
                  <m:sub>
                    <m:r>
                      <m:rPr>
                        <m:lit/>
                        <m:nor/>
                      </m:rPr>
                      <w:rPr>
                        <w:rFonts w:ascii="Cambria Math" w:hAnsi="Cambria Math"/>
                      </w:rPr>
                      <m:t xml:space="preserve">MR</m:t>
                    </m:r>
                  </m:sub>
                </m:sSub>
              </m:e>
            </m:d>
            <m:r>
              <w:rPr>
                <w:rFonts w:ascii="Cambria Math" w:hAnsi="Cambria Math"/>
              </w:rPr>
              <m:t xml:space="preserve">×</m:t>
            </m:r>
            <m:d>
              <m:dPr>
                <m:begChr m:val="|"/>
                <m:endChr m:val="|"/>
              </m:dPr>
              <m:e>
                <m:sSub>
                  <m:e>
                    <m:r>
                      <w:rPr>
                        <w:rFonts w:ascii="Cambria Math" w:hAnsi="Cambria Math"/>
                      </w:rPr>
                      <m:t xml:space="preserve">Γ</m:t>
                    </m:r>
                  </m:e>
                  <m:sub>
                    <m:r>
                      <m:rPr>
                        <m:lit/>
                        <m:nor/>
                      </m:rPr>
                      <w:rPr>
                        <w:rFonts w:ascii="Cambria Math" w:hAnsi="Cambria Math"/>
                      </w:rPr>
                      <m:t xml:space="preserve">cable</m:t>
                    </m:r>
                    <m:r>
                      <w:rPr>
                        <w:rFonts w:ascii="Cambria Math" w:hAnsi="Cambria Math"/>
                      </w:rPr>
                      <m:t xml:space="preserve">3</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21</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12</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Normal"/>
        <w:rPr/>
      </w:pPr>
      <w:r>
        <w:rPr/>
        <w:t>Between the cable3 and the cable4:</w:t>
      </w:r>
    </w:p>
    <w:p>
      <w:pPr>
        <w:pStyle w:val="EQ"/>
        <w:rPr>
          <w:lang w:val="en-GB" w:eastAsia="en-GB"/>
        </w:rPr>
      </w:pPr>
      <w:r>
        <w:rPr>
          <w:lang w:val="en-GB" w:eastAsia="en-GB"/>
        </w:rPr>
        <w:tab/>
        <w:t>U</w:t>
      </w:r>
      <w:r>
        <w:rPr>
          <w:vertAlign w:val="subscript"/>
          <w:lang w:val="en-GB" w:eastAsia="en-GB"/>
        </w:rPr>
        <w:t>mismatch2</w:t>
      </w:r>
      <w:r>
        <w:rPr>
          <w:lang w:val="en-GB" w:eastAsia="en-GB"/>
        </w:rPr>
        <w:t xml:space="preserve">(dB) = </w:t>
      </w:r>
      <w:r>
        <w:rPr>
          <w:lang w:val="en-GB" w:eastAsia="en-GB"/>
        </w:rPr>
      </w:r>
      <m:oMath xmlns:m="http://schemas.openxmlformats.org/officeDocument/2006/math">
        <m:f>
          <m:num>
            <m:d>
              <m:dPr>
                <m:begChr m:val="|"/>
                <m:endChr m:val="|"/>
              </m:dPr>
              <m:e>
                <m:sSub>
                  <m:e>
                    <m:r>
                      <w:rPr>
                        <w:rFonts w:ascii="Cambria Math" w:hAnsi="Cambria Math"/>
                      </w:rPr>
                      <m:t xml:space="preserve">Γ</m:t>
                    </m:r>
                  </m:e>
                  <m:sub>
                    <m:r>
                      <m:rPr>
                        <m:lit/>
                        <m:nor/>
                      </m:rPr>
                      <w:rPr>
                        <w:rFonts w:ascii="Cambria Math" w:hAnsi="Cambria Math"/>
                      </w:rPr>
                      <m:t xml:space="preserve">cable</m:t>
                    </m:r>
                    <m:r>
                      <w:rPr>
                        <w:rFonts w:ascii="Cambria Math" w:hAnsi="Cambria Math"/>
                      </w:rPr>
                      <m:t xml:space="preserve">3</m:t>
                    </m:r>
                  </m:sub>
                </m:sSub>
              </m:e>
            </m:d>
            <m:r>
              <w:rPr>
                <w:rFonts w:ascii="Cambria Math" w:hAnsi="Cambria Math"/>
              </w:rPr>
              <m:t xml:space="preserve">×</m:t>
            </m:r>
            <m:d>
              <m:dPr>
                <m:begChr m:val="|"/>
                <m:endChr m:val="|"/>
              </m:dPr>
              <m:e>
                <m:sSub>
                  <m:e>
                    <m:r>
                      <w:rPr>
                        <w:rFonts w:ascii="Cambria Math" w:hAnsi="Cambria Math"/>
                      </w:rPr>
                      <m:t xml:space="preserve">Γ</m:t>
                    </m:r>
                  </m:e>
                  <m:sub>
                    <m:r>
                      <m:rPr>
                        <m:lit/>
                        <m:nor/>
                      </m:rPr>
                      <w:rPr>
                        <w:rFonts w:ascii="Cambria Math" w:hAnsi="Cambria Math"/>
                      </w:rPr>
                      <m:t xml:space="preserve">cable</m:t>
                    </m:r>
                    <m:r>
                      <w:rPr>
                        <w:rFonts w:ascii="Cambria Math" w:hAnsi="Cambria Math"/>
                      </w:rPr>
                      <m:t xml:space="preserve">4</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21</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12</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Normal"/>
        <w:rPr/>
      </w:pPr>
      <w:r>
        <w:rPr/>
        <w:t>|S</w:t>
      </w:r>
      <w:r>
        <w:rPr>
          <w:vertAlign w:val="subscript"/>
        </w:rPr>
        <w:t>21</w:t>
      </w:r>
      <w:r>
        <w:rPr/>
        <w:t>| and |S</w:t>
      </w:r>
      <w:r>
        <w:rPr>
          <w:vertAlign w:val="subscript"/>
        </w:rPr>
        <w:t>12</w:t>
      </w:r>
      <w:r>
        <w:rPr/>
        <w:t>| are set to 1 because there is no element between cable3 and cable 4.</w:t>
      </w:r>
    </w:p>
    <w:p>
      <w:pPr>
        <w:pStyle w:val="EQ"/>
        <w:rPr>
          <w:lang w:val="en-GB" w:eastAsia="en-GB"/>
        </w:rPr>
      </w:pPr>
      <w:r>
        <w:rPr>
          <w:lang w:val="en-GB" w:eastAsia="en-GB"/>
        </w:rPr>
        <w:tab/>
        <w:t>U</w:t>
      </w:r>
      <w:r>
        <w:rPr>
          <w:vertAlign w:val="subscript"/>
          <w:lang w:val="en-GB" w:eastAsia="en-GB"/>
        </w:rPr>
        <w:t>mismatch1</w:t>
      </w:r>
      <w:r>
        <w:rPr>
          <w:lang w:val="en-GB" w:eastAsia="en-GB"/>
        </w:rPr>
        <w:t xml:space="preserve">(dB) = </w:t>
      </w:r>
      <w:r>
        <w:rPr>
          <w:lang w:val="en-GB" w:eastAsia="en-GB"/>
        </w:rPr>
      </w:r>
      <m:oMath xmlns:m="http://schemas.openxmlformats.org/officeDocument/2006/math">
        <m:f>
          <m:num>
            <m:d>
              <m:dPr>
                <m:begChr m:val="|"/>
                <m:endChr m:val="|"/>
              </m:dPr>
              <m:e>
                <m:sSub>
                  <m:e>
                    <m:r>
                      <w:rPr>
                        <w:rFonts w:ascii="Cambria Math" w:hAnsi="Cambria Math"/>
                      </w:rPr>
                      <m:t xml:space="preserve">Γ</m:t>
                    </m:r>
                  </m:e>
                  <m:sub>
                    <m:r>
                      <m:rPr>
                        <m:lit/>
                        <m:nor/>
                      </m:rPr>
                      <w:rPr>
                        <w:rFonts w:ascii="Cambria Math" w:hAnsi="Cambria Math"/>
                      </w:rPr>
                      <m:t xml:space="preserve">MR</m:t>
                    </m:r>
                  </m:sub>
                </m:sSub>
              </m:e>
            </m:d>
            <m:r>
              <w:rPr>
                <w:rFonts w:ascii="Cambria Math" w:hAnsi="Cambria Math"/>
              </w:rPr>
              <m:t xml:space="preserve">×</m:t>
            </m:r>
            <m:d>
              <m:dPr>
                <m:begChr m:val="|"/>
                <m:endChr m:val="|"/>
              </m:dPr>
              <m:e>
                <m:sSub>
                  <m:e>
                    <m:r>
                      <w:rPr>
                        <w:rFonts w:ascii="Cambria Math" w:hAnsi="Cambria Math"/>
                      </w:rPr>
                      <m:t xml:space="preserve">Γ</m:t>
                    </m:r>
                  </m:e>
                  <m:sub>
                    <m:r>
                      <m:rPr>
                        <m:lit/>
                        <m:nor/>
                      </m:rPr>
                      <w:rPr>
                        <w:rFonts w:ascii="Cambria Math" w:hAnsi="Cambria Math"/>
                      </w:rPr>
                      <m:t xml:space="preserve">cable</m:t>
                    </m:r>
                    <m:r>
                      <w:rPr>
                        <w:rFonts w:ascii="Cambria Math" w:hAnsi="Cambria Math"/>
                      </w:rPr>
                      <m:t xml:space="preserve">3</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EQ"/>
        <w:rPr>
          <w:lang w:val="en-GB" w:eastAsia="en-GB"/>
        </w:rPr>
      </w:pPr>
      <w:r>
        <w:rPr>
          <w:lang w:val="en-GB" w:eastAsia="en-GB"/>
        </w:rPr>
        <w:tab/>
        <w:t>U</w:t>
      </w:r>
      <w:r>
        <w:rPr>
          <w:vertAlign w:val="subscript"/>
          <w:lang w:val="en-GB" w:eastAsia="en-GB"/>
        </w:rPr>
        <w:t>mismatch2</w:t>
      </w:r>
      <w:r>
        <w:rPr>
          <w:lang w:val="en-GB" w:eastAsia="en-GB"/>
        </w:rPr>
        <w:t xml:space="preserve">(dB) = </w:t>
      </w:r>
      <w:r>
        <w:rPr>
          <w:lang w:val="en-GB" w:eastAsia="en-GB"/>
        </w:rPr>
      </w:r>
      <m:oMath xmlns:m="http://schemas.openxmlformats.org/officeDocument/2006/math">
        <m:f>
          <m:num>
            <m:d>
              <m:dPr>
                <m:begChr m:val="|"/>
                <m:endChr m:val="|"/>
              </m:dPr>
              <m:e>
                <m:sSub>
                  <m:e>
                    <m:r>
                      <w:rPr>
                        <w:rFonts w:ascii="Cambria Math" w:hAnsi="Cambria Math"/>
                      </w:rPr>
                      <m:t xml:space="preserve">Γ</m:t>
                    </m:r>
                  </m:e>
                  <m:sub>
                    <m:r>
                      <m:rPr>
                        <m:lit/>
                        <m:nor/>
                      </m:rPr>
                      <w:rPr>
                        <w:rFonts w:ascii="Cambria Math" w:hAnsi="Cambria Math"/>
                      </w:rPr>
                      <m:t xml:space="preserve">cable</m:t>
                    </m:r>
                    <m:r>
                      <w:rPr>
                        <w:rFonts w:ascii="Cambria Math" w:hAnsi="Cambria Math"/>
                      </w:rPr>
                      <m:t xml:space="preserve">3</m:t>
                    </m:r>
                  </m:sub>
                </m:sSub>
              </m:e>
            </m:d>
            <m:r>
              <w:rPr>
                <w:rFonts w:ascii="Cambria Math" w:hAnsi="Cambria Math"/>
              </w:rPr>
              <m:t xml:space="preserve">×</m:t>
            </m:r>
            <m:d>
              <m:dPr>
                <m:begChr m:val="|"/>
                <m:endChr m:val="|"/>
              </m:dPr>
              <m:e>
                <m:sSub>
                  <m:e>
                    <m:r>
                      <w:rPr>
                        <w:rFonts w:ascii="Cambria Math" w:hAnsi="Cambria Math"/>
                      </w:rPr>
                      <m:t xml:space="preserve">Γ</m:t>
                    </m:r>
                  </m:e>
                  <m:sub>
                    <m:r>
                      <m:rPr>
                        <m:lit/>
                        <m:nor/>
                      </m:rPr>
                      <w:rPr>
                        <w:rFonts w:ascii="Cambria Math" w:hAnsi="Cambria Math"/>
                      </w:rPr>
                      <m:t xml:space="preserve">cable</m:t>
                    </m:r>
                    <m:r>
                      <w:rPr>
                        <w:rFonts w:ascii="Cambria Math" w:hAnsi="Cambria Math"/>
                      </w:rPr>
                      <m:t xml:space="preserve">4</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Normal"/>
        <w:rPr/>
      </w:pPr>
      <w:r>
        <w:rPr/>
        <w:t>Each mismatch uncertainty due to the interaction between the measurement receiver and the cable4 is determined by means of the following formula (table 1 of) [26]:</w:t>
      </w:r>
    </w:p>
    <w:p>
      <w:pPr>
        <w:pStyle w:val="EQ"/>
        <w:rPr>
          <w:lang w:val="en-GB" w:eastAsia="en-GB"/>
        </w:rPr>
      </w:pPr>
      <w:r>
        <w:rPr>
          <w:i/>
          <w:lang w:val="en-GB" w:eastAsia="en-GB"/>
        </w:rPr>
        <w:tab/>
        <w:t>U</w:t>
      </w:r>
      <w:r>
        <w:rPr>
          <w:i/>
          <w:vertAlign w:val="subscript"/>
          <w:lang w:val="en-GB" w:eastAsia="en-GB"/>
        </w:rPr>
        <w:t>mismatch_interaction1</w:t>
      </w:r>
      <w:r>
        <w:rPr>
          <w:lang w:val="en-GB" w:eastAsia="en-GB"/>
        </w:rPr>
        <w:t>(dB) =</w:t>
      </w:r>
      <w:r>
        <w:rPr>
          <w:lang w:val="en-GB" w:eastAsia="en-GB"/>
        </w:rPr>
      </w:r>
      <m:oMath xmlns:m="http://schemas.openxmlformats.org/officeDocument/2006/math">
        <m:f>
          <m:num>
            <m:d>
              <m:dPr>
                <m:begChr m:val="|"/>
                <m:endChr m:val="|"/>
              </m:dPr>
              <m:e>
                <m:sSub>
                  <m:e>
                    <m:r>
                      <w:rPr>
                        <w:rFonts w:ascii="Cambria Math" w:hAnsi="Cambria Math"/>
                      </w:rPr>
                      <m:t xml:space="preserve">Γ</m:t>
                    </m:r>
                  </m:e>
                  <m:sub>
                    <m:r>
                      <m:rPr>
                        <m:lit/>
                        <m:nor/>
                      </m:rPr>
                      <w:rPr>
                        <w:rFonts w:ascii="Cambria Math" w:hAnsi="Cambria Math"/>
                      </w:rPr>
                      <m:t xml:space="preserve">MR</m:t>
                    </m:r>
                  </m:sub>
                </m:sSub>
              </m:e>
            </m:d>
            <m:r>
              <w:rPr>
                <w:rFonts w:ascii="Cambria Math" w:hAnsi="Cambria Math"/>
              </w:rPr>
              <m:t xml:space="preserve">×</m:t>
            </m:r>
            <m:d>
              <m:dPr>
                <m:begChr m:val="|"/>
                <m:endChr m:val="|"/>
              </m:dPr>
              <m:e>
                <m:sSub>
                  <m:e>
                    <m:r>
                      <w:rPr>
                        <w:rFonts w:ascii="Cambria Math" w:hAnsi="Cambria Math"/>
                      </w:rPr>
                      <m:t xml:space="preserve">Γ</m:t>
                    </m:r>
                  </m:e>
                  <m:sub>
                    <m:r>
                      <m:rPr>
                        <m:lit/>
                        <m:nor/>
                      </m:rPr>
                      <w:rPr>
                        <w:rFonts w:ascii="Cambria Math" w:hAnsi="Cambria Math"/>
                      </w:rPr>
                      <m:t xml:space="preserve">cable</m:t>
                    </m:r>
                    <m:r>
                      <w:rPr>
                        <w:rFonts w:ascii="Cambria Math" w:hAnsi="Cambria Math"/>
                      </w:rPr>
                      <m:t xml:space="preserve">4</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21</m:t>
                    </m:r>
                    <m:r>
                      <m:rPr>
                        <m:lit/>
                        <m:nor/>
                      </m:rPr>
                      <w:rPr>
                        <w:rFonts w:ascii="Cambria Math" w:hAnsi="Cambria Math"/>
                      </w:rPr>
                      <m:t xml:space="preserve">Cable</m:t>
                    </m:r>
                    <m:r>
                      <w:rPr>
                        <w:rFonts w:ascii="Cambria Math" w:hAnsi="Cambria Math"/>
                      </w:rPr>
                      <m:t xml:space="preserve">3</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12</m:t>
                    </m:r>
                    <m:r>
                      <m:rPr>
                        <m:lit/>
                        <m:nor/>
                      </m:rPr>
                      <w:rPr>
                        <w:rFonts w:ascii="Cambria Math" w:hAnsi="Cambria Math"/>
                      </w:rPr>
                      <m:t xml:space="preserve">Cable</m:t>
                    </m:r>
                    <m:r>
                      <w:rPr>
                        <w:rFonts w:ascii="Cambria Math" w:hAnsi="Cambria Math"/>
                      </w:rPr>
                      <m:t xml:space="preserve">3</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Normal"/>
        <w:rPr/>
      </w:pPr>
      <w:r>
        <w:rPr/>
        <w:t>|S</w:t>
      </w:r>
      <w:r>
        <w:rPr>
          <w:vertAlign w:val="subscript"/>
        </w:rPr>
        <w:t>21</w:t>
      </w:r>
      <w:r>
        <w:rPr/>
        <w:t>| and |S</w:t>
      </w:r>
      <w:r>
        <w:rPr>
          <w:vertAlign w:val="subscript"/>
        </w:rPr>
        <w:t>12</w:t>
      </w:r>
      <w:r>
        <w:rPr/>
        <w:t>| are equal and correspond to the cable3 attenuation.</w:t>
      </w:r>
    </w:p>
    <w:p>
      <w:pPr>
        <w:pStyle w:val="EQ"/>
        <w:rPr>
          <w:lang w:val="en-GB" w:eastAsia="en-GB"/>
        </w:rPr>
      </w:pPr>
      <w:r>
        <w:rPr>
          <w:lang w:val="en-GB" w:eastAsia="en-GB"/>
        </w:rPr>
        <w:tab/>
        <w:t>U</w:t>
      </w:r>
      <w:r>
        <w:rPr>
          <w:vertAlign w:val="subscript"/>
          <w:lang w:val="en-GB" w:eastAsia="en-GB"/>
        </w:rPr>
        <w:t>mismatch_interaction1</w:t>
      </w:r>
      <w:r>
        <w:rPr>
          <w:lang w:val="en-GB" w:eastAsia="en-GB"/>
        </w:rPr>
        <w:t xml:space="preserve">(dB) = </w:t>
      </w:r>
      <w:r>
        <w:rPr>
          <w:lang w:val="en-GB" w:eastAsia="en-GB"/>
        </w:rPr>
      </w:r>
      <m:oMath xmlns:m="http://schemas.openxmlformats.org/officeDocument/2006/math">
        <m:f>
          <m:num>
            <m:d>
              <m:dPr>
                <m:begChr m:val="|"/>
                <m:endChr m:val="|"/>
              </m:dPr>
              <m:e>
                <m:sSub>
                  <m:e>
                    <m:r>
                      <w:rPr>
                        <w:rFonts w:ascii="Cambria Math" w:hAnsi="Cambria Math"/>
                      </w:rPr>
                      <m:t xml:space="preserve">Γ</m:t>
                    </m:r>
                  </m:e>
                  <m:sub>
                    <m:r>
                      <m:rPr>
                        <m:lit/>
                        <m:nor/>
                      </m:rPr>
                      <w:rPr>
                        <w:rFonts w:ascii="Cambria Math" w:hAnsi="Cambria Math"/>
                      </w:rPr>
                      <m:t xml:space="preserve">MR</m:t>
                    </m:r>
                  </m:sub>
                </m:sSub>
              </m:e>
            </m:d>
            <m:r>
              <w:rPr>
                <w:rFonts w:ascii="Cambria Math" w:hAnsi="Cambria Math"/>
              </w:rPr>
              <m:t xml:space="preserve">×</m:t>
            </m:r>
            <m:d>
              <m:dPr>
                <m:begChr m:val="|"/>
                <m:endChr m:val="|"/>
              </m:dPr>
              <m:e>
                <m:sSub>
                  <m:e>
                    <m:r>
                      <w:rPr>
                        <w:rFonts w:ascii="Cambria Math" w:hAnsi="Cambria Math"/>
                      </w:rPr>
                      <m:t xml:space="preserve">Γ</m:t>
                    </m:r>
                  </m:e>
                  <m:sub>
                    <m:r>
                      <m:rPr>
                        <m:lit/>
                        <m:nor/>
                      </m:rPr>
                      <w:rPr>
                        <w:rFonts w:ascii="Cambria Math" w:hAnsi="Cambria Math"/>
                      </w:rPr>
                      <m:t xml:space="preserve">cable</m:t>
                    </m:r>
                    <m:r>
                      <w:rPr>
                        <w:rFonts w:ascii="Cambria Math" w:hAnsi="Cambria Math"/>
                      </w:rPr>
                      <m:t xml:space="preserve">4</m:t>
                    </m:r>
                  </m:sub>
                </m:sSub>
              </m:e>
            </m:d>
            <m:r>
              <w:rPr>
                <w:rFonts w:ascii="Cambria Math" w:hAnsi="Cambria Math"/>
              </w:rPr>
              <m:t xml:space="preserve">×</m:t>
            </m:r>
            <m:sSup>
              <m:e>
                <m:d>
                  <m:dPr>
                    <m:begChr m:val="|"/>
                    <m:endChr m:val="|"/>
                  </m:dPr>
                  <m:e>
                    <m:sSub>
                      <m:e>
                        <m:r>
                          <w:rPr>
                            <w:rFonts w:ascii="Cambria Math" w:hAnsi="Cambria Math"/>
                          </w:rPr>
                          <m:t xml:space="preserve">S</m:t>
                        </m:r>
                      </m:e>
                      <m:sub>
                        <m:r>
                          <m:rPr>
                            <m:lit/>
                            <m:nor/>
                          </m:rPr>
                          <w:rPr>
                            <w:rFonts w:ascii="Cambria Math" w:hAnsi="Cambria Math"/>
                          </w:rPr>
                          <m:t xml:space="preserve">21</m:t>
                        </m:r>
                        <m:r>
                          <m:rPr>
                            <m:lit/>
                            <m:nor/>
                          </m:rPr>
                          <w:rPr>
                            <w:rFonts w:ascii="Cambria Math" w:hAnsi="Cambria Math"/>
                          </w:rPr>
                          <m:t xml:space="preserve">Cable</m:t>
                        </m:r>
                        <m:r>
                          <w:rPr>
                            <w:rFonts w:ascii="Cambria Math" w:hAnsi="Cambria Math"/>
                          </w:rPr>
                          <m:t xml:space="preserve">3</m:t>
                        </m:r>
                      </m:sub>
                    </m:sSub>
                  </m:e>
                </m:d>
              </m:e>
              <m:sup>
                <m:r>
                  <w:rPr>
                    <w:rFonts w:ascii="Cambria Math" w:hAnsi="Cambria Math"/>
                  </w:rPr>
                  <m:t xml:space="preserve">2</m:t>
                </m:r>
              </m:sup>
            </m:sSup>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Normal"/>
        <w:rPr/>
      </w:pPr>
      <w:r>
        <w:rPr/>
        <w:t xml:space="preserve">We consider in the general case, the following measurement configuration: </w:t>
      </w:r>
    </w:p>
    <w:p>
      <w:pPr>
        <w:pStyle w:val="TH"/>
        <w:rPr/>
      </w:pPr>
      <w:r>
        <w:rPr/>
        <w:drawing>
          <wp:inline distT="0" distB="0" distL="0" distR="0">
            <wp:extent cx="5763895" cy="676275"/>
            <wp:effectExtent l="0" t="0" r="0" b="0"/>
            <wp:docPr id="117"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95" descr=""/>
                    <pic:cNvPicPr>
                      <a:picLocks noChangeAspect="1" noChangeArrowheads="1"/>
                    </pic:cNvPicPr>
                  </pic:nvPicPr>
                  <pic:blipFill>
                    <a:blip r:embed="rId119"/>
                    <a:srcRect l="-6" t="-53" r="-6" b="-53"/>
                    <a:stretch>
                      <a:fillRect/>
                    </a:stretch>
                  </pic:blipFill>
                  <pic:spPr bwMode="auto">
                    <a:xfrm>
                      <a:off x="0" y="0"/>
                      <a:ext cx="5763895" cy="676275"/>
                    </a:xfrm>
                    <a:prstGeom prst="rect">
                      <a:avLst/>
                    </a:prstGeom>
                  </pic:spPr>
                </pic:pic>
              </a:graphicData>
            </a:graphic>
          </wp:inline>
        </w:drawing>
      </w:r>
    </w:p>
    <w:p>
      <w:pPr>
        <w:pStyle w:val="TF"/>
        <w:rPr/>
      </w:pPr>
      <w:r>
        <w:rPr/>
        <w:t>Figure E.2.1.2-2: Mismatch uncertainty measurement configuration</w:t>
      </w:r>
    </w:p>
    <w:p>
      <w:pPr>
        <w:pStyle w:val="Normal"/>
        <w:rPr/>
      </w:pPr>
      <w:r>
        <w:rPr/>
        <w:t>In the general case, this uncertainty contribution can be calculated by:</w:t>
      </w:r>
    </w:p>
    <w:p>
      <w:pPr>
        <w:pStyle w:val="EQ"/>
        <w:rPr>
          <w:lang w:val="en-GB" w:eastAsia="en-GB"/>
        </w:rPr>
      </w:pPr>
      <w:r>
        <w:rPr>
          <w:lang w:val="en-GB" w:eastAsia="en-GB"/>
        </w:rPr>
        <w:tab/>
        <w:t>U</w:t>
      </w:r>
      <w:r>
        <w:rPr>
          <w:vertAlign w:val="subscript"/>
          <w:lang w:val="en-GB" w:eastAsia="en-GB"/>
        </w:rPr>
        <w:t>mismatch_interaction_N</w:t>
      </w:r>
      <w:r>
        <w:rPr>
          <w:lang w:val="en-GB" w:eastAsia="en-GB"/>
        </w:rPr>
        <w:t>(dB)=</w:t>
      </w:r>
      <w:r>
        <w:rPr>
          <w:lang w:val="en-GB" w:eastAsia="en-GB"/>
        </w:rPr>
      </w:r>
      <m:oMath xmlns:m="http://schemas.openxmlformats.org/officeDocument/2006/math">
        <m:f>
          <m:num>
            <m:d>
              <m:dPr>
                <m:begChr m:val="|"/>
                <m:endChr m:val="|"/>
              </m:dPr>
              <m:e>
                <m:sSub>
                  <m:e>
                    <m:r>
                      <w:rPr>
                        <w:rFonts w:ascii="Cambria Math" w:hAnsi="Cambria Math"/>
                      </w:rPr>
                      <m:t xml:space="preserve">Γ</m:t>
                    </m:r>
                  </m:e>
                  <m:sub>
                    <m:r>
                      <m:rPr>
                        <m:lit/>
                        <m:nor/>
                      </m:rPr>
                      <w:rPr>
                        <w:rFonts w:ascii="Cambria Math" w:hAnsi="Cambria Math"/>
                      </w:rPr>
                      <m:t xml:space="preserve">MR</m:t>
                    </m:r>
                  </m:sub>
                </m:sSub>
              </m:e>
            </m:d>
            <m:r>
              <w:rPr>
                <w:rFonts w:ascii="Cambria Math" w:hAnsi="Cambria Math"/>
              </w:rPr>
              <m:t xml:space="preserve">×</m:t>
            </m:r>
            <m:d>
              <m:dPr>
                <m:begChr m:val="|"/>
                <m:endChr m:val="|"/>
              </m:dPr>
              <m:e>
                <m:sSub>
                  <m:e>
                    <m:r>
                      <w:rPr>
                        <w:rFonts w:ascii="Cambria Math" w:hAnsi="Cambria Math"/>
                      </w:rPr>
                      <m:t xml:space="preserve">Γ</m:t>
                    </m:r>
                  </m:e>
                  <m:sub>
                    <m:r>
                      <m:rPr>
                        <m:lit/>
                        <m:nor/>
                      </m:rPr>
                      <w:rPr>
                        <w:rFonts w:ascii="Cambria Math" w:hAnsi="Cambria Math"/>
                      </w:rPr>
                      <m:t xml:space="preserve">antenna</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21</m:t>
                    </m:r>
                    <m:r>
                      <m:rPr>
                        <m:lit/>
                        <m:nor/>
                      </m:rPr>
                      <w:rPr>
                        <w:rFonts w:ascii="Cambria Math" w:hAnsi="Cambria Math"/>
                      </w:rPr>
                      <m:t xml:space="preserve">cable</m:t>
                    </m:r>
                    <m:r>
                      <w:rPr>
                        <w:rFonts w:ascii="Cambria Math" w:hAnsi="Cambria Math"/>
                      </w:rPr>
                      <m:t xml:space="preserve">1</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12</m:t>
                    </m:r>
                    <m:r>
                      <m:rPr>
                        <m:lit/>
                        <m:nor/>
                      </m:rPr>
                      <w:rPr>
                        <w:rFonts w:ascii="Cambria Math" w:hAnsi="Cambria Math"/>
                      </w:rPr>
                      <m:t xml:space="preserve">cable</m:t>
                    </m:r>
                    <m:r>
                      <w:rPr>
                        <w:rFonts w:ascii="Cambria Math" w:hAnsi="Cambria Math"/>
                      </w:rPr>
                      <m:t xml:space="preserve">1</m:t>
                    </m:r>
                  </m:sub>
                </m:sSub>
              </m:e>
            </m:d>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21</m:t>
                    </m:r>
                    <m:r>
                      <m:rPr>
                        <m:lit/>
                        <m:nor/>
                      </m:rPr>
                      <w:rPr>
                        <w:rFonts w:ascii="Cambria Math" w:hAnsi="Cambria Math"/>
                      </w:rPr>
                      <m:t xml:space="preserve">cableN</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12</m:t>
                    </m:r>
                    <m:r>
                      <m:rPr>
                        <m:lit/>
                        <m:nor/>
                      </m:rPr>
                      <w:rPr>
                        <w:rFonts w:ascii="Cambria Math" w:hAnsi="Cambria Math"/>
                      </w:rPr>
                      <m:t xml:space="preserve">cableN</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Normal"/>
        <w:rPr/>
      </w:pPr>
      <w:r>
        <w:rPr/>
        <w:t>|S</w:t>
      </w:r>
      <w:r>
        <w:rPr>
          <w:vertAlign w:val="subscript"/>
        </w:rPr>
        <w:t>21</w:t>
      </w:r>
      <w:r>
        <w:rPr/>
        <w:t>|=|S</w:t>
      </w:r>
      <w:r>
        <w:rPr>
          <w:vertAlign w:val="subscript"/>
        </w:rPr>
        <w:t>12</w:t>
      </w:r>
      <w:r>
        <w:rPr/>
        <w:t>| for passive elements (cables…)</w:t>
      </w:r>
    </w:p>
    <w:p>
      <w:pPr>
        <w:pStyle w:val="EQ"/>
        <w:rPr>
          <w:lang w:val="en-GB" w:eastAsia="en-GB"/>
        </w:rPr>
      </w:pPr>
      <w:r>
        <w:rPr>
          <w:lang w:val="en-GB" w:eastAsia="en-GB"/>
        </w:rPr>
        <w:tab/>
        <w:t>U</w:t>
      </w:r>
      <w:r>
        <w:rPr>
          <w:vertAlign w:val="subscript"/>
          <w:lang w:val="en-GB" w:eastAsia="en-GB"/>
        </w:rPr>
        <w:t>mismatch_interaction_N</w:t>
      </w:r>
      <w:r>
        <w:rPr>
          <w:lang w:val="en-GB" w:eastAsia="en-GB"/>
        </w:rPr>
        <w:t>(dB)=</w:t>
      </w:r>
      <w:r>
        <w:rPr>
          <w:lang w:val="en-GB" w:eastAsia="en-GB"/>
        </w:rPr>
      </w:r>
      <m:oMath xmlns:m="http://schemas.openxmlformats.org/officeDocument/2006/math">
        <m:f>
          <m:num>
            <m:d>
              <m:dPr>
                <m:begChr m:val="|"/>
                <m:endChr m:val="|"/>
              </m:dPr>
              <m:e>
                <m:sSub>
                  <m:e>
                    <m:r>
                      <w:rPr>
                        <w:rFonts w:ascii="Cambria Math" w:hAnsi="Cambria Math"/>
                      </w:rPr>
                      <m:t xml:space="preserve">Γ</m:t>
                    </m:r>
                  </m:e>
                  <m:sub>
                    <m:r>
                      <m:rPr>
                        <m:lit/>
                        <m:nor/>
                      </m:rPr>
                      <w:rPr>
                        <w:rFonts w:ascii="Cambria Math" w:hAnsi="Cambria Math"/>
                      </w:rPr>
                      <m:t xml:space="preserve">MR</m:t>
                    </m:r>
                  </m:sub>
                </m:sSub>
              </m:e>
            </m:d>
            <m:r>
              <w:rPr>
                <w:rFonts w:ascii="Cambria Math" w:hAnsi="Cambria Math"/>
              </w:rPr>
              <m:t xml:space="preserve">×</m:t>
            </m:r>
            <m:d>
              <m:dPr>
                <m:begChr m:val="|"/>
                <m:endChr m:val="|"/>
              </m:dPr>
              <m:e>
                <m:sSub>
                  <m:e>
                    <m:r>
                      <w:rPr>
                        <w:rFonts w:ascii="Cambria Math" w:hAnsi="Cambria Math"/>
                      </w:rPr>
                      <m:t xml:space="preserve">Γ</m:t>
                    </m:r>
                  </m:e>
                  <m:sub>
                    <m:r>
                      <m:rPr>
                        <m:lit/>
                        <m:nor/>
                      </m:rPr>
                      <w:rPr>
                        <w:rFonts w:ascii="Cambria Math" w:hAnsi="Cambria Math"/>
                      </w:rPr>
                      <m:t xml:space="preserve">antenna</m:t>
                    </m:r>
                  </m:sub>
                </m:sSub>
              </m:e>
            </m:d>
            <m:r>
              <w:rPr>
                <w:rFonts w:ascii="Cambria Math" w:hAnsi="Cambria Math"/>
              </w:rPr>
              <m:t xml:space="preserve">×</m:t>
            </m:r>
            <m:sSup>
              <m:e>
                <m:d>
                  <m:dPr>
                    <m:begChr m:val="|"/>
                    <m:endChr m:val="|"/>
                  </m:dPr>
                  <m:e>
                    <m:sSub>
                      <m:e>
                        <m:r>
                          <w:rPr>
                            <w:rFonts w:ascii="Cambria Math" w:hAnsi="Cambria Math"/>
                          </w:rPr>
                          <m:t xml:space="preserve">S</m:t>
                        </m:r>
                      </m:e>
                      <m:sub>
                        <m:r>
                          <m:rPr>
                            <m:lit/>
                            <m:nor/>
                          </m:rPr>
                          <w:rPr>
                            <w:rFonts w:ascii="Cambria Math" w:hAnsi="Cambria Math"/>
                          </w:rPr>
                          <m:t xml:space="preserve">21</m:t>
                        </m:r>
                        <m:r>
                          <m:rPr>
                            <m:lit/>
                            <m:nor/>
                          </m:rPr>
                          <w:rPr>
                            <w:rFonts w:ascii="Cambria Math" w:hAnsi="Cambria Math"/>
                          </w:rPr>
                          <m:t xml:space="preserve">cable</m:t>
                        </m:r>
                        <m:r>
                          <w:rPr>
                            <w:rFonts w:ascii="Cambria Math" w:hAnsi="Cambria Math"/>
                          </w:rPr>
                          <m:t xml:space="preserve">1</m:t>
                        </m:r>
                      </m:sub>
                    </m:sSub>
                  </m:e>
                </m:d>
              </m:e>
              <m:sup>
                <m:r>
                  <w:rPr>
                    <w:rFonts w:ascii="Cambria Math" w:hAnsi="Cambria Math"/>
                  </w:rPr>
                  <m:t xml:space="preserve">2</m:t>
                </m:r>
              </m:sup>
            </m:sSup>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p>
              <m:e>
                <m:d>
                  <m:dPr>
                    <m:begChr m:val="|"/>
                    <m:endChr m:val="|"/>
                  </m:dPr>
                  <m:e>
                    <m:sSub>
                      <m:e>
                        <m:r>
                          <w:rPr>
                            <w:rFonts w:ascii="Cambria Math" w:hAnsi="Cambria Math"/>
                          </w:rPr>
                          <m:t xml:space="preserve">S</m:t>
                        </m:r>
                      </m:e>
                      <m:sub>
                        <m:r>
                          <m:rPr>
                            <m:lit/>
                            <m:nor/>
                          </m:rPr>
                          <w:rPr>
                            <w:rFonts w:ascii="Cambria Math" w:hAnsi="Cambria Math"/>
                          </w:rPr>
                          <m:t xml:space="preserve">21</m:t>
                        </m:r>
                        <m:r>
                          <m:rPr>
                            <m:lit/>
                            <m:nor/>
                          </m:rPr>
                          <w:rPr>
                            <w:rFonts w:ascii="Cambria Math" w:hAnsi="Cambria Math"/>
                          </w:rPr>
                          <m:t xml:space="preserve">cableN</m:t>
                        </m:r>
                      </m:sub>
                    </m:sSub>
                  </m:e>
                </m:d>
              </m:e>
              <m:sup>
                <m:r>
                  <w:rPr>
                    <w:rFonts w:ascii="Cambria Math" w:hAnsi="Cambria Math"/>
                  </w:rPr>
                  <m:t xml:space="preserve">2</m:t>
                </m:r>
              </m:sup>
            </m:sSup>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Heading2"/>
        <w:rPr/>
      </w:pPr>
      <w:bookmarkStart w:id="485" w:name="__RefHeading___Toc68601395"/>
      <w:bookmarkEnd w:id="485"/>
      <w:r>
        <w:rPr/>
        <w:t>E.2.2</w:t>
        <w:tab/>
        <w:t>Total combined mismatch uncertainty</w:t>
      </w:r>
    </w:p>
    <w:p>
      <w:pPr>
        <w:pStyle w:val="Normal"/>
        <w:rPr/>
      </w:pPr>
      <w:r>
        <w:rPr/>
        <w:t xml:space="preserve">The two kinds of mismatch uncertainty contributions are combined by the root-sum-squares (RSS) method to derive </w:t>
      </w:r>
      <w:r>
        <w:rPr>
          <w:u w:val="single"/>
        </w:rPr>
        <w:t>the total combined mismatch uncertainty</w:t>
      </w:r>
      <w:r>
        <w:rPr/>
        <w:t>.</w:t>
      </w:r>
    </w:p>
    <w:p>
      <w:pPr>
        <w:pStyle w:val="Normal"/>
        <w:rPr>
          <w:u w:val="single"/>
        </w:rPr>
      </w:pPr>
      <w:r>
        <w:rPr/>
        <w:t xml:space="preserve">The total combined mismatch uncertainty is equal to: </w:t>
      </w:r>
    </w:p>
    <w:p>
      <w:pPr>
        <w:pStyle w:val="EQ"/>
        <w:rPr>
          <w:lang w:val="en-GB" w:eastAsia="en-GB"/>
        </w:rPr>
      </w:pPr>
      <w:r>
        <w:rPr>
          <w:lang w:val="en-GB" w:eastAsia="en-GB"/>
        </w:rPr>
        <w:tab/>
      </w:r>
      <w:r>
        <w:rPr>
          <w:lang w:val="en-GB" w:eastAsia="en-GB"/>
        </w:rPr>
      </w:r>
      <m:oMath xmlns:m="http://schemas.openxmlformats.org/officeDocument/2006/math">
        <m:rad>
          <m:radPr>
            <m:degHide m:val="1"/>
          </m:radPr>
          <m:deg/>
          <m:e>
            <m:sSub>
              <m:e>
                <m:r>
                  <w:rPr>
                    <w:rFonts w:ascii="Cambria Math" w:hAnsi="Cambria Math"/>
                  </w:rPr>
                  <m:t xml:space="preserve">U</m:t>
                </m:r>
              </m:e>
              <m:sub>
                <m:r>
                  <m:rPr>
                    <m:lit/>
                    <m:nor/>
                  </m:rPr>
                  <w:rPr>
                    <w:rFonts w:ascii="Cambria Math" w:hAnsi="Cambria Math"/>
                  </w:rPr>
                  <m:t xml:space="preserve">mismatch</m:t>
                </m:r>
                <m:r>
                  <w:rPr>
                    <w:rFonts w:ascii="Cambria Math" w:hAnsi="Cambria Math"/>
                  </w:rPr>
                  <m:t xml:space="preserve">1</m:t>
                </m:r>
                <m:r>
                  <w:rPr>
                    <w:rFonts w:ascii="Cambria Math" w:hAnsi="Cambria Math"/>
                  </w:rPr>
                  <m:t xml:space="preserve">(</m:t>
                </m:r>
                <m:r>
                  <m:rPr>
                    <m:lit/>
                    <m:nor/>
                  </m:rPr>
                  <w:rPr>
                    <w:rFonts w:ascii="Cambria Math" w:hAnsi="Cambria Math"/>
                  </w:rPr>
                  <m:t xml:space="preserve">dB</m:t>
                </m:r>
                <m:r>
                  <w:rPr>
                    <w:rFonts w:ascii="Cambria Math" w:hAnsi="Cambria Math"/>
                  </w:rPr>
                  <m:t xml:space="preserve">)</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U</m:t>
                </m:r>
              </m:e>
              <m:sub>
                <m:r>
                  <m:rPr>
                    <m:lit/>
                    <m:nor/>
                  </m:rPr>
                  <w:rPr>
                    <w:rFonts w:ascii="Cambria Math" w:hAnsi="Cambria Math"/>
                  </w:rPr>
                  <m:t xml:space="preserve">mismatchN</m:t>
                </m:r>
                <m:r>
                  <w:rPr>
                    <w:rFonts w:ascii="Cambria Math" w:hAnsi="Cambria Math"/>
                  </w:rPr>
                  <m:t xml:space="preserve">(</m:t>
                </m:r>
                <m:r>
                  <m:rPr>
                    <m:lit/>
                    <m:nor/>
                  </m:rPr>
                  <w:rPr>
                    <w:rFonts w:ascii="Cambria Math" w:hAnsi="Cambria Math"/>
                  </w:rPr>
                  <m:t xml:space="preserve">dB</m:t>
                </m:r>
                <m:r>
                  <w:rPr>
                    <w:rFonts w:ascii="Cambria Math" w:hAnsi="Cambria Math"/>
                  </w:rPr>
                  <m:t xml:space="preserve">)</m:t>
                </m:r>
              </m:sub>
            </m:sSub>
            <m:r>
              <w:rPr>
                <w:rFonts w:ascii="Cambria Math" w:hAnsi="Cambria Math"/>
              </w:rPr>
              <m:t xml:space="preserve">+</m:t>
            </m:r>
            <m:sSub>
              <m:e>
                <m:r>
                  <w:rPr>
                    <w:rFonts w:ascii="Cambria Math" w:hAnsi="Cambria Math"/>
                  </w:rPr>
                  <m:t xml:space="preserve">U</m:t>
                </m:r>
              </m:e>
              <m:sub>
                <m:sSub>
                  <m:e>
                    <m:r>
                      <m:rPr>
                        <m:lit/>
                        <m:nor/>
                      </m:rPr>
                      <w:rPr>
                        <w:rFonts w:ascii="Cambria Math" w:hAnsi="Cambria Math"/>
                      </w:rPr>
                      <m:t xml:space="preserve">mismatch</m:t>
                    </m:r>
                  </m:e>
                  <m:sub>
                    <m:r>
                      <m:rPr>
                        <m:lit/>
                        <m:nor/>
                      </m:rPr>
                      <w:rPr>
                        <w:rFonts w:ascii="Cambria Math" w:hAnsi="Cambria Math"/>
                      </w:rPr>
                      <m:t xml:space="preserve">interaction</m:t>
                    </m:r>
                  </m:sub>
                </m:sSub>
                <m:r>
                  <w:rPr>
                    <w:rFonts w:ascii="Cambria Math" w:hAnsi="Cambria Math"/>
                  </w:rPr>
                  <m:t xml:space="preserve">1</m:t>
                </m:r>
                <m:r>
                  <w:rPr>
                    <w:rFonts w:ascii="Cambria Math" w:hAnsi="Cambria Math"/>
                  </w:rPr>
                  <m:t xml:space="preserve">(</m:t>
                </m:r>
                <m:r>
                  <m:rPr>
                    <m:lit/>
                    <m:nor/>
                  </m:rPr>
                  <w:rPr>
                    <w:rFonts w:ascii="Cambria Math" w:hAnsi="Cambria Math"/>
                  </w:rPr>
                  <m:t xml:space="preserve">dB</m:t>
                </m:r>
                <m:r>
                  <w:rPr>
                    <w:rFonts w:ascii="Cambria Math" w:hAnsi="Cambria Math"/>
                  </w:rPr>
                  <m:t xml:space="preserve">)</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U</m:t>
                </m:r>
              </m:e>
              <m:sub>
                <m:sSub>
                  <m:e>
                    <m:r>
                      <m:rPr>
                        <m:lit/>
                        <m:nor/>
                      </m:rPr>
                      <w:rPr>
                        <w:rFonts w:ascii="Cambria Math" w:hAnsi="Cambria Math"/>
                      </w:rPr>
                      <m:t xml:space="preserve">mismatch</m:t>
                    </m:r>
                  </m:e>
                  <m:sub>
                    <m:r>
                      <m:rPr>
                        <m:lit/>
                        <m:nor/>
                      </m:rPr>
                      <w:rPr>
                        <w:rFonts w:ascii="Cambria Math" w:hAnsi="Cambria Math"/>
                      </w:rPr>
                      <m:t xml:space="preserve">interaction</m:t>
                    </m:r>
                  </m:sub>
                </m:sSub>
                <m:r>
                  <w:rPr>
                    <w:rFonts w:ascii="Cambria Math" w:hAnsi="Cambria Math"/>
                  </w:rPr>
                  <m:t xml:space="preserve">N</m:t>
                </m:r>
                <m:r>
                  <w:rPr>
                    <w:rFonts w:ascii="Cambria Math" w:hAnsi="Cambria Math"/>
                  </w:rPr>
                  <m:t xml:space="preserve">(</m:t>
                </m:r>
                <m:r>
                  <m:rPr>
                    <m:lit/>
                    <m:nor/>
                  </m:rPr>
                  <w:rPr>
                    <w:rFonts w:ascii="Cambria Math" w:hAnsi="Cambria Math"/>
                  </w:rPr>
                  <m:t xml:space="preserve">dB</m:t>
                </m:r>
                <m:r>
                  <w:rPr>
                    <w:rFonts w:ascii="Cambria Math" w:hAnsi="Cambria Math"/>
                  </w:rPr>
                  <m:t xml:space="preserve">)</m:t>
                </m:r>
              </m:sub>
            </m:sSub>
          </m:e>
        </m:rad>
      </m:oMath>
    </w:p>
    <w:p>
      <w:pPr>
        <w:pStyle w:val="Normal"/>
        <w:rPr/>
      </w:pPr>
      <w:r>
        <w:rPr/>
        <w:t>This formula shows that the uncertainty is frequency dependent by the way of the forward and the backward gains in the network between the two components. The uncertainty upon |S</w:t>
      </w:r>
      <w:r>
        <w:rPr>
          <w:vertAlign w:val="subscript"/>
        </w:rPr>
        <w:t>21</w:t>
      </w:r>
      <w:r>
        <w:rPr/>
        <w:t>| and |S</w:t>
      </w:r>
      <w:r>
        <w:rPr>
          <w:vertAlign w:val="subscript"/>
        </w:rPr>
        <w:t>12</w:t>
      </w:r>
      <w:r>
        <w:rPr/>
        <w:t>| increases with frequency. One can therefore expect for the UMTS band a higher mismatch uncertainty value than in the GSM and DCS bands.</w:t>
      </w:r>
    </w:p>
    <w:p>
      <w:pPr>
        <w:pStyle w:val="Normal"/>
        <w:rPr/>
      </w:pPr>
      <w:r>
        <w:rPr/>
        <w:t>Note that for an anechoic chamber, horn antennas are usually used as probe antennas. There are two kinds of horn antennas: single-polarized and dual-polarized. With the second one, it is possible to measure the co-polarized and cross-polarized signals without any movement of the probe, which reduces the cable antenna uncertainty contribution and improves the measurement stability.</w:t>
      </w:r>
    </w:p>
    <w:p>
      <w:pPr>
        <w:pStyle w:val="Normal"/>
        <w:rPr/>
      </w:pPr>
      <w:r>
        <w:rPr/>
        <w:t>To conduct the signals to the measurement receiver, the measurement system configuration using a dual-polarized horn antenna has to be completed with an RF Relay. This device will include new mismatch uncertainty contributions, which have to be determined with the previously presented calculation methods, completed by the RF relay parameters contributions, and described in the following.</w:t>
      </w:r>
    </w:p>
    <w:p>
      <w:pPr>
        <w:pStyle w:val="Heading1"/>
        <w:ind w:left="1134" w:hanging="1134"/>
        <w:rPr/>
      </w:pPr>
      <w:bookmarkStart w:id="486" w:name="__RefHeading___Toc68601396"/>
      <w:bookmarkEnd w:id="486"/>
      <w:r>
        <w:rPr/>
        <w:t>E.3</w:t>
        <w:tab/>
        <w:t>Mismatch uncertainty of the RF relay</w:t>
      </w:r>
    </w:p>
    <w:p>
      <w:pPr>
        <w:pStyle w:val="Normal"/>
        <w:rPr/>
      </w:pPr>
      <w:r>
        <w:rPr/>
        <w:t xml:space="preserve">If the same receiver chain configuration (including the measurement receiver; the probe antenna and other elements) is used in both stages, the uncertainty is considered systematic and constant </w:t>
      </w:r>
      <w:r>
        <w:rPr>
          <w:rFonts w:eastAsia="Wingdings" w:cs="Wingdings" w:ascii="Wingdings" w:hAnsi="Wingdings"/>
        </w:rPr>
        <w:t></w:t>
      </w:r>
      <w:r>
        <w:rPr/>
        <w:t xml:space="preserve"> 0.00dB value.</w:t>
      </w:r>
    </w:p>
    <w:p>
      <w:pPr>
        <w:pStyle w:val="Normal"/>
        <w:rPr/>
      </w:pPr>
      <w:r>
        <w:rPr/>
        <w:t>If it is not the case, this uncertainty contribution has to be taken into account and determined by the following method.</w:t>
      </w:r>
    </w:p>
    <w:p>
      <w:pPr>
        <w:pStyle w:val="Normal"/>
        <w:rPr/>
      </w:pPr>
      <w:r>
        <w:rPr/>
        <w:t>The following figure describes the RF Relay with its 'S' parameters and the complex reflection coefficient of the inputs and output:</w:t>
      </w:r>
    </w:p>
    <w:p>
      <w:pPr>
        <w:pStyle w:val="TH"/>
        <w:rPr/>
      </w:pPr>
      <w:r>
        <w:rPr/>
        <w:drawing>
          <wp:inline distT="0" distB="0" distL="0" distR="0">
            <wp:extent cx="4715510" cy="3276600"/>
            <wp:effectExtent l="0" t="0" r="0" b="0"/>
            <wp:docPr id="118"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96" descr=""/>
                    <pic:cNvPicPr>
                      <a:picLocks noChangeAspect="1" noChangeArrowheads="1"/>
                    </pic:cNvPicPr>
                  </pic:nvPicPr>
                  <pic:blipFill>
                    <a:blip r:embed="rId120"/>
                    <a:srcRect l="-8" t="-11" r="-8" b="-11"/>
                    <a:stretch>
                      <a:fillRect/>
                    </a:stretch>
                  </pic:blipFill>
                  <pic:spPr bwMode="auto">
                    <a:xfrm>
                      <a:off x="0" y="0"/>
                      <a:ext cx="4715510" cy="3276600"/>
                    </a:xfrm>
                    <a:prstGeom prst="rect">
                      <a:avLst/>
                    </a:prstGeom>
                  </pic:spPr>
                </pic:pic>
              </a:graphicData>
            </a:graphic>
          </wp:inline>
        </w:drawing>
      </w:r>
    </w:p>
    <w:p>
      <w:pPr>
        <w:pStyle w:val="TF"/>
        <w:rPr/>
      </w:pPr>
      <w:r>
        <w:rPr/>
        <w:t xml:space="preserve">Figure E.3-1: Mismatch uncertainty of the RF relay </w:t>
      </w:r>
    </w:p>
    <w:p>
      <w:pPr>
        <w:pStyle w:val="Normal"/>
        <w:rPr/>
      </w:pPr>
      <w:r>
        <w:rPr/>
        <w:t xml:space="preserve">The RF relay is used to switchover the cross and direct polarization signals from the probe antenna. To determine RF Relay mismatch uncertainty contributions, reflection coefficients for each port and the cross talk attenuation have to be known. </w:t>
      </w:r>
    </w:p>
    <w:p>
      <w:pPr>
        <w:pStyle w:val="Normal"/>
        <w:rPr/>
      </w:pPr>
      <w:r>
        <w:rPr/>
        <w:t xml:space="preserve">The total combined mismatch uncertainty is composed of two parts: </w:t>
      </w:r>
    </w:p>
    <w:p>
      <w:pPr>
        <w:pStyle w:val="B1"/>
        <w:rPr/>
      </w:pPr>
      <w:r>
        <w:rPr/>
        <w:t>1)</w:t>
        <w:tab/>
        <w:t>The mismatch uncertainty contributions when the RF Relay switches on the direct polarization signal</w:t>
      </w:r>
    </w:p>
    <w:p>
      <w:pPr>
        <w:pStyle w:val="B1"/>
        <w:rPr/>
      </w:pPr>
      <w:r>
        <w:rPr/>
        <w:t>2)</w:t>
        <w:tab/>
        <w:t>The mismatch uncertainty contributions when the RF Relay switches on the cross polarization signal</w:t>
      </w:r>
    </w:p>
    <w:p>
      <w:pPr>
        <w:pStyle w:val="Normal"/>
        <w:rPr/>
      </w:pPr>
      <w:r>
        <w:rPr/>
        <w:t>Each part is composed of two types of uncertainties introduced in the previous paragraph: the mismatch through the connector between two elements and the mismatch due to the interaction between several elements.</w:t>
      </w:r>
    </w:p>
    <w:p>
      <w:pPr>
        <w:pStyle w:val="Heading2"/>
        <w:rPr/>
      </w:pPr>
      <w:bookmarkStart w:id="487" w:name="__RefHeading___Toc68601397"/>
      <w:bookmarkEnd w:id="487"/>
      <w:r>
        <w:rPr/>
        <w:t>E.3.1</w:t>
        <w:tab/>
        <w:t>First part: RF Relay switched on the co-polarized signal</w:t>
      </w:r>
    </w:p>
    <w:p>
      <w:pPr>
        <w:pStyle w:val="Heading3"/>
        <w:rPr/>
      </w:pPr>
      <w:bookmarkStart w:id="488" w:name="__RefHeading___Toc68601398"/>
      <w:bookmarkEnd w:id="488"/>
      <w:r>
        <w:rPr>
          <w:sz w:val="24"/>
          <w:szCs w:val="24"/>
          <w:lang w:eastAsia="zh-TW"/>
        </w:rPr>
        <w:t>E</w:t>
      </w:r>
      <w:r>
        <w:rPr>
          <w:sz w:val="24"/>
          <w:szCs w:val="24"/>
        </w:rPr>
        <w:t>.3.1.1</w:t>
        <w:tab/>
        <w:t>The mismatch through the connector between two elements</w:t>
      </w:r>
    </w:p>
    <w:p>
      <w:pPr>
        <w:pStyle w:val="Normal"/>
        <w:rPr/>
      </w:pPr>
      <w:r>
        <w:rPr/>
        <w:t>Between the Input1 and the port1:</w:t>
      </w:r>
    </w:p>
    <w:p>
      <w:pPr>
        <w:pStyle w:val="EQ"/>
        <w:rPr>
          <w:lang w:val="en-GB" w:eastAsia="en-GB"/>
        </w:rPr>
      </w:pPr>
      <w:r>
        <w:rPr>
          <w:lang w:val="en-GB" w:eastAsia="en-GB"/>
        </w:rPr>
        <w:tab/>
        <w:t>U</w:t>
      </w:r>
      <w:r>
        <w:rPr>
          <w:vertAlign w:val="subscript"/>
          <w:lang w:val="en-GB" w:eastAsia="en-GB"/>
        </w:rPr>
        <w:t>mismatch1</w:t>
      </w:r>
      <w:r>
        <w:rPr>
          <w:lang w:val="en-GB" w:eastAsia="en-GB"/>
        </w:rPr>
        <w:t>(dB) =</w:t>
      </w:r>
      <w:r>
        <w:rPr>
          <w:lang w:val="en-GB" w:eastAsia="en-GB"/>
        </w:rPr>
      </w:r>
      <m:oMath xmlns:m="http://schemas.openxmlformats.org/officeDocument/2006/math">
        <m:f>
          <m:num>
            <m:d>
              <m:dPr>
                <m:begChr m:val="|"/>
                <m:endChr m:val="|"/>
              </m:dPr>
              <m:e>
                <m:sSub>
                  <m:e>
                    <m:r>
                      <w:rPr>
                        <w:rFonts w:ascii="Cambria Math" w:hAnsi="Cambria Math"/>
                      </w:rPr>
                      <m:t xml:space="preserve">Γ</m:t>
                    </m:r>
                  </m:e>
                  <m:sub>
                    <m:r>
                      <w:rPr>
                        <w:rFonts w:ascii="Cambria Math" w:hAnsi="Cambria Math"/>
                      </w:rPr>
                      <m:t xml:space="preserve">1</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11</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Normal"/>
        <w:rPr/>
      </w:pPr>
      <w:r>
        <w:rPr/>
        <w:t>Between the port3 and the Output:</w:t>
      </w:r>
    </w:p>
    <w:p>
      <w:pPr>
        <w:pStyle w:val="EQ"/>
        <w:rPr>
          <w:lang w:val="en-GB" w:eastAsia="en-GB"/>
        </w:rPr>
      </w:pPr>
      <w:r>
        <w:rPr>
          <w:lang w:val="en-GB" w:eastAsia="en-GB"/>
        </w:rPr>
        <w:tab/>
        <w:t>U</w:t>
      </w:r>
      <w:r>
        <w:rPr>
          <w:vertAlign w:val="subscript"/>
          <w:lang w:val="en-GB" w:eastAsia="en-GB"/>
        </w:rPr>
        <w:t>mismatch2</w:t>
      </w:r>
      <w:r>
        <w:rPr>
          <w:lang w:val="en-GB" w:eastAsia="en-GB"/>
        </w:rPr>
        <w:t>(dB) =</w:t>
      </w:r>
      <w:r>
        <w:rPr>
          <w:lang w:val="en-GB" w:eastAsia="en-GB"/>
        </w:rPr>
      </w:r>
      <m:oMath xmlns:m="http://schemas.openxmlformats.org/officeDocument/2006/math">
        <m:f>
          <m:num>
            <m:d>
              <m:dPr>
                <m:begChr m:val="|"/>
                <m:endChr m:val="|"/>
              </m:dPr>
              <m:e>
                <m:sSub>
                  <m:e>
                    <m:r>
                      <w:rPr>
                        <w:rFonts w:ascii="Cambria Math" w:hAnsi="Cambria Math"/>
                      </w:rPr>
                      <m:t xml:space="preserve">Γ</m:t>
                    </m:r>
                  </m:e>
                  <m:sub>
                    <m:r>
                      <w:rPr>
                        <w:rFonts w:ascii="Cambria Math" w:hAnsi="Cambria Math"/>
                      </w:rPr>
                      <m:t xml:space="preserve">3</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33</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Normal"/>
        <w:rPr/>
      </w:pPr>
      <w:r>
        <w:rPr/>
        <w:t>Between the Input2 and the port2:</w:t>
      </w:r>
    </w:p>
    <w:p>
      <w:pPr>
        <w:pStyle w:val="Normal"/>
        <w:rPr/>
      </w:pPr>
      <w:r>
        <w:rPr/>
        <w:t>The RF Relay switchovers on the direct polarization signal. As a result, there is no mismatch uncertainty contribution.</w:t>
      </w:r>
    </w:p>
    <w:p>
      <w:pPr>
        <w:pStyle w:val="Heading3"/>
        <w:rPr/>
      </w:pPr>
      <w:bookmarkStart w:id="489" w:name="__RefHeading___Toc68601399"/>
      <w:r>
        <w:rPr>
          <w:sz w:val="24"/>
          <w:szCs w:val="24"/>
          <w:lang w:eastAsia="zh-TW"/>
        </w:rPr>
        <w:t>E</w:t>
      </w:r>
      <w:r>
        <w:rPr>
          <w:sz w:val="24"/>
          <w:szCs w:val="24"/>
        </w:rPr>
        <w:t>.3.1.2</w:t>
        <w:tab/>
        <w:t>Mismatch due to the interaction between two elements or more</w:t>
      </w:r>
      <w:bookmarkEnd w:id="489"/>
      <w:r>
        <w:rPr>
          <w:sz w:val="24"/>
          <w:szCs w:val="24"/>
        </w:rPr>
        <w:t xml:space="preserve"> </w:t>
      </w:r>
    </w:p>
    <w:p>
      <w:pPr>
        <w:pStyle w:val="Normal"/>
        <w:rPr/>
      </w:pPr>
      <w:r>
        <w:rPr/>
        <w:t>Between the Input1 and the Output:</w:t>
      </w:r>
    </w:p>
    <w:p>
      <w:pPr>
        <w:pStyle w:val="EQ"/>
        <w:rPr>
          <w:lang w:val="en-GB" w:eastAsia="en-GB"/>
        </w:rPr>
      </w:pPr>
      <w:r>
        <w:rPr>
          <w:lang w:val="en-GB" w:eastAsia="en-GB"/>
        </w:rPr>
        <w:tab/>
        <w:t>U</w:t>
      </w:r>
      <w:r>
        <w:rPr>
          <w:vertAlign w:val="subscript"/>
          <w:lang w:val="en-GB" w:eastAsia="en-GB"/>
        </w:rPr>
        <w:t>interaction1</w:t>
      </w:r>
      <w:r>
        <w:rPr>
          <w:lang w:val="en-GB" w:eastAsia="en-GB"/>
        </w:rPr>
        <w:t>(dB) =</w:t>
      </w:r>
      <w:r>
        <w:rPr>
          <w:lang w:val="en-GB" w:eastAsia="en-GB"/>
        </w:rPr>
      </w:r>
      <m:oMath xmlns:m="http://schemas.openxmlformats.org/officeDocument/2006/math">
        <m:f>
          <m:num>
            <m:d>
              <m:dPr>
                <m:begChr m:val="|"/>
                <m:endChr m:val="|"/>
              </m:dPr>
              <m:e>
                <m:sSub>
                  <m:e>
                    <m:r>
                      <w:rPr>
                        <w:rFonts w:ascii="Cambria Math" w:hAnsi="Cambria Math"/>
                      </w:rPr>
                      <m:t xml:space="preserve">Γ</m:t>
                    </m:r>
                  </m:e>
                  <m:sub>
                    <m:r>
                      <w:rPr>
                        <w:rFonts w:ascii="Cambria Math" w:hAnsi="Cambria Math"/>
                      </w:rPr>
                      <m:t xml:space="preserve">1</m:t>
                    </m:r>
                  </m:sub>
                </m:sSub>
              </m:e>
            </m:d>
            <m:r>
              <w:rPr>
                <w:rFonts w:ascii="Cambria Math" w:hAnsi="Cambria Math"/>
              </w:rPr>
              <m:t xml:space="preserve">×</m:t>
            </m:r>
            <m:d>
              <m:dPr>
                <m:begChr m:val="|"/>
                <m:endChr m:val="|"/>
              </m:dPr>
              <m:e>
                <m:sSub>
                  <m:e>
                    <m:r>
                      <w:rPr>
                        <w:rFonts w:ascii="Cambria Math" w:hAnsi="Cambria Math"/>
                      </w:rPr>
                      <m:t xml:space="preserve">Γ</m:t>
                    </m:r>
                  </m:e>
                  <m:sub>
                    <m:r>
                      <w:rPr>
                        <w:rFonts w:ascii="Cambria Math" w:hAnsi="Cambria Math"/>
                      </w:rPr>
                      <m:t xml:space="preserve">3</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31</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13</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Normal"/>
        <w:rPr/>
      </w:pPr>
      <w:r>
        <w:rPr/>
        <w:t>Between the Input1 and the Input2:</w:t>
      </w:r>
    </w:p>
    <w:p>
      <w:pPr>
        <w:pStyle w:val="EQ"/>
        <w:rPr>
          <w:lang w:val="en-GB" w:eastAsia="en-GB"/>
        </w:rPr>
      </w:pPr>
      <w:r>
        <w:rPr>
          <w:lang w:val="en-GB" w:eastAsia="en-GB"/>
        </w:rPr>
        <w:tab/>
        <w:t>U</w:t>
      </w:r>
      <w:r>
        <w:rPr>
          <w:vertAlign w:val="subscript"/>
          <w:lang w:val="en-GB" w:eastAsia="en-GB"/>
        </w:rPr>
        <w:t>interaction2</w:t>
      </w:r>
      <w:r>
        <w:rPr>
          <w:lang w:val="en-GB" w:eastAsia="en-GB"/>
        </w:rPr>
        <w:t>(dB) =</w:t>
      </w:r>
      <w:r>
        <w:rPr>
          <w:lang w:val="en-GB" w:eastAsia="en-GB"/>
        </w:rPr>
      </w:r>
      <m:oMath xmlns:m="http://schemas.openxmlformats.org/officeDocument/2006/math">
        <m:f>
          <m:num>
            <m:d>
              <m:dPr>
                <m:begChr m:val="|"/>
                <m:endChr m:val="|"/>
              </m:dPr>
              <m:e>
                <m:sSub>
                  <m:e>
                    <m:r>
                      <w:rPr>
                        <w:rFonts w:ascii="Cambria Math" w:hAnsi="Cambria Math"/>
                      </w:rPr>
                      <m:t xml:space="preserve">Γ</m:t>
                    </m:r>
                  </m:e>
                  <m:sub>
                    <m:r>
                      <w:rPr>
                        <w:rFonts w:ascii="Cambria Math" w:hAnsi="Cambria Math"/>
                      </w:rPr>
                      <m:t xml:space="preserve">1</m:t>
                    </m:r>
                  </m:sub>
                </m:sSub>
              </m:e>
            </m:d>
            <m:r>
              <w:rPr>
                <w:rFonts w:ascii="Cambria Math" w:hAnsi="Cambria Math"/>
              </w:rPr>
              <m:t xml:space="preserve">×</m:t>
            </m:r>
            <m:d>
              <m:dPr>
                <m:begChr m:val="|"/>
                <m:endChr m:val="|"/>
              </m:dPr>
              <m:e>
                <m:sSub>
                  <m:e>
                    <m:r>
                      <w:rPr>
                        <w:rFonts w:ascii="Cambria Math" w:hAnsi="Cambria Math"/>
                      </w:rPr>
                      <m:t xml:space="preserve">Γ</m:t>
                    </m:r>
                  </m:e>
                  <m:sub>
                    <m:r>
                      <w:rPr>
                        <w:rFonts w:ascii="Cambria Math" w:hAnsi="Cambria Math"/>
                      </w:rPr>
                      <m:t xml:space="preserve">2</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21</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12</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Normal"/>
        <w:rPr/>
      </w:pPr>
      <w:r>
        <w:rPr/>
        <w:t xml:space="preserve">The RF Relay switchovers on the cross polarization signal. As a result; this uncertainty contribution is usually disregarded because of the high crosstalk attenuation which is characterized by </w:t>
      </w:r>
      <w:r>
        <w:rPr/>
      </w:r>
      <m:oMath xmlns:m="http://schemas.openxmlformats.org/officeDocument/2006/math">
        <m:d>
          <m:dPr>
            <m:begChr m:val="|"/>
            <m:endChr m:val="|"/>
          </m:dPr>
          <m:e>
            <m:sSub>
              <m:e>
                <m:r>
                  <w:rPr>
                    <w:rFonts w:ascii="Cambria Math" w:hAnsi="Cambria Math"/>
                  </w:rPr>
                  <m:t xml:space="preserve">S</m:t>
                </m:r>
              </m:e>
              <m:sub>
                <m:r>
                  <m:rPr>
                    <m:lit/>
                    <m:nor/>
                  </m:rPr>
                  <w:rPr>
                    <w:rFonts w:ascii="Cambria Math" w:hAnsi="Cambria Math"/>
                  </w:rPr>
                  <m:t xml:space="preserve">21</m:t>
                </m:r>
              </m:sub>
            </m:sSub>
          </m:e>
        </m:d>
      </m:oMath>
      <w:r>
        <w:rPr/>
        <w:t xml:space="preserve"> and </w:t>
      </w:r>
      <w:r>
        <w:rPr/>
      </w:r>
      <m:oMath xmlns:m="http://schemas.openxmlformats.org/officeDocument/2006/math">
        <m:d>
          <m:dPr>
            <m:begChr m:val="|"/>
            <m:endChr m:val="|"/>
          </m:dPr>
          <m:e>
            <m:sSub>
              <m:e>
                <m:r>
                  <w:rPr>
                    <w:rFonts w:ascii="Cambria Math" w:hAnsi="Cambria Math"/>
                  </w:rPr>
                  <m:t xml:space="preserve">S</m:t>
                </m:r>
              </m:e>
              <m:sub>
                <m:r>
                  <m:rPr>
                    <m:lit/>
                    <m:nor/>
                  </m:rPr>
                  <w:rPr>
                    <w:rFonts w:ascii="Cambria Math" w:hAnsi="Cambria Math"/>
                  </w:rPr>
                  <m:t xml:space="preserve">12</m:t>
                </m:r>
              </m:sub>
            </m:sSub>
          </m:e>
        </m:d>
      </m:oMath>
      <w:r>
        <w:rPr/>
        <w:t xml:space="preserve"> 'S' parameters. If the crosstalk attenuation is low, this uncertainty contribution has to be considered.</w:t>
      </w:r>
    </w:p>
    <w:p>
      <w:pPr>
        <w:pStyle w:val="Normal"/>
        <w:rPr/>
      </w:pPr>
      <w:r>
        <w:rPr/>
        <w:t>Between the Input2 and the Output:</w:t>
      </w:r>
    </w:p>
    <w:p>
      <w:pPr>
        <w:pStyle w:val="EQ"/>
        <w:rPr>
          <w:lang w:val="en-GB" w:eastAsia="en-GB"/>
        </w:rPr>
      </w:pPr>
      <w:r>
        <w:rPr>
          <w:lang w:val="en-GB" w:eastAsia="en-GB"/>
        </w:rPr>
        <w:tab/>
        <w:t>U</w:t>
      </w:r>
      <w:r>
        <w:rPr>
          <w:vertAlign w:val="subscript"/>
          <w:lang w:val="en-GB" w:eastAsia="en-GB"/>
        </w:rPr>
        <w:t>interaction3</w:t>
      </w:r>
      <w:r>
        <w:rPr>
          <w:lang w:val="en-GB" w:eastAsia="en-GB"/>
        </w:rPr>
        <w:t>(dB) =</w:t>
      </w:r>
      <w:r>
        <w:rPr>
          <w:lang w:val="en-GB" w:eastAsia="en-GB"/>
        </w:rPr>
      </w:r>
      <m:oMath xmlns:m="http://schemas.openxmlformats.org/officeDocument/2006/math">
        <m:f>
          <m:num>
            <m:d>
              <m:dPr>
                <m:begChr m:val="|"/>
                <m:endChr m:val="|"/>
              </m:dPr>
              <m:e>
                <m:sSub>
                  <m:e>
                    <m:r>
                      <w:rPr>
                        <w:rFonts w:ascii="Cambria Math" w:hAnsi="Cambria Math"/>
                      </w:rPr>
                      <m:t xml:space="preserve">Γ</m:t>
                    </m:r>
                  </m:e>
                  <m:sub>
                    <m:r>
                      <w:rPr>
                        <w:rFonts w:ascii="Cambria Math" w:hAnsi="Cambria Math"/>
                      </w:rPr>
                      <m:t xml:space="preserve">2</m:t>
                    </m:r>
                  </m:sub>
                </m:sSub>
              </m:e>
            </m:d>
            <m:r>
              <w:rPr>
                <w:rFonts w:ascii="Cambria Math" w:hAnsi="Cambria Math"/>
              </w:rPr>
              <m:t xml:space="preserve">×</m:t>
            </m:r>
            <m:d>
              <m:dPr>
                <m:begChr m:val="|"/>
                <m:endChr m:val="|"/>
              </m:dPr>
              <m:e>
                <m:sSub>
                  <m:e>
                    <m:r>
                      <w:rPr>
                        <w:rFonts w:ascii="Cambria Math" w:hAnsi="Cambria Math"/>
                      </w:rPr>
                      <m:t xml:space="preserve">Γ</m:t>
                    </m:r>
                  </m:e>
                  <m:sub>
                    <m:r>
                      <w:rPr>
                        <w:rFonts w:ascii="Cambria Math" w:hAnsi="Cambria Math"/>
                      </w:rPr>
                      <m:t xml:space="preserve">3</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23</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32</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Normal"/>
        <w:rPr/>
      </w:pPr>
      <w:r>
        <w:rPr/>
        <w:t xml:space="preserve">The RF Relay switchovers on the cross polarization signal. As a result; this uncertainty contribution is usually disregarded because of the high cross-talk attenuation, which is characterized by </w:t>
      </w:r>
      <w:r>
        <w:rPr/>
      </w:r>
      <m:oMath xmlns:m="http://schemas.openxmlformats.org/officeDocument/2006/math">
        <m:d>
          <m:dPr>
            <m:begChr m:val="|"/>
            <m:endChr m:val="|"/>
          </m:dPr>
          <m:e>
            <m:sSub>
              <m:e>
                <m:r>
                  <w:rPr>
                    <w:rFonts w:ascii="Cambria Math" w:hAnsi="Cambria Math"/>
                  </w:rPr>
                  <m:t xml:space="preserve">S</m:t>
                </m:r>
              </m:e>
              <m:sub>
                <m:r>
                  <m:rPr>
                    <m:lit/>
                    <m:nor/>
                  </m:rPr>
                  <w:rPr>
                    <w:rFonts w:ascii="Cambria Math" w:hAnsi="Cambria Math"/>
                  </w:rPr>
                  <m:t xml:space="preserve">23</m:t>
                </m:r>
              </m:sub>
            </m:sSub>
          </m:e>
        </m:d>
      </m:oMath>
      <w:r>
        <w:rPr/>
        <w:t xml:space="preserve"> and </w:t>
      </w:r>
      <w:r>
        <w:rPr/>
      </w:r>
      <m:oMath xmlns:m="http://schemas.openxmlformats.org/officeDocument/2006/math">
        <m:d>
          <m:dPr>
            <m:begChr m:val="|"/>
            <m:endChr m:val="|"/>
          </m:dPr>
          <m:e>
            <m:sSub>
              <m:e>
                <m:r>
                  <w:rPr>
                    <w:rFonts w:ascii="Cambria Math" w:hAnsi="Cambria Math"/>
                  </w:rPr>
                  <m:t xml:space="preserve">S</m:t>
                </m:r>
              </m:e>
              <m:sub>
                <m:r>
                  <m:rPr>
                    <m:lit/>
                    <m:nor/>
                  </m:rPr>
                  <w:rPr>
                    <w:rFonts w:ascii="Cambria Math" w:hAnsi="Cambria Math"/>
                  </w:rPr>
                  <m:t xml:space="preserve">32</m:t>
                </m:r>
              </m:sub>
            </m:sSub>
          </m:e>
        </m:d>
      </m:oMath>
      <w:r>
        <w:rPr/>
        <w:t xml:space="preserve"> 'S' parameters. If the crosstalk attenuation is low, this uncertainty contribution has to be considered.</w:t>
      </w:r>
    </w:p>
    <w:p>
      <w:pPr>
        <w:pStyle w:val="Heading2"/>
        <w:rPr/>
      </w:pPr>
      <w:bookmarkStart w:id="490" w:name="__RefHeading___Toc68601400"/>
      <w:bookmarkEnd w:id="490"/>
      <w:r>
        <w:rPr/>
        <w:t>E.3.2</w:t>
        <w:tab/>
        <w:t>Second part: RF relay switched on the cross-polarized signal</w:t>
      </w:r>
    </w:p>
    <w:p>
      <w:pPr>
        <w:pStyle w:val="Heading3"/>
        <w:rPr>
          <w:sz w:val="24"/>
          <w:szCs w:val="24"/>
        </w:rPr>
      </w:pPr>
      <w:bookmarkStart w:id="491" w:name="__RefHeading___Toc68601401"/>
      <w:bookmarkEnd w:id="491"/>
      <w:r>
        <w:rPr>
          <w:sz w:val="24"/>
          <w:szCs w:val="24"/>
          <w:lang w:eastAsia="zh-TW"/>
        </w:rPr>
        <w:t>E</w:t>
      </w:r>
      <w:r>
        <w:rPr>
          <w:sz w:val="24"/>
          <w:szCs w:val="24"/>
        </w:rPr>
        <w:t>.3.2.1</w:t>
        <w:tab/>
        <w:t>The mismatch through the connector between two elements</w:t>
      </w:r>
    </w:p>
    <w:p>
      <w:pPr>
        <w:pStyle w:val="Normal"/>
        <w:rPr/>
      </w:pPr>
      <w:r>
        <w:rPr/>
        <w:t>Between the Input1 and the port1:</w:t>
      </w:r>
    </w:p>
    <w:p>
      <w:pPr>
        <w:pStyle w:val="Normal"/>
        <w:rPr/>
      </w:pPr>
      <w:r>
        <w:rPr/>
        <w:t>The RF Relay switchovers on the direct polarization signal. As a result, there is no mismatch uncertainty contribution.</w:t>
      </w:r>
    </w:p>
    <w:p>
      <w:pPr>
        <w:pStyle w:val="Normal"/>
        <w:rPr/>
      </w:pPr>
      <w:r>
        <w:rPr/>
        <w:t>Between the port3 and the Output:</w:t>
      </w:r>
    </w:p>
    <w:p>
      <w:pPr>
        <w:pStyle w:val="EQ"/>
        <w:rPr>
          <w:lang w:val="en-GB" w:eastAsia="en-GB"/>
        </w:rPr>
      </w:pPr>
      <w:r>
        <w:rPr>
          <w:lang w:val="en-GB" w:eastAsia="en-GB"/>
        </w:rPr>
        <w:tab/>
        <w:t>U</w:t>
      </w:r>
      <w:r>
        <w:rPr>
          <w:vertAlign w:val="subscript"/>
          <w:lang w:val="en-GB" w:eastAsia="en-GB"/>
        </w:rPr>
        <w:t>mismatch3</w:t>
      </w:r>
      <w:r>
        <w:rPr>
          <w:lang w:val="en-GB" w:eastAsia="en-GB"/>
        </w:rPr>
        <w:t>(dB) =</w:t>
      </w:r>
      <w:r>
        <w:rPr>
          <w:lang w:val="en-GB" w:eastAsia="en-GB"/>
        </w:rPr>
      </w:r>
      <m:oMath xmlns:m="http://schemas.openxmlformats.org/officeDocument/2006/math">
        <m:f>
          <m:num>
            <m:d>
              <m:dPr>
                <m:begChr m:val="|"/>
                <m:endChr m:val="|"/>
              </m:dPr>
              <m:e>
                <m:sSub>
                  <m:e>
                    <m:r>
                      <w:rPr>
                        <w:rFonts w:ascii="Cambria Math" w:hAnsi="Cambria Math"/>
                      </w:rPr>
                      <m:t xml:space="preserve">Γ</m:t>
                    </m:r>
                  </m:e>
                  <m:sub>
                    <m:r>
                      <w:rPr>
                        <w:rFonts w:ascii="Cambria Math" w:hAnsi="Cambria Math"/>
                      </w:rPr>
                      <m:t xml:space="preserve">3</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33</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Normal"/>
        <w:rPr/>
      </w:pPr>
      <w:r>
        <w:rPr/>
        <w:t>Between the Input2 and the port2:</w:t>
      </w:r>
    </w:p>
    <w:p>
      <w:pPr>
        <w:pStyle w:val="EQ"/>
        <w:rPr>
          <w:lang w:val="en-GB" w:eastAsia="en-GB"/>
        </w:rPr>
      </w:pPr>
      <w:r>
        <w:rPr>
          <w:lang w:val="en-GB" w:eastAsia="en-GB"/>
        </w:rPr>
        <w:tab/>
        <w:t>U</w:t>
      </w:r>
      <w:r>
        <w:rPr>
          <w:vertAlign w:val="subscript"/>
          <w:lang w:val="en-GB" w:eastAsia="en-GB"/>
        </w:rPr>
        <w:t>mismatch4</w:t>
      </w:r>
      <w:r>
        <w:rPr>
          <w:lang w:val="en-GB" w:eastAsia="en-GB"/>
        </w:rPr>
        <w:t>(dB) =</w:t>
      </w:r>
      <w:r>
        <w:rPr>
          <w:lang w:val="en-GB" w:eastAsia="en-GB"/>
        </w:rPr>
      </w:r>
      <m:oMath xmlns:m="http://schemas.openxmlformats.org/officeDocument/2006/math">
        <m:f>
          <m:num>
            <m:d>
              <m:dPr>
                <m:begChr m:val="|"/>
                <m:endChr m:val="|"/>
              </m:dPr>
              <m:e>
                <m:sSub>
                  <m:e>
                    <m:r>
                      <w:rPr>
                        <w:rFonts w:ascii="Cambria Math" w:hAnsi="Cambria Math"/>
                      </w:rPr>
                      <m:t xml:space="preserve">Γ</m:t>
                    </m:r>
                  </m:e>
                  <m:sub>
                    <m:r>
                      <w:rPr>
                        <w:rFonts w:ascii="Cambria Math" w:hAnsi="Cambria Math"/>
                      </w:rPr>
                      <m:t xml:space="preserve">2</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22</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Heading3"/>
        <w:rPr>
          <w:sz w:val="24"/>
          <w:szCs w:val="24"/>
        </w:rPr>
      </w:pPr>
      <w:bookmarkStart w:id="492" w:name="__RefHeading___Toc68601402"/>
      <w:bookmarkEnd w:id="492"/>
      <w:r>
        <w:rPr>
          <w:sz w:val="24"/>
          <w:szCs w:val="24"/>
          <w:lang w:eastAsia="zh-TW"/>
        </w:rPr>
        <w:t>E</w:t>
      </w:r>
      <w:r>
        <w:rPr>
          <w:sz w:val="24"/>
          <w:szCs w:val="24"/>
        </w:rPr>
        <w:t>.3.2.2</w:t>
        <w:tab/>
        <w:t>Mismatch due to the interaction between two elements or more</w:t>
      </w:r>
    </w:p>
    <w:p>
      <w:pPr>
        <w:pStyle w:val="Normal"/>
        <w:rPr/>
      </w:pPr>
      <w:r>
        <w:rPr/>
        <w:t>Between the Input1 and the Output:</w:t>
      </w:r>
    </w:p>
    <w:p>
      <w:pPr>
        <w:pStyle w:val="EQ"/>
        <w:rPr>
          <w:lang w:val="en-GB" w:eastAsia="en-GB"/>
        </w:rPr>
      </w:pPr>
      <w:r>
        <w:rPr>
          <w:lang w:val="en-GB" w:eastAsia="en-GB"/>
        </w:rPr>
        <w:tab/>
        <w:t>U</w:t>
      </w:r>
      <w:r>
        <w:rPr>
          <w:vertAlign w:val="subscript"/>
          <w:lang w:val="en-GB" w:eastAsia="en-GB"/>
        </w:rPr>
        <w:t>interaction4</w:t>
      </w:r>
      <w:r>
        <w:rPr>
          <w:lang w:val="en-GB" w:eastAsia="en-GB"/>
        </w:rPr>
        <w:t>(dB) =</w:t>
      </w:r>
      <w:r>
        <w:rPr>
          <w:lang w:val="en-GB" w:eastAsia="en-GB"/>
        </w:rPr>
      </w:r>
      <m:oMath xmlns:m="http://schemas.openxmlformats.org/officeDocument/2006/math">
        <m:f>
          <m:num>
            <m:d>
              <m:dPr>
                <m:begChr m:val="|"/>
                <m:endChr m:val="|"/>
              </m:dPr>
              <m:e>
                <m:sSub>
                  <m:e>
                    <m:r>
                      <w:rPr>
                        <w:rFonts w:ascii="Cambria Math" w:hAnsi="Cambria Math"/>
                      </w:rPr>
                      <m:t xml:space="preserve">Γ</m:t>
                    </m:r>
                  </m:e>
                  <m:sub>
                    <m:r>
                      <w:rPr>
                        <w:rFonts w:ascii="Cambria Math" w:hAnsi="Cambria Math"/>
                      </w:rPr>
                      <m:t xml:space="preserve">1</m:t>
                    </m:r>
                  </m:sub>
                </m:sSub>
              </m:e>
            </m:d>
            <m:r>
              <w:rPr>
                <w:rFonts w:ascii="Cambria Math" w:hAnsi="Cambria Math"/>
              </w:rPr>
              <m:t xml:space="preserve">×</m:t>
            </m:r>
            <m:d>
              <m:dPr>
                <m:begChr m:val="|"/>
                <m:endChr m:val="|"/>
              </m:dPr>
              <m:e>
                <m:sSub>
                  <m:e>
                    <m:r>
                      <w:rPr>
                        <w:rFonts w:ascii="Cambria Math" w:hAnsi="Cambria Math"/>
                      </w:rPr>
                      <m:t xml:space="preserve">Γ</m:t>
                    </m:r>
                  </m:e>
                  <m:sub>
                    <m:r>
                      <w:rPr>
                        <w:rFonts w:ascii="Cambria Math" w:hAnsi="Cambria Math"/>
                      </w:rPr>
                      <m:t xml:space="preserve">3</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31</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13</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Normal"/>
        <w:rPr/>
      </w:pPr>
      <w:r>
        <w:rPr/>
        <w:t xml:space="preserve">The RF Relay switchovers on the cross polarization signal. As a result; this uncertainty contribution is usually disregarded because of the high crosstalk attenuation which is characterized by </w:t>
      </w:r>
      <w:r>
        <w:rPr/>
      </w:r>
      <m:oMath xmlns:m="http://schemas.openxmlformats.org/officeDocument/2006/math">
        <m:d>
          <m:dPr>
            <m:begChr m:val="|"/>
            <m:endChr m:val="|"/>
          </m:dPr>
          <m:e>
            <m:sSub>
              <m:e>
                <m:r>
                  <w:rPr>
                    <w:rFonts w:ascii="Cambria Math" w:hAnsi="Cambria Math"/>
                  </w:rPr>
                  <m:t xml:space="preserve">S</m:t>
                </m:r>
              </m:e>
              <m:sub>
                <m:r>
                  <m:rPr>
                    <m:lit/>
                    <m:nor/>
                  </m:rPr>
                  <w:rPr>
                    <w:rFonts w:ascii="Cambria Math" w:hAnsi="Cambria Math"/>
                  </w:rPr>
                  <m:t xml:space="preserve">31</m:t>
                </m:r>
              </m:sub>
            </m:sSub>
          </m:e>
        </m:d>
      </m:oMath>
      <w:r>
        <w:rPr/>
        <w:t xml:space="preserve"> and </w:t>
      </w:r>
      <w:r>
        <w:rPr/>
      </w:r>
      <m:oMath xmlns:m="http://schemas.openxmlformats.org/officeDocument/2006/math">
        <m:d>
          <m:dPr>
            <m:begChr m:val="|"/>
            <m:endChr m:val="|"/>
          </m:dPr>
          <m:e>
            <m:sSub>
              <m:e>
                <m:r>
                  <w:rPr>
                    <w:rFonts w:ascii="Cambria Math" w:hAnsi="Cambria Math"/>
                  </w:rPr>
                  <m:t xml:space="preserve">S</m:t>
                </m:r>
              </m:e>
              <m:sub>
                <m:r>
                  <m:rPr>
                    <m:lit/>
                    <m:nor/>
                  </m:rPr>
                  <w:rPr>
                    <w:rFonts w:ascii="Cambria Math" w:hAnsi="Cambria Math"/>
                  </w:rPr>
                  <m:t xml:space="preserve">13</m:t>
                </m:r>
              </m:sub>
            </m:sSub>
          </m:e>
        </m:d>
      </m:oMath>
      <w:r>
        <w:rPr/>
        <w:t xml:space="preserve"> 'S' parameters. If the crosstalk attenuation is low, this uncertainty contribution has to be considered.</w:t>
      </w:r>
    </w:p>
    <w:p>
      <w:pPr>
        <w:pStyle w:val="Normal"/>
        <w:rPr/>
      </w:pPr>
      <w:r>
        <w:rPr/>
        <w:t>Between the Input1 and the Input2:</w:t>
      </w:r>
    </w:p>
    <w:p>
      <w:pPr>
        <w:pStyle w:val="EQ"/>
        <w:rPr>
          <w:lang w:val="en-GB" w:eastAsia="en-GB"/>
        </w:rPr>
      </w:pPr>
      <w:r>
        <w:rPr>
          <w:lang w:val="en-GB" w:eastAsia="en-GB"/>
        </w:rPr>
        <w:tab/>
        <w:t>U</w:t>
      </w:r>
      <w:r>
        <w:rPr>
          <w:vertAlign w:val="subscript"/>
          <w:lang w:val="en-GB" w:eastAsia="en-GB"/>
        </w:rPr>
        <w:t>interaction5</w:t>
      </w:r>
      <w:r>
        <w:rPr>
          <w:lang w:val="en-GB" w:eastAsia="en-GB"/>
        </w:rPr>
        <w:t>(dB) =</w:t>
      </w:r>
      <w:r>
        <w:rPr>
          <w:lang w:val="en-GB" w:eastAsia="en-GB"/>
        </w:rPr>
      </w:r>
      <m:oMath xmlns:m="http://schemas.openxmlformats.org/officeDocument/2006/math">
        <m:f>
          <m:num>
            <m:d>
              <m:dPr>
                <m:begChr m:val="|"/>
                <m:endChr m:val="|"/>
              </m:dPr>
              <m:e>
                <m:sSub>
                  <m:e>
                    <m:r>
                      <w:rPr>
                        <w:rFonts w:ascii="Cambria Math" w:hAnsi="Cambria Math"/>
                      </w:rPr>
                      <m:t xml:space="preserve">Γ</m:t>
                    </m:r>
                  </m:e>
                  <m:sub>
                    <m:r>
                      <w:rPr>
                        <w:rFonts w:ascii="Cambria Math" w:hAnsi="Cambria Math"/>
                      </w:rPr>
                      <m:t xml:space="preserve">1</m:t>
                    </m:r>
                  </m:sub>
                </m:sSub>
              </m:e>
            </m:d>
            <m:r>
              <w:rPr>
                <w:rFonts w:ascii="Cambria Math" w:hAnsi="Cambria Math"/>
              </w:rPr>
              <m:t xml:space="preserve">×</m:t>
            </m:r>
            <m:d>
              <m:dPr>
                <m:begChr m:val="|"/>
                <m:endChr m:val="|"/>
              </m:dPr>
              <m:e>
                <m:sSub>
                  <m:e>
                    <m:r>
                      <w:rPr>
                        <w:rFonts w:ascii="Cambria Math" w:hAnsi="Cambria Math"/>
                      </w:rPr>
                      <m:t xml:space="preserve">Γ</m:t>
                    </m:r>
                  </m:e>
                  <m:sub>
                    <m:r>
                      <w:rPr>
                        <w:rFonts w:ascii="Cambria Math" w:hAnsi="Cambria Math"/>
                      </w:rPr>
                      <m:t xml:space="preserve">2</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21</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12</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Normal"/>
        <w:rPr/>
      </w:pPr>
      <w:r>
        <w:rPr/>
        <w:t xml:space="preserve">The RF Relay switchovers on the cross polarization signal. As a result; this uncertainty contribution is usually disregarded because of the high crosstalk attenuation which is characterized by </w:t>
      </w:r>
      <w:r>
        <w:rPr/>
      </w:r>
      <m:oMath xmlns:m="http://schemas.openxmlformats.org/officeDocument/2006/math">
        <m:d>
          <m:dPr>
            <m:begChr m:val="|"/>
            <m:endChr m:val="|"/>
          </m:dPr>
          <m:e>
            <m:sSub>
              <m:e>
                <m:r>
                  <w:rPr>
                    <w:rFonts w:ascii="Cambria Math" w:hAnsi="Cambria Math"/>
                  </w:rPr>
                  <m:t xml:space="preserve">S</m:t>
                </m:r>
              </m:e>
              <m:sub>
                <m:r>
                  <m:rPr>
                    <m:lit/>
                    <m:nor/>
                  </m:rPr>
                  <w:rPr>
                    <w:rFonts w:ascii="Cambria Math" w:hAnsi="Cambria Math"/>
                  </w:rPr>
                  <m:t xml:space="preserve">21</m:t>
                </m:r>
              </m:sub>
            </m:sSub>
          </m:e>
        </m:d>
      </m:oMath>
      <w:r>
        <w:rPr/>
        <w:t xml:space="preserve"> and </w:t>
      </w:r>
      <w:r>
        <w:rPr/>
      </w:r>
      <m:oMath xmlns:m="http://schemas.openxmlformats.org/officeDocument/2006/math">
        <m:d>
          <m:dPr>
            <m:begChr m:val="|"/>
            <m:endChr m:val="|"/>
          </m:dPr>
          <m:e>
            <m:sSub>
              <m:e>
                <m:r>
                  <w:rPr>
                    <w:rFonts w:ascii="Cambria Math" w:hAnsi="Cambria Math"/>
                  </w:rPr>
                  <m:t xml:space="preserve">S</m:t>
                </m:r>
              </m:e>
              <m:sub>
                <m:r>
                  <m:rPr>
                    <m:lit/>
                    <m:nor/>
                  </m:rPr>
                  <w:rPr>
                    <w:rFonts w:ascii="Cambria Math" w:hAnsi="Cambria Math"/>
                  </w:rPr>
                  <m:t xml:space="preserve">12</m:t>
                </m:r>
              </m:sub>
            </m:sSub>
          </m:e>
        </m:d>
      </m:oMath>
      <w:r>
        <w:rPr/>
        <w:t xml:space="preserve"> 'S' parameters. If the crosstalk attenuation is low, this uncertainty contribution has to be considered.</w:t>
      </w:r>
    </w:p>
    <w:p>
      <w:pPr>
        <w:pStyle w:val="Normal"/>
        <w:rPr/>
      </w:pPr>
      <w:r>
        <w:rPr/>
        <w:t>Between the Input2 and the Output:</w:t>
      </w:r>
    </w:p>
    <w:p>
      <w:pPr>
        <w:pStyle w:val="EQ"/>
        <w:rPr>
          <w:lang w:val="en-GB" w:eastAsia="en-GB"/>
        </w:rPr>
      </w:pPr>
      <w:r>
        <w:rPr>
          <w:lang w:val="en-GB" w:eastAsia="en-GB"/>
        </w:rPr>
        <w:tab/>
        <w:t>U</w:t>
      </w:r>
      <w:r>
        <w:rPr>
          <w:vertAlign w:val="subscript"/>
          <w:lang w:val="en-GB" w:eastAsia="en-GB"/>
        </w:rPr>
        <w:t>interaction6</w:t>
      </w:r>
      <w:r>
        <w:rPr>
          <w:lang w:val="en-GB" w:eastAsia="en-GB"/>
        </w:rPr>
        <w:t>(dB) =</w:t>
      </w:r>
      <w:r>
        <w:rPr>
          <w:lang w:val="en-GB" w:eastAsia="en-GB"/>
        </w:rPr>
      </w:r>
      <m:oMath xmlns:m="http://schemas.openxmlformats.org/officeDocument/2006/math">
        <m:f>
          <m:num>
            <m:d>
              <m:dPr>
                <m:begChr m:val="|"/>
                <m:endChr m:val="|"/>
              </m:dPr>
              <m:e>
                <m:sSub>
                  <m:e>
                    <m:r>
                      <w:rPr>
                        <w:rFonts w:ascii="Cambria Math" w:hAnsi="Cambria Math"/>
                      </w:rPr>
                      <m:t xml:space="preserve">Γ</m:t>
                    </m:r>
                  </m:e>
                  <m:sub>
                    <m:r>
                      <w:rPr>
                        <w:rFonts w:ascii="Cambria Math" w:hAnsi="Cambria Math"/>
                      </w:rPr>
                      <m:t xml:space="preserve">2</m:t>
                    </m:r>
                  </m:sub>
                </m:sSub>
              </m:e>
            </m:d>
            <m:r>
              <w:rPr>
                <w:rFonts w:ascii="Cambria Math" w:hAnsi="Cambria Math"/>
              </w:rPr>
              <m:t xml:space="preserve">×</m:t>
            </m:r>
            <m:d>
              <m:dPr>
                <m:begChr m:val="|"/>
                <m:endChr m:val="|"/>
              </m:dPr>
              <m:e>
                <m:sSub>
                  <m:e>
                    <m:r>
                      <w:rPr>
                        <w:rFonts w:ascii="Cambria Math" w:hAnsi="Cambria Math"/>
                      </w:rPr>
                      <m:t xml:space="preserve">Γ</m:t>
                    </m:r>
                  </m:e>
                  <m:sub>
                    <m:r>
                      <w:rPr>
                        <w:rFonts w:ascii="Cambria Math" w:hAnsi="Cambria Math"/>
                      </w:rPr>
                      <m:t xml:space="preserve">3</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23</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32</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Heading2"/>
        <w:rPr/>
      </w:pPr>
      <w:bookmarkStart w:id="493" w:name="__RefHeading___Toc68601403"/>
      <w:bookmarkEnd w:id="493"/>
      <w:r>
        <w:rPr/>
        <w:t>E.3.3</w:t>
        <w:tab/>
        <w:t>Total combined mismatch uncertainty</w:t>
      </w:r>
    </w:p>
    <w:p>
      <w:pPr>
        <w:pStyle w:val="Normal"/>
        <w:rPr/>
      </w:pPr>
      <w:r>
        <w:rPr/>
        <w:t xml:space="preserve">Each non-zero mismatch uncertainty contribution from both parts (RF Relay switched on the cross and direct polarization signal) are combined by the root-sum-squares (RSS) method to derive </w:t>
      </w:r>
      <w:r>
        <w:rPr>
          <w:u w:val="single"/>
        </w:rPr>
        <w:t>the total combined mismatch uncertainty</w:t>
      </w:r>
      <w:r>
        <w:rPr/>
        <w:t>.</w:t>
      </w:r>
    </w:p>
    <w:p>
      <w:pPr>
        <w:pStyle w:val="Normal"/>
        <w:rPr/>
      </w:pPr>
      <w:r>
        <w:rPr/>
        <w:t>The total combined mismatch uncertainty is equal to:</w:t>
      </w:r>
      <w:r>
        <w:rPr>
          <w:u w:val="single"/>
        </w:rPr>
        <w:t xml:space="preserve"> </w:t>
      </w:r>
    </w:p>
    <w:p>
      <w:pPr>
        <w:pStyle w:val="EQ"/>
        <w:rPr>
          <w:lang w:val="en-GB" w:eastAsia="en-GB"/>
        </w:rPr>
      </w:pPr>
      <w:r>
        <w:rPr>
          <w:lang w:val="en-GB" w:eastAsia="en-GB"/>
        </w:rPr>
        <w:tab/>
      </w:r>
      <w:r>
        <w:rPr>
          <w:lang w:val="en-GB" w:eastAsia="en-GB"/>
        </w:rPr>
      </w:r>
      <m:oMath xmlns:m="http://schemas.openxmlformats.org/officeDocument/2006/math">
        <m:rad>
          <m:radPr>
            <m:degHide m:val="1"/>
          </m:radPr>
          <m:deg/>
          <m:e>
            <m:sSub>
              <m:e>
                <m:r>
                  <w:rPr>
                    <w:rFonts w:ascii="Cambria Math" w:hAnsi="Cambria Math"/>
                  </w:rPr>
                  <m:t xml:space="preserve">U</m:t>
                </m:r>
              </m:e>
              <m:sub>
                <m:r>
                  <m:rPr>
                    <m:lit/>
                    <m:nor/>
                  </m:rPr>
                  <w:rPr>
                    <w:rFonts w:ascii="Cambria Math" w:hAnsi="Cambria Math"/>
                  </w:rPr>
                  <m:t xml:space="preserve">mismatch</m:t>
                </m:r>
                <m:r>
                  <w:rPr>
                    <w:rFonts w:ascii="Cambria Math" w:hAnsi="Cambria Math"/>
                  </w:rPr>
                  <m:t xml:space="preserve">1</m:t>
                </m:r>
                <m:r>
                  <w:rPr>
                    <w:rFonts w:ascii="Cambria Math" w:hAnsi="Cambria Math"/>
                  </w:rPr>
                  <m:t xml:space="preserve">(</m:t>
                </m:r>
                <m:r>
                  <m:rPr>
                    <m:lit/>
                    <m:nor/>
                  </m:rPr>
                  <w:rPr>
                    <w:rFonts w:ascii="Cambria Math" w:hAnsi="Cambria Math"/>
                  </w:rPr>
                  <m:t xml:space="preserve">dB</m:t>
                </m:r>
                <m:r>
                  <w:rPr>
                    <w:rFonts w:ascii="Cambria Math" w:hAnsi="Cambria Math"/>
                  </w:rPr>
                  <m:t xml:space="preserve">)</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U</m:t>
                </m:r>
              </m:e>
              <m:sub>
                <m:r>
                  <m:rPr>
                    <m:lit/>
                    <m:nor/>
                  </m:rPr>
                  <w:rPr>
                    <w:rFonts w:ascii="Cambria Math" w:hAnsi="Cambria Math"/>
                  </w:rPr>
                  <m:t xml:space="preserve">mismatchN</m:t>
                </m:r>
                <m:r>
                  <w:rPr>
                    <w:rFonts w:ascii="Cambria Math" w:hAnsi="Cambria Math"/>
                  </w:rPr>
                  <m:t xml:space="preserve">(</m:t>
                </m:r>
                <m:r>
                  <m:rPr>
                    <m:lit/>
                    <m:nor/>
                  </m:rPr>
                  <w:rPr>
                    <w:rFonts w:ascii="Cambria Math" w:hAnsi="Cambria Math"/>
                  </w:rPr>
                  <m:t xml:space="preserve">dB</m:t>
                </m:r>
                <m:r>
                  <w:rPr>
                    <w:rFonts w:ascii="Cambria Math" w:hAnsi="Cambria Math"/>
                  </w:rPr>
                  <m:t xml:space="preserve">)</m:t>
                </m:r>
              </m:sub>
            </m:sSub>
            <m:r>
              <w:rPr>
                <w:rFonts w:ascii="Cambria Math" w:hAnsi="Cambria Math"/>
              </w:rPr>
              <m:t xml:space="preserve">+</m:t>
            </m:r>
            <m:sSub>
              <m:e>
                <m:r>
                  <w:rPr>
                    <w:rFonts w:ascii="Cambria Math" w:hAnsi="Cambria Math"/>
                  </w:rPr>
                  <m:t xml:space="preserve">U</m:t>
                </m:r>
              </m:e>
              <m:sub>
                <m:r>
                  <m:rPr>
                    <m:lit/>
                    <m:nor/>
                  </m:rPr>
                  <w:rPr>
                    <w:rFonts w:ascii="Cambria Math" w:hAnsi="Cambria Math"/>
                  </w:rPr>
                  <m:t xml:space="preserve">mismatch</m:t>
                </m:r>
                <m:r>
                  <m:rPr>
                    <m:lit/>
                    <m:nor/>
                  </m:rPr>
                  <w:rPr>
                    <w:rFonts w:ascii="Cambria Math" w:hAnsi="Cambria Math"/>
                  </w:rPr>
                  <m:t xml:space="preserve">_int</m:t>
                </m:r>
                <m:r>
                  <m:rPr>
                    <m:lit/>
                    <m:nor/>
                  </m:rPr>
                  <w:rPr>
                    <w:rFonts w:ascii="Cambria Math" w:hAnsi="Cambria Math"/>
                  </w:rPr>
                  <m:t xml:space="preserve">eraction</m:t>
                </m:r>
                <m:r>
                  <w:rPr>
                    <w:rFonts w:ascii="Cambria Math" w:hAnsi="Cambria Math"/>
                  </w:rPr>
                  <m:t xml:space="preserve">1</m:t>
                </m:r>
                <m:r>
                  <w:rPr>
                    <w:rFonts w:ascii="Cambria Math" w:hAnsi="Cambria Math"/>
                  </w:rPr>
                  <m:t xml:space="preserve">(</m:t>
                </m:r>
                <m:r>
                  <m:rPr>
                    <m:lit/>
                    <m:nor/>
                  </m:rPr>
                  <w:rPr>
                    <w:rFonts w:ascii="Cambria Math" w:hAnsi="Cambria Math"/>
                  </w:rPr>
                  <m:t xml:space="preserve">dB</m:t>
                </m:r>
                <m:r>
                  <w:rPr>
                    <w:rFonts w:ascii="Cambria Math" w:hAnsi="Cambria Math"/>
                  </w:rPr>
                  <m:t xml:space="preserve">)</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U</m:t>
                </m:r>
              </m:e>
              <m:sub>
                <m:r>
                  <m:rPr>
                    <m:lit/>
                    <m:nor/>
                  </m:rPr>
                  <w:rPr>
                    <w:rFonts w:ascii="Cambria Math" w:hAnsi="Cambria Math"/>
                  </w:rPr>
                  <m:t xml:space="preserve">mismatch</m:t>
                </m:r>
                <m:r>
                  <m:rPr>
                    <m:lit/>
                    <m:nor/>
                  </m:rPr>
                  <w:rPr>
                    <w:rFonts w:ascii="Cambria Math" w:hAnsi="Cambria Math"/>
                  </w:rPr>
                  <m:t xml:space="preserve">_int</m:t>
                </m:r>
                <m:r>
                  <m:rPr>
                    <m:lit/>
                    <m:nor/>
                  </m:rPr>
                  <w:rPr>
                    <w:rFonts w:ascii="Cambria Math" w:hAnsi="Cambria Math"/>
                  </w:rPr>
                  <m:t xml:space="preserve">eractionN</m:t>
                </m:r>
                <m:r>
                  <w:rPr>
                    <w:rFonts w:ascii="Cambria Math" w:hAnsi="Cambria Math"/>
                  </w:rPr>
                  <m:t xml:space="preserve">(</m:t>
                </m:r>
                <m:r>
                  <m:rPr>
                    <m:lit/>
                    <m:nor/>
                  </m:rPr>
                  <w:rPr>
                    <w:rFonts w:ascii="Cambria Math" w:hAnsi="Cambria Math"/>
                  </w:rPr>
                  <m:t xml:space="preserve">dB</m:t>
                </m:r>
                <m:r>
                  <w:rPr>
                    <w:rFonts w:ascii="Cambria Math" w:hAnsi="Cambria Math"/>
                  </w:rPr>
                  <m:t xml:space="preserve">)</m:t>
                </m:r>
              </m:sub>
            </m:sSub>
          </m:e>
        </m:rad>
      </m:oMath>
    </w:p>
    <w:p>
      <w:pPr>
        <w:pStyle w:val="Normal"/>
        <w:rPr/>
      </w:pPr>
      <w:r>
        <w:rPr/>
        <w:t>If a RF Relay is used to drive the cross and direct polarization signals from the dual-polarized antenna, this total combined mismatch uncertainty has to be added with all the uncertainty measurement contributions for the total combined measurement uncertainty.</w:t>
      </w:r>
    </w:p>
    <w:p>
      <w:pPr>
        <w:pStyle w:val="Heading1"/>
        <w:ind w:left="1134" w:hanging="1134"/>
        <w:rPr/>
      </w:pPr>
      <w:bookmarkStart w:id="494" w:name="__RefHeading___Toc68601404"/>
      <w:bookmarkEnd w:id="494"/>
      <w:r>
        <w:rPr/>
        <w:t>E.4</w:t>
        <w:tab/>
        <w:t>Insertion loss of the probe antenna cable</w:t>
      </w:r>
    </w:p>
    <w:p>
      <w:pPr>
        <w:pStyle w:val="Normal"/>
        <w:rPr/>
      </w:pPr>
      <w:r>
        <w:rPr/>
        <w:t>If the probe antenna cable does not move between the calibration and the DUT measurement stage, the uncertainty due to the insertion loss of the cable is assumed to be systematic. Moreover, this uncertainty is common and constant in both stages and that is why this leads to 0.00dB value.</w:t>
      </w:r>
    </w:p>
    <w:p>
      <w:pPr>
        <w:pStyle w:val="Normal"/>
        <w:rPr/>
      </w:pPr>
      <w:r>
        <w:rPr/>
        <w:t>If a different cable is used in the calibration measurement and in the DUT measurement, and the difference of the insertion loss is used in the calculations, then the overall combined standard uncertainty of the insertion loss measurement should be used in the uncertainty budget. The distribution of this uncertainty is assumed to be rectangular, in which case the standard uncertainty can be calculated as the maximum value/</w:t>
      </w:r>
      <w:r>
        <w:rPr>
          <w:rFonts w:eastAsia="Symbol" w:cs="Symbol" w:ascii="Symbol" w:hAnsi="Symbol"/>
        </w:rPr>
        <w:t></w:t>
      </w:r>
      <w:r>
        <w:rPr/>
        <w:t>3.</w:t>
      </w:r>
    </w:p>
    <w:p>
      <w:pPr>
        <w:pStyle w:val="Heading1"/>
        <w:ind w:left="1134" w:hanging="1134"/>
        <w:rPr/>
      </w:pPr>
      <w:bookmarkStart w:id="495" w:name="__RefHeading___Toc68601405"/>
      <w:bookmarkEnd w:id="495"/>
      <w:r>
        <w:rPr/>
        <w:t>E.5</w:t>
        <w:tab/>
        <w:t>Insertion loss of the probe antenna attenuator (if used)</w:t>
      </w:r>
    </w:p>
    <w:p>
      <w:pPr>
        <w:pStyle w:val="Normal"/>
        <w:rPr/>
      </w:pPr>
      <w:r>
        <w:rPr/>
        <w:t>See Insertion loss of the probe antenna cable</w:t>
      </w:r>
    </w:p>
    <w:p>
      <w:pPr>
        <w:pStyle w:val="Normal"/>
        <w:rPr/>
      </w:pPr>
      <w:r>
        <w:rPr/>
        <w:t xml:space="preserve">If the probe antenna attenuator is used in both stages, the uncertainty is considered systematic and constant </w:t>
      </w:r>
      <w:r>
        <w:rPr>
          <w:rFonts w:eastAsia="Wingdings" w:cs="Wingdings" w:ascii="Wingdings" w:hAnsi="Wingdings"/>
        </w:rPr>
        <w:t></w:t>
      </w:r>
      <w:r>
        <w:rPr/>
        <w:t xml:space="preserve"> 0.00dB value.</w:t>
      </w:r>
    </w:p>
    <w:p>
      <w:pPr>
        <w:pStyle w:val="Heading1"/>
        <w:ind w:left="1134" w:hanging="1134"/>
        <w:rPr/>
      </w:pPr>
      <w:bookmarkStart w:id="496" w:name="__RefHeading___Toc68601406"/>
      <w:bookmarkEnd w:id="496"/>
      <w:r>
        <w:rPr/>
        <w:t>E.6</w:t>
        <w:tab/>
        <w:t>Insertion loss of the RF relays (if used)</w:t>
      </w:r>
    </w:p>
    <w:p>
      <w:pPr>
        <w:pStyle w:val="Normal"/>
        <w:rPr/>
      </w:pPr>
      <w:r>
        <w:rPr/>
        <w:t xml:space="preserve">See Insertion loss of the probe antenna cable. </w:t>
      </w:r>
    </w:p>
    <w:p>
      <w:pPr>
        <w:pStyle w:val="Normal"/>
        <w:rPr/>
      </w:pPr>
      <w:r>
        <w:rPr/>
        <w:t xml:space="preserve">If the RF relay is used in both stages, the uncertainty is considered systematic and constant </w:t>
      </w:r>
      <w:r>
        <w:rPr>
          <w:rFonts w:eastAsia="Wingdings" w:cs="Wingdings" w:ascii="Wingdings" w:hAnsi="Wingdings"/>
        </w:rPr>
        <w:t></w:t>
      </w:r>
      <w:r>
        <w:rPr/>
        <w:t xml:space="preserve"> 0.00dB value.</w:t>
      </w:r>
    </w:p>
    <w:p>
      <w:pPr>
        <w:pStyle w:val="Heading1"/>
        <w:ind w:left="1134" w:hanging="1134"/>
        <w:rPr/>
      </w:pPr>
      <w:bookmarkStart w:id="497" w:name="__RefHeading___Toc68601407"/>
      <w:bookmarkEnd w:id="497"/>
      <w:r>
        <w:rPr/>
        <w:t>E.7</w:t>
        <w:tab/>
        <w:t>Influence of the antenna cable</w:t>
      </w:r>
    </w:p>
    <w:p>
      <w:pPr>
        <w:pStyle w:val="Heading2"/>
        <w:rPr/>
      </w:pPr>
      <w:bookmarkStart w:id="498" w:name="__RefHeading___Toc68601408"/>
      <w:bookmarkEnd w:id="498"/>
      <w:r>
        <w:rPr/>
        <w:t>E.7.1</w:t>
        <w:tab/>
        <w:t>Probe antenna cable</w:t>
      </w:r>
    </w:p>
    <w:p>
      <w:pPr>
        <w:pStyle w:val="Normal"/>
        <w:rPr/>
      </w:pPr>
      <w:r>
        <w:rPr/>
        <w:t xml:space="preserve">If the probe antenna is directional (i.e. peak gain &gt;+5dBi e.g. horn, LPDA, etc.) and the same probe antenna cable configuration is used for both stages, the uncertainty is considered systematic and constant </w:t>
      </w:r>
      <w:r>
        <w:rPr>
          <w:rFonts w:eastAsia="Wingdings" w:cs="Wingdings" w:ascii="Wingdings" w:hAnsi="Wingdings"/>
        </w:rPr>
        <w:t></w:t>
      </w:r>
      <w:r>
        <w:rPr/>
        <w:t xml:space="preserve"> 0.00dB value.</w:t>
      </w:r>
    </w:p>
    <w:p>
      <w:pPr>
        <w:pStyle w:val="Normal"/>
        <w:rPr/>
      </w:pPr>
      <w:r>
        <w:rPr/>
        <w:t xml:space="preserve">In other cases a technical study should be done. </w:t>
      </w:r>
    </w:p>
    <w:p>
      <w:pPr>
        <w:pStyle w:val="Normal"/>
        <w:rPr/>
      </w:pPr>
      <w:r>
        <w:rPr/>
        <w:t>An ETSI technical report [25] (clause D.1.3.6) gives a discussion on the results obtained by testing a vertically polarized biconical antenna over a ground plane with differing RF cable configurations.</w:t>
      </w:r>
    </w:p>
    <w:p>
      <w:pPr>
        <w:pStyle w:val="Heading2"/>
        <w:rPr/>
      </w:pPr>
      <w:bookmarkStart w:id="499" w:name="__RefHeading___Toc68601409"/>
      <w:bookmarkEnd w:id="499"/>
      <w:r>
        <w:rPr/>
        <w:t>E.7.2</w:t>
        <w:tab/>
        <w:t>Calibration antenna cable</w:t>
      </w:r>
    </w:p>
    <w:p>
      <w:pPr>
        <w:pStyle w:val="Normal"/>
        <w:rPr/>
      </w:pPr>
      <w:r>
        <w:rPr/>
        <w:t>If an efficiency calibration is performed, influence of the calibration antenna feed cable can be assumed to be negligible, due to data averaging.</w:t>
      </w:r>
    </w:p>
    <w:p>
      <w:pPr>
        <w:pStyle w:val="Normal"/>
        <w:rPr/>
      </w:pPr>
      <w:r>
        <w:rPr/>
        <w:t>In the case of gain calibration, the influence of the calibration antenna feed cable must be assessed by measurements. A gain calibration measurement is repeated with a reasonably differing routing of the feed cable. Largest difference between the results is entered to the uncertainty budget with a rectangular distribution.</w:t>
      </w:r>
    </w:p>
    <w:p>
      <w:pPr>
        <w:pStyle w:val="Heading1"/>
        <w:ind w:left="1134" w:hanging="1134"/>
        <w:rPr/>
      </w:pPr>
      <w:bookmarkStart w:id="500" w:name="__RefHeading___Toc68601410"/>
      <w:bookmarkEnd w:id="500"/>
      <w:r>
        <w:rPr/>
        <w:t>E.8</w:t>
        <w:tab/>
        <w:t>Absolute gain of the probe antenna</w:t>
      </w:r>
    </w:p>
    <w:p>
      <w:pPr>
        <w:pStyle w:val="Normal"/>
        <w:rPr/>
      </w:pPr>
      <w:r>
        <w:rPr/>
        <w:t>The uncertainty appears in the both stages and it is thus considered systematic and constant 0.00dB value.</w:t>
      </w:r>
    </w:p>
    <w:p>
      <w:pPr>
        <w:pStyle w:val="Heading1"/>
        <w:ind w:left="1134" w:hanging="1134"/>
        <w:rPr/>
      </w:pPr>
      <w:bookmarkStart w:id="501" w:name="__RefHeading___Toc68601411"/>
      <w:bookmarkEnd w:id="501"/>
      <w:r>
        <w:rPr/>
        <w:t>E.9</w:t>
        <w:tab/>
        <w:t>Measurement receiver: uncertainty of absolute level</w:t>
      </w:r>
    </w:p>
    <w:p>
      <w:pPr>
        <w:pStyle w:val="Normal"/>
        <w:rPr/>
      </w:pPr>
      <w:r>
        <w:rPr/>
        <w:t xml:space="preserve">The receiving device is used to measure the received signal level in TRP tests either as an absolute level or as a relative level. Receiving device used is typically a Base Station Simulator (BSS), spectrum analyzer (SA), or power meter (PM). Generally there occurs an uncertainty contribution from limited absolute level accuracy and non-linearity. </w:t>
      </w:r>
    </w:p>
    <w:p>
      <w:pPr>
        <w:pStyle w:val="Heading1"/>
        <w:ind w:left="1134" w:hanging="1134"/>
        <w:rPr/>
      </w:pPr>
      <w:bookmarkStart w:id="502" w:name="__RefHeading___Toc68601412"/>
      <w:bookmarkEnd w:id="502"/>
      <w:r>
        <w:rPr/>
        <w:t>E.10</w:t>
        <w:tab/>
        <w:t>Measurement distance</w:t>
      </w:r>
    </w:p>
    <w:p>
      <w:pPr>
        <w:pStyle w:val="Normal"/>
        <w:rPr/>
      </w:pPr>
      <w:r>
        <w:rPr/>
        <w:t>The uncertainty contribution from a finite measurement distance is estimated in three parts.</w:t>
      </w:r>
    </w:p>
    <w:p>
      <w:pPr>
        <w:pStyle w:val="Heading2"/>
        <w:rPr/>
      </w:pPr>
      <w:bookmarkStart w:id="503" w:name="__RefHeading___Toc68601413"/>
      <w:bookmarkEnd w:id="503"/>
      <w:r>
        <w:rPr/>
        <w:t>E.10.1</w:t>
        <w:tab/>
        <w:t>Offset of DUT phase centre from axis(es) of rotation</w:t>
      </w:r>
    </w:p>
    <w:p>
      <w:pPr>
        <w:pStyle w:val="Normal"/>
        <w:rPr/>
      </w:pPr>
      <w:r>
        <w:rPr/>
        <w:t xml:space="preserve">In all the measurements defined in this test procedure the DUT and phantom combination is rotated about the ear reference point of SAM phantom, which is also assumed to be the location of the phase centre in both angular directions of the measurements. </w:t>
      </w:r>
    </w:p>
    <w:p>
      <w:pPr>
        <w:pStyle w:val="Normal"/>
        <w:rPr/>
      </w:pPr>
      <w:r>
        <w:rPr/>
        <w:t xml:space="preserve">For some turntables this may be practically impossible in which case a measurement uncertainty contribution can arise because the phase centre will rotate on a non-zero radius about the centre of rotation, thereby giving a variable measurement distance. Data averaging process may lead to a partial self-cancel of this uncertainty. </w:t>
      </w:r>
    </w:p>
    <w:p>
      <w:pPr>
        <w:pStyle w:val="Normal"/>
        <w:rPr/>
      </w:pPr>
      <w:r>
        <w:rPr/>
        <w:t>The following formula is used to estimate this uncertainty contribution in stage 1:</w:t>
      </w:r>
    </w:p>
    <w:p>
      <w:pPr>
        <w:pStyle w:val="EQ"/>
        <w:rPr>
          <w:lang w:val="en-GB" w:eastAsia="en-GB"/>
        </w:rPr>
      </w:pPr>
      <w:bookmarkStart w:id="504" w:name="OLE_LINK7"/>
      <w:r>
        <w:rPr>
          <w:lang w:val="en-GB" w:eastAsia="en-GB"/>
        </w:rPr>
        <w:tab/>
        <w:t>U</w:t>
      </w:r>
      <w:r>
        <w:rPr>
          <w:vertAlign w:val="subscript"/>
          <w:lang w:val="en-GB" w:eastAsia="en-GB"/>
        </w:rPr>
        <w:t>phase_center_limits</w:t>
      </w:r>
      <w:bookmarkEnd w:id="504"/>
      <w:r>
        <w:rPr>
          <w:lang w:val="en-GB" w:eastAsia="en-GB"/>
        </w:rPr>
        <w:t xml:space="preserve"> (dB) = </w:t>
      </w:r>
      <w:bookmarkStart w:id="505" w:name="OLE_LINK11"/>
      <w:bookmarkStart w:id="506" w:name="OLE_LINK10"/>
      <w:r>
        <w:rPr>
          <w:lang w:val="en-GB" w:eastAsia="en-GB"/>
        </w:rPr>
      </w:r>
      <m:oMath xmlns:m="http://schemas.openxmlformats.org/officeDocument/2006/math">
        <m:r>
          <m:rPr>
            <m:lit/>
            <m:nor/>
          </m:rPr>
          <w:rPr>
            <w:rFonts w:ascii="Cambria Math" w:hAnsi="Cambria Math"/>
          </w:rPr>
          <m:t xml:space="preserve">10</m:t>
        </m:r>
        <m:r>
          <m:rPr>
            <m:lit/>
            <m:nor/>
          </m:rPr>
          <w:rPr>
            <w:rFonts w:ascii="Cambria Math" w:hAnsi="Cambria Math"/>
          </w:rPr>
          <m:t xml:space="preserve">log</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Δd</m:t>
        </m:r>
        <m:sSup>
          <m:e>
            <m:r>
              <w:rPr>
                <w:rFonts w:ascii="Cambria Math" w:hAnsi="Cambria Math"/>
              </w:rPr>
              <m:t xml:space="preserve">)</m:t>
            </m:r>
          </m:e>
          <m:sup>
            <m:r>
              <w:rPr>
                <w:rFonts w:ascii="Cambria Math" w:hAnsi="Cambria Math"/>
              </w:rPr>
              <m:t xml:space="preserve">2</m:t>
            </m:r>
          </m:sup>
        </m:sSup>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r>
          <w:rPr>
            <w:rFonts w:ascii="Cambria Math" w:hAnsi="Cambria Math"/>
          </w:rPr>
          <m:t xml:space="preserve">(</m:t>
        </m:r>
        <m:r>
          <w:rPr>
            <w:rFonts w:ascii="Cambria Math" w:hAnsi="Cambria Math"/>
          </w:rPr>
          <m:t xml:space="preserve">d</m:t>
        </m:r>
        <m:sSup>
          <m:e>
            <m:r>
              <w:rPr>
                <w:rFonts w:ascii="Cambria Math" w:hAnsi="Cambria Math"/>
              </w:rPr>
              <m:t xml:space="preserve">)</m:t>
            </m:r>
          </m:e>
          <m:sup>
            <m:r>
              <w:rPr>
                <w:rFonts w:ascii="Cambria Math" w:hAnsi="Cambria Math"/>
              </w:rPr>
              <m:t xml:space="preserve">2</m:t>
            </m:r>
          </m:sup>
        </m:sSup>
      </m:oMath>
      <w:bookmarkEnd w:id="505"/>
      <w:bookmarkEnd w:id="506"/>
    </w:p>
    <w:p>
      <w:pPr>
        <w:pStyle w:val="Normal"/>
        <w:rPr/>
      </w:pPr>
      <w:r>
        <w:rPr/>
        <w:t xml:space="preserve">If a gain calibration is performed in Stage 2, the uncertainty contribution of calibration antenna's displacement is estimated with the previous formula. Misalignment can be estimated with following formula, </w:t>
      </w:r>
    </w:p>
    <w:p>
      <w:pPr>
        <w:pStyle w:val="EQ"/>
        <w:rPr/>
      </w:pPr>
      <w:r>
        <w:rPr>
          <w:lang w:val="en-GB" w:eastAsia="en-GB"/>
        </w:rPr>
        <w:tab/>
        <w:t>U</w:t>
      </w:r>
      <w:r>
        <w:rPr>
          <w:vertAlign w:val="subscript"/>
          <w:lang w:val="en-GB" w:eastAsia="en-GB"/>
        </w:rPr>
        <w:t>misaligment</w:t>
      </w:r>
      <w:r>
        <w:rPr>
          <w:lang w:val="en-GB" w:eastAsia="en-GB"/>
        </w:rPr>
        <w:t xml:space="preserve"> (dB) = </w:t>
      </w:r>
      <w:r>
        <w:rPr>
          <w:lang w:val="en-GB" w:eastAsia="en-GB"/>
        </w:rPr>
      </w:r>
      <m:oMath xmlns:m="http://schemas.openxmlformats.org/officeDocument/2006/math">
        <m:r>
          <m:rPr>
            <m:lit/>
            <m:nor/>
          </m:rPr>
          <w:rPr>
            <w:rFonts w:ascii="Cambria Math" w:hAnsi="Cambria Math"/>
          </w:rPr>
          <m:t xml:space="preserve">20</m:t>
        </m:r>
        <m:r>
          <m:rPr>
            <m:lit/>
            <m:nor/>
          </m:rPr>
          <w:rPr>
            <w:rFonts w:ascii="Cambria Math" w:hAnsi="Cambria Math"/>
          </w:rPr>
          <m:t xml:space="preserve">log</m:t>
        </m:r>
        <m:d>
          <m:dPr>
            <m:begChr m:val="("/>
            <m:endChr m:val=")"/>
          </m:dPr>
          <m:e>
            <m:r>
              <m:rPr>
                <m:lit/>
                <m:nor/>
              </m:rPr>
              <w:rPr>
                <w:rFonts w:ascii="Cambria Math" w:hAnsi="Cambria Math"/>
              </w:rPr>
              <m:t xml:space="preserve">cos</m:t>
            </m:r>
            <m:r>
              <w:rPr>
                <w:rFonts w:ascii="Cambria Math" w:hAnsi="Cambria Math"/>
              </w:rPr>
              <m:t xml:space="preserve">θ</m:t>
            </m:r>
          </m:e>
        </m:d>
      </m:oMath>
      <w:r>
        <w:rPr>
          <w:lang w:val="en-GB" w:eastAsia="en-GB"/>
        </w:rPr>
        <w:t>,</w:t>
      </w:r>
    </w:p>
    <w:p>
      <w:pPr>
        <w:pStyle w:val="Normal"/>
        <w:rPr/>
      </w:pPr>
      <w:r>
        <w:rPr/>
        <w:t>where</w:t>
      </w:r>
      <w:r>
        <w:rPr/>
      </w:r>
      <m:oMath xmlns:m="http://schemas.openxmlformats.org/officeDocument/2006/math">
        <m:r>
          <w:rPr>
            <w:rFonts w:ascii="Cambria Math" w:hAnsi="Cambria Math"/>
          </w:rPr>
          <m:t xml:space="preserve">θ</m:t>
        </m:r>
      </m:oMath>
      <w:r>
        <w:rPr/>
        <w:t xml:space="preserve"> is the misalignment angle between the calibration antenna and the probe antenna. The contribution shall be added to displacement error:</w:t>
      </w:r>
    </w:p>
    <w:p>
      <w:pPr>
        <w:pStyle w:val="Normal"/>
        <w:rPr/>
      </w:pPr>
      <w:r>
        <w:rPr/>
        <w:tab/>
        <w:t>U</w:t>
      </w:r>
      <w:r>
        <w:rPr>
          <w:vertAlign w:val="subscript"/>
        </w:rPr>
        <w:t>cal</w:t>
      </w:r>
      <w:r>
        <w:rPr/>
        <w:t xml:space="preserve"> (dB) = </w:t>
      </w:r>
      <w:r>
        <w:rPr/>
      </w:r>
      <m:oMath xmlns:m="http://schemas.openxmlformats.org/officeDocument/2006/math">
        <m:rad>
          <m:radPr>
            <m:degHide m:val="1"/>
          </m:radPr>
          <m:deg/>
          <m:e>
            <m:sSubSup>
              <m:e>
                <m:r>
                  <w:rPr>
                    <w:rFonts w:ascii="Cambria Math" w:hAnsi="Cambria Math"/>
                  </w:rPr>
                  <m:t xml:space="preserve">U</m:t>
                </m:r>
              </m:e>
              <m:sub>
                <m:sSub>
                  <m:e>
                    <m:r>
                      <m:rPr>
                        <m:lit/>
                        <m:nor/>
                      </m:rPr>
                      <w:rPr>
                        <w:rFonts w:ascii="Cambria Math" w:hAnsi="Cambria Math"/>
                      </w:rPr>
                      <m:t xml:space="preserve">phase</m:t>
                    </m:r>
                  </m:e>
                  <m:sub>
                    <m:sSub>
                      <m:e>
                        <m:r>
                          <m:rPr>
                            <m:lit/>
                            <m:nor/>
                          </m:rPr>
                          <w:rPr>
                            <w:rFonts w:ascii="Cambria Math" w:hAnsi="Cambria Math"/>
                          </w:rPr>
                          <m:t xml:space="preserve">center</m:t>
                        </m:r>
                      </m:e>
                      <m:sub>
                        <m:r>
                          <w:rPr>
                            <w:rFonts w:ascii="Cambria Math" w:hAnsi="Cambria Math"/>
                          </w:rPr>
                          <m:t xml:space="preserve">Δ</m:t>
                        </m:r>
                      </m:sub>
                    </m:sSub>
                  </m:sub>
                </m:sSub>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m:rPr>
                    <m:lit/>
                    <m:nor/>
                  </m:rPr>
                  <w:rPr>
                    <w:rFonts w:ascii="Cambria Math" w:hAnsi="Cambria Math"/>
                  </w:rPr>
                  <m:t xml:space="preserve">misaligment</m:t>
                </m:r>
              </m:sub>
              <m:sup>
                <m:r>
                  <w:rPr>
                    <w:rFonts w:ascii="Cambria Math" w:hAnsi="Cambria Math"/>
                  </w:rPr>
                  <m:t xml:space="preserve">2</m:t>
                </m:r>
              </m:sup>
            </m:sSubSup>
          </m:e>
        </m:rad>
      </m:oMath>
    </w:p>
    <w:p>
      <w:pPr>
        <w:pStyle w:val="Normal"/>
        <w:rPr/>
      </w:pPr>
      <w:r>
        <w:rPr/>
        <w:t>For an efficiency calibration with an omnidirectional calibration antenna, the U</w:t>
      </w:r>
      <w:r>
        <w:rPr>
          <w:vertAlign w:val="subscript"/>
        </w:rPr>
        <w:t>cal</w:t>
      </w:r>
      <w:r>
        <w:rPr/>
        <w:t xml:space="preserve"> is calculated similarly as for gain calibration but the uncertainty may be divided by factor 2. This is due to correcting impact of data averaging in this type of calibration.</w:t>
      </w:r>
    </w:p>
    <w:p>
      <w:pPr>
        <w:pStyle w:val="Heading2"/>
        <w:rPr/>
      </w:pPr>
      <w:bookmarkStart w:id="507" w:name="__RefHeading___Toc68601414"/>
      <w:bookmarkEnd w:id="507"/>
      <w:r>
        <w:rPr/>
        <w:t>E.10.2</w:t>
        <w:tab/>
        <w:t>Mutual coupling</w:t>
      </w:r>
    </w:p>
    <w:p>
      <w:pPr>
        <w:pStyle w:val="Normal"/>
        <w:rPr/>
      </w:pPr>
      <w:r>
        <w:rPr/>
        <w:t>In measurement of radio performances of UMTS mobile phones in speech mode, the mutual coupling uncertainty for this frequency band is a 0.00dB value (see annex A-2 in [27]).</w:t>
      </w:r>
    </w:p>
    <w:p>
      <w:pPr>
        <w:pStyle w:val="Normal"/>
        <w:rPr/>
      </w:pPr>
      <w:r>
        <w:rPr/>
        <w:t>The 0.00dB value can be extended for the GSM, DCS and PCS band frequencies.</w:t>
      </w:r>
    </w:p>
    <w:p>
      <w:pPr>
        <w:pStyle w:val="Heading2"/>
        <w:rPr/>
      </w:pPr>
      <w:bookmarkStart w:id="508" w:name="__RefHeading___Toc68601415"/>
      <w:bookmarkEnd w:id="508"/>
      <w:r>
        <w:rPr/>
        <w:t>E.10.3</w:t>
        <w:tab/>
        <w:t>Phase curvature</w:t>
      </w:r>
    </w:p>
    <w:p>
      <w:pPr>
        <w:pStyle w:val="Normal"/>
        <w:rPr/>
      </w:pPr>
      <w:r>
        <w:rPr/>
        <w:t>This uncertainty originates from the finite far-field measurement distance, which causes phase curvature across the DUT. If the measurement distance is &gt; 10λ, this error is assumed to be negligible. At 2 GHz λ is 0.15 m, thus 10λ is 1.5 m.</w:t>
      </w:r>
    </w:p>
    <w:p>
      <w:pPr>
        <w:pStyle w:val="Heading1"/>
        <w:ind w:left="1134" w:hanging="1134"/>
        <w:rPr/>
      </w:pPr>
      <w:bookmarkStart w:id="509" w:name="__RefHeading___Toc68601416"/>
      <w:bookmarkEnd w:id="509"/>
      <w:r>
        <w:rPr/>
        <w:t>E.11</w:t>
        <w:tab/>
        <w:t>Quality of quiet zone</w:t>
      </w:r>
    </w:p>
    <w:p>
      <w:pPr>
        <w:pStyle w:val="Normal"/>
        <w:rPr/>
      </w:pPr>
      <w:r>
        <w:rPr/>
        <w:t>The uncertainty contribution of the reflectivity level of the anechoic chamber is determined from the average standard deviation of the electric field in the quiet zone. By repeating a free space VSWR measurement in 15-degree grid in elevation and azimuth, 264 standard deviation values in both polarizations are determined. From these values average standard deviation of electric field in the quiet zone can be calculated from the equation:</w:t>
      </w:r>
    </w:p>
    <w:p>
      <w:pPr>
        <w:pStyle w:val="EQ"/>
        <w:rPr>
          <w:rStyle w:val="Style11BodyTextNokiaStandardLightChar"/>
          <w:rFonts w:eastAsia="SimSun;宋体"/>
          <w:lang w:val="en-GB" w:eastAsia="en-GB"/>
        </w:rPr>
      </w:pPr>
      <w:r>
        <w:rPr>
          <w:lang w:val="en-GB" w:eastAsia="en-GB"/>
        </w:rPr>
        <w:tab/>
      </w:r>
      <w:r>
        <w:rPr>
          <w:lang w:val="en-GB" w:eastAsia="en-GB"/>
        </w:rPr>
      </w:r>
      <m:oMath xmlns:m="http://schemas.openxmlformats.org/officeDocument/2006/math">
        <m:bar>
          <m:barPr>
            <m:pos m:val="top"/>
          </m:barPr>
          <m:e>
            <m:sSub>
              <m:e>
                <m:r>
                  <w:rPr>
                    <w:rFonts w:ascii="Cambria Math" w:hAnsi="Cambria Math"/>
                  </w:rPr>
                  <m:t xml:space="preserve">S</m:t>
                </m:r>
              </m:e>
              <m:sub>
                <m:r>
                  <m:rPr>
                    <m:lit/>
                    <m:nor/>
                  </m:rPr>
                  <w:rPr>
                    <w:rFonts w:ascii="Cambria Math" w:hAnsi="Cambria Math"/>
                  </w:rPr>
                  <m:t xml:space="preserve">freq</m:t>
                </m:r>
              </m:sub>
            </m:sSub>
          </m:e>
        </m:bar>
        <m:r>
          <w:rPr>
            <w:rFonts w:ascii="Cambria Math" w:hAnsi="Cambria Math"/>
          </w:rPr>
          <m:t xml:space="preserve">=</m:t>
        </m:r>
        <m:f>
          <m:num>
            <m:f>
              <m:num>
                <m:r>
                  <w:rPr>
                    <w:rFonts w:ascii="Cambria Math" w:hAnsi="Cambria Math"/>
                  </w:rPr>
                  <m:t xml:space="preserve">π</m:t>
                </m:r>
              </m:num>
              <m:den>
                <m:r>
                  <w:rPr>
                    <w:rFonts w:ascii="Cambria Math" w:hAnsi="Cambria Math"/>
                  </w:rPr>
                  <m:t xml:space="preserve">2</m:t>
                </m:r>
                <m:r>
                  <m:rPr>
                    <m:lit/>
                    <m:nor/>
                  </m:rPr>
                  <w:rPr>
                    <w:rFonts w:ascii="Cambria Math" w:hAnsi="Cambria Math"/>
                  </w:rPr>
                  <m:t xml:space="preserve">NM</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s</m:t>
                        </m:r>
                      </m:e>
                      <m:sub>
                        <m:r>
                          <w:rPr>
                            <w:rFonts w:ascii="Cambria Math" w:hAnsi="Cambria Math"/>
                          </w:rPr>
                          <m:t xml:space="preserve">n</m:t>
                        </m:r>
                        <m:r>
                          <w:rPr>
                            <w:rFonts w:ascii="Cambria Math" w:hAnsi="Cambria Math"/>
                          </w:rPr>
                          <m:t xml:space="preserve">,</m:t>
                        </m:r>
                        <m:r>
                          <w:rPr>
                            <w:rFonts w:ascii="Cambria Math" w:hAnsi="Cambria Math"/>
                          </w:rPr>
                          <m:t xml:space="preserve">m</m:t>
                        </m:r>
                        <m:r>
                          <w:rPr>
                            <w:rFonts w:ascii="Cambria Math" w:hAnsi="Cambria Math"/>
                          </w:rPr>
                          <m:t xml:space="preserve">,</m:t>
                        </m:r>
                        <m:r>
                          <m:rPr>
                            <m:lit/>
                            <m:nor/>
                          </m:rPr>
                          <w:rPr>
                            <w:rFonts w:ascii="Cambria Math" w:hAnsi="Cambria Math"/>
                          </w:rPr>
                          <m:t xml:space="preserve">hor</m:t>
                        </m:r>
                      </m:sub>
                    </m:sSub>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e>
                </m:nary>
                <m:r>
                  <w:rPr>
                    <w:rFonts w:ascii="Cambria Math" w:hAnsi="Cambria Math"/>
                  </w:rPr>
                  <m:t xml:space="preserve">+</m:t>
                </m:r>
                <m:f>
                  <m:num>
                    <m:r>
                      <w:rPr>
                        <w:rFonts w:ascii="Cambria Math" w:hAnsi="Cambria Math"/>
                      </w:rPr>
                      <m:t xml:space="preserve">π</m:t>
                    </m:r>
                  </m:num>
                  <m:den>
                    <m:r>
                      <w:rPr>
                        <w:rFonts w:ascii="Cambria Math" w:hAnsi="Cambria Math"/>
                      </w:rPr>
                      <m:t xml:space="preserve">2</m:t>
                    </m:r>
                    <m:r>
                      <m:rPr>
                        <m:lit/>
                        <m:nor/>
                      </m:rPr>
                      <w:rPr>
                        <w:rFonts w:ascii="Cambria Math" w:hAnsi="Cambria Math"/>
                      </w:rPr>
                      <m:t xml:space="preserve">NM</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s</m:t>
                            </m:r>
                          </m:e>
                          <m:sub>
                            <m:r>
                              <w:rPr>
                                <w:rFonts w:ascii="Cambria Math" w:hAnsi="Cambria Math"/>
                              </w:rPr>
                              <m:t xml:space="preserve">n</m:t>
                            </m:r>
                            <m:r>
                              <w:rPr>
                                <w:rFonts w:ascii="Cambria Math" w:hAnsi="Cambria Math"/>
                              </w:rPr>
                              <m:t xml:space="preserve">,</m:t>
                            </m:r>
                            <m:r>
                              <w:rPr>
                                <w:rFonts w:ascii="Cambria Math" w:hAnsi="Cambria Math"/>
                              </w:rPr>
                              <m:t xml:space="preserve">m</m:t>
                            </m:r>
                            <m:r>
                              <w:rPr>
                                <w:rFonts w:ascii="Cambria Math" w:hAnsi="Cambria Math"/>
                              </w:rPr>
                              <m:t xml:space="preserve">,</m:t>
                            </m:r>
                            <m:r>
                              <m:rPr>
                                <m:lit/>
                                <m:nor/>
                              </m:rPr>
                              <w:rPr>
                                <w:rFonts w:ascii="Cambria Math" w:hAnsi="Cambria Math"/>
                              </w:rPr>
                              <m:t xml:space="preserve">ver</m:t>
                            </m:r>
                          </m:sub>
                        </m:sSub>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e>
                    </m:nary>
                  </m:e>
                </m:nary>
              </m:e>
            </m:nary>
          </m:num>
          <m:den>
            <m:r>
              <w:rPr>
                <w:rFonts w:ascii="Cambria Math" w:hAnsi="Cambria Math"/>
              </w:rPr>
              <m:t xml:space="preserve">2</m:t>
            </m:r>
          </m:den>
        </m:f>
      </m:oMath>
    </w:p>
    <w:p>
      <w:pPr>
        <w:pStyle w:val="Normal"/>
        <w:rPr/>
      </w:pPr>
      <w:r>
        <w:rPr/>
        <w:t>Where</w:t>
      </w:r>
    </w:p>
    <w:p>
      <w:pPr>
        <w:pStyle w:val="Normal"/>
        <w:rPr/>
      </w:pPr>
      <w:r>
        <w:rPr/>
      </w:r>
      <m:oMath xmlns:m="http://schemas.openxmlformats.org/officeDocument/2006/math">
        <m:r>
          <w:rPr>
            <w:rFonts w:ascii="Cambria Math" w:hAnsi="Cambria Math"/>
          </w:rPr>
          <m:t xml:space="preserve">N</m:t>
        </m:r>
      </m:oMath>
      <w:r>
        <w:rPr/>
        <w:t xml:space="preserve"> </w:t>
      </w:r>
      <w:r>
        <w:rPr/>
        <w:t>is number of angular intervals in elevation,</w:t>
      </w:r>
    </w:p>
    <w:p>
      <w:pPr>
        <w:pStyle w:val="Normal"/>
        <w:rPr/>
      </w:pPr>
      <w:r>
        <w:rPr/>
      </w:r>
      <m:oMath xmlns:m="http://schemas.openxmlformats.org/officeDocument/2006/math">
        <m:r>
          <w:rPr>
            <w:rFonts w:ascii="Cambria Math" w:hAnsi="Cambria Math"/>
          </w:rPr>
          <m:t xml:space="preserve">M</m:t>
        </m:r>
      </m:oMath>
      <w:r>
        <w:rPr/>
        <w:t>is number of angular intervals in azimuth and</w:t>
      </w:r>
    </w:p>
    <w:p>
      <w:pPr>
        <w:pStyle w:val="Normal"/>
        <w:rPr/>
      </w:pPr>
      <w:r>
        <w:rPr/>
      </w:r>
      <m:oMath xmlns:m="http://schemas.openxmlformats.org/officeDocument/2006/math">
        <m:sSub>
          <m:e>
            <m:r>
              <w:rPr>
                <w:rFonts w:ascii="Cambria Math" w:hAnsi="Cambria Math"/>
              </w:rPr>
              <m:t xml:space="preserve">θ</m:t>
            </m:r>
          </m:e>
          <m:sub>
            <m:r>
              <w:rPr>
                <w:rFonts w:ascii="Cambria Math" w:hAnsi="Cambria Math"/>
              </w:rPr>
              <m:t xml:space="preserve">n</m:t>
            </m:r>
          </m:sub>
        </m:sSub>
      </m:oMath>
      <w:r>
        <w:rPr/>
        <w:tab/>
        <w:t>is elevation of single measurement</w:t>
      </w:r>
      <w:r>
        <w:rPr/>
      </w:r>
      <m:oMath xmlns:m="http://schemas.openxmlformats.org/officeDocument/2006/math">
        <m:sSub>
          <m:e>
            <m:r>
              <w:rPr>
                <w:rFonts w:ascii="Cambria Math" w:hAnsi="Cambria Math"/>
              </w:rPr>
              <m:t xml:space="preserve">s</m:t>
            </m:r>
          </m:e>
          <m:sub>
            <m:r>
              <w:rPr>
                <w:rFonts w:ascii="Cambria Math" w:hAnsi="Cambria Math"/>
              </w:rPr>
              <m:t xml:space="preserve">n</m:t>
            </m:r>
            <m:r>
              <w:rPr>
                <w:rFonts w:ascii="Cambria Math" w:hAnsi="Cambria Math"/>
              </w:rPr>
              <m:t xml:space="preserve">,</m:t>
            </m:r>
            <m:r>
              <w:rPr>
                <w:rFonts w:ascii="Cambria Math" w:hAnsi="Cambria Math"/>
              </w:rPr>
              <m:t xml:space="preserve">m</m:t>
            </m:r>
            <m:r>
              <w:rPr>
                <w:rFonts w:ascii="Cambria Math" w:hAnsi="Cambria Math"/>
              </w:rPr>
              <m:t xml:space="preserve">,</m:t>
            </m:r>
            <m:r>
              <m:rPr>
                <m:lit/>
                <m:nor/>
              </m:rPr>
              <w:rPr>
                <w:rFonts w:ascii="Cambria Math" w:hAnsi="Cambria Math"/>
              </w:rPr>
              <m:t xml:space="preserve">pol</m:t>
            </m:r>
          </m:sub>
        </m:sSub>
      </m:oMath>
      <w:r>
        <w:rPr/>
        <w:t>.</w:t>
      </w:r>
    </w:p>
    <w:p>
      <w:pPr>
        <w:pStyle w:val="Normal"/>
        <w:rPr/>
      </w:pPr>
      <w:r>
        <w:rPr/>
        <w:t xml:space="preserve">If an efficiency calibration with omnidirectional calibration antenna is performed, the effect of reflectivity level decreases in Stage 2 and </w:t>
      </w:r>
      <w:r>
        <w:rPr/>
      </w:r>
      <m:oMath xmlns:m="http://schemas.openxmlformats.org/officeDocument/2006/math">
        <m:bar>
          <m:barPr>
            <m:pos m:val="top"/>
          </m:barPr>
          <m:e>
            <m:sSub>
              <m:e>
                <m:r>
                  <w:rPr>
                    <w:rFonts w:ascii="Cambria Math" w:hAnsi="Cambria Math"/>
                  </w:rPr>
                  <m:t xml:space="preserve">S</m:t>
                </m:r>
              </m:e>
              <m:sub>
                <m:r>
                  <m:rPr>
                    <m:lit/>
                    <m:nor/>
                  </m:rPr>
                  <w:rPr>
                    <w:rFonts w:ascii="Cambria Math" w:hAnsi="Cambria Math"/>
                  </w:rPr>
                  <m:t xml:space="preserve">freq</m:t>
                </m:r>
              </m:sub>
            </m:sSub>
          </m:e>
        </m:bar>
      </m:oMath>
      <w:r>
        <w:rPr/>
        <w:t>may be divided by factor 2. This is due to correcting impact of data averaging in this type of calibration. Efficiency calibration done with sampling step ≤ 15°, can be considered to have at least four independent samples.</w:t>
      </w:r>
    </w:p>
    <w:p>
      <w:pPr>
        <w:pStyle w:val="Normal"/>
        <w:rPr/>
      </w:pPr>
      <w:r>
        <w:rPr/>
        <w:t>It's likely that asymmetry of the field probe will have a very small impact on this measurement uncertainty contributor; however, an upper bound to probe symmetry should be considered.</w:t>
      </w:r>
    </w:p>
    <w:p>
      <w:pPr>
        <w:pStyle w:val="Heading1"/>
        <w:ind w:left="1134" w:hanging="1134"/>
        <w:rPr/>
      </w:pPr>
      <w:bookmarkStart w:id="510" w:name="__RefHeading___Toc68601417"/>
      <w:bookmarkEnd w:id="510"/>
      <w:r>
        <w:rPr/>
        <w:t>E.12</w:t>
        <w:tab/>
        <w:t>Tx-power drift of DUT</w:t>
      </w:r>
    </w:p>
    <w:p>
      <w:pPr>
        <w:pStyle w:val="Normal"/>
        <w:rPr/>
      </w:pPr>
      <w:r>
        <w:rPr/>
        <w:t>A single point power reference measurement in the beginning and at the end of the measurement procedure is recommended to monitor the power drift of the DUT. Based on TX-power drift measurements for typical 3G UE, an uncertainty of 0.2 dB shall be entered to uncertainty budget with a rectangular distribution. If the drift measurement indicates larger drift, the actual drift shall be included to uncertainty.</w:t>
      </w:r>
    </w:p>
    <w:p>
      <w:pPr>
        <w:pStyle w:val="Normal"/>
        <w:spacing w:before="0" w:after="220"/>
        <w:rPr/>
      </w:pPr>
      <w:r>
        <w:rPr>
          <w:iCs/>
        </w:rPr>
        <w:t xml:space="preserve">In order to minimize Tx-power drift error it's recommended to interleave sensitivity and power measurement of multiple channels. This spreads the measurements over a longer period, which helps to average the drift of the TX-power. </w:t>
      </w:r>
    </w:p>
    <w:p>
      <w:pPr>
        <w:pStyle w:val="Normal"/>
        <w:rPr/>
      </w:pPr>
      <w:r>
        <w:rPr/>
        <w:t>Typical TX-power drifts of 3G UE, measured in a single angular point, DUT placed against phantom head are shown in Figure E.12-1.</w:t>
      </w:r>
    </w:p>
    <w:p>
      <w:pPr>
        <w:pStyle w:val="TH"/>
        <w:rPr/>
      </w:pPr>
      <w:r>
        <w:rPr/>
        <w:drawing>
          <wp:inline distT="0" distB="0" distL="0" distR="0">
            <wp:extent cx="5810250" cy="3114675"/>
            <wp:effectExtent l="0" t="0" r="0" b="0"/>
            <wp:docPr id="119"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97" descr=""/>
                    <pic:cNvPicPr>
                      <a:picLocks noChangeAspect="1" noChangeArrowheads="1"/>
                    </pic:cNvPicPr>
                  </pic:nvPicPr>
                  <pic:blipFill>
                    <a:blip r:embed="rId121"/>
                    <a:srcRect l="-6" t="-12" r="-6" b="-12"/>
                    <a:stretch>
                      <a:fillRect/>
                    </a:stretch>
                  </pic:blipFill>
                  <pic:spPr bwMode="auto">
                    <a:xfrm>
                      <a:off x="0" y="0"/>
                      <a:ext cx="5810250" cy="3114675"/>
                    </a:xfrm>
                    <a:prstGeom prst="rect">
                      <a:avLst/>
                    </a:prstGeom>
                  </pic:spPr>
                </pic:pic>
              </a:graphicData>
            </a:graphic>
          </wp:inline>
        </w:drawing>
      </w:r>
    </w:p>
    <w:p>
      <w:pPr>
        <w:pStyle w:val="TF"/>
        <w:rPr/>
      </w:pPr>
      <w:r>
        <w:rPr/>
        <w:t>Figure E.12-1: Output power variation of typical 3G UE during battery life</w:t>
      </w:r>
    </w:p>
    <w:p>
      <w:pPr>
        <w:pStyle w:val="Normal"/>
        <w:rPr/>
      </w:pPr>
      <w:r>
        <w:rPr/>
      </w:r>
    </w:p>
    <w:p>
      <w:pPr>
        <w:pStyle w:val="Heading2"/>
        <w:rPr/>
      </w:pPr>
      <w:bookmarkStart w:id="511" w:name="__RefHeading___Toc68601418"/>
      <w:bookmarkEnd w:id="511"/>
      <w:r>
        <w:rPr/>
        <w:t>E.13</w:t>
        <w:tab/>
        <w:t>Uncertainty related to the use of phantoms</w:t>
      </w:r>
    </w:p>
    <w:p>
      <w:pPr>
        <w:pStyle w:val="Heading3"/>
        <w:rPr/>
      </w:pPr>
      <w:bookmarkStart w:id="512" w:name="__RefHeading___Toc68601419"/>
      <w:bookmarkEnd w:id="512"/>
      <w:r>
        <w:rPr/>
        <w:t>E.13.1</w:t>
        <w:tab/>
        <w:t>Uncertainty from using different types of SAM phantom</w:t>
      </w:r>
    </w:p>
    <w:p>
      <w:pPr>
        <w:pStyle w:val="Normal"/>
        <w:rPr/>
      </w:pPr>
      <w:r>
        <w:rPr/>
        <w:t>This uncertainty contribution originates from the fact that different laboratories may use the two different versions of SAM head: the SAM head phantom or the SAM phantom including the head and the shoulders. The standard SAM head is the specified phantom. However, the use of the other type of SAM is also allowed with the requirement that the resulting uncertainty contribution is taken into account in the uncertainty budget.</w:t>
      </w:r>
    </w:p>
    <w:p>
      <w:pPr>
        <w:pStyle w:val="Heading3"/>
        <w:rPr/>
      </w:pPr>
      <w:bookmarkStart w:id="513" w:name="__RefHeading___Toc68601420"/>
      <w:bookmarkEnd w:id="513"/>
      <w:r>
        <w:rPr/>
        <w:t>E.13.2</w:t>
        <w:tab/>
        <w:t>Simulated tissue liquid uncertainty</w:t>
      </w:r>
    </w:p>
    <w:p>
      <w:pPr>
        <w:pStyle w:val="Normal"/>
        <w:rPr/>
      </w:pPr>
      <w:r>
        <w:rPr/>
        <w:t>This uncertainty will occur, if the laboratory uses a liquid which has dielectric parameters deviating more than ±15% of the target parameters.</w:t>
      </w:r>
    </w:p>
    <w:p>
      <w:pPr>
        <w:pStyle w:val="Heading3"/>
        <w:rPr/>
      </w:pPr>
      <w:bookmarkStart w:id="514" w:name="__RefHeading___Toc68601421"/>
      <w:bookmarkEnd w:id="514"/>
      <w:r>
        <w:rPr/>
        <w:t>E.13.3</w:t>
        <w:tab/>
        <w:t>Uncertainty of dielectric properties and shape of the hand phantom</w:t>
      </w:r>
    </w:p>
    <w:p>
      <w:pPr>
        <w:pStyle w:val="Normal"/>
        <w:rPr/>
      </w:pPr>
      <w:r>
        <w:rPr/>
        <w:t>The hand phantom makes a contribution to OTA measurement uncertainty due to the manufacturing tolerances of its dielectric properties and shape. The dielectric properties on the surface of the hand may differ from those of its interior, so both are included in the evaluation. The moulded exterior surface of the hand shall be measured directly with an open-ended coaxial probe. The interior hand material is evaluated indirectly, by substituting a cube-shaped sample moulded from the same material and having some exterior surfaces removed. Following procedure will be used to evaluate the dielectric properties of the hand phantom;</w:t>
      </w:r>
    </w:p>
    <w:p>
      <w:pPr>
        <w:pStyle w:val="Normal"/>
        <w:spacing w:before="0" w:after="0"/>
        <w:rPr/>
      </w:pPr>
      <w:r>
        <w:rPr/>
      </w:r>
    </w:p>
    <w:p>
      <w:pPr>
        <w:pStyle w:val="B1"/>
        <w:rPr/>
      </w:pPr>
      <w:r>
        <w:rPr/>
        <w:t>1.</w:t>
        <w:tab/>
        <w:t>Each hand shall be manufactured together with a reference cube of the same material. The sides of the reference cube shall be not less than 40 mm in length.</w:t>
      </w:r>
    </w:p>
    <w:p>
      <w:pPr>
        <w:pStyle w:val="B1"/>
        <w:rPr/>
      </w:pPr>
      <w:r>
        <w:rPr/>
        <w:t>2.</w:t>
        <w:tab/>
        <w:t>The moulded surface on three orthogonal sides of the cube shall be sliced away to a depth of at least 3 mm, in order to expose interior material for evaluation. The remaining three sides of the cube shall be left untreated.</w:t>
      </w:r>
    </w:p>
    <w:p>
      <w:pPr>
        <w:pStyle w:val="B1"/>
        <w:rPr/>
      </w:pPr>
      <w:r>
        <w:rPr/>
        <w:t>3.</w:t>
        <w:tab/>
        <w:t>Relative permittivity and conductivity shall be measured at ten different points on each of the three cut, exposed surfaces of the reference cube, and the combined interior averages (</w:t>
      </w:r>
      <w:r>
        <w:fldChar w:fldCharType="begin"/>
      </w:r>
      <w:r>
        <w:rPr>
          <w:position w:val="-11"/>
        </w:rPr>
        <w:instrText xml:space="preserve"> QUOTE _x0001_ </w:instrText>
      </w:r>
      <w:r>
        <w:rPr>
          <w:position w:val="-11"/>
        </w:rPr>
      </w:r>
      <w:r>
        <w:rPr>
          <w:position w:val="-11"/>
        </w:rPr>
        <w:fldChar w:fldCharType="separate"/>
      </w:r>
      <w:r>
        <w:rPr>
          <w:position w:val="-11"/>
        </w:rPr>
      </w:r>
      <w:r>
        <w:rPr>
          <w:position w:val="-11"/>
        </w:rPr>
        <w:drawing>
          <wp:inline distT="0" distB="0" distL="0" distR="0">
            <wp:extent cx="361950" cy="180975"/>
            <wp:effectExtent l="0" t="0" r="0" b="0"/>
            <wp:docPr id="120"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98" descr=""/>
                    <pic:cNvPicPr>
                      <a:picLocks noChangeAspect="1" noChangeArrowheads="1"/>
                    </pic:cNvPicPr>
                  </pic:nvPicPr>
                  <pic:blipFill>
                    <a:blip r:embed="rId122"/>
                    <a:srcRect l="-100" t="-199" r="-100" b="-199"/>
                    <a:stretch>
                      <a:fillRect/>
                    </a:stretch>
                  </pic:blipFill>
                  <pic:spPr bwMode="auto">
                    <a:xfrm>
                      <a:off x="0" y="0"/>
                      <a:ext cx="361950" cy="180975"/>
                    </a:xfrm>
                    <a:prstGeom prst="rect">
                      <a:avLst/>
                    </a:prstGeom>
                  </pic:spPr>
                </pic:pic>
              </a:graphicData>
            </a:graphic>
          </wp:inline>
        </w:drawing>
      </w:r>
      <w:r>
        <w:rPr>
          <w:position w:val="-11"/>
        </w:rPr>
      </w:r>
      <w:r>
        <w:rPr>
          <w:position w:val="-11"/>
        </w:rPr>
        <w:fldChar w:fldCharType="end"/>
      </w:r>
      <w:r>
        <w:rPr/>
        <w:t xml:space="preserve">, </w:t>
      </w:r>
      <w:r>
        <w:fldChar w:fldCharType="begin"/>
      </w:r>
      <w:r>
        <w:rPr>
          <w:position w:val="-11"/>
        </w:rPr>
        <w:instrText xml:space="preserve"> QUOTE _x0001_ </w:instrText>
      </w:r>
      <w:r>
        <w:rPr>
          <w:position w:val="-11"/>
        </w:rPr>
      </w:r>
      <w:r>
        <w:rPr>
          <w:position w:val="-11"/>
        </w:rPr>
        <w:fldChar w:fldCharType="separate"/>
      </w:r>
      <w:r>
        <w:rPr>
          <w:position w:val="-11"/>
        </w:rPr>
      </w:r>
      <w:r>
        <w:rPr>
          <w:position w:val="-11"/>
        </w:rPr>
        <w:drawing>
          <wp:inline distT="0" distB="0" distL="0" distR="0">
            <wp:extent cx="352425" cy="180975"/>
            <wp:effectExtent l="0" t="0" r="0" b="0"/>
            <wp:docPr id="121"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99" descr=""/>
                    <pic:cNvPicPr>
                      <a:picLocks noChangeAspect="1" noChangeArrowheads="1"/>
                    </pic:cNvPicPr>
                  </pic:nvPicPr>
                  <pic:blipFill>
                    <a:blip r:embed="rId123"/>
                    <a:srcRect l="-102" t="-199" r="-102" b="-199"/>
                    <a:stretch>
                      <a:fillRect/>
                    </a:stretch>
                  </pic:blipFill>
                  <pic:spPr bwMode="auto">
                    <a:xfrm>
                      <a:off x="0" y="0"/>
                      <a:ext cx="352425" cy="180975"/>
                    </a:xfrm>
                    <a:prstGeom prst="rect">
                      <a:avLst/>
                    </a:prstGeom>
                  </pic:spPr>
                </pic:pic>
              </a:graphicData>
            </a:graphic>
          </wp:inline>
        </w:drawing>
      </w:r>
      <w:r>
        <w:rPr>
          <w:position w:val="-11"/>
        </w:rPr>
      </w:r>
      <w:r>
        <w:rPr>
          <w:position w:val="-11"/>
        </w:rPr>
        <w:fldChar w:fldCharType="end"/>
      </w:r>
      <w:r>
        <w:rPr/>
        <w:t>, 30 points) and standard deviations (</w:t>
      </w:r>
      <w:r>
        <w:fldChar w:fldCharType="begin"/>
      </w:r>
      <w:r>
        <w:rPr>
          <w:position w:val="-8"/>
        </w:rPr>
        <w:instrText xml:space="preserve"> QUOTE _x0001_ </w:instrText>
      </w:r>
      <w:r>
        <w:rPr>
          <w:position w:val="-8"/>
        </w:rPr>
      </w:r>
      <w:r>
        <w:rPr>
          <w:position w:val="-8"/>
        </w:rPr>
        <w:fldChar w:fldCharType="separate"/>
      </w:r>
      <w:r>
        <w:rPr>
          <w:position w:val="-8"/>
        </w:rPr>
      </w:r>
      <w:r>
        <w:rPr>
          <w:position w:val="-8"/>
        </w:rPr>
        <w:drawing>
          <wp:inline distT="0" distB="0" distL="0" distR="0">
            <wp:extent cx="342900" cy="171450"/>
            <wp:effectExtent l="0" t="0" r="0" b="0"/>
            <wp:docPr id="122"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00" descr=""/>
                    <pic:cNvPicPr>
                      <a:picLocks noChangeAspect="1" noChangeArrowheads="1"/>
                    </pic:cNvPicPr>
                  </pic:nvPicPr>
                  <pic:blipFill>
                    <a:blip r:embed="rId124"/>
                    <a:srcRect l="-105" t="-210" r="-105" b="-210"/>
                    <a:stretch>
                      <a:fillRect/>
                    </a:stretch>
                  </pic:blipFill>
                  <pic:spPr bwMode="auto">
                    <a:xfrm>
                      <a:off x="0" y="0"/>
                      <a:ext cx="342900" cy="171450"/>
                    </a:xfrm>
                    <a:prstGeom prst="rect">
                      <a:avLst/>
                    </a:prstGeom>
                  </pic:spPr>
                </pic:pic>
              </a:graphicData>
            </a:graphic>
          </wp:inline>
        </w:drawing>
      </w:r>
      <w:r>
        <w:rPr>
          <w:position w:val="-8"/>
        </w:rPr>
      </w:r>
      <w:r>
        <w:rPr>
          <w:position w:val="-8"/>
        </w:rPr>
        <w:fldChar w:fldCharType="end"/>
      </w:r>
      <w:r>
        <w:rPr/>
        <w:t>,</w:t>
      </w:r>
      <w:r>
        <w:fldChar w:fldCharType="begin"/>
      </w:r>
      <w:r>
        <w:rPr>
          <w:position w:val="-8"/>
        </w:rPr>
        <w:instrText xml:space="preserve"> QUOTE _x0001_ </w:instrText>
      </w:r>
      <w:r>
        <w:rPr>
          <w:position w:val="-8"/>
        </w:rPr>
      </w:r>
      <w:r>
        <w:rPr>
          <w:position w:val="-8"/>
        </w:rPr>
        <w:fldChar w:fldCharType="separate"/>
      </w:r>
      <w:r>
        <w:rPr>
          <w:position w:val="-8"/>
        </w:rPr>
      </w:r>
      <w:r>
        <w:rPr>
          <w:position w:val="-8"/>
        </w:rPr>
        <w:drawing>
          <wp:inline distT="0" distB="0" distL="0" distR="0">
            <wp:extent cx="323850" cy="171450"/>
            <wp:effectExtent l="0" t="0" r="0" b="0"/>
            <wp:docPr id="123" name="Image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01" descr=""/>
                    <pic:cNvPicPr>
                      <a:picLocks noChangeAspect="1" noChangeArrowheads="1"/>
                    </pic:cNvPicPr>
                  </pic:nvPicPr>
                  <pic:blipFill>
                    <a:blip r:embed="rId125"/>
                    <a:srcRect l="-111" t="-210" r="-111" b="-210"/>
                    <a:stretch>
                      <a:fillRect/>
                    </a:stretch>
                  </pic:blipFill>
                  <pic:spPr bwMode="auto">
                    <a:xfrm>
                      <a:off x="0" y="0"/>
                      <a:ext cx="323850" cy="171450"/>
                    </a:xfrm>
                    <a:prstGeom prst="rect">
                      <a:avLst/>
                    </a:prstGeom>
                  </pic:spPr>
                </pic:pic>
              </a:graphicData>
            </a:graphic>
          </wp:inline>
        </w:drawing>
      </w:r>
      <w:r>
        <w:rPr>
          <w:position w:val="-8"/>
        </w:rPr>
      </w:r>
      <w:r>
        <w:rPr>
          <w:position w:val="-8"/>
        </w:rPr>
        <w:fldChar w:fldCharType="end"/>
      </w:r>
      <w:r>
        <w:rPr/>
        <w:t>,30 points) shall be calculated. Individual interior averages for each of these three sides (</w:t>
      </w:r>
      <w:r>
        <w:fldChar w:fldCharType="begin"/>
      </w:r>
      <w:r>
        <w:rPr>
          <w:position w:val="-8"/>
        </w:rPr>
        <w:instrText xml:space="preserve"> QUOTE _x0001_ </w:instrText>
      </w:r>
      <w:r>
        <w:rPr>
          <w:position w:val="-8"/>
        </w:rPr>
      </w:r>
      <w:r>
        <w:rPr>
          <w:position w:val="-8"/>
        </w:rPr>
        <w:fldChar w:fldCharType="separate"/>
      </w:r>
      <w:r>
        <w:rPr>
          <w:position w:val="-8"/>
        </w:rPr>
      </w:r>
      <w:r>
        <w:rPr>
          <w:position w:val="-8"/>
        </w:rPr>
        <w:drawing>
          <wp:inline distT="0" distB="0" distL="0" distR="0">
            <wp:extent cx="228600" cy="171450"/>
            <wp:effectExtent l="0" t="0" r="0" b="0"/>
            <wp:docPr id="124" name="Image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02" descr=""/>
                    <pic:cNvPicPr>
                      <a:picLocks noChangeAspect="1" noChangeArrowheads="1"/>
                    </pic:cNvPicPr>
                  </pic:nvPicPr>
                  <pic:blipFill>
                    <a:blip r:embed="rId126"/>
                    <a:srcRect l="-158" t="-210" r="-158" b="-210"/>
                    <a:stretch>
                      <a:fillRect/>
                    </a:stretch>
                  </pic:blipFill>
                  <pic:spPr bwMode="auto">
                    <a:xfrm>
                      <a:off x="0" y="0"/>
                      <a:ext cx="228600" cy="171450"/>
                    </a:xfrm>
                    <a:prstGeom prst="rect">
                      <a:avLst/>
                    </a:prstGeom>
                  </pic:spPr>
                </pic:pic>
              </a:graphicData>
            </a:graphic>
          </wp:inline>
        </w:drawing>
      </w:r>
      <w:r>
        <w:rPr>
          <w:position w:val="-8"/>
        </w:rPr>
      </w:r>
      <w:r>
        <w:rPr>
          <w:position w:val="-8"/>
        </w:rPr>
        <w:fldChar w:fldCharType="end"/>
      </w:r>
      <w:r>
        <w:rPr/>
        <w:t>,</w:t>
      </w:r>
      <w:r>
        <w:fldChar w:fldCharType="begin"/>
      </w:r>
      <w:r>
        <w:rPr>
          <w:position w:val="-9"/>
        </w:rPr>
        <w:instrText xml:space="preserve"> QUOTE _x0001_ </w:instrText>
      </w:r>
      <w:r>
        <w:rPr>
          <w:position w:val="-9"/>
        </w:rPr>
      </w:r>
      <w:r>
        <w:rPr>
          <w:position w:val="-9"/>
        </w:rPr>
        <w:fldChar w:fldCharType="separate"/>
      </w:r>
      <w:r>
        <w:rPr>
          <w:position w:val="-9"/>
        </w:rPr>
      </w:r>
      <w:r>
        <w:rPr>
          <w:position w:val="-9"/>
        </w:rPr>
        <w:drawing>
          <wp:inline distT="0" distB="0" distL="0" distR="0">
            <wp:extent cx="228600" cy="171450"/>
            <wp:effectExtent l="0" t="0" r="0" b="0"/>
            <wp:docPr id="125" name="Image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03" descr=""/>
                    <pic:cNvPicPr>
                      <a:picLocks noChangeAspect="1" noChangeArrowheads="1"/>
                    </pic:cNvPicPr>
                  </pic:nvPicPr>
                  <pic:blipFill>
                    <a:blip r:embed="rId127"/>
                    <a:srcRect l="-158" t="-210" r="-158" b="-210"/>
                    <a:stretch>
                      <a:fillRect/>
                    </a:stretch>
                  </pic:blipFill>
                  <pic:spPr bwMode="auto">
                    <a:xfrm>
                      <a:off x="0" y="0"/>
                      <a:ext cx="228600" cy="171450"/>
                    </a:xfrm>
                    <a:prstGeom prst="rect">
                      <a:avLst/>
                    </a:prstGeom>
                  </pic:spPr>
                </pic:pic>
              </a:graphicData>
            </a:graphic>
          </wp:inline>
        </w:drawing>
      </w:r>
      <w:r>
        <w:rPr>
          <w:position w:val="-9"/>
        </w:rPr>
      </w:r>
      <w:r>
        <w:rPr>
          <w:position w:val="-9"/>
        </w:rPr>
        <w:fldChar w:fldCharType="end"/>
      </w:r>
      <w:r>
        <w:rPr/>
        <w:t>,10 points) shall also be calculated.</w:t>
      </w:r>
    </w:p>
    <w:p>
      <w:pPr>
        <w:pStyle w:val="B1"/>
        <w:rPr/>
      </w:pPr>
      <w:r>
        <w:rPr/>
        <w:t>4.</w:t>
        <w:tab/>
        <w:t xml:space="preserve">Relative permittivity and conductivity shall be measured at ten points on the hand phantom exterior. A measurement point shall be located to each fingertip or as close to the tip as applicable. One measurement point shall be located to the back of the hand and one to the inner surface of wrist area. The exterior averages ( </w:t>
      </w:r>
      <w:r>
        <w:fldChar w:fldCharType="begin"/>
      </w:r>
      <w:r>
        <w:rPr>
          <w:position w:val="-11"/>
        </w:rPr>
        <w:instrText xml:space="preserve"> QUOTE _x0001_ </w:instrText>
      </w:r>
      <w:r>
        <w:rPr>
          <w:position w:val="-11"/>
        </w:rPr>
      </w:r>
      <w:r>
        <w:rPr>
          <w:position w:val="-11"/>
        </w:rPr>
        <w:fldChar w:fldCharType="separate"/>
      </w:r>
      <w:r>
        <w:rPr>
          <w:position w:val="-11"/>
        </w:rPr>
      </w:r>
      <w:r>
        <w:rPr>
          <w:position w:val="-11"/>
        </w:rPr>
        <w:drawing>
          <wp:inline distT="0" distB="0" distL="0" distR="0">
            <wp:extent cx="371475" cy="180975"/>
            <wp:effectExtent l="0" t="0" r="0" b="0"/>
            <wp:docPr id="126" name="Image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04" descr=""/>
                    <pic:cNvPicPr>
                      <a:picLocks noChangeAspect="1" noChangeArrowheads="1"/>
                    </pic:cNvPicPr>
                  </pic:nvPicPr>
                  <pic:blipFill>
                    <a:blip r:embed="rId128"/>
                    <a:srcRect l="-97" t="-199" r="-97" b="-199"/>
                    <a:stretch>
                      <a:fillRect/>
                    </a:stretch>
                  </pic:blipFill>
                  <pic:spPr bwMode="auto">
                    <a:xfrm>
                      <a:off x="0" y="0"/>
                      <a:ext cx="371475" cy="180975"/>
                    </a:xfrm>
                    <a:prstGeom prst="rect">
                      <a:avLst/>
                    </a:prstGeom>
                  </pic:spPr>
                </pic:pic>
              </a:graphicData>
            </a:graphic>
          </wp:inline>
        </w:drawing>
      </w:r>
      <w:r>
        <w:rPr>
          <w:position w:val="-11"/>
        </w:rPr>
      </w:r>
      <w:r>
        <w:rPr>
          <w:position w:val="-11"/>
        </w:rPr>
        <w:fldChar w:fldCharType="end"/>
      </w:r>
      <w:r>
        <w:rPr/>
        <w:t>,</w:t>
      </w:r>
      <w:r>
        <w:fldChar w:fldCharType="begin"/>
      </w:r>
      <w:r>
        <w:rPr>
          <w:position w:val="-11"/>
        </w:rPr>
        <w:instrText xml:space="preserve"> QUOTE _x0001_ </w:instrText>
      </w:r>
      <w:r>
        <w:rPr>
          <w:position w:val="-11"/>
        </w:rPr>
      </w:r>
      <w:r>
        <w:rPr>
          <w:position w:val="-11"/>
        </w:rPr>
        <w:fldChar w:fldCharType="separate"/>
      </w:r>
      <w:r>
        <w:rPr>
          <w:position w:val="-11"/>
        </w:rPr>
      </w:r>
      <w:r>
        <w:rPr>
          <w:position w:val="-11"/>
        </w:rPr>
        <w:drawing>
          <wp:inline distT="0" distB="0" distL="0" distR="0">
            <wp:extent cx="361950" cy="180975"/>
            <wp:effectExtent l="0" t="0" r="0" b="0"/>
            <wp:docPr id="127" name="Image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05" descr=""/>
                    <pic:cNvPicPr>
                      <a:picLocks noChangeAspect="1" noChangeArrowheads="1"/>
                    </pic:cNvPicPr>
                  </pic:nvPicPr>
                  <pic:blipFill>
                    <a:blip r:embed="rId129"/>
                    <a:srcRect l="-100" t="-199" r="-100" b="-199"/>
                    <a:stretch>
                      <a:fillRect/>
                    </a:stretch>
                  </pic:blipFill>
                  <pic:spPr bwMode="auto">
                    <a:xfrm>
                      <a:off x="0" y="0"/>
                      <a:ext cx="361950" cy="180975"/>
                    </a:xfrm>
                    <a:prstGeom prst="rect">
                      <a:avLst/>
                    </a:prstGeom>
                  </pic:spPr>
                </pic:pic>
              </a:graphicData>
            </a:graphic>
          </wp:inline>
        </w:drawing>
      </w:r>
      <w:r>
        <w:rPr>
          <w:position w:val="-11"/>
        </w:rPr>
      </w:r>
      <w:r>
        <w:rPr>
          <w:position w:val="-11"/>
        </w:rPr>
        <w:fldChar w:fldCharType="end"/>
      </w:r>
      <w:r>
        <w:rPr/>
        <w:t xml:space="preserve"> , 10 points) and standard deviations (</w:t>
      </w:r>
      <w:r>
        <w:fldChar w:fldCharType="begin"/>
      </w:r>
      <w:r>
        <w:rPr>
          <w:position w:val="-8"/>
        </w:rPr>
        <w:instrText xml:space="preserve"> QUOTE _x0001_ </w:instrText>
      </w:r>
      <w:r>
        <w:rPr>
          <w:position w:val="-8"/>
        </w:rPr>
      </w:r>
      <w:r>
        <w:rPr>
          <w:position w:val="-8"/>
        </w:rPr>
        <w:fldChar w:fldCharType="separate"/>
      </w:r>
      <w:r>
        <w:rPr>
          <w:position w:val="-8"/>
        </w:rPr>
      </w:r>
      <w:r>
        <w:rPr>
          <w:position w:val="-8"/>
        </w:rPr>
        <w:drawing>
          <wp:inline distT="0" distB="0" distL="0" distR="0">
            <wp:extent cx="352425" cy="171450"/>
            <wp:effectExtent l="0" t="0" r="0" b="0"/>
            <wp:docPr id="128" name="Image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06" descr=""/>
                    <pic:cNvPicPr>
                      <a:picLocks noChangeAspect="1" noChangeArrowheads="1"/>
                    </pic:cNvPicPr>
                  </pic:nvPicPr>
                  <pic:blipFill>
                    <a:blip r:embed="rId130"/>
                    <a:srcRect l="-102" t="-210" r="-102" b="-210"/>
                    <a:stretch>
                      <a:fillRect/>
                    </a:stretch>
                  </pic:blipFill>
                  <pic:spPr bwMode="auto">
                    <a:xfrm>
                      <a:off x="0" y="0"/>
                      <a:ext cx="352425" cy="171450"/>
                    </a:xfrm>
                    <a:prstGeom prst="rect">
                      <a:avLst/>
                    </a:prstGeom>
                  </pic:spPr>
                </pic:pic>
              </a:graphicData>
            </a:graphic>
          </wp:inline>
        </w:drawing>
      </w:r>
      <w:r>
        <w:rPr>
          <w:position w:val="-8"/>
        </w:rPr>
      </w:r>
      <w:r>
        <w:rPr>
          <w:position w:val="-8"/>
        </w:rPr>
        <w:fldChar w:fldCharType="end"/>
      </w:r>
      <w:r>
        <w:rPr/>
        <w:t>,</w:t>
      </w:r>
      <w:r>
        <w:fldChar w:fldCharType="begin"/>
      </w:r>
      <w:r>
        <w:rPr>
          <w:position w:val="-8"/>
        </w:rPr>
        <w:instrText xml:space="preserve"> QUOTE _x0001_ </w:instrText>
      </w:r>
      <w:r>
        <w:rPr>
          <w:position w:val="-8"/>
        </w:rPr>
      </w:r>
      <w:r>
        <w:rPr>
          <w:position w:val="-8"/>
        </w:rPr>
        <w:fldChar w:fldCharType="separate"/>
      </w:r>
      <w:r>
        <w:rPr>
          <w:position w:val="-8"/>
        </w:rPr>
      </w:r>
      <w:r>
        <w:rPr>
          <w:position w:val="-8"/>
        </w:rPr>
        <w:drawing>
          <wp:inline distT="0" distB="0" distL="0" distR="0">
            <wp:extent cx="342900" cy="171450"/>
            <wp:effectExtent l="0" t="0" r="0" b="0"/>
            <wp:docPr id="129" name="Image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07" descr=""/>
                    <pic:cNvPicPr>
                      <a:picLocks noChangeAspect="1" noChangeArrowheads="1"/>
                    </pic:cNvPicPr>
                  </pic:nvPicPr>
                  <pic:blipFill>
                    <a:blip r:embed="rId131"/>
                    <a:srcRect l="-105" t="-210" r="-105" b="-210"/>
                    <a:stretch>
                      <a:fillRect/>
                    </a:stretch>
                  </pic:blipFill>
                  <pic:spPr bwMode="auto">
                    <a:xfrm>
                      <a:off x="0" y="0"/>
                      <a:ext cx="342900" cy="171450"/>
                    </a:xfrm>
                    <a:prstGeom prst="rect">
                      <a:avLst/>
                    </a:prstGeom>
                  </pic:spPr>
                </pic:pic>
              </a:graphicData>
            </a:graphic>
          </wp:inline>
        </w:drawing>
      </w:r>
      <w:r>
        <w:rPr>
          <w:position w:val="-8"/>
        </w:rPr>
      </w:r>
      <w:r>
        <w:rPr>
          <w:position w:val="-8"/>
        </w:rPr>
        <w:fldChar w:fldCharType="end"/>
      </w:r>
      <w:r>
        <w:rPr/>
        <w:t xml:space="preserve">, 10 points) calculated accordingly. </w:t>
      </w:r>
    </w:p>
    <w:p>
      <w:pPr>
        <w:pStyle w:val="B1"/>
        <w:rPr/>
      </w:pPr>
      <w:r>
        <w:rPr/>
        <w:t>5.</w:t>
        <w:tab/>
        <w:t>The total averages (</w:t>
      </w:r>
      <w:r>
        <w:fldChar w:fldCharType="begin"/>
      </w:r>
      <w:r>
        <w:rPr>
          <w:position w:val="-8"/>
        </w:rPr>
        <w:instrText xml:space="preserve"> QUOTE _x0001_ </w:instrText>
      </w:r>
      <w:r>
        <w:rPr>
          <w:position w:val="-8"/>
        </w:rPr>
      </w:r>
      <w:r>
        <w:rPr>
          <w:position w:val="-8"/>
        </w:rPr>
        <w:fldChar w:fldCharType="separate"/>
      </w:r>
      <w:r>
        <w:rPr>
          <w:position w:val="-8"/>
        </w:rPr>
      </w:r>
      <w:r>
        <w:rPr>
          <w:position w:val="-8"/>
        </w:rPr>
        <w:drawing>
          <wp:inline distT="0" distB="0" distL="0" distR="0">
            <wp:extent cx="228600" cy="161925"/>
            <wp:effectExtent l="0" t="0" r="0" b="0"/>
            <wp:docPr id="130" name="Image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08" descr=""/>
                    <pic:cNvPicPr>
                      <a:picLocks noChangeAspect="1" noChangeArrowheads="1"/>
                    </pic:cNvPicPr>
                  </pic:nvPicPr>
                  <pic:blipFill>
                    <a:blip r:embed="rId132"/>
                    <a:srcRect l="-158" t="-223" r="-158" b="-223"/>
                    <a:stretch>
                      <a:fillRect/>
                    </a:stretch>
                  </pic:blipFill>
                  <pic:spPr bwMode="auto">
                    <a:xfrm>
                      <a:off x="0" y="0"/>
                      <a:ext cx="228600" cy="161925"/>
                    </a:xfrm>
                    <a:prstGeom prst="rect">
                      <a:avLst/>
                    </a:prstGeom>
                  </pic:spPr>
                </pic:pic>
              </a:graphicData>
            </a:graphic>
          </wp:inline>
        </w:drawing>
      </w:r>
      <w:r>
        <w:rPr>
          <w:position w:val="-8"/>
        </w:rPr>
      </w:r>
      <w:r>
        <w:rPr>
          <w:position w:val="-8"/>
        </w:rPr>
        <w:fldChar w:fldCharType="end"/>
      </w:r>
      <w:r>
        <w:rPr/>
        <w:t xml:space="preserve"> , </w:t>
      </w:r>
      <w:r>
        <w:fldChar w:fldCharType="begin"/>
      </w:r>
      <w:r>
        <w:rPr>
          <w:position w:val="-8"/>
        </w:rPr>
        <w:instrText xml:space="preserve"> QUOTE _x0001_ </w:instrText>
      </w:r>
      <w:r>
        <w:rPr>
          <w:position w:val="-8"/>
        </w:rPr>
      </w:r>
      <w:r>
        <w:rPr>
          <w:position w:val="-8"/>
        </w:rPr>
        <w:fldChar w:fldCharType="separate"/>
      </w:r>
      <w:r>
        <w:rPr>
          <w:position w:val="-8"/>
        </w:rPr>
      </w:r>
      <w:r>
        <w:rPr>
          <w:position w:val="-8"/>
        </w:rPr>
        <w:drawing>
          <wp:inline distT="0" distB="0" distL="0" distR="0">
            <wp:extent cx="238125" cy="161925"/>
            <wp:effectExtent l="0" t="0" r="0" b="0"/>
            <wp:docPr id="131" name="Image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09" descr=""/>
                    <pic:cNvPicPr>
                      <a:picLocks noChangeAspect="1" noChangeArrowheads="1"/>
                    </pic:cNvPicPr>
                  </pic:nvPicPr>
                  <pic:blipFill>
                    <a:blip r:embed="rId133"/>
                    <a:srcRect l="-151" t="-223" r="-151" b="-223"/>
                    <a:stretch>
                      <a:fillRect/>
                    </a:stretch>
                  </pic:blipFill>
                  <pic:spPr bwMode="auto">
                    <a:xfrm>
                      <a:off x="0" y="0"/>
                      <a:ext cx="238125" cy="161925"/>
                    </a:xfrm>
                    <a:prstGeom prst="rect">
                      <a:avLst/>
                    </a:prstGeom>
                  </pic:spPr>
                </pic:pic>
              </a:graphicData>
            </a:graphic>
          </wp:inline>
        </w:drawing>
      </w:r>
      <w:r>
        <w:rPr>
          <w:position w:val="-8"/>
        </w:rPr>
      </w:r>
      <w:r>
        <w:rPr>
          <w:position w:val="-8"/>
        </w:rPr>
        <w:fldChar w:fldCharType="end"/>
      </w:r>
      <w:r>
        <w:rPr/>
        <w:t xml:space="preserve">) shall be calculated as the average of exterior and interior values by either evaluating all data points or using equations : </w:t>
      </w:r>
      <w:r>
        <w:fldChar w:fldCharType="begin"/>
      </w:r>
      <w:r>
        <w:rPr>
          <w:position w:val="-11"/>
        </w:rPr>
        <w:instrText xml:space="preserve"> QUOTE _x0001_ </w:instrText>
      </w:r>
      <w:r>
        <w:rPr>
          <w:position w:val="-11"/>
        </w:rPr>
      </w:r>
      <w:r>
        <w:rPr>
          <w:position w:val="-11"/>
        </w:rPr>
        <w:fldChar w:fldCharType="separate"/>
      </w:r>
      <w:r>
        <w:rPr>
          <w:position w:val="-11"/>
        </w:rPr>
      </w:r>
      <w:r>
        <w:rPr>
          <w:position w:val="-11"/>
        </w:rPr>
        <w:drawing>
          <wp:inline distT="0" distB="0" distL="0" distR="0">
            <wp:extent cx="1200150" cy="238125"/>
            <wp:effectExtent l="0" t="0" r="0" b="0"/>
            <wp:docPr id="132" name="Image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10" descr=""/>
                    <pic:cNvPicPr>
                      <a:picLocks noChangeAspect="1" noChangeArrowheads="1"/>
                    </pic:cNvPicPr>
                  </pic:nvPicPr>
                  <pic:blipFill>
                    <a:blip r:embed="rId134"/>
                    <a:srcRect l="-30" t="-151" r="-30" b="-151"/>
                    <a:stretch>
                      <a:fillRect/>
                    </a:stretch>
                  </pic:blipFill>
                  <pic:spPr bwMode="auto">
                    <a:xfrm>
                      <a:off x="0" y="0"/>
                      <a:ext cx="1200150" cy="238125"/>
                    </a:xfrm>
                    <a:prstGeom prst="rect">
                      <a:avLst/>
                    </a:prstGeom>
                  </pic:spPr>
                </pic:pic>
              </a:graphicData>
            </a:graphic>
          </wp:inline>
        </w:drawing>
      </w:r>
      <w:r>
        <w:rPr>
          <w:position w:val="-11"/>
        </w:rPr>
      </w:r>
      <w:r>
        <w:rPr>
          <w:position w:val="-11"/>
        </w:rPr>
        <w:fldChar w:fldCharType="end"/>
      </w:r>
      <w:r>
        <w:rPr/>
        <w:t xml:space="preserve">, </w:t>
      </w:r>
      <w:r>
        <w:fldChar w:fldCharType="begin"/>
      </w:r>
      <w:r>
        <w:rPr>
          <w:position w:val="-11"/>
        </w:rPr>
        <w:instrText xml:space="preserve"> QUOTE _x0001_ </w:instrText>
      </w:r>
      <w:r>
        <w:rPr>
          <w:position w:val="-11"/>
        </w:rPr>
      </w:r>
      <w:r>
        <w:rPr>
          <w:position w:val="-11"/>
        </w:rPr>
        <w:fldChar w:fldCharType="separate"/>
      </w:r>
      <w:r>
        <w:rPr>
          <w:position w:val="-11"/>
        </w:rPr>
      </w:r>
      <w:r>
        <w:rPr>
          <w:position w:val="-11"/>
        </w:rPr>
        <w:drawing>
          <wp:inline distT="0" distB="0" distL="0" distR="0">
            <wp:extent cx="1228725" cy="238125"/>
            <wp:effectExtent l="0" t="0" r="0" b="0"/>
            <wp:docPr id="133" name="Image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111" descr=""/>
                    <pic:cNvPicPr>
                      <a:picLocks noChangeAspect="1" noChangeArrowheads="1"/>
                    </pic:cNvPicPr>
                  </pic:nvPicPr>
                  <pic:blipFill>
                    <a:blip r:embed="rId135"/>
                    <a:srcRect l="-29" t="-151" r="-29" b="-151"/>
                    <a:stretch>
                      <a:fillRect/>
                    </a:stretch>
                  </pic:blipFill>
                  <pic:spPr bwMode="auto">
                    <a:xfrm>
                      <a:off x="0" y="0"/>
                      <a:ext cx="1228725" cy="238125"/>
                    </a:xfrm>
                    <a:prstGeom prst="rect">
                      <a:avLst/>
                    </a:prstGeom>
                  </pic:spPr>
                </pic:pic>
              </a:graphicData>
            </a:graphic>
          </wp:inline>
        </w:drawing>
      </w:r>
      <w:r>
        <w:rPr>
          <w:position w:val="-11"/>
        </w:rPr>
      </w:r>
      <w:r>
        <w:rPr>
          <w:position w:val="-11"/>
        </w:rPr>
        <w:fldChar w:fldCharType="end"/>
      </w:r>
    </w:p>
    <w:p>
      <w:pPr>
        <w:pStyle w:val="B1"/>
        <w:rPr/>
      </w:pPr>
      <w:r>
        <w:rPr/>
        <w:t>6.</w:t>
        <w:tab/>
        <w:t>The total standard deviations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200025" cy="152400"/>
            <wp:effectExtent l="0" t="0" r="0" b="0"/>
            <wp:docPr id="134" name="Image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12" descr=""/>
                    <pic:cNvPicPr>
                      <a:picLocks noChangeAspect="1" noChangeArrowheads="1"/>
                    </pic:cNvPicPr>
                  </pic:nvPicPr>
                  <pic:blipFill>
                    <a:blip r:embed="rId136"/>
                    <a:srcRect l="-180" t="-236" r="-180" b="-236"/>
                    <a:stretch>
                      <a:fillRect/>
                    </a:stretch>
                  </pic:blipFill>
                  <pic:spPr bwMode="auto">
                    <a:xfrm>
                      <a:off x="0" y="0"/>
                      <a:ext cx="200025" cy="152400"/>
                    </a:xfrm>
                    <a:prstGeom prst="rect">
                      <a:avLst/>
                    </a:prstGeom>
                  </pic:spPr>
                </pic:pic>
              </a:graphicData>
            </a:graphic>
          </wp:inline>
        </w:drawing>
      </w:r>
      <w:r>
        <w:rPr>
          <w:position w:val="-5"/>
        </w:rPr>
      </w:r>
      <w:r>
        <w:rPr>
          <w:position w:val="-5"/>
        </w:rPr>
        <w:fldChar w:fldCharType="end"/>
      </w:r>
      <w:r>
        <w:rPr/>
        <w:t xml:space="preserve"> ,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209550" cy="152400"/>
            <wp:effectExtent l="0" t="0" r="0" b="0"/>
            <wp:docPr id="135" name="Image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113" descr=""/>
                    <pic:cNvPicPr>
                      <a:picLocks noChangeAspect="1" noChangeArrowheads="1"/>
                    </pic:cNvPicPr>
                  </pic:nvPicPr>
                  <pic:blipFill>
                    <a:blip r:embed="rId137"/>
                    <a:srcRect l="-172" t="-236" r="-172" b="-236"/>
                    <a:stretch>
                      <a:fillRect/>
                    </a:stretch>
                  </pic:blipFill>
                  <pic:spPr bwMode="auto">
                    <a:xfrm>
                      <a:off x="0" y="0"/>
                      <a:ext cx="209550" cy="152400"/>
                    </a:xfrm>
                    <a:prstGeom prst="rect">
                      <a:avLst/>
                    </a:prstGeom>
                  </pic:spPr>
                </pic:pic>
              </a:graphicData>
            </a:graphic>
          </wp:inline>
        </w:drawing>
      </w:r>
      <w:r>
        <w:rPr>
          <w:position w:val="-5"/>
        </w:rPr>
      </w:r>
      <w:r>
        <w:rPr>
          <w:position w:val="-5"/>
        </w:rPr>
        <w:fldChar w:fldCharType="end"/>
      </w:r>
      <w:r>
        <w:rPr/>
        <w:t xml:space="preserve">) shall be calculated as the statistical combination of exterior and interior values by either evaluating all data points or using equations: </w:t>
      </w:r>
      <w:r>
        <w:fldChar w:fldCharType="begin"/>
      </w:r>
      <w:r>
        <w:rPr>
          <w:position w:val="-17"/>
        </w:rPr>
        <w:instrText xml:space="preserve"> QUOTE _x0001_ </w:instrText>
      </w:r>
      <w:r>
        <w:rPr>
          <w:position w:val="-17"/>
        </w:rPr>
      </w:r>
      <w:r>
        <w:rPr>
          <w:position w:val="-17"/>
        </w:rPr>
        <w:fldChar w:fldCharType="separate"/>
      </w:r>
      <w:r>
        <w:rPr>
          <w:position w:val="-17"/>
        </w:rPr>
      </w:r>
      <w:r>
        <w:rPr>
          <w:position w:val="-17"/>
        </w:rPr>
        <w:drawing>
          <wp:inline distT="0" distB="0" distL="0" distR="0">
            <wp:extent cx="3142615" cy="314325"/>
            <wp:effectExtent l="0" t="0" r="0" b="0"/>
            <wp:docPr id="136" name="Image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14" descr=""/>
                    <pic:cNvPicPr>
                      <a:picLocks noChangeAspect="1" noChangeArrowheads="1"/>
                    </pic:cNvPicPr>
                  </pic:nvPicPr>
                  <pic:blipFill>
                    <a:blip r:embed="rId138"/>
                    <a:srcRect l="-11" t="-115" r="-11" b="-115"/>
                    <a:stretch>
                      <a:fillRect/>
                    </a:stretch>
                  </pic:blipFill>
                  <pic:spPr bwMode="auto">
                    <a:xfrm>
                      <a:off x="0" y="0"/>
                      <a:ext cx="3142615" cy="314325"/>
                    </a:xfrm>
                    <a:prstGeom prst="rect">
                      <a:avLst/>
                    </a:prstGeom>
                  </pic:spPr>
                </pic:pic>
              </a:graphicData>
            </a:graphic>
          </wp:inline>
        </w:drawing>
      </w:r>
      <w:r>
        <w:rPr>
          <w:position w:val="-17"/>
        </w:rPr>
      </w:r>
      <w:r>
        <w:rPr>
          <w:position w:val="-17"/>
        </w:rPr>
        <w:fldChar w:fldCharType="end"/>
      </w:r>
      <w:r>
        <w:rPr/>
        <w:t xml:space="preserve">, </w:t>
      </w:r>
      <w:r>
        <w:fldChar w:fldCharType="begin"/>
      </w:r>
      <w:r>
        <w:rPr>
          <w:position w:val="-17"/>
        </w:rPr>
        <w:instrText xml:space="preserve"> QUOTE _x0001_ </w:instrText>
      </w:r>
      <w:r>
        <w:rPr>
          <w:position w:val="-17"/>
        </w:rPr>
      </w:r>
      <w:r>
        <w:rPr>
          <w:position w:val="-17"/>
        </w:rPr>
        <w:fldChar w:fldCharType="separate"/>
      </w:r>
      <w:r>
        <w:rPr>
          <w:position w:val="-17"/>
        </w:rPr>
      </w:r>
      <w:r>
        <w:rPr>
          <w:position w:val="-17"/>
        </w:rPr>
        <w:drawing>
          <wp:inline distT="0" distB="0" distL="0" distR="0">
            <wp:extent cx="3209290" cy="314325"/>
            <wp:effectExtent l="0" t="0" r="0" b="0"/>
            <wp:docPr id="137" name="Image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15" descr=""/>
                    <pic:cNvPicPr>
                      <a:picLocks noChangeAspect="1" noChangeArrowheads="1"/>
                    </pic:cNvPicPr>
                  </pic:nvPicPr>
                  <pic:blipFill>
                    <a:blip r:embed="rId139"/>
                    <a:srcRect l="-11" t="-115" r="-11" b="-115"/>
                    <a:stretch>
                      <a:fillRect/>
                    </a:stretch>
                  </pic:blipFill>
                  <pic:spPr bwMode="auto">
                    <a:xfrm>
                      <a:off x="0" y="0"/>
                      <a:ext cx="3209290" cy="314325"/>
                    </a:xfrm>
                    <a:prstGeom prst="rect">
                      <a:avLst/>
                    </a:prstGeom>
                  </pic:spPr>
                </pic:pic>
              </a:graphicData>
            </a:graphic>
          </wp:inline>
        </w:drawing>
      </w:r>
      <w:r>
        <w:rPr>
          <w:position w:val="-17"/>
        </w:rPr>
      </w:r>
      <w:r>
        <w:rPr>
          <w:position w:val="-17"/>
        </w:rPr>
        <w:fldChar w:fldCharType="end"/>
      </w:r>
    </w:p>
    <w:p>
      <w:pPr>
        <w:pStyle w:val="B1"/>
        <w:rPr/>
      </w:pPr>
      <w:r>
        <w:rPr/>
        <w:t>7.</w:t>
        <w:tab/>
        <w:t>The hands are acceptable for radiated performance testing, i.e., meet the minimal requirements, if</w:t>
      </w:r>
    </w:p>
    <w:p>
      <w:pPr>
        <w:pStyle w:val="B2"/>
        <w:rPr/>
      </w:pPr>
      <w:r>
        <w:rPr/>
        <w:t>a.</w:t>
        <w:tab/>
        <w:t xml:space="preserve"> </w:t>
      </w:r>
      <w:r>
        <w:fldChar w:fldCharType="begin"/>
      </w:r>
      <w:r>
        <w:rPr>
          <w:position w:val="-8"/>
        </w:rPr>
        <w:instrText xml:space="preserve"> QUOTE _x0001_ </w:instrText>
      </w:r>
      <w:r>
        <w:rPr>
          <w:position w:val="-8"/>
        </w:rPr>
      </w:r>
      <w:r>
        <w:rPr>
          <w:position w:val="-8"/>
        </w:rPr>
        <w:fldChar w:fldCharType="separate"/>
      </w:r>
      <w:r>
        <w:rPr>
          <w:position w:val="-8"/>
        </w:rPr>
      </w:r>
      <w:r>
        <w:rPr>
          <w:position w:val="-8"/>
        </w:rPr>
        <w:drawing>
          <wp:inline distT="0" distB="0" distL="0" distR="0">
            <wp:extent cx="257175" cy="161925"/>
            <wp:effectExtent l="0" t="0" r="0" b="0"/>
            <wp:docPr id="138" name="Image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16" descr=""/>
                    <pic:cNvPicPr>
                      <a:picLocks noChangeAspect="1" noChangeArrowheads="1"/>
                    </pic:cNvPicPr>
                  </pic:nvPicPr>
                  <pic:blipFill>
                    <a:blip r:embed="rId140"/>
                    <a:srcRect l="-140" t="-223" r="-140" b="-223"/>
                    <a:stretch>
                      <a:fillRect/>
                    </a:stretch>
                  </pic:blipFill>
                  <pic:spPr bwMode="auto">
                    <a:xfrm>
                      <a:off x="0" y="0"/>
                      <a:ext cx="257175" cy="161925"/>
                    </a:xfrm>
                    <a:prstGeom prst="rect">
                      <a:avLst/>
                    </a:prstGeom>
                  </pic:spPr>
                </pic:pic>
              </a:graphicData>
            </a:graphic>
          </wp:inline>
        </w:drawing>
      </w:r>
      <w:r>
        <w:rPr>
          <w:position w:val="-8"/>
        </w:rPr>
      </w:r>
      <w:r>
        <w:rPr>
          <w:position w:val="-8"/>
        </w:rPr>
        <w:fldChar w:fldCharType="end"/>
      </w:r>
      <w:r>
        <w:rPr/>
        <w:t>deviate by less than 15% from the target values</w:t>
      </w:r>
    </w:p>
    <w:p>
      <w:pPr>
        <w:pStyle w:val="B2"/>
        <w:rPr/>
      </w:pPr>
      <w:r>
        <w:rPr/>
        <w:t>b.</w:t>
        <w:tab/>
      </w:r>
      <w:r>
        <w:fldChar w:fldCharType="begin"/>
      </w:r>
      <w:r>
        <w:rPr>
          <w:position w:val="-8"/>
        </w:rPr>
        <w:instrText xml:space="preserve"> QUOTE _x0001_ </w:instrText>
      </w:r>
      <w:r>
        <w:rPr>
          <w:position w:val="-8"/>
        </w:rPr>
      </w:r>
      <w:r>
        <w:rPr>
          <w:position w:val="-8"/>
        </w:rPr>
        <w:fldChar w:fldCharType="separate"/>
      </w:r>
      <w:r>
        <w:rPr>
          <w:position w:val="-8"/>
        </w:rPr>
      </w:r>
      <w:r>
        <w:rPr>
          <w:position w:val="-8"/>
        </w:rPr>
        <w:drawing>
          <wp:inline distT="0" distB="0" distL="0" distR="0">
            <wp:extent cx="238125" cy="161925"/>
            <wp:effectExtent l="0" t="0" r="0" b="0"/>
            <wp:docPr id="139" name="Image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117" descr=""/>
                    <pic:cNvPicPr>
                      <a:picLocks noChangeAspect="1" noChangeArrowheads="1"/>
                    </pic:cNvPicPr>
                  </pic:nvPicPr>
                  <pic:blipFill>
                    <a:blip r:embed="rId141"/>
                    <a:srcRect l="-151" t="-223" r="-151" b="-223"/>
                    <a:stretch>
                      <a:fillRect/>
                    </a:stretch>
                  </pic:blipFill>
                  <pic:spPr bwMode="auto">
                    <a:xfrm>
                      <a:off x="0" y="0"/>
                      <a:ext cx="238125" cy="161925"/>
                    </a:xfrm>
                    <a:prstGeom prst="rect">
                      <a:avLst/>
                    </a:prstGeom>
                  </pic:spPr>
                </pic:pic>
              </a:graphicData>
            </a:graphic>
          </wp:inline>
        </w:drawing>
      </w:r>
      <w:r>
        <w:rPr>
          <w:position w:val="-8"/>
        </w:rPr>
      </w:r>
      <w:r>
        <w:rPr>
          <w:position w:val="-8"/>
        </w:rPr>
        <w:fldChar w:fldCharType="end"/>
      </w:r>
      <w:r>
        <w:rPr/>
        <w:t>deviate by less than 25% from the target values</w:t>
      </w:r>
    </w:p>
    <w:p>
      <w:pPr>
        <w:pStyle w:val="B2"/>
        <w:rPr/>
      </w:pPr>
      <w:r>
        <w:rPr/>
        <w:t>c.</w:t>
        <w:tab/>
        <w:t xml:space="preserve">the difference between the averaged permittivity of each 10-point interior surface </w:t>
      </w:r>
      <w:r>
        <w:fldChar w:fldCharType="begin"/>
      </w:r>
      <w:r>
        <w:rPr>
          <w:position w:val="-11"/>
        </w:rPr>
        <w:instrText xml:space="preserve"> QUOTE _x0001_ </w:instrText>
      </w:r>
      <w:r>
        <w:rPr>
          <w:position w:val="-11"/>
        </w:rPr>
      </w:r>
      <w:r>
        <w:rPr>
          <w:position w:val="-11"/>
        </w:rPr>
        <w:fldChar w:fldCharType="separate"/>
      </w:r>
      <w:r>
        <w:rPr>
          <w:position w:val="-11"/>
        </w:rPr>
      </w:r>
      <w:r>
        <w:rPr>
          <w:position w:val="-11"/>
        </w:rPr>
        <w:drawing>
          <wp:inline distT="0" distB="0" distL="0" distR="0">
            <wp:extent cx="361950" cy="180975"/>
            <wp:effectExtent l="0" t="0" r="0" b="0"/>
            <wp:docPr id="140" name="Image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18" descr=""/>
                    <pic:cNvPicPr>
                      <a:picLocks noChangeAspect="1" noChangeArrowheads="1"/>
                    </pic:cNvPicPr>
                  </pic:nvPicPr>
                  <pic:blipFill>
                    <a:blip r:embed="rId142"/>
                    <a:srcRect l="-100" t="-199" r="-100" b="-199"/>
                    <a:stretch>
                      <a:fillRect/>
                    </a:stretch>
                  </pic:blipFill>
                  <pic:spPr bwMode="auto">
                    <a:xfrm>
                      <a:off x="0" y="0"/>
                      <a:ext cx="361950" cy="180975"/>
                    </a:xfrm>
                    <a:prstGeom prst="rect">
                      <a:avLst/>
                    </a:prstGeom>
                  </pic:spPr>
                </pic:pic>
              </a:graphicData>
            </a:graphic>
          </wp:inline>
        </w:drawing>
      </w:r>
      <w:r>
        <w:rPr>
          <w:position w:val="-11"/>
        </w:rPr>
      </w:r>
      <w:r>
        <w:rPr>
          <w:position w:val="-11"/>
        </w:rPr>
        <w:fldChar w:fldCharType="end"/>
      </w:r>
      <w:r>
        <w:rPr/>
        <w:t xml:space="preserve"> deviates by less than 10% and </w:t>
      </w:r>
      <w:r>
        <w:fldChar w:fldCharType="begin"/>
      </w:r>
      <w:r>
        <w:rPr>
          <w:position w:val="-11"/>
        </w:rPr>
        <w:instrText xml:space="preserve"> QUOTE _x0001_ </w:instrText>
      </w:r>
      <w:r>
        <w:rPr>
          <w:position w:val="-11"/>
        </w:rPr>
      </w:r>
      <w:r>
        <w:rPr>
          <w:position w:val="-11"/>
        </w:rPr>
        <w:fldChar w:fldCharType="separate"/>
      </w:r>
      <w:r>
        <w:rPr>
          <w:position w:val="-11"/>
        </w:rPr>
      </w:r>
      <w:r>
        <w:rPr>
          <w:position w:val="-11"/>
        </w:rPr>
        <w:drawing>
          <wp:inline distT="0" distB="0" distL="0" distR="0">
            <wp:extent cx="371475" cy="180975"/>
            <wp:effectExtent l="0" t="0" r="0" b="0"/>
            <wp:docPr id="141" name="Image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19" descr=""/>
                    <pic:cNvPicPr>
                      <a:picLocks noChangeAspect="1" noChangeArrowheads="1"/>
                    </pic:cNvPicPr>
                  </pic:nvPicPr>
                  <pic:blipFill>
                    <a:blip r:embed="rId143"/>
                    <a:srcRect l="-97" t="-199" r="-97" b="-199"/>
                    <a:stretch>
                      <a:fillRect/>
                    </a:stretch>
                  </pic:blipFill>
                  <pic:spPr bwMode="auto">
                    <a:xfrm>
                      <a:off x="0" y="0"/>
                      <a:ext cx="371475" cy="180975"/>
                    </a:xfrm>
                    <a:prstGeom prst="rect">
                      <a:avLst/>
                    </a:prstGeom>
                  </pic:spPr>
                </pic:pic>
              </a:graphicData>
            </a:graphic>
          </wp:inline>
        </w:drawing>
      </w:r>
      <w:r>
        <w:rPr>
          <w:position w:val="-11"/>
        </w:rPr>
      </w:r>
      <w:r>
        <w:rPr>
          <w:position w:val="-11"/>
        </w:rPr>
        <w:fldChar w:fldCharType="end"/>
      </w:r>
      <w:r>
        <w:rPr/>
        <w:t xml:space="preserve"> by less than 20% from the total average </w:t>
      </w:r>
      <w:r>
        <w:fldChar w:fldCharType="begin"/>
      </w:r>
      <w:r>
        <w:rPr>
          <w:position w:val="-8"/>
        </w:rPr>
        <w:instrText xml:space="preserve"> QUOTE _x0001_ </w:instrText>
      </w:r>
      <w:r>
        <w:rPr>
          <w:position w:val="-8"/>
        </w:rPr>
      </w:r>
      <w:r>
        <w:rPr>
          <w:position w:val="-8"/>
        </w:rPr>
        <w:fldChar w:fldCharType="separate"/>
      </w:r>
      <w:r>
        <w:rPr>
          <w:position w:val="-8"/>
        </w:rPr>
      </w:r>
      <w:r>
        <w:rPr>
          <w:position w:val="-8"/>
        </w:rPr>
        <w:drawing>
          <wp:inline distT="0" distB="0" distL="0" distR="0">
            <wp:extent cx="228600" cy="161925"/>
            <wp:effectExtent l="0" t="0" r="0" b="0"/>
            <wp:docPr id="142" name="Image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20" descr=""/>
                    <pic:cNvPicPr>
                      <a:picLocks noChangeAspect="1" noChangeArrowheads="1"/>
                    </pic:cNvPicPr>
                  </pic:nvPicPr>
                  <pic:blipFill>
                    <a:blip r:embed="rId144"/>
                    <a:srcRect l="-158" t="-223" r="-158" b="-223"/>
                    <a:stretch>
                      <a:fillRect/>
                    </a:stretch>
                  </pic:blipFill>
                  <pic:spPr bwMode="auto">
                    <a:xfrm>
                      <a:off x="0" y="0"/>
                      <a:ext cx="228600" cy="161925"/>
                    </a:xfrm>
                    <a:prstGeom prst="rect">
                      <a:avLst/>
                    </a:prstGeom>
                  </pic:spPr>
                </pic:pic>
              </a:graphicData>
            </a:graphic>
          </wp:inline>
        </w:drawing>
      </w:r>
      <w:r>
        <w:rPr>
          <w:position w:val="-8"/>
        </w:rPr>
      </w:r>
      <w:r>
        <w:rPr>
          <w:position w:val="-8"/>
        </w:rPr>
        <w:fldChar w:fldCharType="end"/>
      </w:r>
    </w:p>
    <w:p>
      <w:pPr>
        <w:pStyle w:val="B2"/>
        <w:rPr/>
      </w:pPr>
      <w:r>
        <w:rPr/>
        <w:t>d.</w:t>
        <w:tab/>
        <w:t xml:space="preserve">the difference between the averaged conductivity of each 10-point interior surface </w:t>
      </w:r>
      <w:r>
        <w:fldChar w:fldCharType="begin"/>
      </w:r>
      <w:r>
        <w:rPr>
          <w:position w:val="-11"/>
        </w:rPr>
        <w:instrText xml:space="preserve"> QUOTE _x0001_ </w:instrText>
      </w:r>
      <w:r>
        <w:rPr>
          <w:position w:val="-11"/>
        </w:rPr>
      </w:r>
      <w:r>
        <w:rPr>
          <w:position w:val="-11"/>
        </w:rPr>
        <w:fldChar w:fldCharType="separate"/>
      </w:r>
      <w:r>
        <w:rPr>
          <w:position w:val="-11"/>
        </w:rPr>
      </w:r>
      <w:r>
        <w:rPr>
          <w:position w:val="-11"/>
        </w:rPr>
        <w:drawing>
          <wp:inline distT="0" distB="0" distL="0" distR="0">
            <wp:extent cx="352425" cy="180975"/>
            <wp:effectExtent l="0" t="0" r="0" b="0"/>
            <wp:docPr id="143" name="Image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121" descr=""/>
                    <pic:cNvPicPr>
                      <a:picLocks noChangeAspect="1" noChangeArrowheads="1"/>
                    </pic:cNvPicPr>
                  </pic:nvPicPr>
                  <pic:blipFill>
                    <a:blip r:embed="rId145"/>
                    <a:srcRect l="-102" t="-199" r="-102" b="-199"/>
                    <a:stretch>
                      <a:fillRect/>
                    </a:stretch>
                  </pic:blipFill>
                  <pic:spPr bwMode="auto">
                    <a:xfrm>
                      <a:off x="0" y="0"/>
                      <a:ext cx="352425" cy="180975"/>
                    </a:xfrm>
                    <a:prstGeom prst="rect">
                      <a:avLst/>
                    </a:prstGeom>
                  </pic:spPr>
                </pic:pic>
              </a:graphicData>
            </a:graphic>
          </wp:inline>
        </w:drawing>
      </w:r>
      <w:r>
        <w:rPr>
          <w:position w:val="-11"/>
        </w:rPr>
      </w:r>
      <w:r>
        <w:rPr>
          <w:position w:val="-11"/>
        </w:rPr>
        <w:fldChar w:fldCharType="end"/>
      </w:r>
      <w:r>
        <w:rPr/>
        <w:t xml:space="preserve"> deviates by less than 20% and </w:t>
      </w:r>
      <w:r>
        <w:fldChar w:fldCharType="begin"/>
      </w:r>
      <w:r>
        <w:rPr>
          <w:position w:val="-11"/>
        </w:rPr>
        <w:instrText xml:space="preserve"> QUOTE _x0001_ </w:instrText>
      </w:r>
      <w:r>
        <w:rPr>
          <w:position w:val="-11"/>
        </w:rPr>
      </w:r>
      <w:r>
        <w:rPr>
          <w:position w:val="-11"/>
        </w:rPr>
        <w:fldChar w:fldCharType="separate"/>
      </w:r>
      <w:r>
        <w:rPr>
          <w:position w:val="-11"/>
        </w:rPr>
      </w:r>
      <w:r>
        <w:rPr>
          <w:position w:val="-11"/>
        </w:rPr>
        <w:drawing>
          <wp:inline distT="0" distB="0" distL="0" distR="0">
            <wp:extent cx="361950" cy="180975"/>
            <wp:effectExtent l="0" t="0" r="0" b="0"/>
            <wp:docPr id="144" name="Image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22" descr=""/>
                    <pic:cNvPicPr>
                      <a:picLocks noChangeAspect="1" noChangeArrowheads="1"/>
                    </pic:cNvPicPr>
                  </pic:nvPicPr>
                  <pic:blipFill>
                    <a:blip r:embed="rId146"/>
                    <a:srcRect l="-100" t="-199" r="-100" b="-199"/>
                    <a:stretch>
                      <a:fillRect/>
                    </a:stretch>
                  </pic:blipFill>
                  <pic:spPr bwMode="auto">
                    <a:xfrm>
                      <a:off x="0" y="0"/>
                      <a:ext cx="361950" cy="180975"/>
                    </a:xfrm>
                    <a:prstGeom prst="rect">
                      <a:avLst/>
                    </a:prstGeom>
                  </pic:spPr>
                </pic:pic>
              </a:graphicData>
            </a:graphic>
          </wp:inline>
        </w:drawing>
      </w:r>
      <w:r>
        <w:rPr>
          <w:position w:val="-11"/>
        </w:rPr>
      </w:r>
      <w:r>
        <w:rPr>
          <w:position w:val="-11"/>
        </w:rPr>
        <w:fldChar w:fldCharType="end"/>
      </w:r>
      <w:r>
        <w:rPr/>
        <w:t xml:space="preserve"> by less than 30% from the total average </w:t>
      </w:r>
      <w:r>
        <w:fldChar w:fldCharType="begin"/>
      </w:r>
      <w:r>
        <w:rPr>
          <w:position w:val="-8"/>
        </w:rPr>
        <w:instrText xml:space="preserve"> QUOTE _x0001_ </w:instrText>
      </w:r>
      <w:r>
        <w:rPr>
          <w:position w:val="-8"/>
        </w:rPr>
      </w:r>
      <w:r>
        <w:rPr>
          <w:position w:val="-8"/>
        </w:rPr>
        <w:fldChar w:fldCharType="separate"/>
      </w:r>
      <w:r>
        <w:rPr>
          <w:position w:val="-8"/>
        </w:rPr>
      </w:r>
      <w:r>
        <w:rPr>
          <w:position w:val="-8"/>
        </w:rPr>
        <w:drawing>
          <wp:inline distT="0" distB="0" distL="0" distR="0">
            <wp:extent cx="238125" cy="161925"/>
            <wp:effectExtent l="0" t="0" r="0" b="0"/>
            <wp:docPr id="145" name="Image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123" descr=""/>
                    <pic:cNvPicPr>
                      <a:picLocks noChangeAspect="1" noChangeArrowheads="1"/>
                    </pic:cNvPicPr>
                  </pic:nvPicPr>
                  <pic:blipFill>
                    <a:blip r:embed="rId147"/>
                    <a:srcRect l="-151" t="-223" r="-151" b="-223"/>
                    <a:stretch>
                      <a:fillRect/>
                    </a:stretch>
                  </pic:blipFill>
                  <pic:spPr bwMode="auto">
                    <a:xfrm>
                      <a:off x="0" y="0"/>
                      <a:ext cx="238125" cy="161925"/>
                    </a:xfrm>
                    <a:prstGeom prst="rect">
                      <a:avLst/>
                    </a:prstGeom>
                  </pic:spPr>
                </pic:pic>
              </a:graphicData>
            </a:graphic>
          </wp:inline>
        </w:drawing>
      </w:r>
      <w:r>
        <w:rPr>
          <w:position w:val="-8"/>
        </w:rPr>
      </w:r>
      <w:r>
        <w:rPr>
          <w:position w:val="-8"/>
        </w:rPr>
        <w:fldChar w:fldCharType="end"/>
      </w:r>
    </w:p>
    <w:p>
      <w:pPr>
        <w:pStyle w:val="B2"/>
        <w:rPr/>
      </w:pPr>
      <w:r>
        <w:rPr/>
        <w:t>e.</w:t>
        <w:tab/>
        <w:t xml:space="preserve">the standard deviation of the combined measurements (30 interior points and 10 exterior points) is less than 20% for permittivity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200025" cy="152400"/>
            <wp:effectExtent l="0" t="0" r="0" b="0"/>
            <wp:docPr id="146" name="Image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24" descr=""/>
                    <pic:cNvPicPr>
                      <a:picLocks noChangeAspect="1" noChangeArrowheads="1"/>
                    </pic:cNvPicPr>
                  </pic:nvPicPr>
                  <pic:blipFill>
                    <a:blip r:embed="rId148"/>
                    <a:srcRect l="-180" t="-236" r="-180" b="-236"/>
                    <a:stretch>
                      <a:fillRect/>
                    </a:stretch>
                  </pic:blipFill>
                  <pic:spPr bwMode="auto">
                    <a:xfrm>
                      <a:off x="0" y="0"/>
                      <a:ext cx="200025" cy="152400"/>
                    </a:xfrm>
                    <a:prstGeom prst="rect">
                      <a:avLst/>
                    </a:prstGeom>
                  </pic:spPr>
                </pic:pic>
              </a:graphicData>
            </a:graphic>
          </wp:inline>
        </w:drawing>
      </w:r>
      <w:r>
        <w:rPr>
          <w:position w:val="-5"/>
        </w:rPr>
      </w:r>
      <w:r>
        <w:rPr>
          <w:position w:val="-5"/>
        </w:rPr>
        <w:fldChar w:fldCharType="end"/>
      </w:r>
      <w:r>
        <w:rPr/>
        <w:t xml:space="preserve"> and less than 40% for conductivity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209550" cy="152400"/>
            <wp:effectExtent l="0" t="0" r="0" b="0"/>
            <wp:docPr id="147" name="Image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25" descr=""/>
                    <pic:cNvPicPr>
                      <a:picLocks noChangeAspect="1" noChangeArrowheads="1"/>
                    </pic:cNvPicPr>
                  </pic:nvPicPr>
                  <pic:blipFill>
                    <a:blip r:embed="rId149"/>
                    <a:srcRect l="-172" t="-236" r="-172" b="-236"/>
                    <a:stretch>
                      <a:fillRect/>
                    </a:stretch>
                  </pic:blipFill>
                  <pic:spPr bwMode="auto">
                    <a:xfrm>
                      <a:off x="0" y="0"/>
                      <a:ext cx="209550" cy="152400"/>
                    </a:xfrm>
                    <a:prstGeom prst="rect">
                      <a:avLst/>
                    </a:prstGeom>
                  </pic:spPr>
                </pic:pic>
              </a:graphicData>
            </a:graphic>
          </wp:inline>
        </w:drawing>
      </w:r>
      <w:r>
        <w:rPr>
          <w:position w:val="-5"/>
        </w:rPr>
      </w:r>
      <w:r>
        <w:rPr>
          <w:position w:val="-5"/>
        </w:rPr>
        <w:fldChar w:fldCharType="end"/>
      </w:r>
    </w:p>
    <w:p>
      <w:pPr>
        <w:pStyle w:val="B1"/>
        <w:rPr/>
      </w:pPr>
      <w:r>
        <w:rPr/>
        <w:t>8.</w:t>
        <w:tab/>
        <w:t xml:space="preserve">For the hands meeting the minimal requirements of step 7, the following approximations shall be used to determine the hand uncertainty due to dielectric properties. </w:t>
      </w:r>
    </w:p>
    <w:p>
      <w:pPr>
        <w:pStyle w:val="B1"/>
        <w:rPr/>
      </w:pPr>
      <w:r>
        <w:rPr/>
        <w:tab/>
      </w:r>
      <w:r>
        <w:rPr/>
        <w:drawing>
          <wp:inline distT="0" distB="0" distL="0" distR="0">
            <wp:extent cx="3285490" cy="361950"/>
            <wp:effectExtent l="0" t="0" r="0" b="0"/>
            <wp:docPr id="148" name="Image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26" descr=""/>
                    <pic:cNvPicPr>
                      <a:picLocks noChangeAspect="1" noChangeArrowheads="1"/>
                    </pic:cNvPicPr>
                  </pic:nvPicPr>
                  <pic:blipFill>
                    <a:blip r:embed="rId150"/>
                    <a:srcRect l="-11" t="-100" r="-11" b="-100"/>
                    <a:stretch>
                      <a:fillRect/>
                    </a:stretch>
                  </pic:blipFill>
                  <pic:spPr bwMode="auto">
                    <a:xfrm>
                      <a:off x="0" y="0"/>
                      <a:ext cx="3285490" cy="361950"/>
                    </a:xfrm>
                    <a:prstGeom prst="rect">
                      <a:avLst/>
                    </a:prstGeom>
                  </pic:spPr>
                </pic:pic>
              </a:graphicData>
            </a:graphic>
          </wp:inline>
        </w:drawing>
      </w:r>
    </w:p>
    <w:p>
      <w:pPr>
        <w:pStyle w:val="B1"/>
        <w:rPr/>
      </w:pPr>
      <w:r>
        <w:rPr/>
        <w:tab/>
      </w:r>
      <w:r>
        <w:rPr/>
        <w:drawing>
          <wp:inline distT="0" distB="0" distL="0" distR="0">
            <wp:extent cx="3333115" cy="361950"/>
            <wp:effectExtent l="0" t="0" r="0" b="0"/>
            <wp:docPr id="149" name="Image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127" descr=""/>
                    <pic:cNvPicPr>
                      <a:picLocks noChangeAspect="1" noChangeArrowheads="1"/>
                    </pic:cNvPicPr>
                  </pic:nvPicPr>
                  <pic:blipFill>
                    <a:blip r:embed="rId151"/>
                    <a:srcRect l="-11" t="-100" r="-11" b="-100"/>
                    <a:stretch>
                      <a:fillRect/>
                    </a:stretch>
                  </pic:blipFill>
                  <pic:spPr bwMode="auto">
                    <a:xfrm>
                      <a:off x="0" y="0"/>
                      <a:ext cx="3333115" cy="361950"/>
                    </a:xfrm>
                    <a:prstGeom prst="rect">
                      <a:avLst/>
                    </a:prstGeom>
                  </pic:spPr>
                </pic:pic>
              </a:graphicData>
            </a:graphic>
          </wp:inline>
        </w:drawing>
      </w:r>
    </w:p>
    <w:p>
      <w:pPr>
        <w:pStyle w:val="B1"/>
        <w:tabs>
          <w:tab w:val="left" w:pos="284" w:leader="none"/>
        </w:tabs>
        <w:ind w:left="284" w:hanging="0"/>
        <w:rPr/>
      </w:pPr>
      <w:r>
        <w:fldChar w:fldCharType="begin"/>
      </w:r>
      <w:r>
        <w:rPr>
          <w:position w:val="-8"/>
        </w:rPr>
        <w:instrText xml:space="preserve"> QUOTE _x0001_ </w:instrText>
      </w:r>
      <w:r>
        <w:rPr>
          <w:position w:val="-8"/>
        </w:rPr>
      </w:r>
      <w:r>
        <w:rPr>
          <w:position w:val="-8"/>
        </w:rPr>
        <w:fldChar w:fldCharType="separate"/>
      </w:r>
      <w:r>
        <w:rPr>
          <w:position w:val="-8"/>
        </w:rPr>
      </w:r>
      <w:r>
        <w:rPr>
          <w:position w:val="-8"/>
        </w:rPr>
        <w:drawing>
          <wp:inline distT="0" distB="0" distL="0" distR="0">
            <wp:extent cx="304800" cy="161925"/>
            <wp:effectExtent l="0" t="0" r="0" b="0"/>
            <wp:docPr id="150" name="Image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28" descr=""/>
                    <pic:cNvPicPr>
                      <a:picLocks noChangeAspect="1" noChangeArrowheads="1"/>
                    </pic:cNvPicPr>
                  </pic:nvPicPr>
                  <pic:blipFill>
                    <a:blip r:embed="rId152"/>
                    <a:srcRect l="-118" t="-223" r="-118" b="-223"/>
                    <a:stretch>
                      <a:fillRect/>
                    </a:stretch>
                  </pic:blipFill>
                  <pic:spPr bwMode="auto">
                    <a:xfrm>
                      <a:off x="0" y="0"/>
                      <a:ext cx="304800" cy="161925"/>
                    </a:xfrm>
                    <a:prstGeom prst="rect">
                      <a:avLst/>
                    </a:prstGeom>
                  </pic:spPr>
                </pic:pic>
              </a:graphicData>
            </a:graphic>
          </wp:inline>
        </w:drawing>
      </w:r>
      <w:r>
        <w:rPr>
          <w:position w:val="-8"/>
        </w:rPr>
      </w:r>
      <w:r>
        <w:rPr>
          <w:position w:val="-8"/>
        </w:rPr>
        <w:fldChar w:fldCharType="end"/>
      </w:r>
      <w:r>
        <w:rPr/>
        <w:t xml:space="preserve"> ,</w:t>
      </w:r>
      <w:r>
        <w:fldChar w:fldCharType="begin"/>
      </w:r>
      <w:r>
        <w:rPr>
          <w:position w:val="-8"/>
        </w:rPr>
        <w:instrText xml:space="preserve"> QUOTE _x0001_ </w:instrText>
      </w:r>
      <w:r>
        <w:rPr>
          <w:position w:val="-8"/>
        </w:rPr>
      </w:r>
      <w:r>
        <w:rPr>
          <w:position w:val="-8"/>
        </w:rPr>
        <w:fldChar w:fldCharType="separate"/>
      </w:r>
      <w:r>
        <w:rPr>
          <w:position w:val="-8"/>
        </w:rPr>
      </w:r>
      <w:r>
        <w:rPr>
          <w:position w:val="-8"/>
        </w:rPr>
        <w:drawing>
          <wp:inline distT="0" distB="0" distL="0" distR="0">
            <wp:extent cx="314325" cy="161925"/>
            <wp:effectExtent l="0" t="0" r="0" b="0"/>
            <wp:docPr id="151" name="Image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129" descr=""/>
                    <pic:cNvPicPr>
                      <a:picLocks noChangeAspect="1" noChangeArrowheads="1"/>
                    </pic:cNvPicPr>
                  </pic:nvPicPr>
                  <pic:blipFill>
                    <a:blip r:embed="rId153"/>
                    <a:srcRect l="-115" t="-223" r="-115" b="-223"/>
                    <a:stretch>
                      <a:fillRect/>
                    </a:stretch>
                  </pic:blipFill>
                  <pic:spPr bwMode="auto">
                    <a:xfrm>
                      <a:off x="0" y="0"/>
                      <a:ext cx="314325" cy="161925"/>
                    </a:xfrm>
                    <a:prstGeom prst="rect">
                      <a:avLst/>
                    </a:prstGeom>
                  </pic:spPr>
                </pic:pic>
              </a:graphicData>
            </a:graphic>
          </wp:inline>
        </w:drawing>
      </w:r>
      <w:r>
        <w:rPr>
          <w:position w:val="-8"/>
        </w:rPr>
      </w:r>
      <w:r>
        <w:rPr>
          <w:position w:val="-8"/>
        </w:rPr>
        <w:fldChar w:fldCharType="end"/>
      </w:r>
      <w:r>
        <w:rPr/>
        <w:t xml:space="preserve">,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200025" cy="152400"/>
            <wp:effectExtent l="0" t="0" r="0" b="0"/>
            <wp:docPr id="152" name="Image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30" descr=""/>
                    <pic:cNvPicPr>
                      <a:picLocks noChangeAspect="1" noChangeArrowheads="1"/>
                    </pic:cNvPicPr>
                  </pic:nvPicPr>
                  <pic:blipFill>
                    <a:blip r:embed="rId154"/>
                    <a:srcRect l="-180" t="-236" r="-180" b="-236"/>
                    <a:stretch>
                      <a:fillRect/>
                    </a:stretch>
                  </pic:blipFill>
                  <pic:spPr bwMode="auto">
                    <a:xfrm>
                      <a:off x="0" y="0"/>
                      <a:ext cx="200025" cy="152400"/>
                    </a:xfrm>
                    <a:prstGeom prst="rect">
                      <a:avLst/>
                    </a:prstGeom>
                  </pic:spPr>
                </pic:pic>
              </a:graphicData>
            </a:graphic>
          </wp:inline>
        </w:drawing>
      </w:r>
      <w:r>
        <w:rPr>
          <w:position w:val="-5"/>
        </w:rPr>
      </w:r>
      <w:r>
        <w:rPr>
          <w:position w:val="-5"/>
        </w:rPr>
        <w:fldChar w:fldCharType="end"/>
      </w:r>
      <w:r>
        <w:rPr/>
        <w:t xml:space="preserve"> ,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209550" cy="152400"/>
            <wp:effectExtent l="0" t="0" r="0" b="0"/>
            <wp:docPr id="153" name="Image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131" descr=""/>
                    <pic:cNvPicPr>
                      <a:picLocks noChangeAspect="1" noChangeArrowheads="1"/>
                    </pic:cNvPicPr>
                  </pic:nvPicPr>
                  <pic:blipFill>
                    <a:blip r:embed="rId155"/>
                    <a:srcRect l="-172" t="-236" r="-172" b="-236"/>
                    <a:stretch>
                      <a:fillRect/>
                    </a:stretch>
                  </pic:blipFill>
                  <pic:spPr bwMode="auto">
                    <a:xfrm>
                      <a:off x="0" y="0"/>
                      <a:ext cx="209550" cy="152400"/>
                    </a:xfrm>
                    <a:prstGeom prst="rect">
                      <a:avLst/>
                    </a:prstGeom>
                  </pic:spPr>
                </pic:pic>
              </a:graphicData>
            </a:graphic>
          </wp:inline>
        </w:drawing>
      </w:r>
      <w:r>
        <w:rPr>
          <w:position w:val="-5"/>
        </w:rPr>
      </w:r>
      <w:r>
        <w:rPr>
          <w:position w:val="-5"/>
        </w:rPr>
        <w:fldChar w:fldCharType="end"/>
      </w:r>
      <w:r>
        <w:rPr/>
        <w:t xml:space="preserve"> are the values determined as defined above and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228600" cy="152400"/>
            <wp:effectExtent l="0" t="0" r="0" b="0"/>
            <wp:docPr id="154" name="Image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32" descr=""/>
                    <pic:cNvPicPr>
                      <a:picLocks noChangeAspect="1" noChangeArrowheads="1"/>
                    </pic:cNvPicPr>
                  </pic:nvPicPr>
                  <pic:blipFill>
                    <a:blip r:embed="rId156"/>
                    <a:srcRect l="-158" t="-236" r="-158" b="-236"/>
                    <a:stretch>
                      <a:fillRect/>
                    </a:stretch>
                  </pic:blipFill>
                  <pic:spPr bwMode="auto">
                    <a:xfrm>
                      <a:off x="0" y="0"/>
                      <a:ext cx="228600" cy="152400"/>
                    </a:xfrm>
                    <a:prstGeom prst="rect">
                      <a:avLst/>
                    </a:prstGeom>
                  </pic:spPr>
                </pic:pic>
              </a:graphicData>
            </a:graphic>
          </wp:inline>
        </w:drawing>
      </w:r>
      <w:r>
        <w:rPr>
          <w:position w:val="-5"/>
        </w:rPr>
      </w:r>
      <w:r>
        <w:rPr>
          <w:position w:val="-5"/>
        </w:rPr>
        <w:fldChar w:fldCharType="end"/>
      </w:r>
      <w:r>
        <w:rPr/>
        <w:t xml:space="preserve">and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238125" cy="152400"/>
            <wp:effectExtent l="0" t="0" r="0" b="0"/>
            <wp:docPr id="155" name="Image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133" descr=""/>
                    <pic:cNvPicPr>
                      <a:picLocks noChangeAspect="1" noChangeArrowheads="1"/>
                    </pic:cNvPicPr>
                  </pic:nvPicPr>
                  <pic:blipFill>
                    <a:blip r:embed="rId157"/>
                    <a:srcRect l="-151" t="-236" r="-151" b="-236"/>
                    <a:stretch>
                      <a:fillRect/>
                    </a:stretch>
                  </pic:blipFill>
                  <pic:spPr bwMode="auto">
                    <a:xfrm>
                      <a:off x="0" y="0"/>
                      <a:ext cx="238125" cy="152400"/>
                    </a:xfrm>
                    <a:prstGeom prst="rect">
                      <a:avLst/>
                    </a:prstGeom>
                  </pic:spPr>
                </pic:pic>
              </a:graphicData>
            </a:graphic>
          </wp:inline>
        </w:drawing>
      </w:r>
      <w:r>
        <w:rPr>
          <w:position w:val="-5"/>
        </w:rPr>
      </w:r>
      <w:r>
        <w:rPr>
          <w:position w:val="-5"/>
        </w:rPr>
        <w:fldChar w:fldCharType="end"/>
      </w:r>
      <w:r>
        <w:rPr/>
        <w:t>are expanded measurement uncertainties (k = 2) of the dielectric parameter measurement method. The cube will be provided together with the hand such that the user can evaluate if the interior (cube) properties of the hand has degenerated over time by performing the test above. Coefficient c</w:t>
      </w:r>
      <w:r>
        <w:rPr>
          <w:vertAlign w:val="subscript"/>
        </w:rPr>
        <w:t>1</w:t>
      </w:r>
      <w:r>
        <w:rPr/>
        <w:t xml:space="preserve"> =0.78, c</w:t>
      </w:r>
      <w:r>
        <w:rPr>
          <w:vertAlign w:val="subscript"/>
        </w:rPr>
        <w:t>2</w:t>
      </w:r>
      <w:r>
        <w:rPr/>
        <w:t xml:space="preserve"> = 0.39 and a</w:t>
      </w:r>
      <w:r>
        <w:rPr>
          <w:vertAlign w:val="subscript"/>
        </w:rPr>
        <w:t>1</w:t>
      </w:r>
      <w:r>
        <w:rPr/>
        <w:t xml:space="preserve"> = 0.50 were determined by numeric simulations.</w:t>
      </w:r>
    </w:p>
    <w:p>
      <w:pPr>
        <w:pStyle w:val="Normal"/>
        <w:rPr/>
      </w:pPr>
      <w:r>
        <w:rPr/>
        <w:t>In case the hand phantoms are manufactured within CAD models, the tolerance is 2% and therefore the effects shape errors are negligible. If the tolerance is larger, a numerical study must be conducted.</w:t>
      </w:r>
    </w:p>
    <w:p>
      <w:pPr>
        <w:pStyle w:val="Heading3"/>
        <w:rPr/>
      </w:pPr>
      <w:bookmarkStart w:id="515" w:name="__RefHeading___Toc68601422"/>
      <w:bookmarkEnd w:id="515"/>
      <w:r>
        <w:rPr/>
        <w:t>E.13.4</w:t>
        <w:tab/>
        <w:t>Uncertainty from using different types of Laptop Ground Plane phantom</w:t>
      </w:r>
    </w:p>
    <w:p>
      <w:pPr>
        <w:pStyle w:val="Normal"/>
        <w:rPr/>
      </w:pPr>
      <w:r>
        <w:rPr/>
        <w:t>This uncertainty contribution originates from the fact that different laboratories may use different variations of Laptop Ground Plane phantom. The standard Laptop Ground Plane is the specified phantom.</w:t>
      </w:r>
    </w:p>
    <w:p>
      <w:pPr>
        <w:pStyle w:val="Heading2"/>
        <w:rPr/>
      </w:pPr>
      <w:bookmarkStart w:id="516" w:name="__RefHeading___Toc68601423"/>
      <w:bookmarkEnd w:id="516"/>
      <w:r>
        <w:rPr/>
        <w:t>E.14</w:t>
        <w:tab/>
        <w:t>Coarse sampling grid</w:t>
      </w:r>
    </w:p>
    <w:p>
      <w:pPr>
        <w:pStyle w:val="Normal"/>
        <w:rPr/>
      </w:pPr>
      <w:r>
        <w:rPr/>
        <w:t xml:space="preserve">Degreasing of sampling density to finite amount of samples affects the measurement uncertainty by two different errors. First is due to inadequate number of samples and second is a systematic discrimination approximation error in TRP and TRS equations. </w:t>
      </w:r>
    </w:p>
    <w:p>
      <w:pPr>
        <w:pStyle w:val="Normal"/>
        <w:rPr/>
      </w:pPr>
      <w:r>
        <w:rPr/>
        <w:t>Figure E.14-1 shows simulated sampling grid errors for typical 3G UE. Approximation error is not included. Simulations are based on thin plate surface interpolation of real radiation patters, measured beside a phantom head.</w:t>
      </w:r>
    </w:p>
    <w:p>
      <w:pPr>
        <w:pStyle w:val="TH"/>
        <w:rPr/>
      </w:pPr>
      <w:r>
        <w:rPr/>
        <w:drawing>
          <wp:inline distT="0" distB="0" distL="0" distR="0">
            <wp:extent cx="5031105" cy="3088640"/>
            <wp:effectExtent l="0" t="0" r="0" b="0"/>
            <wp:docPr id="156" name="Image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34" descr=""/>
                    <pic:cNvPicPr>
                      <a:picLocks noChangeAspect="1" noChangeArrowheads="1"/>
                    </pic:cNvPicPr>
                  </pic:nvPicPr>
                  <pic:blipFill>
                    <a:blip r:embed="rId158"/>
                    <a:srcRect l="-7" t="-11" r="-7" b="-11"/>
                    <a:stretch>
                      <a:fillRect/>
                    </a:stretch>
                  </pic:blipFill>
                  <pic:spPr bwMode="auto">
                    <a:xfrm>
                      <a:off x="0" y="0"/>
                      <a:ext cx="5031105" cy="3088640"/>
                    </a:xfrm>
                    <a:prstGeom prst="rect">
                      <a:avLst/>
                    </a:prstGeom>
                  </pic:spPr>
                </pic:pic>
              </a:graphicData>
            </a:graphic>
          </wp:inline>
        </w:drawing>
      </w:r>
    </w:p>
    <w:p>
      <w:pPr>
        <w:pStyle w:val="TF"/>
        <w:rPr/>
      </w:pPr>
      <w:r>
        <w:rPr/>
        <w:t xml:space="preserve">Figure E.14-1: Simulated TPR/TRS error </w:t>
      </w:r>
      <w:bookmarkStart w:id="517" w:name="OLE_LINK9"/>
      <w:bookmarkStart w:id="518" w:name="OLE_LINK8"/>
      <w:r>
        <w:rPr/>
        <w:t>as a function of sampling grid</w:t>
      </w:r>
      <w:bookmarkEnd w:id="517"/>
      <w:bookmarkEnd w:id="518"/>
    </w:p>
    <w:p>
      <w:pPr>
        <w:pStyle w:val="Normal"/>
        <w:rPr/>
      </w:pPr>
      <w:r>
        <w:rPr/>
      </w:r>
    </w:p>
    <w:p>
      <w:pPr>
        <w:pStyle w:val="Normal"/>
        <w:rPr/>
      </w:pPr>
      <w:r>
        <w:rPr/>
        <w:t>The offset of systematic approximation error can be expressed by using formula</w:t>
      </w:r>
    </w:p>
    <w:p>
      <w:pPr>
        <w:pStyle w:val="EQ"/>
        <w:rPr/>
      </w:pPr>
      <w:r>
        <w:rPr>
          <w:lang w:val="en-GB" w:eastAsia="en-GB"/>
        </w:rPr>
        <w:tab/>
      </w:r>
      <w:r>
        <w:rPr>
          <w:lang w:val="en-GB" w:eastAsia="en-GB"/>
        </w:rPr>
      </w:r>
      <m:oMath xmlns:m="http://schemas.openxmlformats.org/officeDocument/2006/math">
        <m:r>
          <m:rPr>
            <m:lit/>
            <m:nor/>
          </m:rPr>
          <w:rPr>
            <w:rFonts w:ascii="Cambria Math" w:hAnsi="Cambria Math"/>
          </w:rPr>
          <m:t xml:space="preserve">Offset</m:t>
        </m:r>
        <m:r>
          <w:rPr>
            <w:rFonts w:ascii="Cambria Math" w:hAnsi="Cambria Math"/>
          </w:rPr>
          <m:t xml:space="preserve">=</m:t>
        </m:r>
        <m:r>
          <m:rPr>
            <m:lit/>
            <m:nor/>
          </m:rPr>
          <w:rPr>
            <w:rFonts w:ascii="Cambria Math" w:hAnsi="Cambria Math"/>
          </w:rPr>
          <m:t xml:space="preserve">10</m:t>
        </m:r>
        <m:r>
          <w:rPr>
            <w:rFonts w:ascii="Cambria Math" w:hAnsi="Cambria Math"/>
          </w:rPr>
          <m:t xml:space="preserve">⋅</m:t>
        </m:r>
        <m:r>
          <m:rPr>
            <m:lit/>
            <m:nor/>
          </m:rPr>
          <w:rPr>
            <w:rFonts w:ascii="Cambria Math" w:hAnsi="Cambria Math"/>
          </w:rPr>
          <m:t xml:space="preserve">log</m:t>
        </m:r>
        <m:r>
          <m:rPr>
            <m:lit/>
            <m:nor/>
          </m:rPr>
          <w:rPr>
            <w:rFonts w:ascii="Cambria Math" w:hAnsi="Cambria Math"/>
          </w:rPr>
          <m:t xml:space="preserve">10</m:t>
        </m:r>
        <m:d>
          <m:dPr>
            <m:begChr m:val="("/>
            <m:endChr m:val=")"/>
          </m:dPr>
          <m:e>
            <m:f>
              <m:num>
                <m:r>
                  <w:rPr>
                    <w:rFonts w:ascii="Cambria Math" w:hAnsi="Cambria Math"/>
                  </w:rPr>
                  <m:t xml:space="preserve">π</m:t>
                </m:r>
              </m:num>
              <m:den>
                <m:r>
                  <w:rPr>
                    <w:rFonts w:ascii="Cambria Math" w:hAnsi="Cambria Math"/>
                  </w:rPr>
                  <m:t xml:space="preserve">2</m:t>
                </m:r>
                <m:r>
                  <w:rPr>
                    <w:rFonts w:ascii="Cambria Math" w:hAnsi="Cambria Math"/>
                  </w:rPr>
                  <m:t xml:space="preserve">N</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m:rPr>
                    <m:lit/>
                    <m:nor/>
                  </m:rPr>
                  <w:rPr>
                    <w:rFonts w:ascii="Cambria Math" w:hAnsi="Cambria Math"/>
                  </w:rPr>
                  <m:t xml:space="preserve">sin</m:t>
                </m:r>
                <m:d>
                  <m:dPr>
                    <m:begChr m:val="("/>
                    <m:endChr m:val=")"/>
                  </m:dPr>
                  <m:e>
                    <m:sSub>
                      <m:e>
                        <m:r>
                          <w:rPr>
                            <w:rFonts w:ascii="Cambria Math" w:hAnsi="Cambria Math"/>
                          </w:rPr>
                          <m:t xml:space="preserve">θ</m:t>
                        </m:r>
                      </m:e>
                      <m:sub>
                        <m:r>
                          <w:rPr>
                            <w:rFonts w:ascii="Cambria Math" w:hAnsi="Cambria Math"/>
                          </w:rPr>
                          <m:t xml:space="preserve">n</m:t>
                        </m:r>
                      </m:sub>
                    </m:sSub>
                  </m:e>
                </m:d>
              </m:e>
            </m:nary>
          </m:e>
        </m:d>
      </m:oMath>
      <w:r>
        <w:rPr>
          <w:lang w:val="en-GB" w:eastAsia="en-GB"/>
        </w:rPr>
        <w:t>.</w:t>
      </w:r>
    </w:p>
    <w:p>
      <w:pPr>
        <w:pStyle w:val="Normal"/>
        <w:rPr/>
      </w:pPr>
      <w:r>
        <w:rPr/>
        <w:t>where</w:t>
      </w:r>
    </w:p>
    <w:p>
      <w:pPr>
        <w:pStyle w:val="Normal"/>
        <w:rPr/>
      </w:pPr>
      <w:r>
        <w:rPr/>
      </w:r>
      <m:oMath xmlns:m="http://schemas.openxmlformats.org/officeDocument/2006/math">
        <m:r>
          <w:rPr>
            <w:rFonts w:ascii="Cambria Math" w:hAnsi="Cambria Math"/>
          </w:rPr>
          <m:t xml:space="preserve">N</m:t>
        </m:r>
      </m:oMath>
      <w:r>
        <w:rPr/>
        <w:t xml:space="preserve"> </w:t>
      </w:r>
      <w:r>
        <w:rPr/>
        <w:t>is number of angular intervals in elevation,</w:t>
      </w:r>
    </w:p>
    <w:p>
      <w:pPr>
        <w:pStyle w:val="Normal"/>
        <w:rPr/>
      </w:pPr>
      <w:r>
        <w:rPr/>
      </w:r>
      <m:oMath xmlns:m="http://schemas.openxmlformats.org/officeDocument/2006/math">
        <m:sSub>
          <m:e>
            <m:r>
              <w:rPr>
                <w:rFonts w:ascii="Cambria Math" w:hAnsi="Cambria Math"/>
              </w:rPr>
              <m:t xml:space="preserve">θ</m:t>
            </m:r>
          </m:e>
          <m:sub>
            <m:r>
              <w:rPr>
                <w:rFonts w:ascii="Cambria Math" w:hAnsi="Cambria Math"/>
              </w:rPr>
              <m:t xml:space="preserve">n</m:t>
            </m:r>
          </m:sub>
        </m:sSub>
      </m:oMath>
      <w:r>
        <w:rPr/>
        <w:t xml:space="preserve"> </w:t>
      </w:r>
      <w:r>
        <w:rPr/>
        <w:t>is elevation.</w:t>
      </w:r>
    </w:p>
    <w:p>
      <w:pPr>
        <w:pStyle w:val="TH"/>
        <w:rPr/>
      </w:pPr>
      <w:r>
        <w:rPr/>
        <w:drawing>
          <wp:inline distT="0" distB="0" distL="0" distR="0">
            <wp:extent cx="5031105" cy="3079750"/>
            <wp:effectExtent l="0" t="0" r="0" b="0"/>
            <wp:docPr id="157" name="Image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135" descr=""/>
                    <pic:cNvPicPr>
                      <a:picLocks noChangeAspect="1" noChangeArrowheads="1"/>
                    </pic:cNvPicPr>
                  </pic:nvPicPr>
                  <pic:blipFill>
                    <a:blip r:embed="rId159"/>
                    <a:srcRect l="-7" t="-11" r="-7" b="-11"/>
                    <a:stretch>
                      <a:fillRect/>
                    </a:stretch>
                  </pic:blipFill>
                  <pic:spPr bwMode="auto">
                    <a:xfrm>
                      <a:off x="0" y="0"/>
                      <a:ext cx="5031105" cy="3079750"/>
                    </a:xfrm>
                    <a:prstGeom prst="rect">
                      <a:avLst/>
                    </a:prstGeom>
                  </pic:spPr>
                </pic:pic>
              </a:graphicData>
            </a:graphic>
          </wp:inline>
        </w:drawing>
      </w:r>
    </w:p>
    <w:p>
      <w:pPr>
        <w:pStyle w:val="TF"/>
        <w:rPr/>
      </w:pPr>
      <w:r>
        <w:rPr/>
        <w:t>Figure E.14-2: Approximation error of TRP/TRS</w:t>
      </w:r>
    </w:p>
    <w:p>
      <w:pPr>
        <w:pStyle w:val="Normal"/>
        <w:rPr/>
      </w:pPr>
      <w:r>
        <w:rPr/>
      </w:r>
    </w:p>
    <w:p>
      <w:pPr>
        <w:pStyle w:val="Normal"/>
        <w:rPr/>
      </w:pPr>
      <w:r>
        <w:rPr/>
        <w:t>The 10</w:t>
      </w:r>
      <w:r>
        <w:rPr>
          <w:rFonts w:eastAsia="Symbol" w:cs="Symbol" w:ascii="Symbol" w:hAnsi="Symbol"/>
        </w:rPr>
        <w:t></w:t>
      </w:r>
      <w:r>
        <w:rPr/>
        <w:t xml:space="preserve"> or 15</w:t>
      </w:r>
      <w:r>
        <w:rPr>
          <w:rFonts w:eastAsia="Symbol" w:cs="Symbol" w:ascii="Symbol" w:hAnsi="Symbol"/>
        </w:rPr>
        <w:t></w:t>
      </w:r>
      <w:r>
        <w:rPr/>
        <w:t xml:space="preserve"> sampling grid used in TRP measurements has been shown to introduce only very small differences as compared to the results obtained with denser grids, so with that sampling grid the uncertainty contribution can assumed negligible.</w:t>
      </w:r>
    </w:p>
    <w:p>
      <w:pPr>
        <w:pStyle w:val="Normal"/>
        <w:rPr/>
      </w:pPr>
      <w:r>
        <w:rPr/>
        <w:t>When using sample step size of 15</w:t>
      </w:r>
      <w:r>
        <w:rPr>
          <w:rFonts w:eastAsia="Symbol" w:cs="Symbol" w:ascii="Symbol" w:hAnsi="Symbol"/>
        </w:rPr>
        <w:t></w:t>
      </w:r>
      <w:r>
        <w:rPr/>
        <w:t xml:space="preserve"> - 30</w:t>
      </w:r>
      <w:r>
        <w:rPr>
          <w:rFonts w:eastAsia="Symbol" w:cs="Symbol" w:ascii="Symbol" w:hAnsi="Symbol"/>
        </w:rPr>
        <w:t></w:t>
      </w:r>
      <w:r>
        <w:rPr/>
        <w:t>, standard uncertainty of 0.15dB can be assumed to cover errors. If step size &gt;30</w:t>
      </w:r>
      <w:r>
        <w:rPr>
          <w:rFonts w:eastAsia="Symbol" w:cs="Symbol" w:ascii="Symbol" w:hAnsi="Symbol"/>
        </w:rPr>
        <w:t></w:t>
      </w:r>
      <w:r>
        <w:rPr/>
        <w:t xml:space="preserve"> is used, larger uncertainty should be considered.</w:t>
      </w:r>
    </w:p>
    <w:p>
      <w:pPr>
        <w:pStyle w:val="NO"/>
        <w:rPr/>
      </w:pPr>
      <w:r>
        <w:rPr/>
        <w:t>NOTE: the simulation results presented here are not usable for irregular sampling grids or in the case of MEG/MERS.</w:t>
      </w:r>
    </w:p>
    <w:p>
      <w:pPr>
        <w:pStyle w:val="Heading2"/>
        <w:rPr/>
      </w:pPr>
      <w:bookmarkStart w:id="519" w:name="__RefHeading___Toc68601424"/>
      <w:bookmarkEnd w:id="519"/>
      <w:r>
        <w:rPr/>
        <w:t>E.15</w:t>
        <w:tab/>
        <w:t>Random uncertainty</w:t>
      </w:r>
    </w:p>
    <w:p>
      <w:pPr>
        <w:pStyle w:val="Normal"/>
        <w:rPr/>
      </w:pPr>
      <w:r>
        <w:rPr/>
        <w:t xml:space="preserve">The random uncertainty characterizes the undefined and miscellaneous effects which cannot be forecasted. One can estimate this type of uncertainty with a repeatability test by making a series of repeated measurement with a reference DUT without changing anything in the measurement set-up. </w:t>
      </w:r>
    </w:p>
    <w:p>
      <w:pPr>
        <w:pStyle w:val="Normal"/>
        <w:rPr/>
      </w:pPr>
      <w:r>
        <w:rPr/>
        <w:t xml:space="preserve">The random uncertainty differs from one laboratory to another. Moreover, each DUT has its own electromagnetic behaviour and random uncertainty. Some uncertainty also occurs from the positioning of the DUT against the SAM phantom, as the DUT cannot be attached exactly in the same way every time. This uncertainty depends on how much the DUT's positioning against the SAM phantom and hand phantoms varies from the specified testing positions. It is noted that the uncertainty of the phone positioning depends on the phone holder and the measurement operator and is in fact difficult to distinguish from random uncertainty. Some uncertainty also occurs from the positioning of the DUT plugged into the Laptop Ground Plane phantom, as the DUT may not be plugged into the USB connector and positioned exactly in the same way every time. This uncertainty depends on how much the DUT's position plugged into the Laptop Ground Plane phantom varies from the specified plug-in position. Therefore, the positioning uncertainty is included in random uncertainty. </w:t>
      </w:r>
    </w:p>
    <w:p>
      <w:pPr>
        <w:pStyle w:val="Normal"/>
        <w:rPr/>
      </w:pPr>
      <w:r>
        <w:rPr/>
        <w:t>To estimate this uncertainty for the SAM phantom, it is suggested to perform at least five evaluations of TRP/TRS whereby the device shall be dismounted and newly positioned with a fully charged battery before each tests. This measurement set has to be carried out in mid channel of lowest and highest frequency bands utilized by the testing lab, for at least three phones with different type of mechanical design. The values have to be normalized by the mean for each measurement set. As a result the uncertainty contribution entered to uncertainty budget is the difference between the maximum and minimum normalized value.</w:t>
      </w:r>
    </w:p>
    <w:p>
      <w:pPr>
        <w:pStyle w:val="Normal"/>
        <w:rPr/>
      </w:pPr>
      <w:r>
        <w:rPr/>
        <w:t>With head and hand phantoms, random uncertainty evaluation may be done separately for each measurement configuration i.e. head only, browsing mode or speech mode. A speech mode random uncertainty evaluation, were both head and hand phantoms are used, can reasonably be considered to be the worst-case scenario and thus random uncertainties in other configurations to be less.</w:t>
      </w:r>
    </w:p>
    <w:p>
      <w:pPr>
        <w:pStyle w:val="Normal"/>
        <w:rPr/>
      </w:pPr>
      <w:r>
        <w:rPr/>
        <w:t xml:space="preserve">To estimate this uncertainty for the Laptop Ground Plane phantom, it is suggested to perform at least five evaluations of TRP/TRS for the plug-in position whereby the device shall be dismounted and newly positioned before each tests. This measurement set has to be carried out in mid channel of lowest and highest frequency bands utilized by the testing lab, for at least three USBs with different type of mechanical design. The values have to be normalized by the mean for each measurement set. As a result the uncertainty contribution entered to uncertainty budget is the difference between the maximum and minimum normalized value. </w:t>
      </w:r>
    </w:p>
    <w:p>
      <w:pPr>
        <w:pStyle w:val="Heading2"/>
        <w:rPr/>
      </w:pPr>
      <w:bookmarkStart w:id="520" w:name="__RefHeading___Toc68601425"/>
      <w:bookmarkEnd w:id="520"/>
      <w:r>
        <w:rPr/>
        <w:t>E.16</w:t>
        <w:tab/>
        <w:t>Uncertainty of network analyzer</w:t>
      </w:r>
    </w:p>
    <w:p>
      <w:pPr>
        <w:pStyle w:val="Normal"/>
        <w:rPr/>
      </w:pPr>
      <w:r>
        <w:rPr/>
        <w:t>This uncertainty includes the all uncertainties involved in the S21 measurement with a network analyzer, and will be calculated from the manufacturer's data in logs with a rectangular distribution, unless otherwise informed, (see clause 5.1.2 in [26]).</w:t>
      </w:r>
    </w:p>
    <w:p>
      <w:pPr>
        <w:pStyle w:val="Heading2"/>
        <w:rPr/>
      </w:pPr>
      <w:bookmarkStart w:id="521" w:name="__RefHeading___Toc68601426"/>
      <w:bookmarkEnd w:id="521"/>
      <w:r>
        <w:rPr/>
        <w:t>E.17</w:t>
        <w:tab/>
        <w:t>Uncertainty of the gain/efficiency of the calibration antenna</w:t>
      </w:r>
    </w:p>
    <w:p>
      <w:pPr>
        <w:pStyle w:val="Normal"/>
        <w:rPr/>
      </w:pPr>
      <w:r>
        <w:rPr/>
        <w:t>The calibration antenna only appears in Stage 2. Therefore, the gain/efficiency uncertainty has to be taken into account.</w:t>
      </w:r>
    </w:p>
    <w:p>
      <w:pPr>
        <w:pStyle w:val="Normal"/>
        <w:rPr/>
      </w:pPr>
      <w:r>
        <w:rPr/>
        <w:t xml:space="preserve">This uncertainty will be calculated from the manufacturer's data in logs with a rectangular distribution, </w:t>
      </w:r>
      <w:bookmarkStart w:id="522" w:name="OLE_LINK22"/>
      <w:bookmarkStart w:id="523" w:name="OLE_LINK21"/>
      <w:bookmarkStart w:id="524" w:name="OLE_LINK20"/>
      <w:r>
        <w:rPr/>
        <w:t>unless otherwise informed</w:t>
      </w:r>
      <w:bookmarkEnd w:id="522"/>
      <w:bookmarkEnd w:id="523"/>
      <w:bookmarkEnd w:id="524"/>
      <w:r>
        <w:rPr/>
        <w:t xml:space="preserve"> (see clause 5.1.2 in [26]). </w:t>
      </w:r>
    </w:p>
    <w:p>
      <w:pPr>
        <w:pStyle w:val="Normal"/>
        <w:rPr/>
      </w:pPr>
      <w:r>
        <w:rPr/>
        <w:t>If the manufacturer's data do not give the information, the value has to be checked, see annex A-12 in [27].</w:t>
      </w:r>
    </w:p>
    <w:p>
      <w:pPr>
        <w:pStyle w:val="Heading2"/>
        <w:rPr/>
      </w:pPr>
      <w:bookmarkStart w:id="525" w:name="__RefHeading___Toc68601427"/>
      <w:bookmarkEnd w:id="525"/>
      <w:r>
        <w:rPr/>
        <w:t>E.18</w:t>
        <w:tab/>
        <w:t>Base station simulator: uncertainty of the absolute level</w:t>
      </w:r>
    </w:p>
    <w:p>
      <w:pPr>
        <w:pStyle w:val="Normal"/>
        <w:rPr/>
      </w:pPr>
      <w:r>
        <w:rPr/>
        <w:t>The transmitter device (typically a BS Simulator) is used to drive a signal to the horn antenna in sensitivity tests either as an absolute level or as a relative level. Receiving device used is typically a UE/MS. Generally there occurs uncertainty contribution from limited absolute level accuracy and non-linearity of the BS Simulator.</w:t>
      </w:r>
    </w:p>
    <w:p>
      <w:pPr>
        <w:pStyle w:val="Normal"/>
        <w:rPr/>
      </w:pPr>
      <w:r>
        <w:rPr/>
        <w:t>For practical reasons, the calibration measurement (Stage 2) should be only performed with the probe antenna as a receiver. Hence, the uncertainty on the absolute level of the transmitter device cannot be assumed as systematic. This uncertainty should be calculated from the manufacturer's data in logs with a rectangular distribution, unless otherwise informed (see clause 5.1.2 in [26]). Furthermore, the uncertainty of the non-linearity of the device is included in the absolute level uncertainty.</w:t>
      </w:r>
    </w:p>
    <w:p>
      <w:pPr>
        <w:pStyle w:val="Heading2"/>
        <w:rPr/>
      </w:pPr>
      <w:bookmarkStart w:id="526" w:name="__RefHeading___Toc68601428"/>
      <w:bookmarkEnd w:id="526"/>
      <w:r>
        <w:rPr/>
        <w:t>E.19</w:t>
        <w:tab/>
        <w:t>BER measurement: output level step resolution</w:t>
      </w:r>
    </w:p>
    <w:p>
      <w:pPr>
        <w:pStyle w:val="Normal"/>
        <w:rPr/>
      </w:pPr>
      <w:r>
        <w:rPr/>
        <w:t>When output power of the BS simulator is swept to reach the BER target, used power step resolution creates this uncertainty. Output power step used in the BER measurement is divided by factor 2 to obtain the uncertainty with rectangular distribution.</w:t>
      </w:r>
    </w:p>
    <w:p>
      <w:pPr>
        <w:pStyle w:val="Heading2"/>
        <w:rPr/>
      </w:pPr>
      <w:bookmarkStart w:id="527" w:name="__RefHeading___Toc68601429"/>
      <w:bookmarkEnd w:id="527"/>
      <w:r>
        <w:rPr/>
        <w:t>E.20</w:t>
        <w:tab/>
        <w:t>Statistical uncertainty of the BER measurement</w:t>
      </w:r>
    </w:p>
    <w:p>
      <w:pPr>
        <w:pStyle w:val="11BodyText"/>
        <w:ind w:left="0" w:hanging="0"/>
        <w:rPr/>
      </w:pPr>
      <w:r>
        <w:rPr>
          <w:rFonts w:cs="Times New Roman" w:ascii="Times New Roman" w:hAnsi="Times New Roman"/>
          <w:sz w:val="20"/>
          <w:lang w:val="en-GB"/>
        </w:rPr>
        <w:t xml:space="preserve">To study statistical uncertainty of BER measurement, see ETSI document TR 100 028-1, section 6.6 [25]. For a BER target of 1%±0.2% using 20000 bits, uncertainty of 0.19 dB for a single measurement can be used. Using </w:t>
      </w:r>
      <w:bookmarkStart w:id="528" w:name="OLE_LINK17"/>
      <w:bookmarkStart w:id="529" w:name="OLE_LINK16"/>
      <w:r>
        <w:rPr>
          <w:rFonts w:cs="Times New Roman" w:ascii="Times New Roman" w:hAnsi="Times New Roman"/>
          <w:sz w:val="20"/>
          <w:lang w:val="en-GB"/>
        </w:rPr>
        <w:t>a BER target of 10%±2% with 20000 tested bits</w:t>
      </w:r>
      <w:bookmarkEnd w:id="528"/>
      <w:bookmarkEnd w:id="529"/>
      <w:r>
        <w:rPr>
          <w:rFonts w:cs="Times New Roman" w:ascii="Times New Roman" w:hAnsi="Times New Roman"/>
          <w:sz w:val="20"/>
          <w:lang w:val="en-GB"/>
        </w:rPr>
        <w:t xml:space="preserve"> will lead to uncertainty of 0.46dB/single measurement. </w:t>
      </w:r>
    </w:p>
    <w:p>
      <w:pPr>
        <w:pStyle w:val="11BodyText"/>
        <w:ind w:left="0" w:hanging="0"/>
        <w:rPr/>
      </w:pPr>
      <w:r>
        <w:rPr>
          <w:rFonts w:cs="Times New Roman" w:ascii="Times New Roman" w:hAnsi="Times New Roman"/>
          <w:sz w:val="20"/>
          <w:lang w:val="en-GB"/>
        </w:rPr>
        <w:t>For a full TRS measurement with a regular sampling grid, the statistical uncertainty can be approximated by using the following formula:</w:t>
      </w:r>
    </w:p>
    <w:p>
      <w:pPr>
        <w:pStyle w:val="EQ"/>
        <w:rPr/>
      </w:pPr>
      <w:r>
        <w:rPr>
          <w:lang w:val="en-GB" w:eastAsia="en-GB"/>
        </w:rPr>
        <w:tab/>
      </w:r>
      <w:r>
        <w:rPr>
          <w:lang w:val="en-GB" w:eastAsia="en-GB"/>
        </w:rPr>
      </w:r>
      <m:oMath xmlns:m="http://schemas.openxmlformats.org/officeDocument/2006/math">
        <m:sSub>
          <m:e>
            <m:r>
              <w:rPr>
                <w:rFonts w:ascii="Cambria Math" w:hAnsi="Cambria Math"/>
              </w:rPr>
              <m:t xml:space="preserve">U</m:t>
            </m:r>
          </m:e>
          <m:sub>
            <m:r>
              <m:rPr>
                <m:lit/>
                <m:nor/>
              </m:rPr>
              <w:rPr>
                <w:rFonts w:ascii="Cambria Math" w:hAnsi="Cambria Math"/>
              </w:rPr>
              <m:t xml:space="preserve">fullTRS</m:t>
            </m:r>
          </m:sub>
        </m:sSub>
        <m:r>
          <w:rPr>
            <w:rFonts w:ascii="Cambria Math" w:hAnsi="Cambria Math"/>
          </w:rPr>
          <m:t xml:space="preserve">=</m:t>
        </m:r>
        <m:f>
          <m:num>
            <m:sSub>
              <m:e>
                <m:r>
                  <w:rPr>
                    <w:rFonts w:ascii="Cambria Math" w:hAnsi="Cambria Math"/>
                  </w:rPr>
                  <m:t xml:space="preserve">U</m:t>
                </m:r>
              </m:e>
              <m:sub>
                <m:r>
                  <m:rPr>
                    <m:lit/>
                    <m:nor/>
                  </m:rPr>
                  <w:rPr>
                    <w:rFonts w:ascii="Cambria Math" w:hAnsi="Cambria Math"/>
                  </w:rPr>
                  <m:t xml:space="preserve">SingleTRS</m:t>
                </m:r>
              </m:sub>
            </m:sSub>
          </m:num>
          <m:den>
            <m:rad>
              <m:radPr>
                <m:degHide m:val="1"/>
              </m:radPr>
              <m:deg/>
              <m:e>
                <m:r>
                  <w:rPr>
                    <w:rFonts w:ascii="Cambria Math" w:hAnsi="Cambria Math"/>
                  </w:rPr>
                  <m:t xml:space="preserve">N</m:t>
                </m:r>
                <m:r>
                  <w:rPr>
                    <w:rFonts w:ascii="Cambria Math" w:hAnsi="Cambria Math"/>
                  </w:rPr>
                  <m:t xml:space="preserve">/</m:t>
                </m:r>
                <m:r>
                  <w:rPr>
                    <w:rFonts w:ascii="Cambria Math" w:hAnsi="Cambria Math"/>
                  </w:rPr>
                  <m:t xml:space="preserve">4</m:t>
                </m:r>
              </m:e>
            </m:rad>
          </m:den>
        </m:f>
      </m:oMath>
      <w:r>
        <w:rPr>
          <w:lang w:val="en-GB" w:eastAsia="en-GB"/>
        </w:rPr>
        <w:t>,</w:t>
      </w:r>
    </w:p>
    <w:p>
      <w:pPr>
        <w:pStyle w:val="Normal"/>
        <w:rPr/>
      </w:pPr>
      <w:r>
        <w:rPr/>
        <w:t>Where</w:t>
      </w:r>
    </w:p>
    <w:p>
      <w:pPr>
        <w:pStyle w:val="Normal"/>
        <w:rPr/>
      </w:pPr>
      <w:r>
        <w:rPr/>
      </w:r>
      <m:oMath xmlns:m="http://schemas.openxmlformats.org/officeDocument/2006/math">
        <m:sSub>
          <m:e>
            <m:r>
              <w:rPr>
                <w:rFonts w:ascii="Cambria Math" w:hAnsi="Cambria Math"/>
              </w:rPr>
              <m:t xml:space="preserve">U</m:t>
            </m:r>
          </m:e>
          <m:sub>
            <m:r>
              <m:rPr>
                <m:lit/>
                <m:nor/>
              </m:rPr>
              <w:rPr>
                <w:rFonts w:ascii="Cambria Math" w:hAnsi="Cambria Math"/>
              </w:rPr>
              <m:t xml:space="preserve">SingleTRS</m:t>
            </m:r>
          </m:sub>
        </m:sSub>
      </m:oMath>
      <w:r>
        <w:rPr/>
        <w:t xml:space="preserve"> </w:t>
      </w:r>
      <w:r>
        <w:rPr/>
        <w:t>is the statistical uncertainty of single measurement,</w:t>
      </w:r>
    </w:p>
    <w:p>
      <w:pPr>
        <w:pStyle w:val="Normal"/>
        <w:rPr/>
      </w:pPr>
      <w:r>
        <w:rPr/>
      </w:r>
      <m:oMath xmlns:m="http://schemas.openxmlformats.org/officeDocument/2006/math">
        <m:r>
          <w:rPr>
            <w:rFonts w:ascii="Cambria Math" w:hAnsi="Cambria Math"/>
          </w:rPr>
          <m:t xml:space="preserve">N</m:t>
        </m:r>
      </m:oMath>
      <w:r>
        <w:rPr/>
        <w:t xml:space="preserve"> </w:t>
      </w:r>
      <w:r>
        <w:rPr/>
        <w:t>is the number of measurements.</w:t>
      </w:r>
    </w:p>
    <w:p>
      <w:pPr>
        <w:pStyle w:val="Heading2"/>
        <w:rPr/>
      </w:pPr>
      <w:bookmarkStart w:id="530" w:name="__RefHeading___Toc68601430"/>
      <w:bookmarkEnd w:id="530"/>
      <w:r>
        <w:rPr/>
        <w:t>E.21</w:t>
        <w:tab/>
        <w:t>BER data rate normalization uncertainty</w:t>
      </w:r>
    </w:p>
    <w:p>
      <w:pPr>
        <w:pStyle w:val="11BodyText"/>
        <w:ind w:left="0" w:hanging="0"/>
        <w:rPr>
          <w:rFonts w:ascii="Times New Roman" w:hAnsi="Times New Roman" w:cs="Times New Roman"/>
          <w:sz w:val="20"/>
          <w:lang w:val="en-GB"/>
        </w:rPr>
      </w:pPr>
      <w:r>
        <w:rPr>
          <w:rFonts w:cs="Times New Roman" w:ascii="Times New Roman" w:hAnsi="Times New Roman"/>
          <w:sz w:val="20"/>
          <w:lang w:val="en-GB"/>
        </w:rPr>
        <w:t>This uncertainty occurs only when a higher data rate than 12.2kbps is used to speed up TRS measurement. It can be calculated using following formula:</w:t>
      </w:r>
    </w:p>
    <w:p>
      <w:pPr>
        <w:pStyle w:val="EQ"/>
        <w:rPr/>
      </w:pPr>
      <w:r>
        <w:rPr>
          <w:lang w:val="en-GB" w:eastAsia="en-GB"/>
        </w:rPr>
        <w:tab/>
      </w:r>
      <w:r>
        <w:rPr>
          <w:lang w:val="en-GB" w:eastAsia="en-GB"/>
        </w:rPr>
      </w:r>
      <m:oMath xmlns:m="http://schemas.openxmlformats.org/officeDocument/2006/math">
        <m:sSub>
          <m:e>
            <m:r>
              <w:rPr>
                <w:rFonts w:ascii="Cambria Math" w:hAnsi="Cambria Math"/>
              </w:rPr>
              <m:t xml:space="preserve">U</m:t>
            </m:r>
          </m:e>
          <m:sub>
            <m:r>
              <m:rPr>
                <m:lit/>
                <m:nor/>
              </m:rPr>
              <w:rPr>
                <w:rFonts w:ascii="Cambria Math" w:hAnsi="Cambria Math"/>
              </w:rPr>
              <m:t xml:space="preserve">norm</m:t>
            </m:r>
          </m:sub>
        </m:sSub>
        <m:r>
          <w:rPr>
            <w:rFonts w:ascii="Cambria Math" w:hAnsi="Cambria Math"/>
          </w:rPr>
          <m:t xml:space="preserve">=</m:t>
        </m:r>
        <m:f>
          <m:num>
            <m:rad>
              <m:radPr>
                <m:degHide m:val="1"/>
              </m:radPr>
              <m:deg/>
              <m:e>
                <m:sSup>
                  <m:e>
                    <m:d>
                      <m:dPr>
                        <m:begChr m:val="("/>
                        <m:endChr m:val=")"/>
                      </m:dPr>
                      <m:e>
                        <m:f>
                          <m:num>
                            <m:sSub>
                              <m:e>
                                <m:r>
                                  <w:rPr>
                                    <w:rFonts w:ascii="Cambria Math" w:hAnsi="Cambria Math"/>
                                  </w:rPr>
                                  <m:t xml:space="preserve">U</m:t>
                                </m:r>
                              </m:e>
                              <m:sub>
                                <m:r>
                                  <m:rPr>
                                    <m:lit/>
                                    <m:nor/>
                                  </m:rPr>
                                  <w:rPr>
                                    <w:rFonts w:ascii="Cambria Math" w:hAnsi="Cambria Math"/>
                                  </w:rPr>
                                  <m:t xml:space="preserve">SingleTRSref</m:t>
                                </m:r>
                              </m:sub>
                            </m:sSub>
                          </m:num>
                          <m:den>
                            <m:r>
                              <w:rPr>
                                <w:rFonts w:ascii="Cambria Math" w:hAnsi="Cambria Math"/>
                              </w:rPr>
                              <m:t xml:space="preserve">2</m:t>
                            </m:r>
                          </m:den>
                        </m:f>
                      </m:e>
                    </m:d>
                  </m:e>
                  <m:sup>
                    <m:r>
                      <w:rPr>
                        <w:rFonts w:ascii="Cambria Math" w:hAnsi="Cambria Math"/>
                      </w:rPr>
                      <m:t xml:space="preserve">2</m:t>
                    </m:r>
                  </m:sup>
                </m:sSup>
                <m:r>
                  <w:rPr>
                    <w:rFonts w:ascii="Cambria Math" w:hAnsi="Cambria Math"/>
                  </w:rPr>
                  <m:t xml:space="preserve">+</m:t>
                </m:r>
                <m:sSup>
                  <m:e>
                    <m:d>
                      <m:dPr>
                        <m:begChr m:val="("/>
                        <m:endChr m:val=")"/>
                      </m:dPr>
                      <m:e>
                        <m:f>
                          <m:num>
                            <m:sSub>
                              <m:e>
                                <m:r>
                                  <w:rPr>
                                    <w:rFonts w:ascii="Cambria Math" w:hAnsi="Cambria Math"/>
                                  </w:rPr>
                                  <m:t xml:space="preserve">U</m:t>
                                </m:r>
                              </m:e>
                              <m:sub>
                                <m:r>
                                  <m:rPr>
                                    <m:lit/>
                                    <m:nor/>
                                  </m:rPr>
                                  <w:rPr>
                                    <w:rFonts w:ascii="Cambria Math" w:hAnsi="Cambria Math"/>
                                  </w:rPr>
                                  <m:t xml:space="preserve">SingleTRSfast</m:t>
                                </m:r>
                              </m:sub>
                            </m:sSub>
                          </m:num>
                          <m:den>
                            <m:r>
                              <w:rPr>
                                <w:rFonts w:ascii="Cambria Math" w:hAnsi="Cambria Math"/>
                              </w:rPr>
                              <m:t xml:space="preserve">2</m:t>
                            </m:r>
                          </m:den>
                        </m:f>
                      </m:e>
                    </m:d>
                  </m:e>
                  <m:sup>
                    <m:r>
                      <w:rPr>
                        <w:rFonts w:ascii="Cambria Math" w:hAnsi="Cambria Math"/>
                      </w:rPr>
                      <m:t xml:space="preserve">2</m:t>
                    </m:r>
                  </m:sup>
                </m:sSup>
              </m:e>
            </m:rad>
          </m:num>
          <m:den>
            <m:rad>
              <m:radPr>
                <m:degHide m:val="1"/>
              </m:radPr>
              <m:deg/>
              <m:e>
                <m:sSub>
                  <m:e>
                    <m:r>
                      <w:rPr>
                        <w:rFonts w:ascii="Cambria Math" w:hAnsi="Cambria Math"/>
                      </w:rPr>
                      <m:t xml:space="preserve">N</m:t>
                    </m:r>
                  </m:e>
                  <m:sub>
                    <m:r>
                      <m:rPr>
                        <m:lit/>
                        <m:nor/>
                      </m:rPr>
                      <w:rPr>
                        <w:rFonts w:ascii="Cambria Math" w:hAnsi="Cambria Math"/>
                      </w:rPr>
                      <m:t xml:space="preserve">ref</m:t>
                    </m:r>
                  </m:sub>
                </m:sSub>
              </m:e>
            </m:rad>
          </m:den>
        </m:f>
      </m:oMath>
      <w:r>
        <w:rPr>
          <w:lang w:val="en-GB" w:eastAsia="en-GB"/>
        </w:rPr>
        <w:t xml:space="preserve"> ,</w:t>
      </w:r>
    </w:p>
    <w:p>
      <w:pPr>
        <w:pStyle w:val="Normal"/>
        <w:rPr/>
      </w:pPr>
      <w:r>
        <w:rPr/>
        <w:t>Where</w:t>
      </w:r>
    </w:p>
    <w:p>
      <w:pPr>
        <w:pStyle w:val="Normal"/>
        <w:rPr/>
      </w:pPr>
      <w:r>
        <w:rPr/>
      </w:r>
      <m:oMath xmlns:m="http://schemas.openxmlformats.org/officeDocument/2006/math">
        <m:sSub>
          <m:e>
            <m:r>
              <w:rPr>
                <w:rFonts w:ascii="Cambria Math" w:hAnsi="Cambria Math"/>
              </w:rPr>
              <m:t xml:space="preserve">U</m:t>
            </m:r>
          </m:e>
          <m:sub>
            <m:r>
              <m:rPr>
                <m:lit/>
                <m:nor/>
              </m:rPr>
              <w:rPr>
                <w:rFonts w:ascii="Cambria Math" w:hAnsi="Cambria Math"/>
              </w:rPr>
              <m:t xml:space="preserve">SingleTRSref</m:t>
            </m:r>
          </m:sub>
        </m:sSub>
      </m:oMath>
      <w:r>
        <w:rPr/>
        <w:t xml:space="preserve"> </w:t>
      </w:r>
      <w:r>
        <w:rPr/>
        <w:t>is the statistical uncertainty of the used reference measurement,</w:t>
      </w:r>
    </w:p>
    <w:p>
      <w:pPr>
        <w:pStyle w:val="Normal"/>
        <w:rPr/>
      </w:pPr>
      <w:r>
        <w:rPr/>
      </w:r>
      <m:oMath xmlns:m="http://schemas.openxmlformats.org/officeDocument/2006/math">
        <m:sSub>
          <m:e>
            <m:r>
              <w:rPr>
                <w:rFonts w:ascii="Cambria Math" w:hAnsi="Cambria Math"/>
              </w:rPr>
              <m:t xml:space="preserve">U</m:t>
            </m:r>
          </m:e>
          <m:sub>
            <m:r>
              <m:rPr>
                <m:lit/>
                <m:nor/>
              </m:rPr>
              <w:rPr>
                <w:rFonts w:ascii="Cambria Math" w:hAnsi="Cambria Math"/>
              </w:rPr>
              <m:t xml:space="preserve">SingleTRSfast</m:t>
            </m:r>
          </m:sub>
        </m:sSub>
      </m:oMath>
      <w:r>
        <w:rPr/>
        <w:t>is the statistical uncertainty of the higher data rate measurement,</w:t>
      </w:r>
    </w:p>
    <w:p>
      <w:pPr>
        <w:pStyle w:val="Normal"/>
        <w:rPr/>
      </w:pPr>
      <w:r>
        <w:rPr/>
      </w:r>
      <m:oMath xmlns:m="http://schemas.openxmlformats.org/officeDocument/2006/math">
        <m:sSub>
          <m:e>
            <m:r>
              <w:rPr>
                <w:rFonts w:ascii="Cambria Math" w:hAnsi="Cambria Math"/>
              </w:rPr>
              <m:t xml:space="preserve">N</m:t>
            </m:r>
          </m:e>
          <m:sub>
            <m:r>
              <m:rPr>
                <m:lit/>
                <m:nor/>
              </m:rPr>
              <w:rPr>
                <w:rFonts w:ascii="Cambria Math" w:hAnsi="Cambria Math"/>
              </w:rPr>
              <m:t xml:space="preserve">ref</m:t>
            </m:r>
          </m:sub>
        </m:sSub>
      </m:oMath>
      <w:r>
        <w:rPr/>
        <w:t>Is the number of measured reference points.</w:t>
      </w:r>
    </w:p>
    <w:p>
      <w:pPr>
        <w:pStyle w:val="Heading2"/>
        <w:rPr/>
      </w:pPr>
      <w:bookmarkStart w:id="531" w:name="__RefHeading___Toc68601431"/>
      <w:bookmarkEnd w:id="531"/>
      <w:r>
        <w:rPr/>
        <w:t>E.22</w:t>
        <w:tab/>
        <w:t>DUT sensitivity drift</w:t>
      </w:r>
    </w:p>
    <w:p>
      <w:pPr>
        <w:pStyle w:val="Normal"/>
        <w:rPr/>
      </w:pPr>
      <w:r>
        <w:rPr/>
        <w:t>Due to statistical uncertainty of BER measurement, drift in the TRS cannot be monitored similarly to TRP. An uncertainty value of 0.2dB can be used, or the TRS drift should be measured, with a setup corresponding to the actual TRS measurement.</w:t>
      </w:r>
    </w:p>
    <w:p>
      <w:pPr>
        <w:pStyle w:val="Heading2"/>
        <w:rPr/>
      </w:pPr>
      <w:bookmarkStart w:id="532" w:name="__RefHeading___Toc68601432"/>
      <w:bookmarkEnd w:id="532"/>
      <w:r>
        <w:rPr/>
        <w:t>E.23</w:t>
        <w:tab/>
        <w:t>Cable loss measurement uncertainty</w:t>
      </w:r>
    </w:p>
    <w:p>
      <w:pPr>
        <w:pStyle w:val="Normal"/>
        <w:rPr/>
      </w:pPr>
      <w:r>
        <w:rPr/>
        <w:t xml:space="preserve">Before performing the calibration, cable losses have to be measured. This measurement includes a standard uncertainty, which is composed of the mismatch, and the insertion loss uncertainties. In the calibration measurement, the transmitter part is composed with the calibration antenna, cables, and signal generator. The receiver part is composed with the probe antenna, cables, and measurement device. </w:t>
      </w:r>
    </w:p>
    <w:p>
      <w:pPr>
        <w:pStyle w:val="Normal"/>
        <w:rPr/>
      </w:pPr>
      <w:r>
        <w:rPr/>
        <w:t>The cable loss of transmitter and receiver parts should be measured separately. By this way, the cable losses will be compliant with the cable routing of the calibration stage. On the opposite, if the cable losses were measured together at the same time, the measured values would include errors from miscellaneous mismatch contributions, which do not appear in the cable routing of the calibration stage.</w:t>
      </w:r>
    </w:p>
    <w:p>
      <w:pPr>
        <w:pStyle w:val="Normal"/>
        <w:rPr>
          <w:rFonts w:cs="Arial"/>
        </w:rPr>
      </w:pPr>
      <w:r>
        <w:rPr/>
        <w:t>The cable loss measurement uncertainty is the result of the RSS of the uncertainty contributions listed in Table E.23-1.</w:t>
      </w:r>
    </w:p>
    <w:p>
      <w:pPr>
        <w:pStyle w:val="TH"/>
        <w:rPr/>
      </w:pPr>
      <w:r>
        <w:rPr/>
        <w:t>Table E.23-1: Uncertainty contributions in the cable loss measurement</w:t>
      </w:r>
    </w:p>
    <w:tbl>
      <w:tblPr>
        <w:tblW w:w="9622" w:type="dxa"/>
        <w:jc w:val="left"/>
        <w:tblInd w:w="-113" w:type="dxa"/>
        <w:tblLayout w:type="fixed"/>
        <w:tblCellMar>
          <w:top w:w="0" w:type="dxa"/>
          <w:left w:w="108" w:type="dxa"/>
          <w:bottom w:w="0" w:type="dxa"/>
          <w:right w:w="108" w:type="dxa"/>
        </w:tblCellMar>
      </w:tblPr>
      <w:tblGrid>
        <w:gridCol w:w="4811"/>
        <w:gridCol w:w="4811"/>
      </w:tblGrid>
      <w:tr>
        <w:trPr/>
        <w:tc>
          <w:tcPr>
            <w:tcW w:w="4811" w:type="dxa"/>
            <w:tcBorders>
              <w:top w:val="single" w:sz="4" w:space="0" w:color="000000"/>
              <w:left w:val="single" w:sz="4" w:space="0" w:color="000000"/>
              <w:bottom w:val="single" w:sz="4" w:space="0" w:color="000000"/>
              <w:right w:val="single" w:sz="4" w:space="0" w:color="000000"/>
            </w:tcBorders>
            <w:vAlign w:val="bottom"/>
          </w:tcPr>
          <w:p>
            <w:pPr>
              <w:pStyle w:val="TAH"/>
              <w:rPr>
                <w:rFonts w:eastAsia="Arial Unicode MS"/>
                <w:lang w:eastAsia="en-US"/>
              </w:rPr>
            </w:pPr>
            <w:r>
              <w:rPr>
                <w:lang w:eastAsia="en-US"/>
              </w:rPr>
              <w:t>Description of uncertainty contribution</w:t>
            </w:r>
          </w:p>
        </w:tc>
        <w:tc>
          <w:tcPr>
            <w:tcW w:w="4811" w:type="dxa"/>
            <w:tcBorders>
              <w:top w:val="single" w:sz="4" w:space="0" w:color="000000"/>
              <w:left w:val="single" w:sz="4" w:space="0" w:color="000000"/>
              <w:bottom w:val="single" w:sz="4" w:space="0" w:color="000000"/>
              <w:right w:val="single" w:sz="4" w:space="0" w:color="000000"/>
            </w:tcBorders>
            <w:vAlign w:val="bottom"/>
          </w:tcPr>
          <w:p>
            <w:pPr>
              <w:pStyle w:val="TAH"/>
              <w:rPr>
                <w:rFonts w:eastAsia="Arial Unicode MS"/>
                <w:lang w:eastAsia="en-US"/>
              </w:rPr>
            </w:pPr>
            <w:r>
              <w:rPr>
                <w:lang w:eastAsia="en-US"/>
              </w:rPr>
              <w:t>Standard Uncertainty (dB)</w:t>
            </w:r>
          </w:p>
        </w:tc>
      </w:tr>
      <w:tr>
        <w:trPr/>
        <w:tc>
          <w:tcPr>
            <w:tcW w:w="4811" w:type="dxa"/>
            <w:tcBorders>
              <w:top w:val="single" w:sz="4" w:space="0" w:color="000000"/>
              <w:left w:val="single" w:sz="4" w:space="0" w:color="000000"/>
              <w:bottom w:val="single" w:sz="4" w:space="0" w:color="000000"/>
              <w:right w:val="single" w:sz="4" w:space="0" w:color="000000"/>
            </w:tcBorders>
          </w:tcPr>
          <w:p>
            <w:pPr>
              <w:pStyle w:val="TAL1"/>
              <w:rPr>
                <w:sz w:val="24"/>
                <w:lang w:eastAsia="en-US"/>
              </w:rPr>
            </w:pPr>
            <w:r>
              <w:rPr>
                <w:lang w:eastAsia="en-US"/>
              </w:rPr>
              <w:t>Mismatch uncertainty of cable(s) receiver part</w:t>
            </w:r>
          </w:p>
        </w:tc>
        <w:tc>
          <w:tcPr>
            <w:tcW w:w="4811" w:type="dxa"/>
            <w:tcBorders>
              <w:top w:val="single" w:sz="4" w:space="0" w:color="000000"/>
              <w:left w:val="single" w:sz="4" w:space="0" w:color="000000"/>
              <w:bottom w:val="single" w:sz="4" w:space="0" w:color="000000"/>
              <w:right w:val="single" w:sz="4" w:space="0" w:color="000000"/>
            </w:tcBorders>
          </w:tcPr>
          <w:p>
            <w:pPr>
              <w:pStyle w:val="TAL1"/>
              <w:snapToGrid w:val="false"/>
              <w:rPr>
                <w:sz w:val="24"/>
                <w:lang w:eastAsia="en-US"/>
              </w:rPr>
            </w:pPr>
            <w:r>
              <w:rPr>
                <w:sz w:val="24"/>
                <w:lang w:eastAsia="en-US"/>
              </w:rPr>
            </w:r>
          </w:p>
        </w:tc>
      </w:tr>
      <w:tr>
        <w:trPr/>
        <w:tc>
          <w:tcPr>
            <w:tcW w:w="4811" w:type="dxa"/>
            <w:tcBorders>
              <w:top w:val="single" w:sz="4" w:space="0" w:color="000000"/>
              <w:left w:val="single" w:sz="4" w:space="0" w:color="000000"/>
              <w:bottom w:val="single" w:sz="4" w:space="0" w:color="000000"/>
              <w:right w:val="single" w:sz="4" w:space="0" w:color="000000"/>
            </w:tcBorders>
          </w:tcPr>
          <w:p>
            <w:pPr>
              <w:pStyle w:val="TAL1"/>
              <w:rPr>
                <w:sz w:val="24"/>
                <w:lang w:eastAsia="en-US"/>
              </w:rPr>
            </w:pPr>
            <w:r>
              <w:rPr>
                <w:lang w:eastAsia="en-US"/>
              </w:rPr>
              <w:t>Insertion loss of the cable(s) receiver part</w:t>
            </w:r>
          </w:p>
        </w:tc>
        <w:tc>
          <w:tcPr>
            <w:tcW w:w="4811" w:type="dxa"/>
            <w:tcBorders>
              <w:top w:val="single" w:sz="4" w:space="0" w:color="000000"/>
              <w:left w:val="single" w:sz="4" w:space="0" w:color="000000"/>
              <w:bottom w:val="single" w:sz="4" w:space="0" w:color="000000"/>
              <w:right w:val="single" w:sz="4" w:space="0" w:color="000000"/>
            </w:tcBorders>
          </w:tcPr>
          <w:p>
            <w:pPr>
              <w:pStyle w:val="TAL1"/>
              <w:snapToGrid w:val="false"/>
              <w:rPr>
                <w:sz w:val="24"/>
                <w:lang w:eastAsia="en-US"/>
              </w:rPr>
            </w:pPr>
            <w:r>
              <w:rPr>
                <w:sz w:val="24"/>
                <w:lang w:eastAsia="en-US"/>
              </w:rPr>
            </w:r>
          </w:p>
        </w:tc>
      </w:tr>
      <w:tr>
        <w:trPr/>
        <w:tc>
          <w:tcPr>
            <w:tcW w:w="4811" w:type="dxa"/>
            <w:tcBorders>
              <w:top w:val="single" w:sz="4" w:space="0" w:color="000000"/>
              <w:left w:val="single" w:sz="4" w:space="0" w:color="000000"/>
              <w:bottom w:val="single" w:sz="4" w:space="0" w:color="000000"/>
              <w:right w:val="single" w:sz="4" w:space="0" w:color="000000"/>
            </w:tcBorders>
          </w:tcPr>
          <w:p>
            <w:pPr>
              <w:pStyle w:val="TAL1"/>
              <w:rPr>
                <w:sz w:val="24"/>
                <w:lang w:eastAsia="en-US"/>
              </w:rPr>
            </w:pPr>
            <w:r>
              <w:rPr>
                <w:lang w:eastAsia="en-US"/>
              </w:rPr>
              <w:t>Measurement device: absolute level uncertainty</w:t>
            </w:r>
          </w:p>
        </w:tc>
        <w:tc>
          <w:tcPr>
            <w:tcW w:w="4811" w:type="dxa"/>
            <w:tcBorders>
              <w:top w:val="single" w:sz="4" w:space="0" w:color="000000"/>
              <w:left w:val="single" w:sz="4" w:space="0" w:color="000000"/>
              <w:bottom w:val="single" w:sz="4" w:space="0" w:color="000000"/>
              <w:right w:val="single" w:sz="4" w:space="0" w:color="000000"/>
            </w:tcBorders>
          </w:tcPr>
          <w:p>
            <w:pPr>
              <w:pStyle w:val="TAL1"/>
              <w:snapToGrid w:val="false"/>
              <w:rPr>
                <w:sz w:val="24"/>
                <w:lang w:eastAsia="en-US"/>
              </w:rPr>
            </w:pPr>
            <w:r>
              <w:rPr>
                <w:sz w:val="24"/>
                <w:lang w:eastAsia="en-US"/>
              </w:rPr>
            </w:r>
          </w:p>
        </w:tc>
      </w:tr>
      <w:tr>
        <w:trPr/>
        <w:tc>
          <w:tcPr>
            <w:tcW w:w="4811" w:type="dxa"/>
            <w:tcBorders>
              <w:top w:val="single" w:sz="4" w:space="0" w:color="000000"/>
              <w:left w:val="single" w:sz="4" w:space="0" w:color="000000"/>
              <w:bottom w:val="single" w:sz="4" w:space="0" w:color="000000"/>
              <w:right w:val="single" w:sz="4" w:space="0" w:color="000000"/>
            </w:tcBorders>
          </w:tcPr>
          <w:p>
            <w:pPr>
              <w:pStyle w:val="TAL1"/>
              <w:rPr>
                <w:sz w:val="24"/>
                <w:lang w:eastAsia="en-US"/>
              </w:rPr>
            </w:pPr>
            <w:r>
              <w:rPr>
                <w:lang w:eastAsia="en-US"/>
              </w:rPr>
              <w:t>Measurement device: linearity</w:t>
            </w:r>
          </w:p>
        </w:tc>
        <w:tc>
          <w:tcPr>
            <w:tcW w:w="4811" w:type="dxa"/>
            <w:tcBorders>
              <w:top w:val="single" w:sz="4" w:space="0" w:color="000000"/>
              <w:left w:val="single" w:sz="4" w:space="0" w:color="000000"/>
              <w:bottom w:val="single" w:sz="4" w:space="0" w:color="000000"/>
              <w:right w:val="single" w:sz="4" w:space="0" w:color="000000"/>
            </w:tcBorders>
          </w:tcPr>
          <w:p>
            <w:pPr>
              <w:pStyle w:val="TAL1"/>
              <w:snapToGrid w:val="false"/>
              <w:rPr>
                <w:sz w:val="24"/>
                <w:lang w:eastAsia="en-US"/>
              </w:rPr>
            </w:pPr>
            <w:r>
              <w:rPr>
                <w:sz w:val="24"/>
                <w:lang w:eastAsia="en-US"/>
              </w:rPr>
            </w:r>
          </w:p>
        </w:tc>
      </w:tr>
      <w:tr>
        <w:trPr/>
        <w:tc>
          <w:tcPr>
            <w:tcW w:w="4811" w:type="dxa"/>
            <w:tcBorders>
              <w:top w:val="single" w:sz="4" w:space="0" w:color="000000"/>
              <w:left w:val="single" w:sz="4" w:space="0" w:color="000000"/>
              <w:bottom w:val="single" w:sz="4" w:space="0" w:color="000000"/>
              <w:right w:val="single" w:sz="4" w:space="0" w:color="000000"/>
            </w:tcBorders>
          </w:tcPr>
          <w:p>
            <w:pPr>
              <w:pStyle w:val="TAL1"/>
              <w:rPr>
                <w:sz w:val="24"/>
                <w:lang w:eastAsia="en-US"/>
              </w:rPr>
            </w:pPr>
            <w:r>
              <w:rPr>
                <w:lang w:eastAsia="en-US"/>
              </w:rPr>
              <w:t>Mismatch uncertainty of cable(s) transmitter part</w:t>
            </w:r>
          </w:p>
        </w:tc>
        <w:tc>
          <w:tcPr>
            <w:tcW w:w="4811" w:type="dxa"/>
            <w:tcBorders>
              <w:top w:val="single" w:sz="4" w:space="0" w:color="000000"/>
              <w:left w:val="single" w:sz="4" w:space="0" w:color="000000"/>
              <w:bottom w:val="single" w:sz="4" w:space="0" w:color="000000"/>
              <w:right w:val="single" w:sz="4" w:space="0" w:color="000000"/>
            </w:tcBorders>
          </w:tcPr>
          <w:p>
            <w:pPr>
              <w:pStyle w:val="TAL1"/>
              <w:snapToGrid w:val="false"/>
              <w:rPr>
                <w:sz w:val="24"/>
                <w:lang w:eastAsia="en-US"/>
              </w:rPr>
            </w:pPr>
            <w:r>
              <w:rPr>
                <w:sz w:val="24"/>
                <w:lang w:eastAsia="en-US"/>
              </w:rPr>
            </w:r>
          </w:p>
        </w:tc>
      </w:tr>
      <w:tr>
        <w:trPr/>
        <w:tc>
          <w:tcPr>
            <w:tcW w:w="4811" w:type="dxa"/>
            <w:tcBorders>
              <w:top w:val="single" w:sz="4" w:space="0" w:color="000000"/>
              <w:left w:val="single" w:sz="4" w:space="0" w:color="000000"/>
              <w:bottom w:val="single" w:sz="4" w:space="0" w:color="000000"/>
              <w:right w:val="single" w:sz="4" w:space="0" w:color="000000"/>
            </w:tcBorders>
          </w:tcPr>
          <w:p>
            <w:pPr>
              <w:pStyle w:val="TAL1"/>
              <w:rPr>
                <w:sz w:val="24"/>
                <w:lang w:eastAsia="en-US"/>
              </w:rPr>
            </w:pPr>
            <w:r>
              <w:rPr>
                <w:lang w:eastAsia="en-US"/>
              </w:rPr>
              <w:t>Insertion loss of the cable(s) transmitter part</w:t>
            </w:r>
          </w:p>
        </w:tc>
        <w:tc>
          <w:tcPr>
            <w:tcW w:w="4811" w:type="dxa"/>
            <w:tcBorders>
              <w:top w:val="single" w:sz="4" w:space="0" w:color="000000"/>
              <w:left w:val="single" w:sz="4" w:space="0" w:color="000000"/>
              <w:bottom w:val="single" w:sz="4" w:space="0" w:color="000000"/>
              <w:right w:val="single" w:sz="4" w:space="0" w:color="000000"/>
            </w:tcBorders>
          </w:tcPr>
          <w:p>
            <w:pPr>
              <w:pStyle w:val="TAL1"/>
              <w:snapToGrid w:val="false"/>
              <w:rPr>
                <w:sz w:val="24"/>
                <w:lang w:eastAsia="en-US"/>
              </w:rPr>
            </w:pPr>
            <w:r>
              <w:rPr>
                <w:sz w:val="24"/>
                <w:lang w:eastAsia="en-US"/>
              </w:rPr>
            </w:r>
          </w:p>
        </w:tc>
      </w:tr>
      <w:tr>
        <w:trPr/>
        <w:tc>
          <w:tcPr>
            <w:tcW w:w="4811" w:type="dxa"/>
            <w:tcBorders>
              <w:top w:val="single" w:sz="4" w:space="0" w:color="000000"/>
              <w:left w:val="single" w:sz="4" w:space="0" w:color="000000"/>
              <w:bottom w:val="single" w:sz="4" w:space="0" w:color="000000"/>
              <w:right w:val="single" w:sz="4" w:space="0" w:color="000000"/>
            </w:tcBorders>
          </w:tcPr>
          <w:p>
            <w:pPr>
              <w:pStyle w:val="TAL1"/>
              <w:rPr>
                <w:sz w:val="24"/>
                <w:lang w:eastAsia="en-US"/>
              </w:rPr>
            </w:pPr>
            <w:r>
              <w:rPr>
                <w:lang w:eastAsia="en-US"/>
              </w:rPr>
              <w:t>Signal generator: absolute output level uncertainty</w:t>
            </w:r>
          </w:p>
        </w:tc>
        <w:tc>
          <w:tcPr>
            <w:tcW w:w="4811" w:type="dxa"/>
            <w:tcBorders>
              <w:top w:val="single" w:sz="4" w:space="0" w:color="000000"/>
              <w:left w:val="single" w:sz="4" w:space="0" w:color="000000"/>
              <w:bottom w:val="single" w:sz="4" w:space="0" w:color="000000"/>
              <w:right w:val="single" w:sz="4" w:space="0" w:color="000000"/>
            </w:tcBorders>
          </w:tcPr>
          <w:p>
            <w:pPr>
              <w:pStyle w:val="TAL1"/>
              <w:snapToGrid w:val="false"/>
              <w:rPr>
                <w:sz w:val="24"/>
                <w:lang w:eastAsia="en-US"/>
              </w:rPr>
            </w:pPr>
            <w:r>
              <w:rPr>
                <w:sz w:val="24"/>
                <w:lang w:eastAsia="en-US"/>
              </w:rPr>
            </w:r>
          </w:p>
        </w:tc>
      </w:tr>
      <w:tr>
        <w:trPr/>
        <w:tc>
          <w:tcPr>
            <w:tcW w:w="4811" w:type="dxa"/>
            <w:tcBorders>
              <w:top w:val="single" w:sz="4" w:space="0" w:color="000000"/>
              <w:left w:val="single" w:sz="4" w:space="0" w:color="000000"/>
              <w:bottom w:val="single" w:sz="4" w:space="0" w:color="000000"/>
              <w:right w:val="single" w:sz="4" w:space="0" w:color="000000"/>
            </w:tcBorders>
          </w:tcPr>
          <w:p>
            <w:pPr>
              <w:pStyle w:val="TAL1"/>
              <w:rPr>
                <w:sz w:val="24"/>
                <w:lang w:eastAsia="en-US"/>
              </w:rPr>
            </w:pPr>
            <w:r>
              <w:rPr>
                <w:lang w:eastAsia="en-US"/>
              </w:rPr>
              <w:t>Signal generator: output level stability uncertainty</w:t>
            </w:r>
          </w:p>
        </w:tc>
        <w:tc>
          <w:tcPr>
            <w:tcW w:w="4811" w:type="dxa"/>
            <w:tcBorders>
              <w:top w:val="single" w:sz="4" w:space="0" w:color="000000"/>
              <w:left w:val="single" w:sz="4" w:space="0" w:color="000000"/>
              <w:bottom w:val="single" w:sz="4" w:space="0" w:color="000000"/>
              <w:right w:val="single" w:sz="4" w:space="0" w:color="000000"/>
            </w:tcBorders>
          </w:tcPr>
          <w:p>
            <w:pPr>
              <w:pStyle w:val="TAL1"/>
              <w:snapToGrid w:val="false"/>
              <w:rPr>
                <w:sz w:val="24"/>
                <w:lang w:eastAsia="en-US"/>
              </w:rPr>
            </w:pPr>
            <w:r>
              <w:rPr>
                <w:sz w:val="24"/>
                <w:lang w:eastAsia="en-US"/>
              </w:rPr>
            </w:r>
          </w:p>
        </w:tc>
      </w:tr>
      <w:tr>
        <w:trPr/>
        <w:tc>
          <w:tcPr>
            <w:tcW w:w="4811" w:type="dxa"/>
            <w:tcBorders>
              <w:top w:val="single" w:sz="4" w:space="0" w:color="000000"/>
              <w:left w:val="single" w:sz="4" w:space="0" w:color="000000"/>
              <w:bottom w:val="single" w:sz="4" w:space="0" w:color="000000"/>
              <w:right w:val="single" w:sz="4" w:space="0" w:color="000000"/>
            </w:tcBorders>
          </w:tcPr>
          <w:p>
            <w:pPr>
              <w:pStyle w:val="TAL1"/>
              <w:rPr>
                <w:sz w:val="24"/>
                <w:lang w:eastAsia="en-US"/>
              </w:rPr>
            </w:pPr>
            <w:r>
              <w:rPr>
                <w:lang w:eastAsia="en-US"/>
              </w:rPr>
              <w:t>Cable loss measurement uncertainty (RSS)</w:t>
            </w:r>
          </w:p>
        </w:tc>
        <w:tc>
          <w:tcPr>
            <w:tcW w:w="4811" w:type="dxa"/>
            <w:tcBorders>
              <w:top w:val="single" w:sz="4" w:space="0" w:color="000000"/>
              <w:left w:val="single" w:sz="4" w:space="0" w:color="000000"/>
              <w:bottom w:val="single" w:sz="4" w:space="0" w:color="000000"/>
              <w:right w:val="single" w:sz="4" w:space="0" w:color="000000"/>
            </w:tcBorders>
          </w:tcPr>
          <w:p>
            <w:pPr>
              <w:pStyle w:val="TAL1"/>
              <w:snapToGrid w:val="false"/>
              <w:rPr>
                <w:sz w:val="24"/>
                <w:lang w:eastAsia="en-US"/>
              </w:rPr>
            </w:pPr>
            <w:r>
              <w:rPr>
                <w:sz w:val="24"/>
                <w:lang w:eastAsia="en-US"/>
              </w:rPr>
            </w:r>
          </w:p>
        </w:tc>
      </w:tr>
    </w:tbl>
    <w:p>
      <w:pPr>
        <w:pStyle w:val="Normal"/>
        <w:rPr/>
      </w:pPr>
      <w:r>
        <w:rPr/>
      </w:r>
    </w:p>
    <w:p>
      <w:pPr>
        <w:pStyle w:val="Heading2"/>
        <w:rPr/>
      </w:pPr>
      <w:bookmarkStart w:id="533" w:name="__RefHeading___Toc68601433"/>
      <w:bookmarkEnd w:id="533"/>
      <w:r>
        <w:rPr/>
        <w:t>E.24</w:t>
        <w:tab/>
        <w:t>Signal generator: uncertainty of the absolute output level</w:t>
      </w:r>
    </w:p>
    <w:p>
      <w:pPr>
        <w:pStyle w:val="Normal"/>
        <w:rPr/>
      </w:pPr>
      <w:r>
        <w:rPr/>
        <w:t>The signal generator is only used at this stage. It substitutes the DUT by feeding the calibration antenna with a known power level. The use of this signal generator introduces an uncertainty on the absolute output level.</w:t>
      </w:r>
    </w:p>
    <w:p>
      <w:pPr>
        <w:pStyle w:val="Normal"/>
        <w:rPr/>
      </w:pPr>
      <w:r>
        <w:rPr/>
        <w:t>This uncertainty will be calculated from the manufacturer's data in logs with a rectangular distribution (see clause 5.1.2 in [26]).</w:t>
      </w:r>
    </w:p>
    <w:p>
      <w:pPr>
        <w:pStyle w:val="Heading2"/>
        <w:rPr/>
      </w:pPr>
      <w:bookmarkStart w:id="534" w:name="__RefHeading___Toc68601434"/>
      <w:bookmarkEnd w:id="534"/>
      <w:r>
        <w:rPr/>
        <w:t>E.25</w:t>
        <w:tab/>
        <w:t>Signal generator: output level stability</w:t>
      </w:r>
    </w:p>
    <w:p>
      <w:pPr>
        <w:pStyle w:val="Normal"/>
        <w:rPr/>
      </w:pPr>
      <w:r>
        <w:rPr/>
        <w:t>The uncertainty on the output level stability has to be taken into account only when the uncertainty of the absolute level is not considered.</w:t>
      </w:r>
    </w:p>
    <w:p>
      <w:pPr>
        <w:pStyle w:val="Normal"/>
        <w:rPr/>
      </w:pPr>
      <w:r>
        <w:rPr/>
        <w:t>This uncertainty will be calculated from the manufacturer's data in logs with a rectangular distribution (see clause 5.1.2 in [26]).</w:t>
      </w:r>
    </w:p>
    <w:p>
      <w:pPr>
        <w:pStyle w:val="Heading2"/>
        <w:rPr/>
      </w:pPr>
      <w:bookmarkStart w:id="535" w:name="__RefHeading___Toc68601435"/>
      <w:bookmarkEnd w:id="535"/>
      <w:r>
        <w:rPr/>
        <w:t>E.26</w:t>
        <w:tab/>
        <w:t>Insertion loss: calibration antenna feed cable</w:t>
      </w:r>
    </w:p>
    <w:p>
      <w:pPr>
        <w:pStyle w:val="Normal"/>
        <w:rPr/>
      </w:pPr>
      <w:r>
        <w:rPr/>
        <w:t>The feed cable of the calibration antenna only appears in Stage 2. As a result, this uncertainty has to be taken into account.</w:t>
      </w:r>
    </w:p>
    <w:p>
      <w:pPr>
        <w:pStyle w:val="Normal"/>
        <w:rPr/>
      </w:pPr>
      <w:r>
        <w:rPr/>
        <w:t xml:space="preserve">This uncertainty will be measured or calculated from the manufacturer's data in logs with a rectangular distribution (see clause 5.1.2 in [26]). </w:t>
      </w:r>
    </w:p>
    <w:p>
      <w:pPr>
        <w:pStyle w:val="Heading2"/>
        <w:rPr/>
      </w:pPr>
      <w:bookmarkStart w:id="536" w:name="__RefHeading___Toc68601436"/>
      <w:bookmarkEnd w:id="536"/>
      <w:r>
        <w:rPr/>
        <w:t>E.27</w:t>
        <w:tab/>
        <w:t>Insertion loss: calibration antenna attenuator (if used)</w:t>
      </w:r>
    </w:p>
    <w:p>
      <w:pPr>
        <w:pStyle w:val="Normal"/>
        <w:rPr/>
      </w:pPr>
      <w:r>
        <w:rPr/>
        <w:t>If a calibration antenna attenuator is used, it only appears in Stage 2. As a result, this uncertainty has to be taken into account.</w:t>
      </w:r>
    </w:p>
    <w:p>
      <w:pPr>
        <w:pStyle w:val="Normal"/>
        <w:rPr/>
      </w:pPr>
      <w:r>
        <w:rPr/>
        <w:t>This uncertainty will be calculated from the manufacturer's data in logs with a rectangular distribution (see clause 5.1.2 in [26]).</w:t>
      </w:r>
    </w:p>
    <w:p>
      <w:pPr>
        <w:pStyle w:val="Heading2"/>
        <w:rPr/>
      </w:pPr>
      <w:bookmarkStart w:id="537" w:name="__RefHeading___Toc68601437"/>
      <w:bookmarkEnd w:id="537"/>
      <w:r>
        <w:rPr/>
        <w:t>E.28</w:t>
        <w:tab/>
        <w:t>Chamber Statistical Ripple and Repeatability</w:t>
      </w:r>
    </w:p>
    <w:p>
      <w:pPr>
        <w:pStyle w:val="Normal"/>
        <w:rPr/>
      </w:pPr>
      <w:r>
        <w:rPr/>
        <w:t>The uncertainty due to chamber statistics is determined by repeated calibration measurements as described in Annex G. This uncertainty contribution is a composite value consisting of most of the specific reverberation chamber contributions, such as limited number of modes and mode-stirring techniques.</w:t>
      </w:r>
    </w:p>
    <w:p>
      <w:pPr>
        <w:pStyle w:val="Normal"/>
        <w:rPr/>
      </w:pPr>
      <w:r>
        <w:rPr/>
        <w:t>The uncertainty contribution value shall be determined by measurements as described in Annex G and be assumed to have a normal distribution.</w:t>
      </w:r>
    </w:p>
    <w:p>
      <w:pPr>
        <w:pStyle w:val="Heading2"/>
        <w:rPr/>
      </w:pPr>
      <w:bookmarkStart w:id="538" w:name="__RefHeading___Toc68601438"/>
      <w:bookmarkEnd w:id="538"/>
      <w:r>
        <w:rPr/>
        <w:t>E.29</w:t>
        <w:tab/>
        <w:t>Additional Power Loss in EUT Chassis</w:t>
      </w:r>
    </w:p>
    <w:p>
      <w:pPr>
        <w:pStyle w:val="Normal"/>
        <w:rPr/>
      </w:pPr>
      <w:r>
        <w:rPr/>
        <w:t xml:space="preserve">When the EUT is small and do not add noticeable loss to the chamber, the calibration procedure outlined in clause x.x, is performed without the EUT present in the chamber. The possible difference in average chamber transmission level between the EUT measurement and the reference measurement must in this case be considered in the uncertainty evaluation. </w:t>
      </w:r>
    </w:p>
    <w:p>
      <w:pPr>
        <w:pStyle w:val="Normal"/>
        <w:rPr/>
      </w:pPr>
      <w:r>
        <w:rPr/>
        <w:t>The uncertainty value for this contribution can be tested empirically by choosing a unit within a set of samples which is considered to incur the highest amount of loss (normally the largest unit), and measure the average transmission loss in the chamber with and without the test unit present in the chamber. The difference between the two cases shall be used in the uncertainty calculation and the distribution should be assumed to be rectangular.</w:t>
      </w:r>
    </w:p>
    <w:p>
      <w:pPr>
        <w:pStyle w:val="Normal"/>
        <w:rPr/>
      </w:pPr>
      <w:r>
        <w:rPr/>
        <w:t>Alternatively, a fixed value of 0.2 dB with a rectangular distribution can be used in the uncertainty calculations.</w:t>
      </w:r>
    </w:p>
    <w:p>
      <w:pPr>
        <w:pStyle w:val="TH"/>
        <w:rPr/>
      </w:pPr>
      <w:r>
        <w:rPr/>
        <w:t>Table E.29-1: Example of uncertainty budget for head only TRP measurement for anechoic chamber method</w:t>
      </w:r>
    </w:p>
    <w:tbl>
      <w:tblPr>
        <w:tblW w:w="5250" w:type="pct"/>
        <w:jc w:val="center"/>
        <w:tblInd w:w="0" w:type="dxa"/>
        <w:tblLayout w:type="fixed"/>
        <w:tblCellMar>
          <w:top w:w="0" w:type="dxa"/>
          <w:left w:w="108" w:type="dxa"/>
          <w:bottom w:w="0" w:type="dxa"/>
          <w:right w:w="108" w:type="dxa"/>
        </w:tblCellMar>
      </w:tblPr>
      <w:tblGrid>
        <w:gridCol w:w="3133"/>
        <w:gridCol w:w="31"/>
        <w:gridCol w:w="2589"/>
        <w:gridCol w:w="1245"/>
        <w:gridCol w:w="958"/>
        <w:gridCol w:w="550"/>
        <w:gridCol w:w="413"/>
        <w:gridCol w:w="1203"/>
      </w:tblGrid>
      <w:tr>
        <w:trPr/>
        <w:tc>
          <w:tcPr>
            <w:tcW w:w="3164" w:type="dxa"/>
            <w:gridSpan w:val="2"/>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Uncertainty Source</w:t>
            </w:r>
          </w:p>
        </w:tc>
        <w:tc>
          <w:tcPr>
            <w:tcW w:w="2589"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Comment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Uncertainty Value [dB]</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Prob Distr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Div</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ci</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Standard Uncertainty [dB]</w:t>
            </w:r>
          </w:p>
        </w:tc>
      </w:tr>
      <w:tr>
        <w:trPr/>
        <w:tc>
          <w:tcPr>
            <w:tcW w:w="10122" w:type="dxa"/>
            <w:gridSpan w:val="8"/>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STAGE 1 (DUT measurement)</w:t>
            </w:r>
          </w:p>
        </w:tc>
      </w:tr>
      <w:tr>
        <w:trPr/>
        <w:tc>
          <w:tcPr>
            <w:tcW w:w="313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bookmarkStart w:id="539" w:name="_Hlk131908304"/>
            <w:bookmarkStart w:id="540" w:name="OLE_LINK15"/>
            <w:bookmarkStart w:id="541" w:name="OLE_LINK14"/>
            <w:bookmarkStart w:id="542" w:name="_Hlk131408719"/>
            <w:bookmarkStart w:id="543" w:name="OLE_LINK4"/>
            <w:bookmarkEnd w:id="539"/>
            <w:bookmarkEnd w:id="540"/>
            <w:bookmarkEnd w:id="541"/>
            <w:bookmarkEnd w:id="542"/>
            <w:bookmarkEnd w:id="543"/>
            <w:r>
              <w:rPr>
                <w:lang w:eastAsia="en-US"/>
              </w:rPr>
              <w:t xml:space="preserve">1) Mismatch of receiver chain </w:t>
            </w:r>
          </w:p>
        </w:tc>
        <w:tc>
          <w:tcPr>
            <w:tcW w:w="2620"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Г</w:t>
            </w:r>
            <w:r>
              <w:rPr>
                <w:vertAlign w:val="subscript"/>
                <w:lang w:eastAsia="en-US"/>
              </w:rPr>
              <w:t>power meter</w:t>
            </w:r>
            <w:r>
              <w:rPr>
                <w:lang w:eastAsia="en-US"/>
              </w:rPr>
              <w:t xml:space="preserve"> &lt;0.05 Г</w:t>
            </w:r>
            <w:r>
              <w:rPr>
                <w:vertAlign w:val="subscript"/>
                <w:lang w:eastAsia="en-US"/>
              </w:rPr>
              <w:t xml:space="preserve">probe antenna connection </w:t>
            </w:r>
            <w:r>
              <w:rPr>
                <w:lang w:eastAsia="en-US"/>
              </w:rPr>
              <w:t>&lt;0.16</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0.05</w:t>
            </w:r>
          </w:p>
        </w:tc>
      </w:tr>
      <w:tr>
        <w:trPr/>
        <w:tc>
          <w:tcPr>
            <w:tcW w:w="313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2) Insertion loss of receiver chain</w:t>
            </w:r>
          </w:p>
        </w:tc>
        <w:tc>
          <w:tcPr>
            <w:tcW w:w="2620"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3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3) Influence of the probe antenna cable</w:t>
            </w:r>
          </w:p>
        </w:tc>
        <w:tc>
          <w:tcPr>
            <w:tcW w:w="2620"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3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4) Absolute antenna gain of the probe antenna</w:t>
            </w:r>
          </w:p>
        </w:tc>
        <w:tc>
          <w:tcPr>
            <w:tcW w:w="2620"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3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5) Measurement Receiver: uncertainty of the absolute level</w:t>
            </w:r>
          </w:p>
        </w:tc>
        <w:tc>
          <w:tcPr>
            <w:tcW w:w="2620"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Power Meter</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0.06</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0.03</w:t>
            </w:r>
          </w:p>
        </w:tc>
      </w:tr>
      <w:tr>
        <w:trPr/>
        <w:tc>
          <w:tcPr>
            <w:tcW w:w="3133"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6)Measurement distance</w:t>
            </w:r>
          </w:p>
          <w:p>
            <w:pPr>
              <w:pStyle w:val="TAL1"/>
              <w:rPr>
                <w:lang w:eastAsia="en-US"/>
              </w:rPr>
            </w:pPr>
            <w:r>
              <w:rPr>
                <w:lang w:eastAsia="en-US"/>
              </w:rPr>
              <w:t>a) Offset of DUT phase centre</w:t>
            </w:r>
          </w:p>
        </w:tc>
        <w:tc>
          <w:tcPr>
            <w:tcW w:w="2620"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Δd=0.05m</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0.14</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0.08</w:t>
            </w:r>
          </w:p>
        </w:tc>
      </w:tr>
      <w:tr>
        <w:trPr/>
        <w:tc>
          <w:tcPr>
            <w:tcW w:w="313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7) Quality of quiet zone</w:t>
            </w:r>
          </w:p>
        </w:tc>
        <w:tc>
          <w:tcPr>
            <w:tcW w:w="2620"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Standard deviation of E-field in QZ measurement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r>
      <w:tr>
        <w:trPr/>
        <w:tc>
          <w:tcPr>
            <w:tcW w:w="313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8) DUT Tx-power drift</w:t>
            </w:r>
          </w:p>
        </w:tc>
        <w:tc>
          <w:tcPr>
            <w:tcW w:w="2620"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Drift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0.12</w:t>
            </w:r>
          </w:p>
        </w:tc>
      </w:tr>
      <w:tr>
        <w:trPr/>
        <w:tc>
          <w:tcPr>
            <w:tcW w:w="313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9) Uncertainty related to the use of SAM phantom</w:t>
            </w:r>
          </w:p>
        </w:tc>
        <w:tc>
          <w:tcPr>
            <w:tcW w:w="2620"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Standard SAM head with standard tissue simulant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3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10) Coarse sampling grid</w:t>
            </w:r>
          </w:p>
        </w:tc>
        <w:tc>
          <w:tcPr>
            <w:tcW w:w="2620"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 xml:space="preserve">Negligible, used </w:t>
            </w:r>
            <w:r>
              <w:rPr>
                <w:lang w:eastAsia="en-US"/>
              </w:rPr>
            </w:r>
            <m:oMath xmlns:m="http://schemas.openxmlformats.org/officeDocument/2006/math">
              <m:sSub>
                <m:e>
                  <m:r>
                    <w:rPr>
                      <w:rFonts w:ascii="Cambria Math" w:hAnsi="Cambria Math"/>
                    </w:rPr>
                    <m:t xml:space="preserve">Δ</m:t>
                  </m:r>
                </m:e>
                <m:sub>
                  <m:r>
                    <w:rPr>
                      <w:rFonts w:ascii="Cambria Math" w:hAnsi="Cambria Math"/>
                    </w:rPr>
                    <m:t xml:space="preserve">θ</m:t>
                  </m:r>
                </m:sub>
              </m:sSub>
            </m:oMath>
            <w:r>
              <w:rPr>
                <w:lang w:eastAsia="en-US"/>
              </w:rPr>
              <w:t>= 15</w:t>
            </w:r>
            <w:r>
              <w:rPr>
                <w:rFonts w:eastAsia="Symbol" w:cs="Symbol" w:ascii="Symbol" w:hAnsi="Symbol"/>
                <w:lang w:eastAsia="en-US"/>
              </w:rPr>
              <w:t></w:t>
            </w:r>
            <w:r>
              <w:rPr>
                <w:lang w:eastAsia="en-US"/>
              </w:rPr>
              <w:t xml:space="preserve"> and</w:t>
            </w:r>
            <w:r>
              <w:rPr>
                <w:lang w:eastAsia="en-US"/>
              </w:rPr>
            </w:r>
            <m:oMath xmlns:m="http://schemas.openxmlformats.org/officeDocument/2006/math">
              <m:sSub>
                <m:e>
                  <m:r>
                    <w:rPr>
                      <w:rFonts w:ascii="Cambria Math" w:hAnsi="Cambria Math"/>
                    </w:rPr>
                    <m:t xml:space="preserve">Δ</m:t>
                  </m:r>
                </m:e>
                <m:sub>
                  <m:r>
                    <w:rPr>
                      <w:rFonts w:ascii="Cambria Math" w:hAnsi="Cambria Math"/>
                    </w:rPr>
                    <m:t xml:space="preserve">ϕ</m:t>
                  </m:r>
                </m:sub>
              </m:sSub>
            </m:oMath>
            <w:r>
              <w:rPr>
                <w:lang w:eastAsia="en-US"/>
              </w:rPr>
              <w:t>= 15</w:t>
            </w:r>
            <w:r>
              <w:rPr>
                <w:rFonts w:eastAsia="Symbol" w:cs="Symbol" w:ascii="Symbol" w:hAnsi="Symbol"/>
                <w:lang w:eastAsia="en-US"/>
              </w:rPr>
              <w:t></w:t>
            </w:r>
            <w:r>
              <w:rPr>
                <w:lang w:eastAsia="en-US"/>
              </w:rPr>
              <w:t xml:space="preserve">.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3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11) Repeatability</w:t>
            </w:r>
          </w:p>
        </w:tc>
        <w:tc>
          <w:tcPr>
            <w:tcW w:w="2620"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 xml:space="preserve">Monoblock, clamshell, slide design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0.4</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0.23</w:t>
            </w:r>
          </w:p>
        </w:tc>
      </w:tr>
      <w:tr>
        <w:trPr/>
        <w:tc>
          <w:tcPr>
            <w:tcW w:w="10122" w:type="dxa"/>
            <w:gridSpan w:val="8"/>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STAGE 2 (Calibration)</w:t>
            </w:r>
          </w:p>
        </w:tc>
      </w:tr>
      <w:tr>
        <w:trPr/>
        <w:tc>
          <w:tcPr>
            <w:tcW w:w="3164"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13) Uncertainty of network analyzer</w:t>
            </w:r>
          </w:p>
        </w:tc>
        <w:tc>
          <w:tcPr>
            <w:tcW w:w="2589"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Manufacturer's uncertainty calculator, covers whole NA setup</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0.29</w:t>
            </w:r>
          </w:p>
        </w:tc>
      </w:tr>
      <w:tr>
        <w:trPr/>
        <w:tc>
          <w:tcPr>
            <w:tcW w:w="3164"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14) Mismatch of receiver chain</w:t>
            </w:r>
          </w:p>
        </w:tc>
        <w:tc>
          <w:tcPr>
            <w:tcW w:w="2589" w:type="dxa"/>
            <w:tcBorders>
              <w:top w:val="single" w:sz="4" w:space="0" w:color="000000"/>
              <w:left w:val="single" w:sz="4" w:space="0" w:color="000000"/>
              <w:bottom w:val="single" w:sz="4" w:space="0" w:color="000000"/>
              <w:right w:val="single" w:sz="4" w:space="0" w:color="000000"/>
            </w:tcBorders>
          </w:tcPr>
          <w:p>
            <w:pPr>
              <w:pStyle w:val="TAL1"/>
              <w:rPr/>
            </w:pPr>
            <w:r>
              <w:rPr>
                <w:lang w:eastAsia="en-US"/>
              </w:rPr>
              <w:t xml:space="preserve">Taken in to account in NA setup uncertainty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U</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64"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15) Insertion loss of receiver chain</w:t>
            </w:r>
          </w:p>
        </w:tc>
        <w:tc>
          <w:tcPr>
            <w:tcW w:w="2589"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64"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16) Mismatch in the connection of calibration antenna</w:t>
            </w:r>
          </w:p>
        </w:tc>
        <w:tc>
          <w:tcPr>
            <w:tcW w:w="2589"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Taken in to account in NA setup uncertainty</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U</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64"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17) Influence of the feed cable of the calibration antenna</w:t>
            </w:r>
          </w:p>
        </w:tc>
        <w:tc>
          <w:tcPr>
            <w:tcW w:w="2589"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Gain calibration with a dipole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0.3</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0.17</w:t>
            </w:r>
          </w:p>
        </w:tc>
      </w:tr>
      <w:tr>
        <w:trPr/>
        <w:tc>
          <w:tcPr>
            <w:tcW w:w="3164"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18) Influence of the probe antenna cable</w:t>
            </w:r>
          </w:p>
        </w:tc>
        <w:tc>
          <w:tcPr>
            <w:tcW w:w="2589"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64"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19) Uncertainty of the absolute gain of the probe antenna</w:t>
            </w:r>
          </w:p>
        </w:tc>
        <w:tc>
          <w:tcPr>
            <w:tcW w:w="2589"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64"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20) Uncertainty of the absolute gain of the calibration antenna</w:t>
            </w:r>
          </w:p>
        </w:tc>
        <w:tc>
          <w:tcPr>
            <w:tcW w:w="2589"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Calibration certificate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0.29</w:t>
            </w:r>
          </w:p>
        </w:tc>
      </w:tr>
      <w:tr>
        <w:trPr/>
        <w:tc>
          <w:tcPr>
            <w:tcW w:w="3164"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21) Measurement distance:</w:t>
            </w:r>
          </w:p>
          <w:p>
            <w:pPr>
              <w:pStyle w:val="TAL1"/>
              <w:rPr>
                <w:lang w:eastAsia="en-US"/>
              </w:rPr>
            </w:pPr>
            <w:r>
              <w:rPr>
                <w:lang w:eastAsia="en-US"/>
              </w:rPr>
              <w:t>Calibration antenna's displacement and misalignment</w:t>
            </w:r>
          </w:p>
        </w:tc>
        <w:tc>
          <w:tcPr>
            <w:tcW w:w="2589"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d=3m, Δd=0.05m, θ=2°</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0.29</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0.17</w:t>
            </w:r>
          </w:p>
        </w:tc>
      </w:tr>
      <w:tr>
        <w:trPr/>
        <w:tc>
          <w:tcPr>
            <w:tcW w:w="3164"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22) Quality of quiet zone</w:t>
            </w:r>
          </w:p>
        </w:tc>
        <w:tc>
          <w:tcPr>
            <w:tcW w:w="2589"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Standard deviation of e-field in QZ measurement, Gain calibration</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r>
      <w:tr>
        <w:trPr/>
        <w:tc>
          <w:tcPr>
            <w:tcW w:w="3164"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Combined standard uncertainty</w:t>
            </w:r>
          </w:p>
        </w:tc>
        <w:tc>
          <w:tcPr>
            <w:tcW w:w="2589"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c</m:t>
                    </m:r>
                  </m:sub>
                </m:sSub>
                <m:r>
                  <w:rPr>
                    <w:rFonts w:ascii="Cambria Math" w:hAnsi="Cambria Math"/>
                  </w:rPr>
                  <m:t xml:space="preserve">=</m:t>
                </m:r>
                <m:rad>
                  <m:radPr>
                    <m:degHide m:val="1"/>
                  </m:radPr>
                  <m:deg/>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c</m:t>
                            </m:r>
                          </m:e>
                          <m:sub>
                            <m:r>
                              <w:rPr>
                                <w:rFonts w:ascii="Cambria Math" w:hAnsi="Cambria Math"/>
                              </w:rPr>
                              <m:t xml:space="preserve">i</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i</m:t>
                            </m:r>
                          </m:sub>
                          <m:sup>
                            <m:r>
                              <w:rPr>
                                <w:rFonts w:ascii="Cambria Math" w:hAnsi="Cambria Math"/>
                              </w:rPr>
                              <m:t xml:space="preserve">2</m:t>
                            </m:r>
                          </m:sup>
                        </m:sSubSup>
                      </m:e>
                    </m:nary>
                  </m:e>
                </m:rad>
              </m:oMath>
            </m:oMathPara>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0.89</w:t>
            </w:r>
          </w:p>
        </w:tc>
      </w:tr>
      <w:tr>
        <w:trPr/>
        <w:tc>
          <w:tcPr>
            <w:tcW w:w="3164"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Expanded uncertainty (Confidence interval of 95 %)</w:t>
            </w:r>
          </w:p>
        </w:tc>
        <w:tc>
          <w:tcPr>
            <w:tcW w:w="2589"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e</m:t>
                    </m:r>
                  </m:sub>
                </m:sSub>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96</m:t>
                </m:r>
                <m:r>
                  <m:t xml:space="preserve"> </m:t>
                </m:r>
                <m:sSub>
                  <m:e>
                    <m:r>
                      <w:rPr>
                        <w:rFonts w:ascii="Cambria Math" w:hAnsi="Cambria Math"/>
                      </w:rPr>
                      <m:t xml:space="preserve">u</m:t>
                    </m:r>
                  </m:e>
                  <m:sub>
                    <m:r>
                      <w:rPr>
                        <w:rFonts w:ascii="Cambria Math" w:hAnsi="Cambria Math"/>
                      </w:rPr>
                      <m:t xml:space="preserve">c</m:t>
                    </m:r>
                  </m:sub>
                </m:sSub>
              </m:oMath>
            </m:oMathPara>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1.75</w:t>
            </w:r>
          </w:p>
        </w:tc>
      </w:tr>
    </w:tbl>
    <w:p>
      <w:pPr>
        <w:pStyle w:val="Normal"/>
        <w:rPr/>
      </w:pPr>
      <w:r>
        <w:rPr/>
      </w:r>
    </w:p>
    <w:p>
      <w:pPr>
        <w:pStyle w:val="TH"/>
        <w:rPr/>
      </w:pPr>
      <w:r>
        <w:rPr/>
        <w:t>Table E.29-2: Example of uncertainty budget for TRP head+hand (speech mode) measurement for anechoic chamber method</w:t>
      </w:r>
    </w:p>
    <w:tbl>
      <w:tblPr>
        <w:tblW w:w="5250" w:type="pct"/>
        <w:jc w:val="center"/>
        <w:tblInd w:w="0" w:type="dxa"/>
        <w:tblLayout w:type="fixed"/>
        <w:tblCellMar>
          <w:top w:w="0" w:type="dxa"/>
          <w:left w:w="108" w:type="dxa"/>
          <w:bottom w:w="0" w:type="dxa"/>
          <w:right w:w="108" w:type="dxa"/>
        </w:tblCellMar>
      </w:tblPr>
      <w:tblGrid>
        <w:gridCol w:w="2993"/>
        <w:gridCol w:w="140"/>
        <w:gridCol w:w="2620"/>
        <w:gridCol w:w="1245"/>
        <w:gridCol w:w="958"/>
        <w:gridCol w:w="550"/>
        <w:gridCol w:w="413"/>
        <w:gridCol w:w="1203"/>
      </w:tblGrid>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Uncertainty Source</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Comment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Uncertainty Value [dB]</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Prob Distr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Div</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ci</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en-US"/>
              </w:rPr>
              <w:t>Standard Uncertainty [dB]</w:t>
            </w:r>
          </w:p>
        </w:tc>
      </w:tr>
      <w:tr>
        <w:trPr/>
        <w:tc>
          <w:tcPr>
            <w:tcW w:w="10122" w:type="dxa"/>
            <w:gridSpan w:val="8"/>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STAGE 1 (DUT measurement)</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 xml:space="preserve">1) Mismatch of receiver chain </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Г</w:t>
            </w:r>
            <w:r>
              <w:rPr>
                <w:vertAlign w:val="subscript"/>
                <w:lang w:eastAsia="en-US"/>
              </w:rPr>
              <w:t>power meter</w:t>
            </w:r>
            <w:r>
              <w:rPr>
                <w:lang w:eastAsia="en-US"/>
              </w:rPr>
              <w:t xml:space="preserve"> &lt;0.05 Г</w:t>
            </w:r>
            <w:r>
              <w:rPr>
                <w:vertAlign w:val="subscript"/>
                <w:lang w:eastAsia="en-US"/>
              </w:rPr>
              <w:t xml:space="preserve">probe antenna connection </w:t>
            </w:r>
            <w:r>
              <w:rPr>
                <w:lang w:eastAsia="en-US"/>
              </w:rPr>
              <w:t>&lt;0.16</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0.05</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2) Insertion loss of receiver chain</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3) Influence of the probe antenna cable</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4) Absolute antenna gain of the probe antenna</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5) Measurement Receiver: uncertainty of the absolute level</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Power Meter</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0.06</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0.03</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6) Measurement distance</w:t>
            </w:r>
          </w:p>
          <w:p>
            <w:pPr>
              <w:pStyle w:val="TAL1"/>
              <w:rPr>
                <w:lang w:eastAsia="en-US"/>
              </w:rPr>
            </w:pPr>
            <w:r>
              <w:rPr>
                <w:lang w:eastAsia="en-US"/>
              </w:rPr>
              <w:t>a) Offset of DUT phase centre</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Δd=0.05m</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0.14</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0.08</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7) Quality of quiet zone</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Standard deviation of E-field in QZ measurement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8) DUT Tx-power drift</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Drift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0.12</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9) Uncertainty related to the use of the SAM head and hand phantoms:</w:t>
            </w:r>
          </w:p>
          <w:p>
            <w:pPr>
              <w:pStyle w:val="TAL1"/>
              <w:rPr>
                <w:lang w:eastAsia="en-US"/>
              </w:rPr>
            </w:pPr>
            <w:r>
              <w:rPr>
                <w:lang w:eastAsia="en-US"/>
              </w:rPr>
              <w:t>a) uncertainty from using different types of SAM phantom</w:t>
            </w:r>
          </w:p>
          <w:p>
            <w:pPr>
              <w:pStyle w:val="TAL1"/>
              <w:rPr>
                <w:lang w:eastAsia="en-US"/>
              </w:rPr>
            </w:pPr>
            <w:r>
              <w:rPr>
                <w:lang w:eastAsia="en-US"/>
              </w:rPr>
              <w:t>b) simulated tissue liquid uncertainty</w:t>
            </w:r>
          </w:p>
          <w:p>
            <w:pPr>
              <w:pStyle w:val="TAL1"/>
              <w:rPr>
                <w:lang w:eastAsia="en-US"/>
              </w:rPr>
            </w:pPr>
            <w:r>
              <w:rPr>
                <w:lang w:eastAsia="en-US"/>
              </w:rPr>
              <w:t>c) uncertainty of dielectric properties and shape of the hand phantom</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Standard SAM head with standard tissue simulant</w:t>
            </w:r>
          </w:p>
          <w:p>
            <w:pPr>
              <w:pStyle w:val="TAL1"/>
              <w:rPr>
                <w:lang w:eastAsia="en-US"/>
              </w:rPr>
            </w:pPr>
            <w:r>
              <w:rPr>
                <w:lang w:eastAsia="en-US"/>
              </w:rPr>
              <w:drawing>
                <wp:inline distT="0" distB="0" distL="0" distR="0">
                  <wp:extent cx="704850" cy="133350"/>
                  <wp:effectExtent l="0" t="0" r="0" b="0"/>
                  <wp:docPr id="158" name="Image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36" descr=""/>
                          <pic:cNvPicPr>
                            <a:picLocks noChangeAspect="1" noChangeArrowheads="1"/>
                          </pic:cNvPicPr>
                        </pic:nvPicPr>
                        <pic:blipFill>
                          <a:blip r:embed="rId160"/>
                          <a:srcRect l="-51" t="-270" r="-51" b="-270"/>
                          <a:stretch>
                            <a:fillRect/>
                          </a:stretch>
                        </pic:blipFill>
                        <pic:spPr bwMode="auto">
                          <a:xfrm>
                            <a:off x="0" y="0"/>
                            <a:ext cx="704850" cy="133350"/>
                          </a:xfrm>
                          <a:prstGeom prst="rect">
                            <a:avLst/>
                          </a:prstGeom>
                        </pic:spPr>
                      </pic:pic>
                    </a:graphicData>
                  </a:graphic>
                </wp:inline>
              </w:drawing>
            </w:r>
          </w:p>
          <w:p>
            <w:pPr>
              <w:pStyle w:val="TAL1"/>
              <w:rPr>
                <w:lang w:eastAsia="en-US"/>
              </w:rPr>
            </w:pPr>
            <w:r>
              <w:rPr>
                <w:lang w:eastAsia="en-US"/>
              </w:rPr>
              <w:drawing>
                <wp:inline distT="0" distB="0" distL="0" distR="0">
                  <wp:extent cx="723900" cy="133350"/>
                  <wp:effectExtent l="0" t="0" r="0" b="0"/>
                  <wp:docPr id="159" name="Image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137" descr=""/>
                          <pic:cNvPicPr>
                            <a:picLocks noChangeAspect="1" noChangeArrowheads="1"/>
                          </pic:cNvPicPr>
                        </pic:nvPicPr>
                        <pic:blipFill>
                          <a:blip r:embed="rId161"/>
                          <a:srcRect l="-50" t="-270" r="-50" b="-270"/>
                          <a:stretch>
                            <a:fillRect/>
                          </a:stretch>
                        </pic:blipFill>
                        <pic:spPr bwMode="auto">
                          <a:xfrm>
                            <a:off x="0" y="0"/>
                            <a:ext cx="723900" cy="133350"/>
                          </a:xfrm>
                          <a:prstGeom prst="rect">
                            <a:avLst/>
                          </a:prstGeom>
                        </pic:spPr>
                      </pic:pic>
                    </a:graphicData>
                  </a:graphic>
                </wp:inline>
              </w:drawing>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0.32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0.19</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10) Coarse sampling grid</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 xml:space="preserve">Negligible, used </w:t>
            </w:r>
            <w:r>
              <w:rPr>
                <w:lang w:eastAsia="en-US"/>
              </w:rPr>
            </w:r>
            <m:oMath xmlns:m="http://schemas.openxmlformats.org/officeDocument/2006/math">
              <m:sSub>
                <m:e>
                  <m:r>
                    <w:rPr>
                      <w:rFonts w:ascii="Cambria Math" w:hAnsi="Cambria Math"/>
                    </w:rPr>
                    <m:t xml:space="preserve">Δ</m:t>
                  </m:r>
                </m:e>
                <m:sub>
                  <m:r>
                    <w:rPr>
                      <w:rFonts w:ascii="Cambria Math" w:hAnsi="Cambria Math"/>
                    </w:rPr>
                    <m:t xml:space="preserve">θ</m:t>
                  </m:r>
                </m:sub>
              </m:sSub>
            </m:oMath>
            <w:r>
              <w:rPr>
                <w:lang w:eastAsia="en-US"/>
              </w:rPr>
              <w:t>= 15</w:t>
            </w:r>
            <w:r>
              <w:rPr>
                <w:rFonts w:eastAsia="Symbol" w:cs="Symbol" w:ascii="Symbol" w:hAnsi="Symbol"/>
                <w:lang w:eastAsia="en-US"/>
              </w:rPr>
              <w:t></w:t>
            </w:r>
            <w:r>
              <w:rPr>
                <w:lang w:eastAsia="en-US"/>
              </w:rPr>
              <w:t xml:space="preserve"> and</w:t>
            </w:r>
            <w:r>
              <w:rPr>
                <w:lang w:eastAsia="en-US"/>
              </w:rPr>
            </w:r>
            <m:oMath xmlns:m="http://schemas.openxmlformats.org/officeDocument/2006/math">
              <m:sSub>
                <m:e>
                  <m:r>
                    <w:rPr>
                      <w:rFonts w:ascii="Cambria Math" w:hAnsi="Cambria Math"/>
                    </w:rPr>
                    <m:t xml:space="preserve">Δ</m:t>
                  </m:r>
                </m:e>
                <m:sub>
                  <m:r>
                    <w:rPr>
                      <w:rFonts w:ascii="Cambria Math" w:hAnsi="Cambria Math"/>
                    </w:rPr>
                    <m:t xml:space="preserve">ϕ</m:t>
                  </m:r>
                </m:sub>
              </m:sSub>
            </m:oMath>
            <w:r>
              <w:rPr>
                <w:lang w:eastAsia="en-US"/>
              </w:rPr>
              <w:t>= 15</w:t>
            </w:r>
            <w:r>
              <w:rPr>
                <w:rFonts w:eastAsia="Symbol" w:cs="Symbol" w:ascii="Symbol" w:hAnsi="Symbol"/>
                <w:lang w:eastAsia="en-US"/>
              </w:rPr>
              <w:t></w:t>
            </w:r>
            <w:r>
              <w:rPr>
                <w:lang w:eastAsia="en-US"/>
              </w:rPr>
              <w:t xml:space="preserve">.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11) Repeatability of speech mode</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Monoblock, clamshell and PDA</w:t>
            </w:r>
            <w:bookmarkStart w:id="544" w:name="_GoBack"/>
            <w:bookmarkEnd w:id="544"/>
            <w:r>
              <w:rPr>
                <w:lang w:eastAsia="en-US"/>
              </w:rPr>
              <w:t xml:space="preserve"> design used for testing</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1.04</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0.6</w:t>
            </w:r>
          </w:p>
        </w:tc>
      </w:tr>
      <w:tr>
        <w:trPr/>
        <w:tc>
          <w:tcPr>
            <w:tcW w:w="10122" w:type="dxa"/>
            <w:gridSpan w:val="8"/>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STAGE 2 (Calibration)</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12) Uncertainty of network analyzer</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Manufacturer's uncertainty calculator, covers whole NA setup</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0.29</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13) Mismatch of receiver chain</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1"/>
              <w:rPr/>
            </w:pPr>
            <w:r>
              <w:rPr>
                <w:lang w:eastAsia="en-US"/>
              </w:rPr>
              <w:t xml:space="preserve">Taken in to account in NA setup uncertainty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U</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14) Insertion loss of receiver chain</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15) Mismatch in the connection of calibration antenna</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Taken in to account in NA setup uncertainty</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U</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pPr>
            <w:r>
              <w:rPr>
                <w:lang w:eastAsia="en-US"/>
              </w:rPr>
              <w:t>16) Influence of the feed cable of the calibration antenna</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Gain calibration with a dipole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0.3</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0.17</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17) Influence of the probe antenna cable</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pPr>
            <w:r>
              <w:rPr>
                <w:lang w:eastAsia="en-US"/>
              </w:rPr>
              <w:t>18) Uncertainty of the absolute gain of the probe antenna</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19) Uncertainty of the absolute gain of the calibration antenna</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Calibration certificate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0.29</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20) Measurement distance:</w:t>
            </w:r>
          </w:p>
          <w:p>
            <w:pPr>
              <w:pStyle w:val="TAL1"/>
              <w:rPr>
                <w:lang w:eastAsia="en-US"/>
              </w:rPr>
            </w:pPr>
            <w:r>
              <w:rPr>
                <w:lang w:eastAsia="en-US"/>
              </w:rPr>
              <w:t xml:space="preserve">Calibration antenna's displacement and misalignment </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d=3m, Δd=0.05m, θ=2°</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0.29</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0.17</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21) Quality of quiet zone</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Standard deviation of e-field in QZ measurement, Gain calibration</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Combined standard uncertainty</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c</m:t>
                    </m:r>
                  </m:sub>
                </m:sSub>
                <m:r>
                  <w:rPr>
                    <w:rFonts w:ascii="Cambria Math" w:hAnsi="Cambria Math"/>
                  </w:rPr>
                  <m:t xml:space="preserve">=</m:t>
                </m:r>
                <m:rad>
                  <m:radPr>
                    <m:degHide m:val="1"/>
                  </m:radPr>
                  <m:deg/>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c</m:t>
                            </m:r>
                          </m:e>
                          <m:sub>
                            <m:r>
                              <w:rPr>
                                <w:rFonts w:ascii="Cambria Math" w:hAnsi="Cambria Math"/>
                              </w:rPr>
                              <m:t xml:space="preserve">i</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i</m:t>
                            </m:r>
                          </m:sub>
                          <m:sup>
                            <m:r>
                              <w:rPr>
                                <w:rFonts w:ascii="Cambria Math" w:hAnsi="Cambria Math"/>
                              </w:rPr>
                              <m:t xml:space="preserve">2</m:t>
                            </m:r>
                          </m:sup>
                        </m:sSubSup>
                      </m:e>
                    </m:nary>
                  </m:e>
                </m:rad>
              </m:oMath>
            </m:oMathPara>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1.07</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Expanded uncertainty (Confidence interval of 95 %)</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e</m:t>
                    </m:r>
                  </m:sub>
                </m:sSub>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96</m:t>
                </m:r>
                <m:r>
                  <m:t xml:space="preserve"> </m:t>
                </m:r>
                <m:sSub>
                  <m:e>
                    <m:r>
                      <w:rPr>
                        <w:rFonts w:ascii="Cambria Math" w:hAnsi="Cambria Math"/>
                      </w:rPr>
                      <m:t xml:space="preserve">u</m:t>
                    </m:r>
                  </m:e>
                  <m:sub>
                    <m:r>
                      <w:rPr>
                        <w:rFonts w:ascii="Cambria Math" w:hAnsi="Cambria Math"/>
                      </w:rPr>
                      <m:t xml:space="preserve">c</m:t>
                    </m:r>
                  </m:sub>
                </m:sSub>
              </m:oMath>
            </m:oMathPara>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2.10</w:t>
            </w:r>
          </w:p>
        </w:tc>
      </w:tr>
    </w:tbl>
    <w:p>
      <w:pPr>
        <w:pStyle w:val="Normal"/>
        <w:rPr/>
      </w:pPr>
      <w:r>
        <w:rPr/>
      </w:r>
    </w:p>
    <w:p>
      <w:pPr>
        <w:pStyle w:val="TH"/>
        <w:rPr/>
      </w:pPr>
      <w:r>
        <w:rPr/>
        <w:t>Table E.29-3: Example of uncertainty budget for TRP hand only (browsing mode) measurement for anechoic chamber method</w:t>
      </w:r>
    </w:p>
    <w:tbl>
      <w:tblPr>
        <w:tblW w:w="5250" w:type="pct"/>
        <w:jc w:val="center"/>
        <w:tblInd w:w="0" w:type="dxa"/>
        <w:tblLayout w:type="fixed"/>
        <w:tblCellMar>
          <w:top w:w="0" w:type="dxa"/>
          <w:left w:w="108" w:type="dxa"/>
          <w:bottom w:w="0" w:type="dxa"/>
          <w:right w:w="108" w:type="dxa"/>
        </w:tblCellMar>
      </w:tblPr>
      <w:tblGrid>
        <w:gridCol w:w="2993"/>
        <w:gridCol w:w="140"/>
        <w:gridCol w:w="2620"/>
        <w:gridCol w:w="1245"/>
        <w:gridCol w:w="958"/>
        <w:gridCol w:w="550"/>
        <w:gridCol w:w="413"/>
        <w:gridCol w:w="1203"/>
      </w:tblGrid>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Uncertainty Source</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Comment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en-US"/>
              </w:rPr>
              <w:t>Uncertainty Value [dB]</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Prob Distr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Div</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ci</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Standard Uncertainty [dB]</w:t>
            </w:r>
          </w:p>
        </w:tc>
      </w:tr>
      <w:tr>
        <w:trPr/>
        <w:tc>
          <w:tcPr>
            <w:tcW w:w="10122" w:type="dxa"/>
            <w:gridSpan w:val="8"/>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STAGE 1 (DUT measurement)</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 xml:space="preserve">1) Mismatch of receiver chain </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Г</w:t>
            </w:r>
            <w:r>
              <w:rPr>
                <w:vertAlign w:val="subscript"/>
                <w:lang w:eastAsia="en-US"/>
              </w:rPr>
              <w:t>power meter</w:t>
            </w:r>
            <w:r>
              <w:rPr>
                <w:lang w:eastAsia="en-US"/>
              </w:rPr>
              <w:t xml:space="preserve"> &lt;0.05 Г</w:t>
            </w:r>
            <w:r>
              <w:rPr>
                <w:vertAlign w:val="subscript"/>
                <w:lang w:eastAsia="en-US"/>
              </w:rPr>
              <w:t xml:space="preserve">probe antenna connection </w:t>
            </w:r>
            <w:r>
              <w:rPr>
                <w:lang w:eastAsia="en-US"/>
              </w:rPr>
              <w:t>&lt;0.16</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0.05</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2) Insertion loss of receiver chain</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3) Influence of the probe antenna cable</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4) Absolute antenna gain of the probe antenna</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5) Measurement Receiver: uncertainty of the absolute level</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Power Meter</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0.06</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0.03</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6) Measurement distance</w:t>
            </w:r>
          </w:p>
          <w:p>
            <w:pPr>
              <w:pStyle w:val="TAL1"/>
              <w:rPr>
                <w:lang w:eastAsia="en-US"/>
              </w:rPr>
            </w:pPr>
            <w:r>
              <w:rPr>
                <w:lang w:eastAsia="en-US"/>
              </w:rPr>
              <w:t>a) Offset of DUT phase centre</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Δd=0.05m</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0.14</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0.08</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7) Quality of quiet zone</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Standard deviation of E-field in QZ measurement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8) DUT Tx-power drift</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Drift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0.12</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9) Uncertainty related to the use of hand phantom: Uncertainty of dielectric properties and shape of the hand phantom.</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drawing>
                <wp:inline distT="0" distB="0" distL="0" distR="0">
                  <wp:extent cx="704850" cy="133350"/>
                  <wp:effectExtent l="0" t="0" r="0" b="0"/>
                  <wp:docPr id="160" name="Image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38" descr=""/>
                          <pic:cNvPicPr>
                            <a:picLocks noChangeAspect="1" noChangeArrowheads="1"/>
                          </pic:cNvPicPr>
                        </pic:nvPicPr>
                        <pic:blipFill>
                          <a:blip r:embed="rId162"/>
                          <a:srcRect l="-51" t="-270" r="-51" b="-270"/>
                          <a:stretch>
                            <a:fillRect/>
                          </a:stretch>
                        </pic:blipFill>
                        <pic:spPr bwMode="auto">
                          <a:xfrm>
                            <a:off x="0" y="0"/>
                            <a:ext cx="704850" cy="133350"/>
                          </a:xfrm>
                          <a:prstGeom prst="rect">
                            <a:avLst/>
                          </a:prstGeom>
                        </pic:spPr>
                      </pic:pic>
                    </a:graphicData>
                  </a:graphic>
                </wp:inline>
              </w:drawing>
            </w:r>
          </w:p>
          <w:p>
            <w:pPr>
              <w:pStyle w:val="TAL1"/>
              <w:rPr>
                <w:lang w:eastAsia="en-US"/>
              </w:rPr>
            </w:pPr>
            <w:r>
              <w:rPr>
                <w:lang w:eastAsia="en-US"/>
              </w:rPr>
              <w:drawing>
                <wp:inline distT="0" distB="0" distL="0" distR="0">
                  <wp:extent cx="723900" cy="133350"/>
                  <wp:effectExtent l="0" t="0" r="0" b="0"/>
                  <wp:docPr id="161" name="Image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139" descr=""/>
                          <pic:cNvPicPr>
                            <a:picLocks noChangeAspect="1" noChangeArrowheads="1"/>
                          </pic:cNvPicPr>
                        </pic:nvPicPr>
                        <pic:blipFill>
                          <a:blip r:embed="rId163"/>
                          <a:srcRect l="-50" t="-270" r="-50" b="-270"/>
                          <a:stretch>
                            <a:fillRect/>
                          </a:stretch>
                        </pic:blipFill>
                        <pic:spPr bwMode="auto">
                          <a:xfrm>
                            <a:off x="0" y="0"/>
                            <a:ext cx="723900" cy="133350"/>
                          </a:xfrm>
                          <a:prstGeom prst="rect">
                            <a:avLst/>
                          </a:prstGeom>
                        </pic:spPr>
                      </pic:pic>
                    </a:graphicData>
                  </a:graphic>
                </wp:inline>
              </w:drawing>
            </w:r>
          </w:p>
          <w:p>
            <w:pPr>
              <w:pStyle w:val="TAL1"/>
              <w:rPr>
                <w:lang w:eastAsia="en-US"/>
              </w:rPr>
            </w:pPr>
            <w:r>
              <w:rPr>
                <w:lang w:eastAsia="en-US"/>
              </w:rPr>
            </w:r>
          </w:p>
          <w:p>
            <w:pPr>
              <w:pStyle w:val="TAL1"/>
              <w:rPr>
                <w:lang w:eastAsia="en-US"/>
              </w:rPr>
            </w:pPr>
            <w:r>
              <w:rPr>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0.32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0.19</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10) Coarse sampling grid</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 xml:space="preserve">Negligible, used </w:t>
            </w:r>
            <w:r>
              <w:rPr>
                <w:lang w:eastAsia="en-US"/>
              </w:rPr>
            </w:r>
            <m:oMath xmlns:m="http://schemas.openxmlformats.org/officeDocument/2006/math">
              <m:sSub>
                <m:e>
                  <m:r>
                    <w:rPr>
                      <w:rFonts w:ascii="Cambria Math" w:hAnsi="Cambria Math"/>
                    </w:rPr>
                    <m:t xml:space="preserve">Δ</m:t>
                  </m:r>
                </m:e>
                <m:sub>
                  <m:r>
                    <w:rPr>
                      <w:rFonts w:ascii="Cambria Math" w:hAnsi="Cambria Math"/>
                    </w:rPr>
                    <m:t xml:space="preserve">θ</m:t>
                  </m:r>
                </m:sub>
              </m:sSub>
            </m:oMath>
            <w:r>
              <w:rPr>
                <w:lang w:eastAsia="en-US"/>
              </w:rPr>
              <w:t>= 15</w:t>
            </w:r>
            <w:r>
              <w:rPr>
                <w:rFonts w:eastAsia="Symbol" w:cs="Symbol" w:ascii="Symbol" w:hAnsi="Symbol"/>
                <w:lang w:eastAsia="en-US"/>
              </w:rPr>
              <w:t></w:t>
            </w:r>
            <w:r>
              <w:rPr>
                <w:lang w:eastAsia="en-US"/>
              </w:rPr>
              <w:t xml:space="preserve"> and</w:t>
            </w:r>
            <w:r>
              <w:rPr>
                <w:lang w:eastAsia="en-US"/>
              </w:rPr>
            </w:r>
            <m:oMath xmlns:m="http://schemas.openxmlformats.org/officeDocument/2006/math">
              <m:sSub>
                <m:e>
                  <m:r>
                    <w:rPr>
                      <w:rFonts w:ascii="Cambria Math" w:hAnsi="Cambria Math"/>
                    </w:rPr>
                    <m:t xml:space="preserve">Δ</m:t>
                  </m:r>
                </m:e>
                <m:sub>
                  <m:r>
                    <w:rPr>
                      <w:rFonts w:ascii="Cambria Math" w:hAnsi="Cambria Math"/>
                    </w:rPr>
                    <m:t xml:space="preserve">ϕ</m:t>
                  </m:r>
                </m:sub>
              </m:sSub>
            </m:oMath>
            <w:r>
              <w:rPr>
                <w:lang w:eastAsia="en-US"/>
              </w:rPr>
              <w:t>= 15</w:t>
            </w:r>
            <w:r>
              <w:rPr>
                <w:rFonts w:eastAsia="Symbol" w:cs="Symbol" w:ascii="Symbol" w:hAnsi="Symbol"/>
                <w:lang w:eastAsia="en-US"/>
              </w:rPr>
              <w:t></w:t>
            </w:r>
            <w:r>
              <w:rPr>
                <w:lang w:eastAsia="en-US"/>
              </w:rPr>
              <w:t xml:space="preserve">.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11) Repeatability of browsing mode</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 xml:space="preserve">Monoblock, clamshell and PDA design used for testing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0.81</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0.22</w:t>
            </w:r>
          </w:p>
        </w:tc>
      </w:tr>
      <w:tr>
        <w:trPr/>
        <w:tc>
          <w:tcPr>
            <w:tcW w:w="10122" w:type="dxa"/>
            <w:gridSpan w:val="8"/>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STAGE 2 (Calibration)</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12) Uncertainty of network analyzer</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Manufacturer's uncertainty calculator, covers whole NA setup</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0.29</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13) Mismatch of receiver chain</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1"/>
              <w:rPr/>
            </w:pPr>
            <w:r>
              <w:rPr>
                <w:lang w:eastAsia="en-US"/>
              </w:rPr>
              <w:t xml:space="preserve">Taken in to account in NA setup uncertainty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U</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14) Insertion loss of receiver chain</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pPr>
            <w:r>
              <w:rPr>
                <w:lang w:eastAsia="en-US"/>
              </w:rPr>
              <w:t>15) Mismatch in the connection of calibration antenna</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Taken in to account in NA setup uncertainty</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U</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16) Influence of the feed cable of the calibration antenna</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Gain calibration with a dipole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0.3</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0.17</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pPr>
            <w:r>
              <w:rPr>
                <w:lang w:eastAsia="en-US"/>
              </w:rPr>
              <w:t>17) Influence of the probe antenna cable</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18) Uncertainty of the absolute gain of the probe antenna</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pPr>
            <w:r>
              <w:rPr>
                <w:lang w:eastAsia="en-US"/>
              </w:rPr>
              <w:t>19) Uncertainty of the absolute gain of the calibration antenna</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Calibration certificate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0.29</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20) Measurement distance:</w:t>
            </w:r>
          </w:p>
          <w:p>
            <w:pPr>
              <w:pStyle w:val="TAL1"/>
              <w:rPr>
                <w:lang w:eastAsia="en-US"/>
              </w:rPr>
            </w:pPr>
            <w:r>
              <w:rPr>
                <w:lang w:eastAsia="en-US"/>
              </w:rPr>
              <w:t xml:space="preserve">Calibration antenna's displacement and misalignment </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d=3m, Δd=0.05m, θ=2°</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0.29</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0.17</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21) Quality of quiet zone</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Standard deviation of e-field in QZ measurement, Gain calibration</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Combined standard uncertainty</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c</m:t>
                    </m:r>
                  </m:sub>
                </m:sSub>
                <m:r>
                  <w:rPr>
                    <w:rFonts w:ascii="Cambria Math" w:hAnsi="Cambria Math"/>
                  </w:rPr>
                  <m:t xml:space="preserve">=</m:t>
                </m:r>
                <m:rad>
                  <m:radPr>
                    <m:degHide m:val="1"/>
                  </m:radPr>
                  <m:deg/>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c</m:t>
                            </m:r>
                          </m:e>
                          <m:sub>
                            <m:r>
                              <w:rPr>
                                <w:rFonts w:ascii="Cambria Math" w:hAnsi="Cambria Math"/>
                              </w:rPr>
                              <m:t xml:space="preserve">i</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i</m:t>
                            </m:r>
                          </m:sub>
                          <m:sup>
                            <m:r>
                              <w:rPr>
                                <w:rFonts w:ascii="Cambria Math" w:hAnsi="Cambria Math"/>
                              </w:rPr>
                              <m:t xml:space="preserve">2</m:t>
                            </m:r>
                          </m:sup>
                        </m:sSubSup>
                      </m:e>
                    </m:nary>
                  </m:e>
                </m:rad>
              </m:oMath>
            </m:oMathPara>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1.0</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Expanded uncertainty (Confidence interval of 95 %)</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e</m:t>
                    </m:r>
                  </m:sub>
                </m:sSub>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96</m:t>
                </m:r>
                <m:r>
                  <m:t xml:space="preserve"> </m:t>
                </m:r>
                <m:sSub>
                  <m:e>
                    <m:r>
                      <w:rPr>
                        <w:rFonts w:ascii="Cambria Math" w:hAnsi="Cambria Math"/>
                      </w:rPr>
                      <m:t xml:space="preserve">u</m:t>
                    </m:r>
                  </m:e>
                  <m:sub>
                    <m:r>
                      <w:rPr>
                        <w:rFonts w:ascii="Cambria Math" w:hAnsi="Cambria Math"/>
                      </w:rPr>
                      <m:t xml:space="preserve">c</m:t>
                    </m:r>
                  </m:sub>
                </m:sSub>
              </m:oMath>
            </m:oMathPara>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1.96</w:t>
            </w:r>
          </w:p>
        </w:tc>
      </w:tr>
    </w:tbl>
    <w:p>
      <w:pPr>
        <w:pStyle w:val="Normal"/>
        <w:rPr/>
      </w:pPr>
      <w:r>
        <w:rPr/>
      </w:r>
      <w:r>
        <w:br w:type="page"/>
      </w:r>
    </w:p>
    <w:p>
      <w:pPr>
        <w:pStyle w:val="TH"/>
        <w:rPr/>
      </w:pPr>
      <w:r>
        <w:rPr/>
        <w:t>Table E.29-4: Example of uncertainty budget for TRP measurement with laptop ground plane phantom</w:t>
      </w:r>
    </w:p>
    <w:tbl>
      <w:tblPr>
        <w:tblW w:w="5250" w:type="pct"/>
        <w:jc w:val="center"/>
        <w:tblInd w:w="0" w:type="dxa"/>
        <w:tblLayout w:type="fixed"/>
        <w:tblCellMar>
          <w:top w:w="0" w:type="dxa"/>
          <w:left w:w="108" w:type="dxa"/>
          <w:bottom w:w="0" w:type="dxa"/>
          <w:right w:w="108" w:type="dxa"/>
        </w:tblCellMar>
      </w:tblPr>
      <w:tblGrid>
        <w:gridCol w:w="2993"/>
        <w:gridCol w:w="140"/>
        <w:gridCol w:w="2620"/>
        <w:gridCol w:w="1245"/>
        <w:gridCol w:w="958"/>
        <w:gridCol w:w="550"/>
        <w:gridCol w:w="413"/>
        <w:gridCol w:w="1203"/>
      </w:tblGrid>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Uncertainty Source</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Comment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Uncertainty Value [dB]</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Prob Distr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Div</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ci</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Standard Uncertainty [dB]</w:t>
            </w:r>
          </w:p>
        </w:tc>
      </w:tr>
      <w:tr>
        <w:trPr/>
        <w:tc>
          <w:tcPr>
            <w:tcW w:w="10122" w:type="dxa"/>
            <w:gridSpan w:val="8"/>
            <w:tcBorders>
              <w:top w:val="single" w:sz="4" w:space="0" w:color="000000"/>
              <w:left w:val="single" w:sz="4" w:space="0" w:color="000000"/>
              <w:bottom w:val="single" w:sz="4" w:space="0" w:color="000000"/>
              <w:right w:val="single" w:sz="4" w:space="0" w:color="000000"/>
            </w:tcBorders>
            <w:vAlign w:val="center"/>
          </w:tcPr>
          <w:p>
            <w:pPr>
              <w:pStyle w:val="TAH"/>
              <w:rPr/>
            </w:pPr>
            <w:r>
              <w:rPr>
                <w:lang w:eastAsia="en-US"/>
              </w:rPr>
              <w:t>STAGE 1 (DUT measurement)</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 xml:space="preserve">1) Mismatch of receiver chain </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Г</w:t>
            </w:r>
            <w:r>
              <w:rPr>
                <w:vertAlign w:val="subscript"/>
                <w:lang w:eastAsia="en-US"/>
              </w:rPr>
              <w:t>power meter</w:t>
            </w:r>
            <w:r>
              <w:rPr>
                <w:lang w:eastAsia="en-US"/>
              </w:rPr>
              <w:t xml:space="preserve"> &lt;0.05 Г</w:t>
            </w:r>
            <w:r>
              <w:rPr>
                <w:vertAlign w:val="subscript"/>
                <w:lang w:eastAsia="en-US"/>
              </w:rPr>
              <w:t xml:space="preserve">probe antenna connection </w:t>
            </w:r>
            <w:r>
              <w:rPr>
                <w:lang w:eastAsia="en-US"/>
              </w:rPr>
              <w:t>&lt;0.16</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0.05</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2) Insertion loss of receiver chain</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3) Influence of the probe antenna cable</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4) Absolute antenna gain of the probe antenna</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5) Measurement Receiver: uncertainty of the absolute level</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Power Meter</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0.06</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0.03</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6) Measurement distance</w:t>
            </w:r>
          </w:p>
          <w:p>
            <w:pPr>
              <w:pStyle w:val="TAL1"/>
              <w:rPr>
                <w:lang w:eastAsia="en-US"/>
              </w:rPr>
            </w:pPr>
            <w:r>
              <w:rPr>
                <w:lang w:eastAsia="en-US"/>
              </w:rPr>
              <w:t>a) Offset of DUT phase centre</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Δd=0.05m</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0.14</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0.08</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7) Quality of quiet zone</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Standard deviation of E-field in QZ measurement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8) DUT Tx-power drift</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Drift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0.12</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 xml:space="preserve">9) Uncertainty related to the use of laptop ground plane phantom: </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Standard laptop phantom</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10) Coarse sampling grid</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 xml:space="preserve">Negligible, used </w:t>
            </w:r>
            <w:r>
              <w:rPr>
                <w:lang w:eastAsia="en-US"/>
              </w:rPr>
            </w:r>
            <m:oMath xmlns:m="http://schemas.openxmlformats.org/officeDocument/2006/math">
              <m:sSub>
                <m:e>
                  <m:r>
                    <w:rPr>
                      <w:rFonts w:ascii="Cambria Math" w:hAnsi="Cambria Math"/>
                    </w:rPr>
                    <m:t xml:space="preserve">Δ</m:t>
                  </m:r>
                </m:e>
                <m:sub>
                  <m:r>
                    <w:rPr>
                      <w:rFonts w:ascii="Cambria Math" w:hAnsi="Cambria Math"/>
                    </w:rPr>
                    <m:t xml:space="preserve">θ</m:t>
                  </m:r>
                </m:sub>
              </m:sSub>
            </m:oMath>
            <w:r>
              <w:rPr>
                <w:lang w:eastAsia="en-US"/>
              </w:rPr>
              <w:t>= 15</w:t>
            </w:r>
            <w:r>
              <w:rPr>
                <w:rFonts w:eastAsia="Symbol" w:cs="Symbol" w:ascii="Symbol" w:hAnsi="Symbol"/>
                <w:lang w:eastAsia="en-US"/>
              </w:rPr>
              <w:t></w:t>
            </w:r>
            <w:r>
              <w:rPr>
                <w:lang w:eastAsia="en-US"/>
              </w:rPr>
              <w:t xml:space="preserve"> and</w:t>
            </w:r>
            <w:r>
              <w:rPr>
                <w:lang w:eastAsia="en-US"/>
              </w:rPr>
            </w:r>
            <m:oMath xmlns:m="http://schemas.openxmlformats.org/officeDocument/2006/math">
              <m:sSub>
                <m:e>
                  <m:r>
                    <w:rPr>
                      <w:rFonts w:ascii="Cambria Math" w:hAnsi="Cambria Math"/>
                    </w:rPr>
                    <m:t xml:space="preserve">Δ</m:t>
                  </m:r>
                </m:e>
                <m:sub>
                  <m:r>
                    <w:rPr>
                      <w:rFonts w:ascii="Cambria Math" w:hAnsi="Cambria Math"/>
                    </w:rPr>
                    <m:t xml:space="preserve">ϕ</m:t>
                  </m:r>
                </m:sub>
              </m:sSub>
            </m:oMath>
            <w:r>
              <w:rPr>
                <w:lang w:eastAsia="en-US"/>
              </w:rPr>
              <w:t>= 15</w:t>
            </w:r>
            <w:r>
              <w:rPr>
                <w:rFonts w:eastAsia="Symbol" w:cs="Symbol" w:ascii="Symbol" w:hAnsi="Symbol"/>
                <w:lang w:eastAsia="en-US"/>
              </w:rPr>
              <w:t></w:t>
            </w:r>
            <w:r>
              <w:rPr>
                <w:lang w:eastAsia="en-US"/>
              </w:rPr>
              <w:t xml:space="preserve">.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11) Repeatability</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rFonts w:eastAsia="Arial"/>
                <w:lang w:eastAsia="en-US"/>
              </w:rPr>
              <w:t xml:space="preserve"> </w:t>
            </w:r>
            <w:r>
              <w:rPr>
                <w:lang w:eastAsia="en-US"/>
              </w:rPr>
              <w:t xml:space="preserve">horizontal USB design, rotary USB porter, and non-rotary USB porter used for testing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0.4</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0.23</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r>
      <w:tr>
        <w:trPr/>
        <w:tc>
          <w:tcPr>
            <w:tcW w:w="10122" w:type="dxa"/>
            <w:gridSpan w:val="8"/>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STAGE 2 (Calibration)</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13) Uncertainty of network analyzer</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Manufacturer's uncertainty calculator, covers whole NA setup</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0.29</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pPr>
            <w:r>
              <w:rPr>
                <w:lang w:eastAsia="en-US"/>
              </w:rPr>
              <w:t>14) Mismatch of receiver chain</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1"/>
              <w:rPr/>
            </w:pPr>
            <w:r>
              <w:rPr>
                <w:lang w:eastAsia="en-US"/>
              </w:rPr>
              <w:t xml:space="preserve">Taken in to account in NA setup uncertainty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U</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15) Insertion loss of receiver chain</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16) Mismatch in the connection of calibration antenna</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1"/>
              <w:rPr/>
            </w:pPr>
            <w:r>
              <w:rPr>
                <w:lang w:eastAsia="en-US"/>
              </w:rPr>
              <w:t>Taken in to account in NA setup uncertainty</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U</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17) Influence of the feed cable of the calibration antenna</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Gain calibration with a dipole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0.3</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0.17</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18) Influence of the probe antenna cable</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1"/>
              <w:rPr/>
            </w:pPr>
            <w:r>
              <w:rPr>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19) Uncertainty of the absolute gain of the probe antenna</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20) Uncertainty of the absolute gain of the calibration antenna</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Calibration certificate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0.29</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21) Measurement distance:</w:t>
            </w:r>
          </w:p>
          <w:p>
            <w:pPr>
              <w:pStyle w:val="TAL1"/>
              <w:rPr>
                <w:lang w:eastAsia="en-US"/>
              </w:rPr>
            </w:pPr>
            <w:r>
              <w:rPr>
                <w:lang w:eastAsia="en-US"/>
              </w:rPr>
              <w:t xml:space="preserve">Calibration antenna's displacement and misalignment </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d=3m, Δd=0.05m, θ=2°</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0.29</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0.17</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22) Quality of quiet zone</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Standard deviation of e-field in QZ measurement, Gain calibration</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Combined standard uncertainty</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c</m:t>
                    </m:r>
                  </m:sub>
                </m:sSub>
                <m:r>
                  <w:rPr>
                    <w:rFonts w:ascii="Cambria Math" w:hAnsi="Cambria Math"/>
                  </w:rPr>
                  <m:t xml:space="preserve">=</m:t>
                </m:r>
                <m:rad>
                  <m:radPr>
                    <m:degHide m:val="1"/>
                  </m:radPr>
                  <m:deg/>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c</m:t>
                            </m:r>
                          </m:e>
                          <m:sub>
                            <m:r>
                              <w:rPr>
                                <w:rFonts w:ascii="Cambria Math" w:hAnsi="Cambria Math"/>
                              </w:rPr>
                              <m:t xml:space="preserve">i</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i</m:t>
                            </m:r>
                          </m:sub>
                          <m:sup>
                            <m:r>
                              <w:rPr>
                                <w:rFonts w:ascii="Cambria Math" w:hAnsi="Cambria Math"/>
                              </w:rPr>
                              <m:t xml:space="preserve">2</m:t>
                            </m:r>
                          </m:sup>
                        </m:sSubSup>
                      </m:e>
                    </m:nary>
                  </m:e>
                </m:rad>
              </m:oMath>
            </m:oMathPara>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0.89</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Expanded uncertainty (Confidence interval of 95 %)</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e</m:t>
                    </m:r>
                  </m:sub>
                </m:sSub>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96</m:t>
                </m:r>
                <m:r>
                  <m:t xml:space="preserve"> </m:t>
                </m:r>
                <m:sSub>
                  <m:e>
                    <m:r>
                      <w:rPr>
                        <w:rFonts w:ascii="Cambria Math" w:hAnsi="Cambria Math"/>
                      </w:rPr>
                      <m:t xml:space="preserve">u</m:t>
                    </m:r>
                  </m:e>
                  <m:sub>
                    <m:r>
                      <w:rPr>
                        <w:rFonts w:ascii="Cambria Math" w:hAnsi="Cambria Math"/>
                      </w:rPr>
                      <m:t xml:space="preserve">c</m:t>
                    </m:r>
                  </m:sub>
                </m:sSub>
              </m:oMath>
            </m:oMathPara>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1.75</w:t>
            </w:r>
          </w:p>
        </w:tc>
      </w:tr>
    </w:tbl>
    <w:p>
      <w:pPr>
        <w:pStyle w:val="Normal"/>
        <w:rPr/>
      </w:pPr>
      <w:r>
        <w:rPr/>
      </w:r>
    </w:p>
    <w:p>
      <w:pPr>
        <w:pStyle w:val="TH"/>
        <w:rPr/>
      </w:pPr>
      <w:r>
        <w:rPr/>
        <w:t xml:space="preserve">Table E.29-5: Example of uncertainty budget for TRS head only measurement for anechoic chamber method </w:t>
      </w:r>
    </w:p>
    <w:tbl>
      <w:tblPr>
        <w:tblW w:w="5250" w:type="pct"/>
        <w:jc w:val="center"/>
        <w:tblInd w:w="0" w:type="dxa"/>
        <w:tblLayout w:type="fixed"/>
        <w:tblCellMar>
          <w:top w:w="0" w:type="dxa"/>
          <w:left w:w="108" w:type="dxa"/>
          <w:bottom w:w="0" w:type="dxa"/>
          <w:right w:w="108" w:type="dxa"/>
        </w:tblCellMar>
      </w:tblPr>
      <w:tblGrid>
        <w:gridCol w:w="2993"/>
        <w:gridCol w:w="144"/>
        <w:gridCol w:w="2618"/>
        <w:gridCol w:w="1245"/>
        <w:gridCol w:w="958"/>
        <w:gridCol w:w="550"/>
        <w:gridCol w:w="413"/>
        <w:gridCol w:w="1201"/>
      </w:tblGrid>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Uncertainty Source</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Comment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Uncertainty Value [dB]</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Prob Distr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Div</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ci</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Standard Uncertainty [dB]</w:t>
            </w:r>
          </w:p>
        </w:tc>
      </w:tr>
      <w:tr>
        <w:trPr/>
        <w:tc>
          <w:tcPr>
            <w:tcW w:w="10122" w:type="dxa"/>
            <w:gridSpan w:val="8"/>
            <w:tcBorders>
              <w:top w:val="single" w:sz="4" w:space="0" w:color="000000"/>
              <w:left w:val="single" w:sz="4" w:space="0" w:color="000000"/>
              <w:bottom w:val="single" w:sz="4" w:space="0" w:color="000000"/>
              <w:right w:val="single" w:sz="4" w:space="0" w:color="000000"/>
            </w:tcBorders>
            <w:vAlign w:val="center"/>
          </w:tcPr>
          <w:p>
            <w:pPr>
              <w:pStyle w:val="TAH"/>
              <w:rPr/>
            </w:pPr>
            <w:r>
              <w:rPr>
                <w:lang w:eastAsia="en-US"/>
              </w:rPr>
              <w:t>STAGE 1 (DUT measurement)</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 Mismatch of transmitter chain</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Г</w:t>
            </w:r>
            <w:r>
              <w:rPr>
                <w:vertAlign w:val="subscript"/>
                <w:lang w:eastAsia="en-US"/>
              </w:rPr>
              <w:t>BSS</w:t>
            </w:r>
            <w:r>
              <w:rPr>
                <w:lang w:eastAsia="en-US"/>
              </w:rPr>
              <w:t xml:space="preserve"> &lt;0.13 Г</w:t>
            </w:r>
            <w:r>
              <w:rPr>
                <w:vertAlign w:val="subscript"/>
                <w:lang w:eastAsia="en-US"/>
              </w:rPr>
              <w:t xml:space="preserve"> antenna connection </w:t>
            </w:r>
            <w:r>
              <w:rPr>
                <w:lang w:eastAsia="en-US"/>
              </w:rPr>
              <w:t>&lt;0.03</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0.02</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 Insertion loss of transmitter chain</w:t>
            </w:r>
          </w:p>
        </w:tc>
        <w:tc>
          <w:tcPr>
            <w:tcW w:w="2618"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3) Influence of the probe antenna cable</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4) Absolute antenna gain of the probe antenna</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5) Base station simulator: uncertainty of the absolute level</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0.58</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1"/>
              <w:rPr/>
            </w:pPr>
            <w:r>
              <w:rPr>
                <w:lang w:eastAsia="en-US"/>
              </w:rPr>
              <w:t>6) BER measurement: output level step resolution</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Step 0.1dB</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0.03</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7) Statistical uncertainty of the BER measurement</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BER target 10%±2% , 20000 tested bits , N=60</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0.12</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8) TRS data rate normalization</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4 reference points measured</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0.12</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9) Measurement distance</w:t>
            </w:r>
          </w:p>
          <w:p>
            <w:pPr>
              <w:pStyle w:val="TAL1"/>
              <w:rPr>
                <w:lang w:eastAsia="en-US"/>
              </w:rPr>
            </w:pPr>
            <w:r>
              <w:rPr>
                <w:lang w:eastAsia="en-US"/>
              </w:rPr>
              <w:t>a) Offset of DUT phase centre</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Δd=0.05m</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0.14</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0.08</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10) Quality of quiet zone</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Standard deviation of E-field in QZ measurement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11) DUT sensitivity drift</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Drift measurement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0.12</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 xml:space="preserve">12) Uncertainty related to the use of SAM phantom: </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Standard SAM with standard tissue simulant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13) Coarse sampling grid</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pPr>
            <w:r>
              <w:rPr>
                <w:rFonts w:eastAsia="Arial"/>
                <w:lang w:eastAsia="en-US"/>
              </w:rPr>
              <w:t xml:space="preserve"> </w:t>
            </w:r>
            <w:r>
              <w:rPr>
                <w:lang w:eastAsia="en-US"/>
              </w:rPr>
            </w:r>
            <m:oMath xmlns:m="http://schemas.openxmlformats.org/officeDocument/2006/math">
              <m:sSub>
                <m:e>
                  <m:r>
                    <w:rPr>
                      <w:rFonts w:ascii="Cambria Math" w:hAnsi="Cambria Math"/>
                    </w:rPr>
                    <m:t xml:space="preserve">Δ</m:t>
                  </m:r>
                </m:e>
                <m:sub>
                  <m:r>
                    <w:rPr>
                      <w:rFonts w:ascii="Cambria Math" w:hAnsi="Cambria Math"/>
                    </w:rPr>
                    <m:t xml:space="preserve">θ</m:t>
                  </m:r>
                </m:sub>
              </m:sSub>
            </m:oMath>
            <w:r>
              <w:rPr>
                <w:lang w:eastAsia="en-US"/>
              </w:rPr>
              <w:t>= 30</w:t>
            </w:r>
            <w:r>
              <w:rPr>
                <w:rFonts w:eastAsia="Symbol" w:cs="Symbol" w:ascii="Symbol" w:hAnsi="Symbol"/>
                <w:lang w:eastAsia="en-US"/>
              </w:rPr>
              <w:t></w:t>
            </w:r>
            <w:r>
              <w:rPr>
                <w:lang w:eastAsia="en-US"/>
              </w:rPr>
              <w:t xml:space="preserve"> and</w:t>
            </w:r>
            <w:r>
              <w:rPr>
                <w:lang w:eastAsia="en-US"/>
              </w:rPr>
            </w:r>
            <m:oMath xmlns:m="http://schemas.openxmlformats.org/officeDocument/2006/math">
              <m:sSub>
                <m:e>
                  <m:r>
                    <w:rPr>
                      <w:rFonts w:ascii="Cambria Math" w:hAnsi="Cambria Math"/>
                    </w:rPr>
                    <m:t xml:space="preserve">Δ</m:t>
                  </m:r>
                </m:e>
                <m:sub>
                  <m:r>
                    <w:rPr>
                      <w:rFonts w:ascii="Cambria Math" w:hAnsi="Cambria Math"/>
                    </w:rPr>
                    <m:t xml:space="preserve">ϕ</m:t>
                  </m:r>
                </m:sub>
              </m:sSub>
            </m:oMath>
            <w:r>
              <w:rPr>
                <w:lang w:eastAsia="en-US"/>
              </w:rPr>
              <w:t>= 30</w:t>
            </w:r>
            <w:r>
              <w:rPr>
                <w:rFonts w:eastAsia="Symbol" w:cs="Symbol" w:ascii="Symbol" w:hAnsi="Symbol"/>
                <w:lang w:eastAsia="en-US"/>
              </w:rPr>
              <w:t></w:t>
            </w:r>
            <w:r>
              <w:rPr>
                <w:lang w:eastAsia="en-US"/>
              </w:rPr>
              <w:t xml:space="preserve">.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0.15</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14) Repeatability</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 xml:space="preserve">Monoblock, clamshell, slide design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0.29</w:t>
            </w:r>
          </w:p>
        </w:tc>
      </w:tr>
      <w:tr>
        <w:trPr/>
        <w:tc>
          <w:tcPr>
            <w:tcW w:w="10122" w:type="dxa"/>
            <w:gridSpan w:val="8"/>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STAGE 2 (Calibration)</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16) Uncertainty of network analyzer</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Manufacturer's uncertainty calculator, covers NA setup</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0.29</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pPr>
            <w:r>
              <w:rPr>
                <w:lang w:eastAsia="en-US"/>
              </w:rPr>
              <w:t>17) Mismatch of transmitter chain</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1"/>
              <w:rPr/>
            </w:pPr>
            <w:r>
              <w:rPr>
                <w:lang w:eastAsia="en-US"/>
              </w:rPr>
              <w:t xml:space="preserve">Taken in to account in NA setup uncertainty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U</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18) Insertion loss of transmitter chain</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pPr>
            <w:r>
              <w:rPr>
                <w:lang w:eastAsia="en-US"/>
              </w:rPr>
              <w:t>19) Mismatch in the connection of calibration antenna</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Taken in to account in NA setup uncertainty</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20) Influence of the feed cable of the calibration antenna</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Gain calibration with dipole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0.3</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0.17</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21) Influence of the probe antenna cable</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1"/>
              <w:rPr/>
            </w:pPr>
            <w:r>
              <w:rPr>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22) Uncertainty of the absolute gain of the probe antenna</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pPr>
            <w:r>
              <w:rPr>
                <w:lang w:eastAsia="en-US"/>
              </w:rPr>
              <w:t>23) Uncertainty of the absolute gain of the calibration antenna</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Calibration certificate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0.29</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24) Measurement distance:</w:t>
            </w:r>
          </w:p>
          <w:p>
            <w:pPr>
              <w:pStyle w:val="TAL1"/>
              <w:rPr>
                <w:lang w:eastAsia="en-US"/>
              </w:rPr>
            </w:pPr>
            <w:r>
              <w:rPr>
                <w:lang w:eastAsia="en-US"/>
              </w:rPr>
              <w:t xml:space="preserve">Calibration antenna's displacement and misalignment </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d=3m, Δd=0.05m, θ=2°</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0.29</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0.17</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25) Quality of quiet zone</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Standard deviation of E-field in QZ measurement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Combined standard uncertainty</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c</m:t>
                    </m:r>
                  </m:sub>
                </m:sSub>
                <m:r>
                  <w:rPr>
                    <w:rFonts w:ascii="Cambria Math" w:hAnsi="Cambria Math"/>
                  </w:rPr>
                  <m:t xml:space="preserve">=</m:t>
                </m:r>
                <m:rad>
                  <m:radPr>
                    <m:degHide m:val="1"/>
                  </m:radPr>
                  <m:deg/>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c</m:t>
                            </m:r>
                          </m:e>
                          <m:sub>
                            <m:r>
                              <w:rPr>
                                <w:rFonts w:ascii="Cambria Math" w:hAnsi="Cambria Math"/>
                              </w:rPr>
                              <m:t xml:space="preserve">i</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i</m:t>
                            </m:r>
                          </m:sub>
                          <m:sup>
                            <m:r>
                              <w:rPr>
                                <w:rFonts w:ascii="Cambria Math" w:hAnsi="Cambria Math"/>
                              </w:rPr>
                              <m:t xml:space="preserve">2</m:t>
                            </m:r>
                          </m:sup>
                        </m:sSubSup>
                      </m:e>
                    </m:nary>
                  </m:e>
                </m:rad>
              </m:oMath>
            </m:oMathPara>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1.1</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Expanded uncertainty (Confidence interval of 95 %)</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e</m:t>
                    </m:r>
                  </m:sub>
                </m:sSub>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96</m:t>
                </m:r>
                <m:r>
                  <m:t xml:space="preserve"> </m:t>
                </m:r>
                <m:sSub>
                  <m:e>
                    <m:r>
                      <w:rPr>
                        <w:rFonts w:ascii="Cambria Math" w:hAnsi="Cambria Math"/>
                      </w:rPr>
                      <m:t xml:space="preserve">u</m:t>
                    </m:r>
                  </m:e>
                  <m:sub>
                    <m:r>
                      <w:rPr>
                        <w:rFonts w:ascii="Cambria Math" w:hAnsi="Cambria Math"/>
                      </w:rPr>
                      <m:t xml:space="preserve">c</m:t>
                    </m:r>
                  </m:sub>
                </m:sSub>
              </m:oMath>
            </m:oMathPara>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2.16</w:t>
            </w:r>
          </w:p>
        </w:tc>
      </w:tr>
    </w:tbl>
    <w:p>
      <w:pPr>
        <w:pStyle w:val="Normal"/>
        <w:rPr/>
      </w:pPr>
      <w:r>
        <w:rPr/>
      </w:r>
    </w:p>
    <w:p>
      <w:pPr>
        <w:pStyle w:val="TH"/>
        <w:rPr/>
      </w:pPr>
      <w:r>
        <w:rPr/>
        <w:t xml:space="preserve">Table E.29-6: Example of uncertainty budget for TRS head+hand (speech mode) measurement for anechoic chamber method </w:t>
      </w:r>
    </w:p>
    <w:tbl>
      <w:tblPr>
        <w:tblW w:w="5250" w:type="pct"/>
        <w:jc w:val="center"/>
        <w:tblInd w:w="0" w:type="dxa"/>
        <w:tblLayout w:type="fixed"/>
        <w:tblCellMar>
          <w:top w:w="0" w:type="dxa"/>
          <w:left w:w="108" w:type="dxa"/>
          <w:bottom w:w="0" w:type="dxa"/>
          <w:right w:w="108" w:type="dxa"/>
        </w:tblCellMar>
      </w:tblPr>
      <w:tblGrid>
        <w:gridCol w:w="2993"/>
        <w:gridCol w:w="144"/>
        <w:gridCol w:w="2618"/>
        <w:gridCol w:w="1245"/>
        <w:gridCol w:w="958"/>
        <w:gridCol w:w="550"/>
        <w:gridCol w:w="413"/>
        <w:gridCol w:w="1201"/>
      </w:tblGrid>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Uncertainty Source</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Comment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Uncertainty Value [dB]</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Prob Distr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Div</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ci</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Standard Uncertainty [dB]</w:t>
            </w:r>
          </w:p>
        </w:tc>
      </w:tr>
      <w:tr>
        <w:trPr/>
        <w:tc>
          <w:tcPr>
            <w:tcW w:w="10122" w:type="dxa"/>
            <w:gridSpan w:val="8"/>
            <w:tcBorders>
              <w:top w:val="single" w:sz="4" w:space="0" w:color="000000"/>
              <w:left w:val="single" w:sz="4" w:space="0" w:color="000000"/>
              <w:bottom w:val="single" w:sz="4" w:space="0" w:color="000000"/>
              <w:right w:val="single" w:sz="4" w:space="0" w:color="000000"/>
            </w:tcBorders>
            <w:vAlign w:val="center"/>
          </w:tcPr>
          <w:p>
            <w:pPr>
              <w:pStyle w:val="TAH"/>
              <w:rPr/>
            </w:pPr>
            <w:r>
              <w:rPr>
                <w:lang w:eastAsia="en-US"/>
              </w:rPr>
              <w:t>STAGE 1 (DUT measurement)</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 Mismatch of transmitter chain</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Г</w:t>
            </w:r>
            <w:r>
              <w:rPr>
                <w:vertAlign w:val="subscript"/>
                <w:lang w:eastAsia="en-US"/>
              </w:rPr>
              <w:t>BSS</w:t>
            </w:r>
            <w:r>
              <w:rPr>
                <w:lang w:eastAsia="en-US"/>
              </w:rPr>
              <w:t xml:space="preserve"> &lt;0.13 Г</w:t>
            </w:r>
            <w:r>
              <w:rPr>
                <w:vertAlign w:val="subscript"/>
                <w:lang w:eastAsia="en-US"/>
              </w:rPr>
              <w:t xml:space="preserve"> antenna connection </w:t>
            </w:r>
            <w:r>
              <w:rPr>
                <w:lang w:eastAsia="en-US"/>
              </w:rPr>
              <w:t>&lt;0.03</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0.02</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 Insertion loss of transmitter chain</w:t>
            </w:r>
          </w:p>
        </w:tc>
        <w:tc>
          <w:tcPr>
            <w:tcW w:w="2618"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3) Influence of the probe antenna cable</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4) Absolute antenna gain of the probe antenna</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5) Base station simulator: uncertainty of the absolute level</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0.58</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1"/>
              <w:rPr/>
            </w:pPr>
            <w:r>
              <w:rPr>
                <w:lang w:eastAsia="en-US"/>
              </w:rPr>
              <w:t>6) BER measurement: output level step resolution</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Step 0.1dB</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0.03</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7) Statistical uncertainty of the BER measurement</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BER target 10%±2% , 20000 tested bits , N=60</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0.12</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8) TRS data rate normalization</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4 reference points measured</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0.12</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9) Measurement distance</w:t>
            </w:r>
          </w:p>
          <w:p>
            <w:pPr>
              <w:pStyle w:val="TAL1"/>
              <w:rPr>
                <w:lang w:eastAsia="en-US"/>
              </w:rPr>
            </w:pPr>
            <w:r>
              <w:rPr>
                <w:lang w:eastAsia="en-US"/>
              </w:rPr>
              <w:t>a) Offset of DUT phase centre</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Δd=0.05m</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0.14</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0.08</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10) Quality of quiet zone</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Standard deviation of E-field in QZ measurement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11) DUT sensitivity drift</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Drift measurement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0.12</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12) Uncertainty related to the use of the SAM head and hand phantoms:</w:t>
            </w:r>
          </w:p>
          <w:p>
            <w:pPr>
              <w:pStyle w:val="TAL1"/>
              <w:rPr>
                <w:lang w:eastAsia="en-US"/>
              </w:rPr>
            </w:pPr>
            <w:r>
              <w:rPr>
                <w:lang w:eastAsia="en-US"/>
              </w:rPr>
              <w:t>a) uncertainty from using different types of SAM phantom</w:t>
            </w:r>
          </w:p>
          <w:p>
            <w:pPr>
              <w:pStyle w:val="TAL1"/>
              <w:rPr>
                <w:lang w:eastAsia="en-US"/>
              </w:rPr>
            </w:pPr>
            <w:r>
              <w:rPr>
                <w:lang w:eastAsia="en-US"/>
              </w:rPr>
              <w:t>b) simulated tissue liquid uncertainty</w:t>
            </w:r>
          </w:p>
          <w:p>
            <w:pPr>
              <w:pStyle w:val="TAL1"/>
              <w:rPr/>
            </w:pPr>
            <w:r>
              <w:rPr>
                <w:lang w:eastAsia="en-US"/>
              </w:rPr>
              <w:t xml:space="preserve">c) uncertainty of dielectric properties and shape of the hand phantom: </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Standard SAM head with standard tissue simulant</w:t>
            </w:r>
          </w:p>
          <w:p>
            <w:pPr>
              <w:pStyle w:val="TAL1"/>
              <w:rPr>
                <w:lang w:eastAsia="en-US"/>
              </w:rPr>
            </w:pPr>
            <w:r>
              <w:rPr>
                <w:lang w:eastAsia="en-US"/>
              </w:rPr>
              <w:drawing>
                <wp:inline distT="0" distB="0" distL="0" distR="0">
                  <wp:extent cx="704850" cy="133350"/>
                  <wp:effectExtent l="0" t="0" r="0" b="0"/>
                  <wp:docPr id="162" name="Image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40" descr=""/>
                          <pic:cNvPicPr>
                            <a:picLocks noChangeAspect="1" noChangeArrowheads="1"/>
                          </pic:cNvPicPr>
                        </pic:nvPicPr>
                        <pic:blipFill>
                          <a:blip r:embed="rId164"/>
                          <a:srcRect l="-51" t="-270" r="-51" b="-270"/>
                          <a:stretch>
                            <a:fillRect/>
                          </a:stretch>
                        </pic:blipFill>
                        <pic:spPr bwMode="auto">
                          <a:xfrm>
                            <a:off x="0" y="0"/>
                            <a:ext cx="704850" cy="133350"/>
                          </a:xfrm>
                          <a:prstGeom prst="rect">
                            <a:avLst/>
                          </a:prstGeom>
                        </pic:spPr>
                      </pic:pic>
                    </a:graphicData>
                  </a:graphic>
                </wp:inline>
              </w:drawing>
            </w:r>
          </w:p>
          <w:p>
            <w:pPr>
              <w:pStyle w:val="TAL1"/>
              <w:rPr>
                <w:lang w:eastAsia="en-US"/>
              </w:rPr>
            </w:pPr>
            <w:r>
              <w:rPr>
                <w:lang w:eastAsia="en-US"/>
              </w:rPr>
              <w:drawing>
                <wp:inline distT="0" distB="0" distL="0" distR="0">
                  <wp:extent cx="723900" cy="133350"/>
                  <wp:effectExtent l="0" t="0" r="0" b="0"/>
                  <wp:docPr id="163" name="Image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141" descr=""/>
                          <pic:cNvPicPr>
                            <a:picLocks noChangeAspect="1" noChangeArrowheads="1"/>
                          </pic:cNvPicPr>
                        </pic:nvPicPr>
                        <pic:blipFill>
                          <a:blip r:embed="rId165"/>
                          <a:srcRect l="-50" t="-270" r="-50" b="-270"/>
                          <a:stretch>
                            <a:fillRect/>
                          </a:stretch>
                        </pic:blipFill>
                        <pic:spPr bwMode="auto">
                          <a:xfrm>
                            <a:off x="0" y="0"/>
                            <a:ext cx="723900" cy="133350"/>
                          </a:xfrm>
                          <a:prstGeom prst="rect">
                            <a:avLst/>
                          </a:prstGeom>
                        </pic:spPr>
                      </pic:pic>
                    </a:graphicData>
                  </a:graphic>
                </wp:inline>
              </w:drawing>
            </w:r>
          </w:p>
          <w:p>
            <w:pPr>
              <w:pStyle w:val="TAL1"/>
              <w:rPr>
                <w:lang w:eastAsia="en-US"/>
              </w:rPr>
            </w:pPr>
            <w:r>
              <w:rPr>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0.32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0.19</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13) Coarse sampling grid</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pPr>
            <w:r>
              <w:rPr>
                <w:rFonts w:eastAsia="Arial"/>
                <w:lang w:eastAsia="en-US"/>
              </w:rPr>
              <w:t xml:space="preserve"> </w:t>
            </w:r>
            <w:r>
              <w:rPr>
                <w:lang w:eastAsia="en-US"/>
              </w:rPr>
            </w:r>
            <m:oMath xmlns:m="http://schemas.openxmlformats.org/officeDocument/2006/math">
              <m:sSub>
                <m:e>
                  <m:r>
                    <w:rPr>
                      <w:rFonts w:ascii="Cambria Math" w:hAnsi="Cambria Math"/>
                    </w:rPr>
                    <m:t xml:space="preserve">Δ</m:t>
                  </m:r>
                </m:e>
                <m:sub>
                  <m:r>
                    <w:rPr>
                      <w:rFonts w:ascii="Cambria Math" w:hAnsi="Cambria Math"/>
                    </w:rPr>
                    <m:t xml:space="preserve">θ</m:t>
                  </m:r>
                </m:sub>
              </m:sSub>
            </m:oMath>
            <w:r>
              <w:rPr>
                <w:lang w:eastAsia="en-US"/>
              </w:rPr>
              <w:t>= 30</w:t>
            </w:r>
            <w:r>
              <w:rPr>
                <w:rFonts w:eastAsia="Symbol" w:cs="Symbol" w:ascii="Symbol" w:hAnsi="Symbol"/>
                <w:lang w:eastAsia="en-US"/>
              </w:rPr>
              <w:t></w:t>
            </w:r>
            <w:r>
              <w:rPr>
                <w:lang w:eastAsia="en-US"/>
              </w:rPr>
              <w:t xml:space="preserve"> and</w:t>
            </w:r>
            <w:r>
              <w:rPr>
                <w:lang w:eastAsia="en-US"/>
              </w:rPr>
            </w:r>
            <m:oMath xmlns:m="http://schemas.openxmlformats.org/officeDocument/2006/math">
              <m:sSub>
                <m:e>
                  <m:r>
                    <w:rPr>
                      <w:rFonts w:ascii="Cambria Math" w:hAnsi="Cambria Math"/>
                    </w:rPr>
                    <m:t xml:space="preserve">Δ</m:t>
                  </m:r>
                </m:e>
                <m:sub>
                  <m:r>
                    <w:rPr>
                      <w:rFonts w:ascii="Cambria Math" w:hAnsi="Cambria Math"/>
                    </w:rPr>
                    <m:t xml:space="preserve">ϕ</m:t>
                  </m:r>
                </m:sub>
              </m:sSub>
            </m:oMath>
            <w:r>
              <w:rPr>
                <w:lang w:eastAsia="en-US"/>
              </w:rPr>
              <w:t>= 30</w:t>
            </w:r>
            <w:r>
              <w:rPr>
                <w:rFonts w:eastAsia="Symbol" w:cs="Symbol" w:ascii="Symbol" w:hAnsi="Symbol"/>
                <w:lang w:eastAsia="en-US"/>
              </w:rPr>
              <w:t></w:t>
            </w:r>
            <w:r>
              <w:rPr>
                <w:lang w:eastAsia="en-US"/>
              </w:rPr>
              <w:t xml:space="preserve">.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0.15</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14) Repeatability of speech mode</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 xml:space="preserve">Monoblock, clamshell and PDA used for testing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1.4</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0.81</w:t>
            </w:r>
          </w:p>
        </w:tc>
      </w:tr>
      <w:tr>
        <w:trPr/>
        <w:tc>
          <w:tcPr>
            <w:tcW w:w="10122" w:type="dxa"/>
            <w:gridSpan w:val="8"/>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STAGE 2 (Calibration)</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15) Uncertainty of network analyzer</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Manufacturer's uncertainty calculator, covers NA setup</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0.29</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pPr>
            <w:r>
              <w:rPr>
                <w:lang w:eastAsia="en-US"/>
              </w:rPr>
              <w:t>16) Mismatch of transmitter chain</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1"/>
              <w:rPr/>
            </w:pPr>
            <w:r>
              <w:rPr>
                <w:lang w:eastAsia="en-US"/>
              </w:rPr>
              <w:t xml:space="preserve">Taken in to account in NA setup uncertainty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U</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17) Insertion loss of transmitter chain</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18) Mismatch in the connection of calibration antenna</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1"/>
              <w:rPr/>
            </w:pPr>
            <w:r>
              <w:rPr>
                <w:lang w:eastAsia="en-US"/>
              </w:rPr>
              <w:t>Taken in to account in NA setup uncertainty</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19) Influence of the feed cable of the calibration antenna</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Gain calibration with dipole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0.3</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0.17</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20) Influence of the probe antenna cable</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1"/>
              <w:rPr/>
            </w:pPr>
            <w:r>
              <w:rPr>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21) Uncertainty of the absolute gain of the probe antenna</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22) Uncertainty of the absolute gain of the calibration antenna</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Calibration certificate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0.29</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23)Measurement distance:</w:t>
            </w:r>
          </w:p>
          <w:p>
            <w:pPr>
              <w:pStyle w:val="TAL1"/>
              <w:rPr>
                <w:lang w:eastAsia="en-US"/>
              </w:rPr>
            </w:pPr>
            <w:r>
              <w:rPr>
                <w:lang w:eastAsia="en-US"/>
              </w:rPr>
              <w:t xml:space="preserve">Calibration antenna's displacement and misalignment </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d=3m, Δd=0.05m, θ=2°</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0.29</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0.17</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24) Quality of quiet zone</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Standard deviation of E-field in QZ measurement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Combined standard uncertainty</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c</m:t>
                    </m:r>
                  </m:sub>
                </m:sSub>
                <m:r>
                  <w:rPr>
                    <w:rFonts w:ascii="Cambria Math" w:hAnsi="Cambria Math"/>
                  </w:rPr>
                  <m:t xml:space="preserve">=</m:t>
                </m:r>
                <m:rad>
                  <m:radPr>
                    <m:degHide m:val="1"/>
                  </m:radPr>
                  <m:deg/>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c</m:t>
                            </m:r>
                          </m:e>
                          <m:sub>
                            <m:r>
                              <w:rPr>
                                <w:rFonts w:ascii="Cambria Math" w:hAnsi="Cambria Math"/>
                              </w:rPr>
                              <m:t xml:space="preserve">i</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i</m:t>
                            </m:r>
                          </m:sub>
                          <m:sup>
                            <m:r>
                              <w:rPr>
                                <w:rFonts w:ascii="Cambria Math" w:hAnsi="Cambria Math"/>
                              </w:rPr>
                              <m:t xml:space="preserve">2</m:t>
                            </m:r>
                          </m:sup>
                        </m:sSubSup>
                      </m:e>
                    </m:nary>
                  </m:e>
                </m:rad>
              </m:oMath>
            </m:oMathPara>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1.35</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Expanded uncertainty (Confidence interval of 95 %)</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e</m:t>
                    </m:r>
                  </m:sub>
                </m:sSub>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96</m:t>
                </m:r>
                <m:r>
                  <m:t xml:space="preserve"> </m:t>
                </m:r>
                <m:sSub>
                  <m:e>
                    <m:r>
                      <w:rPr>
                        <w:rFonts w:ascii="Cambria Math" w:hAnsi="Cambria Math"/>
                      </w:rPr>
                      <m:t xml:space="preserve">u</m:t>
                    </m:r>
                  </m:e>
                  <m:sub>
                    <m:r>
                      <w:rPr>
                        <w:rFonts w:ascii="Cambria Math" w:hAnsi="Cambria Math"/>
                      </w:rPr>
                      <m:t xml:space="preserve">c</m:t>
                    </m:r>
                  </m:sub>
                </m:sSub>
              </m:oMath>
            </m:oMathPara>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2.64</w:t>
            </w:r>
          </w:p>
        </w:tc>
      </w:tr>
    </w:tbl>
    <w:p>
      <w:pPr>
        <w:pStyle w:val="Normal"/>
        <w:rPr/>
      </w:pPr>
      <w:r>
        <w:rPr/>
      </w:r>
    </w:p>
    <w:p>
      <w:pPr>
        <w:pStyle w:val="TH"/>
        <w:rPr/>
      </w:pPr>
      <w:r>
        <w:rPr/>
        <w:t xml:space="preserve">Table E.29-7: Example of uncertainty budget for TRS hand only (browsing mode) measurement for anechoic chamber method </w:t>
      </w:r>
    </w:p>
    <w:tbl>
      <w:tblPr>
        <w:tblW w:w="5250" w:type="pct"/>
        <w:jc w:val="center"/>
        <w:tblInd w:w="0" w:type="dxa"/>
        <w:tblLayout w:type="fixed"/>
        <w:tblCellMar>
          <w:top w:w="0" w:type="dxa"/>
          <w:left w:w="108" w:type="dxa"/>
          <w:bottom w:w="0" w:type="dxa"/>
          <w:right w:w="108" w:type="dxa"/>
        </w:tblCellMar>
      </w:tblPr>
      <w:tblGrid>
        <w:gridCol w:w="2993"/>
        <w:gridCol w:w="144"/>
        <w:gridCol w:w="2618"/>
        <w:gridCol w:w="1245"/>
        <w:gridCol w:w="958"/>
        <w:gridCol w:w="550"/>
        <w:gridCol w:w="413"/>
        <w:gridCol w:w="1201"/>
      </w:tblGrid>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Uncertainty Source</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Comment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Uncertainty Value [dB]</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Prob Distr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Div</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ci</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Standard Uncertainty [dB]</w:t>
            </w:r>
          </w:p>
        </w:tc>
      </w:tr>
      <w:tr>
        <w:trPr/>
        <w:tc>
          <w:tcPr>
            <w:tcW w:w="10122" w:type="dxa"/>
            <w:gridSpan w:val="8"/>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STAGE 1 (DUT measurement)</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 Mismatch of transmitter chain</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Г</w:t>
            </w:r>
            <w:r>
              <w:rPr>
                <w:vertAlign w:val="subscript"/>
                <w:lang w:eastAsia="en-US"/>
              </w:rPr>
              <w:t>BSS</w:t>
            </w:r>
            <w:r>
              <w:rPr>
                <w:lang w:eastAsia="en-US"/>
              </w:rPr>
              <w:t xml:space="preserve"> &lt;0.13 Г</w:t>
            </w:r>
            <w:r>
              <w:rPr>
                <w:vertAlign w:val="subscript"/>
                <w:lang w:eastAsia="en-US"/>
              </w:rPr>
              <w:t xml:space="preserve"> antenna connection </w:t>
            </w:r>
            <w:r>
              <w:rPr>
                <w:lang w:eastAsia="en-US"/>
              </w:rPr>
              <w:t>&lt;0.03</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0.02</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 Insertion loss of transmitter chain</w:t>
            </w:r>
          </w:p>
        </w:tc>
        <w:tc>
          <w:tcPr>
            <w:tcW w:w="2618"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3) Influence of the probe antenna cable</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4) Absolute antenna gain of the probe antenna</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5) Base station simulator: uncertainty of the absolute level</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0.58</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1"/>
              <w:rPr/>
            </w:pPr>
            <w:r>
              <w:rPr>
                <w:lang w:eastAsia="en-US"/>
              </w:rPr>
              <w:t>6) BER measurement: output level step resolution</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Step 0.1dB</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0.03</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7) Statistical uncertainty of the BER measurement</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BER target 10%±2% , 20000 tested bits , N=60</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0.12</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8) TRS data rate normalization</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4 reference points measured</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0.12</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9) Measurement distance</w:t>
            </w:r>
          </w:p>
          <w:p>
            <w:pPr>
              <w:pStyle w:val="TAL1"/>
              <w:rPr>
                <w:lang w:eastAsia="en-US"/>
              </w:rPr>
            </w:pPr>
            <w:r>
              <w:rPr>
                <w:lang w:eastAsia="en-US"/>
              </w:rPr>
              <w:t>a) Offset of DUT phase centre</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Δd=0.05m</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0.14</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0.08</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10) Quality of quiet zone</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Standard deviation of E-field in QZ measurement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11) DUT sensitivity drift</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Drift measurement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0.12</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12) Uncertainty related to the use of hand phantom: Uncertainty of dielectric properties and shape of the hand phantom.</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p>
            <w:pPr>
              <w:pStyle w:val="TAL1"/>
              <w:rPr>
                <w:lang w:eastAsia="en-US"/>
              </w:rPr>
            </w:pPr>
            <w:r>
              <w:rPr>
                <w:lang w:eastAsia="en-US"/>
              </w:rPr>
              <w:drawing>
                <wp:inline distT="0" distB="0" distL="0" distR="0">
                  <wp:extent cx="704850" cy="133350"/>
                  <wp:effectExtent l="0" t="0" r="0" b="0"/>
                  <wp:docPr id="164" name="Image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42" descr=""/>
                          <pic:cNvPicPr>
                            <a:picLocks noChangeAspect="1" noChangeArrowheads="1"/>
                          </pic:cNvPicPr>
                        </pic:nvPicPr>
                        <pic:blipFill>
                          <a:blip r:embed="rId166"/>
                          <a:srcRect l="-51" t="-270" r="-51" b="-270"/>
                          <a:stretch>
                            <a:fillRect/>
                          </a:stretch>
                        </pic:blipFill>
                        <pic:spPr bwMode="auto">
                          <a:xfrm>
                            <a:off x="0" y="0"/>
                            <a:ext cx="704850" cy="133350"/>
                          </a:xfrm>
                          <a:prstGeom prst="rect">
                            <a:avLst/>
                          </a:prstGeom>
                        </pic:spPr>
                      </pic:pic>
                    </a:graphicData>
                  </a:graphic>
                </wp:inline>
              </w:drawing>
            </w:r>
          </w:p>
          <w:p>
            <w:pPr>
              <w:pStyle w:val="TAL1"/>
              <w:rPr>
                <w:lang w:eastAsia="en-US"/>
              </w:rPr>
            </w:pPr>
            <w:r>
              <w:rPr>
                <w:lang w:eastAsia="en-US"/>
              </w:rPr>
              <w:drawing>
                <wp:inline distT="0" distB="0" distL="0" distR="0">
                  <wp:extent cx="723900" cy="133350"/>
                  <wp:effectExtent l="0" t="0" r="0" b="0"/>
                  <wp:docPr id="165" name="Image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143" descr=""/>
                          <pic:cNvPicPr>
                            <a:picLocks noChangeAspect="1" noChangeArrowheads="1"/>
                          </pic:cNvPicPr>
                        </pic:nvPicPr>
                        <pic:blipFill>
                          <a:blip r:embed="rId167"/>
                          <a:srcRect l="-50" t="-270" r="-50" b="-270"/>
                          <a:stretch>
                            <a:fillRect/>
                          </a:stretch>
                        </pic:blipFill>
                        <pic:spPr bwMode="auto">
                          <a:xfrm>
                            <a:off x="0" y="0"/>
                            <a:ext cx="723900" cy="133350"/>
                          </a:xfrm>
                          <a:prstGeom prst="rect">
                            <a:avLst/>
                          </a:prstGeom>
                        </pic:spPr>
                      </pic:pic>
                    </a:graphicData>
                  </a:graphic>
                </wp:inline>
              </w:drawing>
            </w:r>
          </w:p>
          <w:p>
            <w:pPr>
              <w:pStyle w:val="TAL1"/>
              <w:rPr>
                <w:lang w:eastAsia="en-US"/>
              </w:rPr>
            </w:pPr>
            <w:r>
              <w:rPr>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0.32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0.19</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13) Coarse sampling grid</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pPr>
            <w:r>
              <w:rPr>
                <w:rFonts w:eastAsia="Arial"/>
                <w:lang w:eastAsia="en-US"/>
              </w:rPr>
              <w:t xml:space="preserve"> </w:t>
            </w:r>
            <w:r>
              <w:rPr>
                <w:lang w:eastAsia="en-US"/>
              </w:rPr>
            </w:r>
            <m:oMath xmlns:m="http://schemas.openxmlformats.org/officeDocument/2006/math">
              <m:sSub>
                <m:e>
                  <m:r>
                    <w:rPr>
                      <w:rFonts w:ascii="Cambria Math" w:hAnsi="Cambria Math"/>
                    </w:rPr>
                    <m:t xml:space="preserve">Δ</m:t>
                  </m:r>
                </m:e>
                <m:sub>
                  <m:r>
                    <w:rPr>
                      <w:rFonts w:ascii="Cambria Math" w:hAnsi="Cambria Math"/>
                    </w:rPr>
                    <m:t xml:space="preserve">θ</m:t>
                  </m:r>
                </m:sub>
              </m:sSub>
            </m:oMath>
            <w:r>
              <w:rPr>
                <w:lang w:eastAsia="en-US"/>
              </w:rPr>
              <w:t>= 30</w:t>
            </w:r>
            <w:r>
              <w:rPr>
                <w:rFonts w:eastAsia="Symbol" w:cs="Symbol" w:ascii="Symbol" w:hAnsi="Symbol"/>
                <w:lang w:eastAsia="en-US"/>
              </w:rPr>
              <w:t></w:t>
            </w:r>
            <w:r>
              <w:rPr>
                <w:lang w:eastAsia="en-US"/>
              </w:rPr>
              <w:t xml:space="preserve"> and</w:t>
            </w:r>
            <w:r>
              <w:rPr>
                <w:lang w:eastAsia="en-US"/>
              </w:rPr>
            </w:r>
            <m:oMath xmlns:m="http://schemas.openxmlformats.org/officeDocument/2006/math">
              <m:sSub>
                <m:e>
                  <m:r>
                    <w:rPr>
                      <w:rFonts w:ascii="Cambria Math" w:hAnsi="Cambria Math"/>
                    </w:rPr>
                    <m:t xml:space="preserve">Δ</m:t>
                  </m:r>
                </m:e>
                <m:sub>
                  <m:r>
                    <w:rPr>
                      <w:rFonts w:ascii="Cambria Math" w:hAnsi="Cambria Math"/>
                    </w:rPr>
                    <m:t xml:space="preserve">ϕ</m:t>
                  </m:r>
                </m:sub>
              </m:sSub>
            </m:oMath>
            <w:r>
              <w:rPr>
                <w:lang w:eastAsia="en-US"/>
              </w:rPr>
              <w:t>= 30</w:t>
            </w:r>
            <w:r>
              <w:rPr>
                <w:rFonts w:eastAsia="Symbol" w:cs="Symbol" w:ascii="Symbol" w:hAnsi="Symbol"/>
                <w:lang w:eastAsia="en-US"/>
              </w:rPr>
              <w:t></w:t>
            </w:r>
            <w:r>
              <w:rPr>
                <w:lang w:eastAsia="en-US"/>
              </w:rPr>
              <w:t xml:space="preserve">.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0.15</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14) Repeatability of browsing mode</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 xml:space="preserve">Monoblock, clamshell and PDA used for testing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0.91</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0.28</w:t>
            </w:r>
          </w:p>
        </w:tc>
      </w:tr>
      <w:tr>
        <w:trPr/>
        <w:tc>
          <w:tcPr>
            <w:tcW w:w="10122" w:type="dxa"/>
            <w:gridSpan w:val="8"/>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STAGE 2 (Calibration)</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15) Uncertainty of network analyzer</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Manufacturer's uncertainty calculator, covers NA setup</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0.29</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pPr>
            <w:r>
              <w:rPr>
                <w:lang w:eastAsia="en-US"/>
              </w:rPr>
              <w:t>16) Mismatch of transmitter chain</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1"/>
              <w:rPr/>
            </w:pPr>
            <w:r>
              <w:rPr>
                <w:lang w:eastAsia="en-US"/>
              </w:rPr>
              <w:t xml:space="preserve">Taken in to account in NA setup uncertainty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U</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17) Insertion loss of transmitter chain</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18) Mismatch in the connection of calibration antenna</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Taken in to account in NA setup uncertainty</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19) Influence of the feed cable of the calibration antenna</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Gain calibration with dipole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0.3</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0.17</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20) Influence of the probe antenna cable</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21) Uncertainty of the absolute gain of the probe antenna</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22) Uncertainty of the absolute gain of the calibration antenna</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Calibration certificate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0.29</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23)Measurement distance:</w:t>
            </w:r>
          </w:p>
          <w:p>
            <w:pPr>
              <w:pStyle w:val="TAL1"/>
              <w:rPr>
                <w:lang w:eastAsia="en-US"/>
              </w:rPr>
            </w:pPr>
            <w:r>
              <w:rPr>
                <w:lang w:eastAsia="en-US"/>
              </w:rPr>
              <w:t xml:space="preserve">Calibration antenna's displacement and misalignment </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d=3m, Δd=0.05m, θ=2°</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0.29</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0.17</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24) Quality of quiet zone</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Standard deviation of E-field in QZ measurement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Combined standard uncertainty</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c</m:t>
                    </m:r>
                  </m:sub>
                </m:sSub>
                <m:r>
                  <w:rPr>
                    <w:rFonts w:ascii="Cambria Math" w:hAnsi="Cambria Math"/>
                  </w:rPr>
                  <m:t xml:space="preserve">=</m:t>
                </m:r>
                <m:rad>
                  <m:radPr>
                    <m:degHide m:val="1"/>
                  </m:radPr>
                  <m:deg/>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c</m:t>
                            </m:r>
                          </m:e>
                          <m:sub>
                            <m:r>
                              <w:rPr>
                                <w:rFonts w:ascii="Cambria Math" w:hAnsi="Cambria Math"/>
                              </w:rPr>
                              <m:t xml:space="preserve">i</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i</m:t>
                            </m:r>
                          </m:sub>
                          <m:sup>
                            <m:r>
                              <w:rPr>
                                <w:rFonts w:ascii="Cambria Math" w:hAnsi="Cambria Math"/>
                              </w:rPr>
                              <m:t xml:space="preserve">2</m:t>
                            </m:r>
                          </m:sup>
                        </m:sSubSup>
                      </m:e>
                    </m:nary>
                  </m:e>
                </m:rad>
              </m:oMath>
            </m:oMathPara>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1.2</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Expanded uncertainty (Confidence interval of 95 %)</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e</m:t>
                    </m:r>
                  </m:sub>
                </m:sSub>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96</m:t>
                </m:r>
                <m:r>
                  <m:t xml:space="preserve"> </m:t>
                </m:r>
                <m:sSub>
                  <m:e>
                    <m:r>
                      <w:rPr>
                        <w:rFonts w:ascii="Cambria Math" w:hAnsi="Cambria Math"/>
                      </w:rPr>
                      <m:t xml:space="preserve">u</m:t>
                    </m:r>
                  </m:e>
                  <m:sub>
                    <m:r>
                      <w:rPr>
                        <w:rFonts w:ascii="Cambria Math" w:hAnsi="Cambria Math"/>
                      </w:rPr>
                      <m:t xml:space="preserve">c</m:t>
                    </m:r>
                  </m:sub>
                </m:sSub>
              </m:oMath>
            </m:oMathPara>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2.35</w:t>
            </w:r>
          </w:p>
        </w:tc>
      </w:tr>
    </w:tbl>
    <w:p>
      <w:pPr>
        <w:pStyle w:val="Normal"/>
        <w:rPr/>
      </w:pPr>
      <w:r>
        <w:rPr/>
      </w:r>
    </w:p>
    <w:p>
      <w:pPr>
        <w:pStyle w:val="TH"/>
        <w:rPr/>
      </w:pPr>
      <w:r>
        <w:rPr/>
        <w:t>Table E.29-8: Example of uncertainty budget for TRS measurement with laptop ground plane phantom</w:t>
      </w:r>
    </w:p>
    <w:tbl>
      <w:tblPr>
        <w:tblW w:w="5250" w:type="pct"/>
        <w:jc w:val="center"/>
        <w:tblInd w:w="0" w:type="dxa"/>
        <w:tblLayout w:type="fixed"/>
        <w:tblCellMar>
          <w:top w:w="0" w:type="dxa"/>
          <w:left w:w="108" w:type="dxa"/>
          <w:bottom w:w="0" w:type="dxa"/>
          <w:right w:w="108" w:type="dxa"/>
        </w:tblCellMar>
      </w:tblPr>
      <w:tblGrid>
        <w:gridCol w:w="2993"/>
        <w:gridCol w:w="144"/>
        <w:gridCol w:w="2618"/>
        <w:gridCol w:w="1245"/>
        <w:gridCol w:w="958"/>
        <w:gridCol w:w="550"/>
        <w:gridCol w:w="413"/>
        <w:gridCol w:w="1201"/>
      </w:tblGrid>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Uncertainty Source</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Comment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Uncertainty Value [dB]</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Prob Distr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Div</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ci</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Standard Uncertainty [dB]</w:t>
            </w:r>
          </w:p>
        </w:tc>
      </w:tr>
      <w:tr>
        <w:trPr/>
        <w:tc>
          <w:tcPr>
            <w:tcW w:w="10122" w:type="dxa"/>
            <w:gridSpan w:val="8"/>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STAGE 1 (DUT measurement)</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1) Mismatch of transmitter chain</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Г</w:t>
            </w:r>
            <w:r>
              <w:rPr>
                <w:vertAlign w:val="subscript"/>
                <w:lang w:eastAsia="en-US"/>
              </w:rPr>
              <w:t>BSS</w:t>
            </w:r>
            <w:r>
              <w:rPr>
                <w:lang w:eastAsia="en-US"/>
              </w:rPr>
              <w:t xml:space="preserve"> &lt;0.13 Г</w:t>
            </w:r>
            <w:r>
              <w:rPr>
                <w:vertAlign w:val="subscript"/>
                <w:lang w:eastAsia="en-US"/>
              </w:rPr>
              <w:t xml:space="preserve"> antenna connection </w:t>
            </w:r>
            <w:r>
              <w:rPr>
                <w:lang w:eastAsia="en-US"/>
              </w:rPr>
              <w:t>&lt;0.03</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0.02</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 Insertion loss of transmitter chain</w:t>
            </w:r>
          </w:p>
        </w:tc>
        <w:tc>
          <w:tcPr>
            <w:tcW w:w="2618"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3) Influence of the probe antenna cable</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4) Absolute antenna gain of the probe antenna</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5) Base station simulator: uncertainty of the absolute level</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0.58</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1"/>
              <w:rPr/>
            </w:pPr>
            <w:r>
              <w:rPr>
                <w:lang w:eastAsia="en-US"/>
              </w:rPr>
              <w:t>6) BER measurement: output level step resolution</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Step 0.1dB</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0.03</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7) Statistical uncertainty of the BER measurement</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BER target 10%±2% , 20000 tested bits , N=60</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0.12</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8) TRS data rate normalization</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4 reference points measured</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0.12</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9) Measurement distance</w:t>
            </w:r>
          </w:p>
          <w:p>
            <w:pPr>
              <w:pStyle w:val="TAL1"/>
              <w:rPr>
                <w:lang w:eastAsia="en-US"/>
              </w:rPr>
            </w:pPr>
            <w:r>
              <w:rPr>
                <w:lang w:eastAsia="en-US"/>
              </w:rPr>
              <w:t>a) Offset of DUT phase centre</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Δd=0.05m</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0.14</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0.08</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10) Quality of quiet zone</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Standard deviation of E-field in QZ measurement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11) DUT sensitivity drift</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Drift measurement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0.12</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9) Uncertainty related to the use of laptop ground plane phantom</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Standard laptop phantom</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13) Coarse sampling grid</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pPr>
            <w:r>
              <w:rPr>
                <w:rFonts w:eastAsia="Arial"/>
                <w:lang w:eastAsia="en-US"/>
              </w:rPr>
              <w:t xml:space="preserve"> </w:t>
            </w:r>
            <w:r>
              <w:rPr>
                <w:lang w:eastAsia="en-US"/>
              </w:rPr>
            </w:r>
            <m:oMath xmlns:m="http://schemas.openxmlformats.org/officeDocument/2006/math">
              <m:sSub>
                <m:e>
                  <m:r>
                    <w:rPr>
                      <w:rFonts w:ascii="Cambria Math" w:hAnsi="Cambria Math"/>
                    </w:rPr>
                    <m:t xml:space="preserve">Δ</m:t>
                  </m:r>
                </m:e>
                <m:sub>
                  <m:r>
                    <w:rPr>
                      <w:rFonts w:ascii="Cambria Math" w:hAnsi="Cambria Math"/>
                    </w:rPr>
                    <m:t xml:space="preserve">θ</m:t>
                  </m:r>
                </m:sub>
              </m:sSub>
            </m:oMath>
            <w:r>
              <w:rPr>
                <w:lang w:eastAsia="en-US"/>
              </w:rPr>
              <w:t>= 30</w:t>
            </w:r>
            <w:r>
              <w:rPr>
                <w:rFonts w:eastAsia="Symbol" w:cs="Symbol" w:ascii="Symbol" w:hAnsi="Symbol"/>
                <w:lang w:eastAsia="en-US"/>
              </w:rPr>
              <w:t></w:t>
            </w:r>
            <w:r>
              <w:rPr>
                <w:lang w:eastAsia="en-US"/>
              </w:rPr>
              <w:t xml:space="preserve"> and</w:t>
            </w:r>
            <w:r>
              <w:rPr>
                <w:lang w:eastAsia="en-US"/>
              </w:rPr>
            </w:r>
            <m:oMath xmlns:m="http://schemas.openxmlformats.org/officeDocument/2006/math">
              <m:sSub>
                <m:e>
                  <m:r>
                    <w:rPr>
                      <w:rFonts w:ascii="Cambria Math" w:hAnsi="Cambria Math"/>
                    </w:rPr>
                    <m:t xml:space="preserve">Δ</m:t>
                  </m:r>
                </m:e>
                <m:sub>
                  <m:r>
                    <w:rPr>
                      <w:rFonts w:ascii="Cambria Math" w:hAnsi="Cambria Math"/>
                    </w:rPr>
                    <m:t xml:space="preserve">ϕ</m:t>
                  </m:r>
                </m:sub>
              </m:sSub>
            </m:oMath>
            <w:r>
              <w:rPr>
                <w:lang w:eastAsia="en-US"/>
              </w:rPr>
              <w:t>= 30</w:t>
            </w:r>
            <w:r>
              <w:rPr>
                <w:rFonts w:eastAsia="Symbol" w:cs="Symbol" w:ascii="Symbol" w:hAnsi="Symbol"/>
                <w:lang w:eastAsia="en-US"/>
              </w:rPr>
              <w:t></w:t>
            </w:r>
            <w:r>
              <w:rPr>
                <w:lang w:eastAsia="en-US"/>
              </w:rPr>
              <w:t xml:space="preserve">.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0.15</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14) Repeatability</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 xml:space="preserve">horizontal USB design, rotary USB porter, and non-rotary USB porter used for testing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0.29</w:t>
            </w:r>
          </w:p>
        </w:tc>
      </w:tr>
      <w:tr>
        <w:trPr/>
        <w:tc>
          <w:tcPr>
            <w:tcW w:w="10122" w:type="dxa"/>
            <w:gridSpan w:val="8"/>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STAGE 2 (Calibration)</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15) Uncertainty of network analyzer</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Manufacturer's uncertainty calculator, covers NA setup</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0.29</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pPr>
            <w:r>
              <w:rPr>
                <w:lang w:eastAsia="en-US"/>
              </w:rPr>
              <w:t>16) Mismatch of transmitter chain</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1"/>
              <w:rPr/>
            </w:pPr>
            <w:r>
              <w:rPr>
                <w:lang w:eastAsia="en-US"/>
              </w:rPr>
              <w:t xml:space="preserve">Taken in to account in NA setup uncertainty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U</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17) Insertion loss of transmitter chain</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18) Mismatch in the connection of calibration antenna</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Taken in to account in NA setup uncertainty</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19) Influence of the feed cable of the calibration antenna</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Gain calibration with dipole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0.3</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0.17</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20) Influence of the probe antenna cable</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21) Uncertainty of the absolute gain of the probe antenna</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pPr>
            <w:r>
              <w:rPr>
                <w:lang w:eastAsia="en-US"/>
              </w:rPr>
              <w:t>22) Uncertainty of the absolute gain of the calibration antenna</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Calibration certificate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0.29</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23) Measurement distance:</w:t>
            </w:r>
          </w:p>
          <w:p>
            <w:pPr>
              <w:pStyle w:val="TAL1"/>
              <w:rPr>
                <w:lang w:eastAsia="en-US"/>
              </w:rPr>
            </w:pPr>
            <w:r>
              <w:rPr>
                <w:lang w:eastAsia="en-US"/>
              </w:rPr>
              <w:t xml:space="preserve">Calibration antenna's displacement and misalignment </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d=3m, Δd=0.05m, θ=2°</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0.29</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0.17</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24) Quality of quiet zone</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Standard deviation of E-field in QZ measurement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Combined standard uncertainty</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c</m:t>
                    </m:r>
                  </m:sub>
                </m:sSub>
                <m:r>
                  <w:rPr>
                    <w:rFonts w:ascii="Cambria Math" w:hAnsi="Cambria Math"/>
                  </w:rPr>
                  <m:t xml:space="preserve">=</m:t>
                </m:r>
                <m:rad>
                  <m:radPr>
                    <m:degHide m:val="1"/>
                  </m:radPr>
                  <m:deg/>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c</m:t>
                            </m:r>
                          </m:e>
                          <m:sub>
                            <m:r>
                              <w:rPr>
                                <w:rFonts w:ascii="Cambria Math" w:hAnsi="Cambria Math"/>
                              </w:rPr>
                              <m:t xml:space="preserve">i</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i</m:t>
                            </m:r>
                          </m:sub>
                          <m:sup>
                            <m:r>
                              <w:rPr>
                                <w:rFonts w:ascii="Cambria Math" w:hAnsi="Cambria Math"/>
                              </w:rPr>
                              <m:t xml:space="preserve">2</m:t>
                            </m:r>
                          </m:sup>
                        </m:sSubSup>
                      </m:e>
                    </m:nary>
                  </m:e>
                </m:rad>
              </m:oMath>
            </m:oMathPara>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1.1</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Expanded uncertainty (Confidence interval of 95 %)</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e</m:t>
                    </m:r>
                  </m:sub>
                </m:sSub>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96</m:t>
                </m:r>
                <m:r>
                  <m:t xml:space="preserve"> </m:t>
                </m:r>
                <m:sSub>
                  <m:e>
                    <m:r>
                      <w:rPr>
                        <w:rFonts w:ascii="Cambria Math" w:hAnsi="Cambria Math"/>
                      </w:rPr>
                      <m:t xml:space="preserve">u</m:t>
                    </m:r>
                  </m:e>
                  <m:sub>
                    <m:r>
                      <w:rPr>
                        <w:rFonts w:ascii="Cambria Math" w:hAnsi="Cambria Math"/>
                      </w:rPr>
                      <m:t xml:space="preserve">c</m:t>
                    </m:r>
                  </m:sub>
                </m:sSub>
              </m:oMath>
            </m:oMathPara>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2.16</w:t>
            </w:r>
          </w:p>
        </w:tc>
      </w:tr>
    </w:tbl>
    <w:p>
      <w:pPr>
        <w:pStyle w:val="Normal"/>
        <w:rPr/>
      </w:pPr>
      <w:r>
        <w:rPr/>
      </w:r>
    </w:p>
    <w:p>
      <w:pPr>
        <w:pStyle w:val="TH"/>
        <w:rPr/>
      </w:pPr>
      <w:r>
        <w:rPr/>
        <w:t>Table E.29-9: Example of uncertainty budget for TRP measurement for reverberation chamber method</w:t>
      </w:r>
    </w:p>
    <w:tbl>
      <w:tblPr>
        <w:tblW w:w="4950" w:type="pct"/>
        <w:jc w:val="left"/>
        <w:tblInd w:w="-113" w:type="dxa"/>
        <w:tblLayout w:type="fixed"/>
        <w:tblCellMar>
          <w:top w:w="0" w:type="dxa"/>
          <w:left w:w="108" w:type="dxa"/>
          <w:bottom w:w="0" w:type="dxa"/>
          <w:right w:w="108" w:type="dxa"/>
        </w:tblCellMar>
      </w:tblPr>
      <w:tblGrid>
        <w:gridCol w:w="2539"/>
        <w:gridCol w:w="2572"/>
        <w:gridCol w:w="1207"/>
        <w:gridCol w:w="1121"/>
        <w:gridCol w:w="549"/>
        <w:gridCol w:w="374"/>
        <w:gridCol w:w="1181"/>
      </w:tblGrid>
      <w:tr>
        <w:trPr>
          <w:trHeight w:val="358"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Uncertainty Source</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Comment</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Uncertainty Value [dB]</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Prob Distr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Div</w:t>
            </w:r>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ci</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Standard Uncertainty [dB]</w:t>
            </w:r>
          </w:p>
        </w:tc>
      </w:tr>
      <w:tr>
        <w:trPr>
          <w:trHeight w:val="166" w:hRule="atLeast"/>
        </w:trPr>
        <w:tc>
          <w:tcPr>
            <w:tcW w:w="9543" w:type="dxa"/>
            <w:gridSpan w:val="7"/>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STAGE 1 (DUT measurement)</w:t>
            </w:r>
          </w:p>
        </w:tc>
      </w:tr>
      <w:tr>
        <w:trPr>
          <w:trHeight w:val="358"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 xml:space="preserve">1) Mismatch of receiver chain </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Г</w:t>
            </w:r>
            <w:r>
              <w:rPr>
                <w:vertAlign w:val="subscript"/>
                <w:lang w:eastAsia="en-US"/>
              </w:rPr>
              <w:t>power meter</w:t>
            </w:r>
            <w:r>
              <w:rPr>
                <w:lang w:eastAsia="en-US"/>
              </w:rPr>
              <w:t xml:space="preserve"> &lt;0.05</w:t>
            </w:r>
          </w:p>
          <w:p>
            <w:pPr>
              <w:pStyle w:val="TAL1"/>
              <w:rPr/>
            </w:pPr>
            <w:r>
              <w:rPr>
                <w:lang w:eastAsia="en-US"/>
              </w:rPr>
              <w:t>Г</w:t>
            </w:r>
            <w:r>
              <w:rPr>
                <w:vertAlign w:val="subscript"/>
                <w:lang w:eastAsia="en-US"/>
              </w:rPr>
              <w:t xml:space="preserve">fixed measurement antenna connection </w:t>
            </w:r>
            <w:r>
              <w:rPr>
                <w:lang w:eastAsia="en-US"/>
              </w:rPr>
              <w:t>&lt;0.16</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0.05</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U</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rad>
                  <m:radPr>
                    <m:degHide m:val="1"/>
                  </m:radPr>
                  <m:deg/>
                  <m:e>
                    <m:r>
                      <w:rPr>
                        <w:rFonts w:ascii="Cambria Math" w:hAnsi="Cambria Math"/>
                      </w:rPr>
                      <m:t xml:space="preserve">2</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0.04</w:t>
            </w:r>
          </w:p>
        </w:tc>
      </w:tr>
      <w:tr>
        <w:trPr>
          <w:trHeight w:val="474"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2) Insertion loss of receiver chain</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2 (=&gt; cancels)</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499"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3) Influence of the fixed measurement antenna cable</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2 (=&gt; cancels)</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C"/>
              <w:rPr>
                <w:vertAlign w:val="superscript"/>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486"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4) Absolute antenna gain of the fixed measurement antenna</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2 (=&gt; cancels)</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C"/>
              <w:rPr>
                <w:vertAlign w:val="superscript"/>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499"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5) Measurement Receiver: uncertainty of the absolute level</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Power Meter</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0.06</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C"/>
              <w:rPr>
                <w:vertAlign w:val="superscript"/>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0.03</w:t>
            </w:r>
          </w:p>
        </w:tc>
      </w:tr>
      <w:tr>
        <w:trPr>
          <w:trHeight w:val="499"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6) Chamber statistical ripple and repeatability</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Statistics of chamber</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0.4</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N</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C"/>
              <w:rPr>
                <w:vertAlign w:val="superscript"/>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0.4</w:t>
            </w:r>
          </w:p>
        </w:tc>
      </w:tr>
      <w:tr>
        <w:trPr>
          <w:trHeight w:val="346"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7) Additional power loss in EUT chassis</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The EUT not present in the chamber during calibration measurement</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0.1</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0.06</w:t>
            </w:r>
          </w:p>
        </w:tc>
      </w:tr>
      <w:tr>
        <w:trPr>
          <w:trHeight w:val="368"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8) DUT Tx-power drift</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Drift</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0.2</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C"/>
              <w:rPr>
                <w:vertAlign w:val="superscript"/>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0.12</w:t>
            </w:r>
          </w:p>
        </w:tc>
      </w:tr>
      <w:tr>
        <w:trPr>
          <w:trHeight w:val="499"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 xml:space="preserve">9) a) Uncertainty related to the use of SAM phantom: </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Standard SAM head with standard tissue simulant</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C"/>
              <w:rPr>
                <w:vertAlign w:val="superscript"/>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589"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b) Simulated tissue liquid uncertainty</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Maximum allowed error</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0.5</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0.29</w:t>
            </w:r>
          </w:p>
        </w:tc>
      </w:tr>
      <w:tr>
        <w:trPr>
          <w:trHeight w:val="589"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c) Effect of DUT holder</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Fixed value</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0.2</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0.12</w:t>
            </w:r>
          </w:p>
        </w:tc>
      </w:tr>
      <w:tr>
        <w:trPr>
          <w:trHeight w:val="486"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10) Repeatability</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 xml:space="preserve">Using the same setup and stirring sequence </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0.4</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0.23</w:t>
            </w:r>
          </w:p>
        </w:tc>
      </w:tr>
      <w:tr>
        <w:trPr>
          <w:trHeight w:val="486"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11) Uncertainty related to the use of Laptop Ground Plane phantom</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Standard Laptop Ground Plane phantom</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zh-CN"/>
              </w:rPr>
              <w:t>[</w:t>
            </w:r>
            <w:r>
              <w:rPr>
                <w:lang w:eastAsia="en-US"/>
              </w:rPr>
              <w:t>0</w:t>
            </w:r>
            <w:r>
              <w:rPr>
                <w:lang w:eastAsia="zh-CN"/>
              </w:rPr>
              <w:t>]</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zh-CN"/>
              </w:rPr>
              <w:t>[</w:t>
            </w:r>
            <w:r>
              <w:rPr>
                <w:lang w:eastAsia="en-US"/>
              </w:rPr>
              <w:t>0</w:t>
            </w:r>
            <w:r>
              <w:rPr>
                <w:lang w:eastAsia="zh-CN"/>
              </w:rPr>
              <w:t>]</w:t>
            </w:r>
          </w:p>
        </w:tc>
      </w:tr>
      <w:tr>
        <w:trPr>
          <w:trHeight w:val="179" w:hRule="atLeast"/>
        </w:trPr>
        <w:tc>
          <w:tcPr>
            <w:tcW w:w="9543" w:type="dxa"/>
            <w:gridSpan w:val="7"/>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STAGE 2 (Calibration)</w:t>
            </w:r>
          </w:p>
        </w:tc>
      </w:tr>
      <w:tr>
        <w:trPr>
          <w:trHeight w:val="486"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12) Uncertainty of network analyzer</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Manufacturer’s uncertainty calculator, covers whole NA setup</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L1"/>
              <w:rPr>
                <w:vertAlign w:val="superscript"/>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0.29</w:t>
            </w:r>
          </w:p>
        </w:tc>
      </w:tr>
      <w:tr>
        <w:trPr>
          <w:trHeight w:val="486" w:hRule="atLeast"/>
        </w:trPr>
        <w:tc>
          <w:tcPr>
            <w:tcW w:w="2539"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13) Mismatch of receiver chain</w:t>
            </w:r>
          </w:p>
        </w:tc>
        <w:tc>
          <w:tcPr>
            <w:tcW w:w="2572"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 xml:space="preserve">Taken in to account in NA setup uncertainty </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U</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rHeight w:val="486" w:hRule="atLeast"/>
        </w:trPr>
        <w:tc>
          <w:tcPr>
            <w:tcW w:w="2539"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14) Insertion loss of receiver chain</w:t>
            </w:r>
          </w:p>
        </w:tc>
        <w:tc>
          <w:tcPr>
            <w:tcW w:w="2572"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Systematic with Stage 1 (=&gt; cancels)</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rHeight w:val="486" w:hRule="atLeast"/>
        </w:trPr>
        <w:tc>
          <w:tcPr>
            <w:tcW w:w="2539" w:type="dxa"/>
            <w:tcBorders>
              <w:top w:val="single" w:sz="4" w:space="0" w:color="000000"/>
              <w:left w:val="single" w:sz="4" w:space="0" w:color="000000"/>
              <w:bottom w:val="single" w:sz="4" w:space="0" w:color="000000"/>
              <w:right w:val="single" w:sz="4" w:space="0" w:color="000000"/>
            </w:tcBorders>
          </w:tcPr>
          <w:p>
            <w:pPr>
              <w:pStyle w:val="TAL1"/>
              <w:rPr/>
            </w:pPr>
            <w:r>
              <w:rPr>
                <w:lang w:eastAsia="en-US"/>
              </w:rPr>
              <w:t>15) Mismatch in the connection of calibration antenna</w:t>
            </w:r>
          </w:p>
        </w:tc>
        <w:tc>
          <w:tcPr>
            <w:tcW w:w="2572"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Taken in to account in NA setup uncertainty</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U</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rHeight w:val="486" w:hRule="atLeast"/>
        </w:trPr>
        <w:tc>
          <w:tcPr>
            <w:tcW w:w="2539"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16) Influence of the feed cable of the calibration antenna</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Gain calibration with a dipole</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0.3</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0.17</w:t>
            </w:r>
          </w:p>
        </w:tc>
      </w:tr>
      <w:tr>
        <w:trPr>
          <w:trHeight w:val="486" w:hRule="atLeast"/>
        </w:trPr>
        <w:tc>
          <w:tcPr>
            <w:tcW w:w="2539" w:type="dxa"/>
            <w:tcBorders>
              <w:top w:val="single" w:sz="4" w:space="0" w:color="000000"/>
              <w:left w:val="single" w:sz="4" w:space="0" w:color="000000"/>
              <w:bottom w:val="single" w:sz="4" w:space="0" w:color="000000"/>
              <w:right w:val="single" w:sz="4" w:space="0" w:color="000000"/>
            </w:tcBorders>
          </w:tcPr>
          <w:p>
            <w:pPr>
              <w:pStyle w:val="TAL1"/>
              <w:rPr/>
            </w:pPr>
            <w:r>
              <w:rPr>
                <w:lang w:eastAsia="en-US"/>
              </w:rPr>
              <w:t>17) Influence of the fixed measurement antenna cable</w:t>
            </w:r>
          </w:p>
        </w:tc>
        <w:tc>
          <w:tcPr>
            <w:tcW w:w="2572"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Systematic with Stage 1 (=&gt; cancels)</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rHeight w:val="486" w:hRule="atLeast"/>
        </w:trPr>
        <w:tc>
          <w:tcPr>
            <w:tcW w:w="2539"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18) Uncertainty of the absolute gain of the fixed measurement antenna</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1 (=&gt; cancels)</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w:t>
            </w:r>
          </w:p>
        </w:tc>
      </w:tr>
      <w:tr>
        <w:trPr>
          <w:trHeight w:val="486" w:hRule="atLeast"/>
        </w:trPr>
        <w:tc>
          <w:tcPr>
            <w:tcW w:w="2539" w:type="dxa"/>
            <w:tcBorders>
              <w:top w:val="single" w:sz="4" w:space="0" w:color="000000"/>
              <w:left w:val="single" w:sz="4" w:space="0" w:color="000000"/>
              <w:bottom w:val="single" w:sz="4" w:space="0" w:color="000000"/>
              <w:right w:val="single" w:sz="4" w:space="0" w:color="000000"/>
            </w:tcBorders>
          </w:tcPr>
          <w:p>
            <w:pPr>
              <w:pStyle w:val="TAL1"/>
              <w:rPr/>
            </w:pPr>
            <w:r>
              <w:rPr>
                <w:lang w:eastAsia="en-US"/>
              </w:rPr>
              <w:t>19) Uncertainty of the absolute gain of the calibration antenna</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Calibration certificate</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0.29</w:t>
            </w:r>
          </w:p>
        </w:tc>
      </w:tr>
      <w:tr>
        <w:trPr>
          <w:trHeight w:val="486" w:hRule="atLeast"/>
        </w:trPr>
        <w:tc>
          <w:tcPr>
            <w:tcW w:w="2539"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 xml:space="preserve">20) Chamber statistical ripple and repeatability </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Statistics of chamber</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w:t>
            </w:r>
          </w:p>
        </w:tc>
      </w:tr>
      <w:tr>
        <w:trPr>
          <w:trHeight w:val="486"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Combined standard uncertainty</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c</m:t>
                    </m:r>
                  </m:sub>
                </m:sSub>
                <m:r>
                  <w:rPr>
                    <w:rFonts w:ascii="Cambria Math" w:hAnsi="Cambria Math"/>
                  </w:rPr>
                  <m:t xml:space="preserve">=</m:t>
                </m:r>
                <m:rad>
                  <m:radPr>
                    <m:degHide m:val="1"/>
                  </m:radPr>
                  <m:deg/>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c</m:t>
                            </m:r>
                          </m:e>
                          <m:sub>
                            <m:r>
                              <w:rPr>
                                <w:rFonts w:ascii="Cambria Math" w:hAnsi="Cambria Math"/>
                              </w:rPr>
                              <m:t xml:space="preserve">i</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i</m:t>
                            </m:r>
                          </m:sub>
                          <m:sup>
                            <m:r>
                              <w:rPr>
                                <w:rFonts w:ascii="Cambria Math" w:hAnsi="Cambria Math"/>
                              </w:rPr>
                              <m:t xml:space="preserve">2</m:t>
                            </m:r>
                          </m:sup>
                        </m:sSubSup>
                      </m:e>
                    </m:nary>
                  </m:e>
                </m:rad>
              </m:oMath>
            </m:oMathPara>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0.88</w:t>
            </w:r>
          </w:p>
        </w:tc>
      </w:tr>
      <w:tr>
        <w:trPr>
          <w:trHeight w:val="486"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Expanded uncertainty (Confidence interval of 95 %)</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e</m:t>
                    </m:r>
                  </m:sub>
                </m:sSub>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96</m:t>
                </m:r>
                <m:r>
                  <m:t xml:space="preserve"> </m:t>
                </m:r>
                <m:sSub>
                  <m:e>
                    <m:r>
                      <w:rPr>
                        <w:rFonts w:ascii="Cambria Math" w:hAnsi="Cambria Math"/>
                      </w:rPr>
                      <m:t xml:space="preserve">u</m:t>
                    </m:r>
                  </m:e>
                  <m:sub>
                    <m:r>
                      <w:rPr>
                        <w:rFonts w:ascii="Cambria Math" w:hAnsi="Cambria Math"/>
                      </w:rPr>
                      <m:t xml:space="preserve">c</m:t>
                    </m:r>
                  </m:sub>
                </m:sSub>
              </m:oMath>
            </m:oMathPara>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1.73</w:t>
            </w:r>
          </w:p>
        </w:tc>
      </w:tr>
    </w:tbl>
    <w:p>
      <w:pPr>
        <w:pStyle w:val="Normal"/>
        <w:rPr/>
      </w:pPr>
      <w:r>
        <w:rPr/>
      </w:r>
    </w:p>
    <w:p>
      <w:pPr>
        <w:pStyle w:val="TH"/>
        <w:rPr/>
      </w:pPr>
      <w:r>
        <w:rPr/>
        <w:t>Table E.29-10: Example of uncertainty budget for TRS measurement for reverberation chamber method</w:t>
      </w:r>
    </w:p>
    <w:tbl>
      <w:tblPr>
        <w:tblW w:w="4900" w:type="pct"/>
        <w:jc w:val="left"/>
        <w:tblInd w:w="-113" w:type="dxa"/>
        <w:tblLayout w:type="fixed"/>
        <w:tblCellMar>
          <w:top w:w="0" w:type="dxa"/>
          <w:left w:w="108" w:type="dxa"/>
          <w:bottom w:w="0" w:type="dxa"/>
          <w:right w:w="108" w:type="dxa"/>
        </w:tblCellMar>
      </w:tblPr>
      <w:tblGrid>
        <w:gridCol w:w="2271"/>
        <w:gridCol w:w="2727"/>
        <w:gridCol w:w="1209"/>
        <w:gridCol w:w="1120"/>
        <w:gridCol w:w="564"/>
        <w:gridCol w:w="375"/>
        <w:gridCol w:w="1181"/>
      </w:tblGrid>
      <w:tr>
        <w:trPr>
          <w:trHeight w:val="428" w:hRule="atLeast"/>
        </w:trPr>
        <w:tc>
          <w:tcPr>
            <w:tcW w:w="2271"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Uncertainty Source</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Comment</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Uncertainty Value [dB]</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Prob Distr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Div</w:t>
            </w:r>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ci</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en-US"/>
              </w:rPr>
              <w:t>Standard Uncertainty [dB]</w:t>
            </w:r>
          </w:p>
        </w:tc>
      </w:tr>
      <w:tr>
        <w:trPr>
          <w:trHeight w:val="136" w:hRule="atLeast"/>
        </w:trPr>
        <w:tc>
          <w:tcPr>
            <w:tcW w:w="9447" w:type="dxa"/>
            <w:gridSpan w:val="7"/>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STAGE 1 (DUT measurement)</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 Mismatch of transmitter chain</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Г</w:t>
            </w:r>
            <w:r>
              <w:rPr>
                <w:vertAlign w:val="subscript"/>
                <w:lang w:eastAsia="en-US"/>
              </w:rPr>
              <w:t>BSS</w:t>
            </w:r>
            <w:r>
              <w:rPr>
                <w:lang w:eastAsia="en-US"/>
              </w:rPr>
              <w:t xml:space="preserve"> &lt;0.13</w:t>
            </w:r>
          </w:p>
          <w:p>
            <w:pPr>
              <w:pStyle w:val="TAL1"/>
              <w:rPr/>
            </w:pPr>
            <w:r>
              <w:rPr>
                <w:lang w:eastAsia="en-US"/>
              </w:rPr>
              <w:t>Г</w:t>
            </w:r>
            <w:r>
              <w:rPr>
                <w:vertAlign w:val="subscript"/>
                <w:lang w:eastAsia="en-US"/>
              </w:rPr>
              <w:t xml:space="preserve"> antenna connection </w:t>
            </w:r>
            <w:r>
              <w:rPr>
                <w:lang w:eastAsia="en-US"/>
              </w:rPr>
              <w:t>&lt;0.03</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0.02</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N</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0.02</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 Insertion loss of transmitter chain</w:t>
            </w:r>
          </w:p>
        </w:tc>
        <w:tc>
          <w:tcPr>
            <w:tcW w:w="2727"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Systematic with Stage 1 (=&gt; cancels)</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3) Influence of the fixed measurement antenna cable</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2 (=&gt; cancels)</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vertAlign w:val="superscript"/>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4) Absolute antenna gain of the fixed measurement antenna</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Systematic with Stage 2 (=&gt; cancels)</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vertAlign w:val="superscript"/>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tcPr>
          <w:p>
            <w:pPr>
              <w:pStyle w:val="TAL1"/>
              <w:rPr/>
            </w:pPr>
            <w:r>
              <w:rPr>
                <w:lang w:eastAsia="en-US"/>
              </w:rPr>
              <w:t>5) Base station simulator: uncertainty of the absolute level</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vertAlign w:val="superscript"/>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0.58</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6) BER measurement: output level step resolution</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Step 0.1dB</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0.05</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0.03</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7) Statistical uncertainty of the BER measurement</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BER target 10%±2% , 20000 tested bits , N=60</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0.12</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N</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0.12</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8) TRS data rate normalization</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4 reference points measured</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0.12</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N</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0.12</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9) Chamber statistical ripple and repeatability</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Statistics of chamber</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0.4</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N</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vertAlign w:val="superscript"/>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0.4</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10) Additional power loss in EUT chassis</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The EUT not present in the chamber during calibration measurement</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0.1</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0.06</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11) DUT sensitivity drift</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Drift measurement</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0.2</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vertAlign w:val="superscript"/>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0.12</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 xml:space="preserve">12) a) Uncertainty related to the use of SAM phantom: </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Standard SAM with standard tissue simulant</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vertAlign w:val="superscript"/>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b) Simulated tissue liquid uncertainty</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Maximum allowed error</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0.5</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0.29</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c) Effect of DUT holder</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Fixed value</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0.2</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0.12</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13) Repeatability</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 xml:space="preserve">Using the same setup and stirring sequence </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0.4</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0.23</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14) Uncertainty related to the use of Laptop Ground Plane phantom</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Standard Laptop Ground Plane phantom</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zh-CN"/>
              </w:rPr>
              <w:t>[</w:t>
            </w:r>
            <w:r>
              <w:rPr>
                <w:lang w:eastAsia="en-US"/>
              </w:rPr>
              <w:t>0</w:t>
            </w:r>
            <w:r>
              <w:rPr>
                <w:lang w:eastAsia="zh-CN"/>
              </w:rPr>
              <w:t>]</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zh-CN"/>
              </w:rPr>
              <w:t>[</w:t>
            </w:r>
            <w:r>
              <w:rPr>
                <w:lang w:eastAsia="en-US"/>
              </w:rPr>
              <w:t>0</w:t>
            </w:r>
            <w:r>
              <w:rPr>
                <w:lang w:eastAsia="zh-CN"/>
              </w:rPr>
              <w:t>]</w:t>
            </w:r>
          </w:p>
        </w:tc>
      </w:tr>
      <w:tr>
        <w:trPr>
          <w:trHeight w:val="428" w:hRule="atLeast"/>
        </w:trPr>
        <w:tc>
          <w:tcPr>
            <w:tcW w:w="9447" w:type="dxa"/>
            <w:gridSpan w:val="7"/>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STAGE 2 (Calibration)</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15) Uncertainty of network analyzer</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Manufacturer’s uncertainty calculator, covers NA setup</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0.5</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vertAlign w:val="superscript"/>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0.29</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16) Mismatch of transmitter chain</w:t>
            </w:r>
          </w:p>
        </w:tc>
        <w:tc>
          <w:tcPr>
            <w:tcW w:w="2727"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 xml:space="preserve">Taken in to account in NA setup uncertainty </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U</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rad>
                  <m:radPr>
                    <m:degHide m:val="1"/>
                  </m:radPr>
                  <m:deg/>
                  <m:e>
                    <m:r>
                      <w:rPr>
                        <w:rFonts w:ascii="Cambria Math" w:hAnsi="Cambria Math"/>
                      </w:rPr>
                      <m:t xml:space="preserve">2</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17) Insertion loss of transmitter chain</w:t>
            </w:r>
          </w:p>
        </w:tc>
        <w:tc>
          <w:tcPr>
            <w:tcW w:w="2727" w:type="dxa"/>
            <w:tcBorders>
              <w:top w:val="single" w:sz="4" w:space="0" w:color="000000"/>
              <w:left w:val="single" w:sz="4" w:space="0" w:color="000000"/>
              <w:bottom w:val="single" w:sz="4" w:space="0" w:color="000000"/>
              <w:right w:val="single" w:sz="4" w:space="0" w:color="000000"/>
            </w:tcBorders>
          </w:tcPr>
          <w:p>
            <w:pPr>
              <w:pStyle w:val="TAL1"/>
              <w:rPr/>
            </w:pPr>
            <w:r>
              <w:rPr>
                <w:lang w:eastAsia="en-US"/>
              </w:rPr>
              <w:t>Systematic with Stage 1 (=&gt; cancels)</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18) Mismatch in the connection of calibration antenna</w:t>
            </w:r>
          </w:p>
        </w:tc>
        <w:tc>
          <w:tcPr>
            <w:tcW w:w="2727"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Taken in to account in NA setup uncertainty</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19) Influence of the feed cable of the calibration antenna</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Gain calibration with dipole</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0.3</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0.17</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20) Influence of the fixed measurement antenna cable</w:t>
            </w:r>
          </w:p>
        </w:tc>
        <w:tc>
          <w:tcPr>
            <w:tcW w:w="2727"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Systematic with Stage 1 (=&gt; cancels)</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21) Uncertainty of the absolute gain of the fixed measurement antenna</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Systematic with Stage 1 (=&gt; cancels)</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22) Uncertainty of the absolute gain of the calibration antenna</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Calibration certificate</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0.5</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0.29</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 xml:space="preserve">23) Chamber statistical ripple and repeatability </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Statistics of chamber</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0.5</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N</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0.5</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Combined standard uncertainty</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c</m:t>
                    </m:r>
                  </m:sub>
                </m:sSub>
                <m:r>
                  <w:rPr>
                    <w:rFonts w:ascii="Cambria Math" w:hAnsi="Cambria Math"/>
                  </w:rPr>
                  <m:t xml:space="preserve">=</m:t>
                </m:r>
                <m:rad>
                  <m:radPr>
                    <m:degHide m:val="1"/>
                  </m:radPr>
                  <m:deg/>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c</m:t>
                            </m:r>
                          </m:e>
                          <m:sub>
                            <m:r>
                              <w:rPr>
                                <w:rFonts w:ascii="Cambria Math" w:hAnsi="Cambria Math"/>
                              </w:rPr>
                              <m:t xml:space="preserve">i</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i</m:t>
                            </m:r>
                          </m:sub>
                          <m:sup>
                            <m:r>
                              <w:rPr>
                                <w:rFonts w:ascii="Cambria Math" w:hAnsi="Cambria Math"/>
                              </w:rPr>
                              <m:t xml:space="preserve">2</m:t>
                            </m:r>
                          </m:sup>
                        </m:sSubSup>
                      </m:e>
                    </m:nary>
                  </m:e>
                </m:rad>
              </m:oMath>
            </m:oMathPara>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1.07</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Expanded uncertainty (Confidence interval of 95 %)</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lang w:eastAsia="en-US"/>
              </w:rPr>
            </w:pPr>
            <w:r>
              <w:rPr>
                <w:lang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r>
            <m:oMathPara xmlns:m="http://schemas.openxmlformats.org/officeDocument/2006/math">
              <m:oMathParaPr>
                <m:jc m:val="center"/>
              </m:oMathParaPr>
              <m:oMath>
                <m:sSub>
                  <m:e>
                    <m:r>
                      <w:rPr>
                        <w:rFonts w:ascii="Cambria Math" w:hAnsi="Cambria Math"/>
                      </w:rPr>
                      <m:t xml:space="preserve">u</m:t>
                    </m:r>
                  </m:e>
                  <m:sub>
                    <m:r>
                      <w:rPr>
                        <w:rFonts w:ascii="Cambria Math" w:hAnsi="Cambria Math"/>
                      </w:rPr>
                      <m:t xml:space="preserve">e</m:t>
                    </m:r>
                  </m:sub>
                </m:sSub>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96</m:t>
                </m:r>
                <m:r>
                  <m:t xml:space="preserve"> </m:t>
                </m:r>
                <m:sSub>
                  <m:e>
                    <m:r>
                      <w:rPr>
                        <w:rFonts w:ascii="Cambria Math" w:hAnsi="Cambria Math"/>
                      </w:rPr>
                      <m:t xml:space="preserve">u</m:t>
                    </m:r>
                  </m:e>
                  <m:sub>
                    <m:r>
                      <w:rPr>
                        <w:rFonts w:ascii="Cambria Math" w:hAnsi="Cambria Math"/>
                      </w:rPr>
                      <m:t xml:space="preserve">c</m:t>
                    </m:r>
                  </m:sub>
                </m:sSub>
              </m:oMath>
            </m:oMathPara>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2.09</w:t>
            </w:r>
          </w:p>
        </w:tc>
      </w:tr>
    </w:tbl>
    <w:p>
      <w:pPr>
        <w:pStyle w:val="Normal"/>
        <w:rPr/>
      </w:pPr>
      <w:r>
        <w:rPr/>
      </w:r>
    </w:p>
    <w:p>
      <w:pPr>
        <w:pStyle w:val="Heading8"/>
        <w:ind w:left="0" w:hanging="0"/>
        <w:rPr/>
      </w:pPr>
      <w:bookmarkStart w:id="545" w:name="__RefHeading___Toc68601439"/>
      <w:bookmarkEnd w:id="545"/>
      <w:r>
        <w:rPr/>
        <w:t>Annex F (informative): Suggested recipes of liquid to be used inside SAM phantom</w:t>
      </w:r>
    </w:p>
    <w:p>
      <w:pPr>
        <w:pStyle w:val="Heading2"/>
        <w:rPr/>
      </w:pPr>
      <w:bookmarkStart w:id="546" w:name="__RefHeading___Toc68601440"/>
      <w:bookmarkEnd w:id="546"/>
      <w:r>
        <w:rPr/>
        <w:t>F.1</w:t>
        <w:tab/>
        <w:t>General</w:t>
      </w:r>
    </w:p>
    <w:p>
      <w:pPr>
        <w:pStyle w:val="Normal"/>
        <w:numPr>
          <w:ilvl w:val="0"/>
          <w:numId w:val="5"/>
        </w:numPr>
        <w:tabs>
          <w:tab w:val="clear" w:pos="284"/>
          <w:tab w:val="left" w:pos="0" w:leader="none"/>
        </w:tabs>
        <w:suppressAutoHyphens w:val="true"/>
        <w:ind w:left="0" w:hanging="0"/>
        <w:rPr/>
      </w:pPr>
      <w:r>
        <w:rPr>
          <w:rFonts w:cs="v4.2.0;Times New Roman"/>
        </w:rPr>
        <w:t>The Specific Anthropomorphic Mannequin (SAM) is used for radiated performance measurements</w:t>
      </w:r>
      <w:r>
        <w:rPr/>
        <w:t>. The absorption of electromagnetic energy by the human muscle or brain tissue is simulated by measuring the electrical field inside a SAM phantom filled with a liquid having the same electrical properties as human tissue. Tables F.1-1 and F.1-2 are proposals for two different recipes of the liquid to be used inside the SAM phantom.</w:t>
      </w:r>
    </w:p>
    <w:p>
      <w:pPr>
        <w:pStyle w:val="TH"/>
        <w:numPr>
          <w:ilvl w:val="0"/>
          <w:numId w:val="5"/>
        </w:numPr>
        <w:suppressAutoHyphens w:val="true"/>
        <w:rPr/>
      </w:pPr>
      <w:r>
        <w:rPr/>
        <w:t>Table F.1-1: Liquid recipe proposal 1</w:t>
      </w:r>
    </w:p>
    <w:tbl>
      <w:tblPr>
        <w:tblW w:w="4077" w:type="dxa"/>
        <w:jc w:val="center"/>
        <w:tblInd w:w="0" w:type="dxa"/>
        <w:tblLayout w:type="fixed"/>
        <w:tblCellMar>
          <w:top w:w="0" w:type="dxa"/>
          <w:left w:w="108" w:type="dxa"/>
          <w:bottom w:w="0" w:type="dxa"/>
          <w:right w:w="108" w:type="dxa"/>
        </w:tblCellMar>
      </w:tblPr>
      <w:tblGrid>
        <w:gridCol w:w="2577"/>
        <w:gridCol w:w="1500"/>
      </w:tblGrid>
      <w:tr>
        <w:trPr/>
        <w:tc>
          <w:tcPr>
            <w:tcW w:w="257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Component</w:t>
            </w:r>
          </w:p>
        </w:tc>
        <w:tc>
          <w:tcPr>
            <w:tcW w:w="150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Mass %</w:t>
            </w:r>
          </w:p>
        </w:tc>
      </w:tr>
      <w:tr>
        <w:trPr/>
        <w:tc>
          <w:tcPr>
            <w:tcW w:w="2577"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De-ionized Water</w:t>
            </w:r>
          </w:p>
        </w:tc>
        <w:tc>
          <w:tcPr>
            <w:tcW w:w="150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57.12</w:t>
            </w:r>
          </w:p>
        </w:tc>
      </w:tr>
      <w:tr>
        <w:trPr/>
        <w:tc>
          <w:tcPr>
            <w:tcW w:w="2577"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Tween 20</w:t>
            </w:r>
          </w:p>
        </w:tc>
        <w:tc>
          <w:tcPr>
            <w:tcW w:w="1500" w:type="dxa"/>
            <w:tcBorders>
              <w:top w:val="single" w:sz="4" w:space="0" w:color="000000"/>
              <w:left w:val="single" w:sz="4" w:space="0" w:color="000000"/>
              <w:bottom w:val="single" w:sz="4" w:space="0" w:color="000000"/>
              <w:right w:val="single" w:sz="4" w:space="0" w:color="000000"/>
            </w:tcBorders>
            <w:vAlign w:val="center"/>
          </w:tcPr>
          <w:p>
            <w:pPr>
              <w:pStyle w:val="TAL1"/>
              <w:rPr/>
            </w:pPr>
            <w:r>
              <w:rPr>
                <w:lang w:eastAsia="en-US"/>
              </w:rPr>
              <w:t>42.30</w:t>
            </w:r>
          </w:p>
        </w:tc>
      </w:tr>
      <w:tr>
        <w:trPr/>
        <w:tc>
          <w:tcPr>
            <w:tcW w:w="2577"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NaCl</w:t>
            </w:r>
          </w:p>
        </w:tc>
        <w:tc>
          <w:tcPr>
            <w:tcW w:w="1500" w:type="dxa"/>
            <w:tcBorders>
              <w:top w:val="single" w:sz="4" w:space="0" w:color="000000"/>
              <w:left w:val="single" w:sz="4" w:space="0" w:color="000000"/>
              <w:bottom w:val="single" w:sz="4" w:space="0" w:color="000000"/>
              <w:right w:val="single" w:sz="4" w:space="0" w:color="000000"/>
            </w:tcBorders>
            <w:vAlign w:val="center"/>
          </w:tcPr>
          <w:p>
            <w:pPr>
              <w:pStyle w:val="TAL1"/>
              <w:rPr>
                <w:lang w:eastAsia="en-US"/>
              </w:rPr>
            </w:pPr>
            <w:r>
              <w:rPr>
                <w:lang w:eastAsia="en-US"/>
              </w:rPr>
              <w:t>0.58</w:t>
            </w:r>
          </w:p>
        </w:tc>
      </w:tr>
    </w:tbl>
    <w:p>
      <w:pPr>
        <w:pStyle w:val="Normal"/>
        <w:numPr>
          <w:ilvl w:val="0"/>
          <w:numId w:val="5"/>
        </w:numPr>
        <w:suppressAutoHyphens w:val="true"/>
        <w:rPr/>
      </w:pPr>
      <w:r>
        <w:rPr/>
      </w:r>
    </w:p>
    <w:p>
      <w:pPr>
        <w:pStyle w:val="TH"/>
        <w:numPr>
          <w:ilvl w:val="0"/>
          <w:numId w:val="5"/>
        </w:numPr>
        <w:suppressAutoHyphens w:val="true"/>
        <w:rPr/>
      </w:pPr>
      <w:r>
        <w:rPr/>
        <w:t>Table F.1-2: Liquid recipe proposal 2</w:t>
      </w:r>
    </w:p>
    <w:tbl>
      <w:tblPr>
        <w:tblW w:w="5949" w:type="dxa"/>
        <w:jc w:val="center"/>
        <w:tblInd w:w="0" w:type="dxa"/>
        <w:tblLayout w:type="fixed"/>
        <w:tblCellMar>
          <w:top w:w="0" w:type="dxa"/>
          <w:left w:w="108" w:type="dxa"/>
          <w:bottom w:w="0" w:type="dxa"/>
          <w:right w:w="108" w:type="dxa"/>
        </w:tblCellMar>
      </w:tblPr>
      <w:tblGrid>
        <w:gridCol w:w="4428"/>
        <w:gridCol w:w="1521"/>
      </w:tblGrid>
      <w:tr>
        <w:trPr/>
        <w:tc>
          <w:tcPr>
            <w:tcW w:w="4428"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Component</w:t>
            </w:r>
          </w:p>
        </w:tc>
        <w:tc>
          <w:tcPr>
            <w:tcW w:w="152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Mass %</w:t>
            </w:r>
          </w:p>
        </w:tc>
      </w:tr>
      <w:tr>
        <w:trPr/>
        <w:tc>
          <w:tcPr>
            <w:tcW w:w="4428"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De-ionized Water</w:t>
            </w:r>
          </w:p>
        </w:tc>
        <w:tc>
          <w:tcPr>
            <w:tcW w:w="1521"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54.9 %</w:t>
            </w:r>
          </w:p>
        </w:tc>
      </w:tr>
      <w:tr>
        <w:trPr/>
        <w:tc>
          <w:tcPr>
            <w:tcW w:w="4428"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Diethylene Glycol Butyl Ether (DGBE) (&gt; 99 % pure)</w:t>
            </w:r>
          </w:p>
        </w:tc>
        <w:tc>
          <w:tcPr>
            <w:tcW w:w="1521"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44.92 %</w:t>
            </w:r>
          </w:p>
        </w:tc>
      </w:tr>
      <w:tr>
        <w:trPr/>
        <w:tc>
          <w:tcPr>
            <w:tcW w:w="4428"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NaCl</w:t>
            </w:r>
          </w:p>
        </w:tc>
        <w:tc>
          <w:tcPr>
            <w:tcW w:w="1521" w:type="dxa"/>
            <w:tcBorders>
              <w:top w:val="single" w:sz="4" w:space="0" w:color="000000"/>
              <w:left w:val="single" w:sz="4" w:space="0" w:color="000000"/>
              <w:bottom w:val="single" w:sz="4" w:space="0" w:color="000000"/>
              <w:right w:val="single" w:sz="4" w:space="0" w:color="000000"/>
            </w:tcBorders>
          </w:tcPr>
          <w:p>
            <w:pPr>
              <w:pStyle w:val="TAL1"/>
              <w:rPr>
                <w:lang w:eastAsia="en-US"/>
              </w:rPr>
            </w:pPr>
            <w:r>
              <w:rPr>
                <w:lang w:eastAsia="en-US"/>
              </w:rPr>
              <w:t>0.18 %</w:t>
            </w:r>
          </w:p>
        </w:tc>
      </w:tr>
    </w:tbl>
    <w:p>
      <w:pPr>
        <w:pStyle w:val="Normal"/>
        <w:rPr/>
      </w:pPr>
      <w:r>
        <w:rPr/>
      </w:r>
    </w:p>
    <w:p>
      <w:pPr>
        <w:pStyle w:val="Heading8"/>
        <w:ind w:left="0" w:hanging="0"/>
        <w:rPr/>
      </w:pPr>
      <w:bookmarkStart w:id="547" w:name="__RefHeading___Toc68601441"/>
      <w:bookmarkEnd w:id="547"/>
      <w:r>
        <w:rPr/>
        <w:t>Annex G (informative): Anechoic chamber specification and validation method</w:t>
      </w:r>
    </w:p>
    <w:p>
      <w:pPr>
        <w:pStyle w:val="Heading2"/>
        <w:rPr/>
      </w:pPr>
      <w:bookmarkStart w:id="548" w:name="__RefHeading___Toc68601442"/>
      <w:bookmarkEnd w:id="548"/>
      <w:r>
        <w:rPr/>
        <w:t>G.1</w:t>
        <w:tab/>
        <w:t>Shielded anechoic chamber specifications</w:t>
      </w:r>
    </w:p>
    <w:p>
      <w:pPr>
        <w:pStyle w:val="Normal"/>
        <w:rPr/>
      </w:pPr>
      <w:r>
        <w:rPr/>
        <w:t>To avoid environmental perturbations the measurements shall be performed in a shielded enclosure, preserved from electromagnetic disturbances coming from electromagnetic environment (Radio and TV broadcast, cellular, ISM equipment, etc…). The shielding effectiveness shut be tested according to the EN 50 147-1 standard in the frequency range of 800 MHz up to 4 GHz.</w:t>
      </w:r>
    </w:p>
    <w:p>
      <w:pPr>
        <w:pStyle w:val="Normal"/>
        <w:rPr/>
      </w:pPr>
      <w:r>
        <w:rPr/>
        <w:t>The recommended level of the shielding effectiveness is -100 dB from 800 MHz to 4 GHz.</w:t>
      </w:r>
    </w:p>
    <w:p>
      <w:pPr>
        <w:pStyle w:val="Normal"/>
        <w:rPr/>
      </w:pPr>
      <w:r>
        <w:rPr/>
        <w:t>Testing of the shielding effectiveness can be performed either before or after the installation of absorbers.</w:t>
      </w:r>
    </w:p>
    <w:p>
      <w:pPr>
        <w:pStyle w:val="Heading2"/>
        <w:rPr/>
      </w:pPr>
      <w:bookmarkStart w:id="549" w:name="__RefHeading___Toc68601443"/>
      <w:bookmarkEnd w:id="549"/>
      <w:r>
        <w:rPr/>
        <w:t>G.2</w:t>
        <w:tab/>
        <w:t>Quiet zone reflectivity level validation</w:t>
      </w:r>
    </w:p>
    <w:p>
      <w:pPr>
        <w:pStyle w:val="Normal"/>
        <w:rPr/>
      </w:pPr>
      <w:r>
        <w:rPr/>
        <w:t xml:space="preserve">The performance of anechoic chamber is typically evaluated from reflectivity level </w:t>
      </w:r>
      <w:r>
        <w:rPr/>
      </w:r>
      <m:oMath xmlns:m="http://schemas.openxmlformats.org/officeDocument/2006/math">
        <m:sSub>
          <m:e>
            <m:r>
              <w:rPr>
                <w:rFonts w:ascii="Cambria Math" w:hAnsi="Cambria Math"/>
              </w:rPr>
              <m:t xml:space="preserve">R</m:t>
            </m:r>
          </m:e>
          <m:sub>
            <m:r>
              <m:rPr>
                <m:lit/>
                <m:nor/>
              </m:rPr>
              <w:rPr>
                <w:rFonts w:ascii="Cambria Math" w:hAnsi="Cambria Math"/>
              </w:rPr>
              <m:t xml:space="preserve">level</m:t>
            </m:r>
          </m:sub>
        </m:sSub>
      </m:oMath>
      <w:r>
        <w:rPr/>
        <w:t xml:space="preserve"> in the quiet zone. The reflectivity level is defined as power ratio of </w:t>
      </w:r>
      <w:r>
        <w:rPr>
          <w:u w:val="single"/>
        </w:rPr>
        <w:t>all</w:t>
      </w:r>
      <w:r>
        <w:rPr/>
        <w:t xml:space="preserve"> summed reflected signals </w:t>
      </w:r>
      <w:r>
        <w:rPr/>
      </w:r>
      <m:oMath xmlns:m="http://schemas.openxmlformats.org/officeDocument/2006/math">
        <m:sSub>
          <m:e>
            <m:r>
              <w:rPr>
                <w:rFonts w:ascii="Cambria Math" w:hAnsi="Cambria Math"/>
              </w:rPr>
              <m:t xml:space="preserve">P</m:t>
            </m:r>
          </m:e>
          <m:sub>
            <m:r>
              <w:rPr>
                <w:rFonts w:ascii="Cambria Math" w:hAnsi="Cambria Math"/>
              </w:rPr>
              <m:t xml:space="preserve">r</m:t>
            </m:r>
          </m:sub>
        </m:sSub>
      </m:oMath>
      <w:r>
        <w:rPr/>
        <w:t xml:space="preserve"> to direct signal </w:t>
      </w:r>
      <w:r>
        <w:rPr/>
      </w:r>
      <m:oMath xmlns:m="http://schemas.openxmlformats.org/officeDocument/2006/math">
        <m:sSub>
          <m:e>
            <m:r>
              <w:rPr>
                <w:rFonts w:ascii="Cambria Math" w:hAnsi="Cambria Math"/>
              </w:rPr>
              <m:t xml:space="preserve">P</m:t>
            </m:r>
          </m:e>
          <m:sub>
            <m:r>
              <w:rPr>
                <w:rFonts w:ascii="Cambria Math" w:hAnsi="Cambria Math"/>
              </w:rPr>
              <m:t xml:space="preserve">d</m:t>
            </m:r>
          </m:sub>
        </m:sSub>
      </m:oMath>
      <w:r>
        <w:rPr/>
        <w:t xml:space="preserve"> from antenna:</w:t>
      </w:r>
    </w:p>
    <w:p>
      <w:pPr>
        <w:pStyle w:val="EQ"/>
        <w:rPr/>
      </w:pPr>
      <w:r>
        <w:rPr>
          <w:lang w:val="en-GB" w:eastAsia="en-GB"/>
        </w:rPr>
      </w:r>
      <m:oMath xmlns:m="http://schemas.openxmlformats.org/officeDocument/2006/math">
        <m:sSub>
          <m:e>
            <m:r>
              <w:rPr>
                <w:rFonts w:ascii="Cambria Math" w:hAnsi="Cambria Math"/>
              </w:rPr>
              <m:t xml:space="preserve">R</m:t>
            </m:r>
          </m:e>
          <m:sub>
            <m:r>
              <m:rPr>
                <m:lit/>
                <m:nor/>
              </m:rPr>
              <w:rPr>
                <w:rFonts w:ascii="Cambria Math" w:hAnsi="Cambria Math"/>
              </w:rPr>
              <m:t xml:space="preserve">level</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f>
          <m:num>
            <m:sSub>
              <m:e>
                <m:r>
                  <w:rPr>
                    <w:rFonts w:ascii="Cambria Math" w:hAnsi="Cambria Math"/>
                  </w:rPr>
                  <m:t xml:space="preserve">P</m:t>
                </m:r>
              </m:e>
              <m:sub>
                <m:r>
                  <w:rPr>
                    <w:rFonts w:ascii="Cambria Math" w:hAnsi="Cambria Math"/>
                  </w:rPr>
                  <m:t xml:space="preserve">r</m:t>
                </m:r>
              </m:sub>
            </m:sSub>
          </m:num>
          <m:den>
            <m:sSub>
              <m:e>
                <m:r>
                  <w:rPr>
                    <w:rFonts w:ascii="Cambria Math" w:hAnsi="Cambria Math"/>
                  </w:rPr>
                  <m:t xml:space="preserve">P</m:t>
                </m:r>
              </m:e>
              <m:sub>
                <m:r>
                  <w:rPr>
                    <w:rFonts w:ascii="Cambria Math" w:hAnsi="Cambria Math"/>
                  </w:rPr>
                  <m:t xml:space="preserve">d</m:t>
                </m:r>
              </m:sub>
            </m:sSub>
          </m:den>
        </m:f>
      </m:oMath>
      <w:r>
        <w:rPr>
          <w:lang w:val="en-GB" w:eastAsia="en-GB"/>
        </w:rPr>
        <w:t xml:space="preserve"> </w:t>
      </w:r>
      <w:r>
        <w:rPr>
          <w:lang w:val="en-GB" w:eastAsia="en-GB"/>
        </w:rPr>
        <w:t>.</w:t>
      </w:r>
    </w:p>
    <w:p>
      <w:pPr>
        <w:pStyle w:val="Normal"/>
        <w:rPr/>
      </w:pPr>
      <w:r>
        <w:rPr/>
        <w:t>To evaluate the quiet zone reflectivity level, the contribution of absorbing materials, the antenna positioning system and other constructions in the anechoic chamber should be measured.</w:t>
      </w:r>
    </w:p>
    <w:p>
      <w:pPr>
        <w:pStyle w:val="Normal"/>
        <w:rPr/>
      </w:pPr>
      <w:r>
        <w:rPr/>
        <w:t>To measure accurately quality of the quite zone in anechoic chamber an omni-directional antenna shall be used. Near omni-directional three axes field-probes are available with fibre optic connection thus minimizing cable effects. Because sensitivity of field probe is limited it shall be carefully checked that the field probe is operated at least 6dB above the noise floor of the probe.</w:t>
      </w:r>
    </w:p>
    <w:p>
      <w:pPr>
        <w:pStyle w:val="NO"/>
        <w:rPr/>
      </w:pPr>
      <w:r>
        <w:rPr/>
        <w:t>NOTE: The quiet zone evaluation should be performed with the antenna positioning system in its place, in order to include its effect on the reflectivity level.</w:t>
      </w:r>
    </w:p>
    <w:p>
      <w:pPr>
        <w:pStyle w:val="Heading3"/>
        <w:rPr/>
      </w:pPr>
      <w:bookmarkStart w:id="550" w:name="__RefHeading___Toc68601444"/>
      <w:bookmarkEnd w:id="550"/>
      <w:r>
        <w:rPr/>
        <w:t>G.2.1</w:t>
        <w:tab/>
        <w:t>Description of a practical method for Quiet Zone characterization</w:t>
      </w:r>
    </w:p>
    <w:p>
      <w:pPr>
        <w:pStyle w:val="Normal"/>
        <w:rPr/>
      </w:pPr>
      <w:r>
        <w:rPr/>
        <w:t>A practical version of the Free Space VSWR method is presented.</w:t>
      </w:r>
    </w:p>
    <w:p>
      <w:pPr>
        <w:pStyle w:val="Normal"/>
        <w:rPr/>
      </w:pPr>
      <w:r>
        <w:rPr/>
        <w:t>In the Free Space VSWR method the quality of quite zone is measured from amplitude ripple caused by reflections inside the anechoic chamber. Phase variation of the direct signal and the reflected signals is obtained by moving a field-probe in the quiet zone. Amplitude ripple in the quiet zone is caused by this phase variation of reflected signals and the direct signal from antenna. Figure 2 below shows seven measuring positions.</w:t>
      </w:r>
    </w:p>
    <w:p>
      <w:pPr>
        <w:pStyle w:val="TH"/>
        <w:rPr/>
      </w:pPr>
      <w:r>
        <w:rPr/>
        <w:drawing>
          <wp:inline distT="0" distB="0" distL="0" distR="0">
            <wp:extent cx="4629150" cy="2085975"/>
            <wp:effectExtent l="0" t="0" r="0" b="0"/>
            <wp:docPr id="166" name="Image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44" descr=""/>
                    <pic:cNvPicPr>
                      <a:picLocks noChangeAspect="1" noChangeArrowheads="1"/>
                    </pic:cNvPicPr>
                  </pic:nvPicPr>
                  <pic:blipFill>
                    <a:blip r:embed="rId168"/>
                    <a:srcRect l="-8" t="-17" r="-8" b="-17"/>
                    <a:stretch>
                      <a:fillRect/>
                    </a:stretch>
                  </pic:blipFill>
                  <pic:spPr bwMode="auto">
                    <a:xfrm>
                      <a:off x="0" y="0"/>
                      <a:ext cx="4629150" cy="2085975"/>
                    </a:xfrm>
                    <a:prstGeom prst="rect">
                      <a:avLst/>
                    </a:prstGeom>
                  </pic:spPr>
                </pic:pic>
              </a:graphicData>
            </a:graphic>
          </wp:inline>
        </w:drawing>
      </w:r>
    </w:p>
    <w:p>
      <w:pPr>
        <w:pStyle w:val="TF"/>
        <w:rPr/>
      </w:pPr>
      <w:r>
        <w:rPr/>
        <w:t>Figure G.2.1-1: Measurement positions with 150mm separation</w:t>
      </w:r>
    </w:p>
    <w:p>
      <w:pPr>
        <w:pStyle w:val="Normal"/>
        <w:rPr/>
      </w:pPr>
      <w:r>
        <w:rPr/>
      </w:r>
    </w:p>
    <w:p>
      <w:pPr>
        <w:pStyle w:val="Normal"/>
        <w:keepNext w:val="true"/>
        <w:rPr/>
      </w:pPr>
      <w:r>
        <w:rPr/>
        <w:t xml:space="preserve">In each of the seven-measurement position amplitude of power received by field-probe </w:t>
      </w:r>
      <w:r>
        <w:rPr/>
      </w:r>
      <m:oMath xmlns:m="http://schemas.openxmlformats.org/officeDocument/2006/math">
        <m:sSub>
          <m:e>
            <m:r>
              <w:rPr>
                <w:rFonts w:ascii="Cambria Math" w:hAnsi="Cambria Math"/>
              </w:rPr>
              <m:t xml:space="preserve">P</m:t>
            </m:r>
          </m:e>
          <m:sub>
            <m:sSub>
              <m:e>
                <m:r>
                  <m:rPr>
                    <m:lit/>
                    <m:nor/>
                  </m:rPr>
                  <w:rPr>
                    <w:rFonts w:ascii="Cambria Math" w:hAnsi="Cambria Math"/>
                  </w:rPr>
                  <m:t xml:space="preserve">meas</m:t>
                </m:r>
              </m:e>
              <m:sub>
                <m:r>
                  <w:rPr>
                    <w:rFonts w:ascii="Cambria Math" w:hAnsi="Cambria Math"/>
                  </w:rPr>
                  <m:t xml:space="preserve">n</m:t>
                </m:r>
              </m:sub>
            </m:sSub>
          </m:sub>
        </m:sSub>
      </m:oMath>
      <w:r>
        <w:rPr/>
        <w:t xml:space="preserve">[dBm] is measured where </w:t>
      </w:r>
      <w:r>
        <w:rPr/>
      </w:r>
      <m:oMath xmlns:m="http://schemas.openxmlformats.org/officeDocument/2006/math">
        <m:r>
          <w:rPr>
            <w:rFonts w:ascii="Cambria Math" w:hAnsi="Cambria Math"/>
          </w:rPr>
          <m:t xml:space="preserve">n</m:t>
        </m:r>
      </m:oMath>
      <w:r>
        <w:rPr/>
        <w:t>is index of measuring position. Variance of measurement distance to the antenna from field-probe in different measurement positions can be compensated by following equation:</w:t>
      </w:r>
    </w:p>
    <w:p>
      <w:pPr>
        <w:pStyle w:val="EQ"/>
        <w:rPr>
          <w:lang w:val="en-GB" w:eastAsia="en-GB"/>
        </w:rPr>
      </w:pPr>
      <w:r>
        <w:rPr>
          <w:lang w:val="en-GB" w:eastAsia="en-GB"/>
        </w:rPr>
      </w:r>
      <m:oMathPara xmlns:m="http://schemas.openxmlformats.org/officeDocument/2006/math">
        <m:oMathParaPr>
          <m:jc m:val="left"/>
        </m:oMathParaPr>
        <m:oMath>
          <m:sSub>
            <m:e>
              <m:r>
                <w:rPr>
                  <w:rFonts w:ascii="Cambria Math" w:hAnsi="Cambria Math"/>
                </w:rPr>
                <m:t xml:space="preserve">P</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meas</m:t>
                  </m:r>
                </m:e>
                <m:sub>
                  <m:r>
                    <w:rPr>
                      <w:rFonts w:ascii="Cambria Math" w:hAnsi="Cambria Math"/>
                    </w:rPr>
                    <m:t xml:space="preserve">n</m:t>
                  </m:r>
                </m:sub>
              </m:sSub>
            </m:sub>
          </m:sSub>
          <m:r>
            <w:rPr>
              <w:rFonts w:ascii="Cambria Math" w:hAnsi="Cambria Math"/>
            </w:rPr>
            <m:t xml:space="preserve">+</m:t>
          </m:r>
          <m:r>
            <m:rPr>
              <m:lit/>
              <m:nor/>
            </m:rPr>
            <w:rPr>
              <w:rFonts w:ascii="Cambria Math" w:hAnsi="Cambria Math"/>
            </w:rPr>
            <m:t xml:space="preserve">20</m:t>
          </m:r>
          <m:r>
            <m:rPr>
              <m:lit/>
              <m:nor/>
            </m:rPr>
            <w:rPr>
              <w:rFonts w:ascii="Cambria Math" w:hAnsi="Cambria Math"/>
            </w:rPr>
            <m:t xml:space="preserve">log</m:t>
          </m:r>
          <m:r>
            <w:rPr>
              <w:rFonts w:ascii="Cambria Math" w:hAnsi="Cambria Math"/>
            </w:rPr>
            <m:t xml:space="preserve">(</m:t>
          </m:r>
          <m:f>
            <m:num>
              <m:sSub>
                <m:e>
                  <m:r>
                    <w:rPr>
                      <w:rFonts w:ascii="Cambria Math" w:hAnsi="Cambria Math"/>
                    </w:rPr>
                    <m:t xml:space="preserve">d</m:t>
                  </m:r>
                </m:e>
                <m:sub>
                  <m:r>
                    <w:rPr>
                      <w:rFonts w:ascii="Cambria Math" w:hAnsi="Cambria Math"/>
                    </w:rPr>
                    <m:t xml:space="preserve">n</m:t>
                  </m:r>
                </m:sub>
              </m:sSub>
            </m:num>
            <m:den>
              <m:r>
                <w:rPr>
                  <w:rFonts w:ascii="Cambria Math" w:hAnsi="Cambria Math"/>
                </w:rPr>
                <m:t xml:space="preserve">l</m:t>
              </m:r>
            </m:den>
          </m:f>
          <m:r>
            <w:rPr>
              <w:rFonts w:ascii="Cambria Math" w:hAnsi="Cambria Math"/>
            </w:rPr>
            <m:t xml:space="preserve">)</m:t>
          </m:r>
        </m:oMath>
      </m:oMathPara>
    </w:p>
    <w:p>
      <w:pPr>
        <w:pStyle w:val="Normal"/>
        <w:rPr/>
      </w:pPr>
      <w:r>
        <w:rPr/>
        <w:t>where,</w:t>
      </w:r>
    </w:p>
    <w:p>
      <w:pPr>
        <w:pStyle w:val="B1"/>
        <w:rPr/>
      </w:pPr>
      <w:r>
        <w:rPr/>
        <w:tab/>
      </w:r>
      <w:r>
        <w:rPr/>
      </w:r>
      <m:oMath xmlns:m="http://schemas.openxmlformats.org/officeDocument/2006/math">
        <m:sSub>
          <m:e>
            <m:r>
              <w:rPr>
                <w:rFonts w:ascii="Cambria Math" w:hAnsi="Cambria Math"/>
              </w:rPr>
              <m:t xml:space="preserve">d</m:t>
            </m:r>
          </m:e>
          <m:sub>
            <m:r>
              <w:rPr>
                <w:rFonts w:ascii="Cambria Math" w:hAnsi="Cambria Math"/>
              </w:rPr>
              <m:t xml:space="preserve">n</m:t>
            </m:r>
          </m:sub>
        </m:sSub>
      </m:oMath>
      <w:r>
        <w:rPr/>
        <w:t xml:space="preserve">is distance to point </w:t>
      </w:r>
      <w:r>
        <w:rPr/>
      </w:r>
      <m:oMath xmlns:m="http://schemas.openxmlformats.org/officeDocument/2006/math">
        <m:r>
          <w:rPr>
            <w:rFonts w:ascii="Cambria Math" w:hAnsi="Cambria Math"/>
          </w:rPr>
          <m:t xml:space="preserve">n</m:t>
        </m:r>
      </m:oMath>
      <w:r>
        <w:rPr/>
        <w:t xml:space="preserve"> from the antenna,</w:t>
      </w:r>
    </w:p>
    <w:p>
      <w:pPr>
        <w:pStyle w:val="B1"/>
        <w:rPr/>
      </w:pPr>
      <w:r>
        <w:rPr/>
        <w:tab/>
      </w:r>
      <w:r>
        <w:rPr/>
      </w:r>
      <m:oMath xmlns:m="http://schemas.openxmlformats.org/officeDocument/2006/math">
        <m:r>
          <w:rPr>
            <w:rFonts w:ascii="Cambria Math" w:hAnsi="Cambria Math"/>
          </w:rPr>
          <m:t xml:space="preserve">l</m:t>
        </m:r>
      </m:oMath>
      <w:r>
        <w:rPr/>
        <w:t>is distance to centre of quiet zone from the antenna</w:t>
      </w:r>
    </w:p>
    <w:p>
      <w:pPr>
        <w:pStyle w:val="B1"/>
        <w:rPr/>
      </w:pPr>
      <w:r>
        <w:rPr/>
        <w:tab/>
      </w:r>
      <w:r>
        <w:rPr/>
      </w:r>
      <m:oMath xmlns:m="http://schemas.openxmlformats.org/officeDocument/2006/math">
        <m:sSub>
          <m:e>
            <m:r>
              <w:rPr>
                <w:rFonts w:ascii="Cambria Math" w:hAnsi="Cambria Math"/>
              </w:rPr>
              <m:t xml:space="preserve">P</m:t>
            </m:r>
          </m:e>
          <m:sub>
            <m:sSub>
              <m:e>
                <m:r>
                  <m:rPr>
                    <m:lit/>
                    <m:nor/>
                  </m:rPr>
                  <w:rPr>
                    <w:rFonts w:ascii="Cambria Math" w:hAnsi="Cambria Math"/>
                  </w:rPr>
                  <m:t xml:space="preserve">meas</m:t>
                </m:r>
              </m:e>
              <m:sub>
                <m:r>
                  <w:rPr>
                    <w:rFonts w:ascii="Cambria Math" w:hAnsi="Cambria Math"/>
                  </w:rPr>
                  <m:t xml:space="preserve">n</m:t>
                </m:r>
              </m:sub>
            </m:sSub>
          </m:sub>
        </m:sSub>
      </m:oMath>
      <w:r>
        <w:rPr/>
        <w:t xml:space="preserve">is uncorrected measurement value from point </w:t>
      </w:r>
      <w:r>
        <w:rPr/>
      </w:r>
      <m:oMath xmlns:m="http://schemas.openxmlformats.org/officeDocument/2006/math">
        <m:r>
          <w:rPr>
            <w:rFonts w:ascii="Cambria Math" w:hAnsi="Cambria Math"/>
          </w:rPr>
          <m:t xml:space="preserve">n</m:t>
        </m:r>
      </m:oMath>
      <w:r>
        <w:rPr/>
        <w:t>.</w:t>
      </w:r>
    </w:p>
    <w:p>
      <w:pPr>
        <w:pStyle w:val="Normal"/>
        <w:keepNext w:val="true"/>
        <w:rPr/>
      </w:pPr>
      <w:r>
        <w:rPr/>
        <w:t>The sample standard deviation of the electric field in the quiet zone can be calculated from these distance corrected values or directly from the measured values with the following equation:</w:t>
      </w:r>
    </w:p>
    <w:p>
      <w:pPr>
        <w:pStyle w:val="EQ"/>
        <w:rPr>
          <w:lang w:val="en-GB" w:eastAsia="en-GB"/>
        </w:rPr>
      </w:pPr>
      <w:r>
        <w:rPr>
          <w:lang w:val="en-GB" w:eastAsia="en-GB"/>
        </w:rPr>
      </w:r>
      <m:oMathPara xmlns:m="http://schemas.openxmlformats.org/officeDocument/2006/math">
        <m:oMathParaPr>
          <m:jc m:val="left"/>
        </m:oMathParaPr>
        <m:oMath>
          <m:r>
            <w:rPr>
              <w:rFonts w:ascii="Cambria Math" w:hAnsi="Cambria Math"/>
            </w:rPr>
            <m:t xml:space="preserve">s</m:t>
          </m:r>
          <m:r>
            <w:rPr>
              <w:rFonts w:ascii="Cambria Math" w:hAnsi="Cambria Math"/>
            </w:rPr>
            <m:t xml:space="preserve">=</m:t>
          </m:r>
          <m:rad>
            <m:radPr>
              <m:degHide m:val="1"/>
            </m:radPr>
            <m:deg/>
            <m:e>
              <m:f>
                <m:num>
                  <m:r>
                    <w:rPr>
                      <w:rFonts w:ascii="Cambria Math" w:hAnsi="Cambria Math"/>
                    </w:rPr>
                    <m:t xml:space="preserve">1</m:t>
                  </m:r>
                </m:num>
                <m:den>
                  <m:r>
                    <w:rPr>
                      <w:rFonts w:ascii="Cambria Math" w:hAnsi="Cambria Math"/>
                    </w:rPr>
                    <m:t xml:space="preserve">N</m:t>
                  </m:r>
                  <m:r>
                    <w:rPr>
                      <w:rFonts w:ascii="Cambria Math" w:hAnsi="Cambria Math"/>
                    </w:rPr>
                    <m:t xml:space="preserve">−</m:t>
                  </m:r>
                  <m:r>
                    <w:rPr>
                      <w:rFonts w:ascii="Cambria Math" w:hAnsi="Cambria Math"/>
                    </w:rPr>
                    <m:t xml:space="preserve">1</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sSub>
                            <m:e>
                              <m:r>
                                <w:rPr>
                                  <w:rFonts w:ascii="Cambria Math" w:hAnsi="Cambria Math"/>
                                </w:rPr>
                                <m:t xml:space="preserve">P</m:t>
                              </m:r>
                            </m:e>
                            <m:sub>
                              <m:r>
                                <w:rPr>
                                  <w:rFonts w:ascii="Cambria Math" w:hAnsi="Cambria Math"/>
                                </w:rPr>
                                <m:t xml:space="preserve">i</m:t>
                              </m:r>
                            </m:sub>
                          </m:sSub>
                          <m:r>
                            <w:rPr>
                              <w:rFonts w:ascii="Cambria Math" w:hAnsi="Cambria Math"/>
                            </w:rPr>
                            <m:t xml:space="preserve">−</m:t>
                          </m:r>
                          <m:bar>
                            <m:barPr>
                              <m:pos m:val="top"/>
                            </m:barPr>
                            <m:e>
                              <m:r>
                                <w:rPr>
                                  <w:rFonts w:ascii="Cambria Math" w:hAnsi="Cambria Math"/>
                                </w:rPr>
                                <m:t xml:space="preserve">P</m:t>
                              </m:r>
                            </m:e>
                          </m:bar>
                        </m:e>
                      </m:d>
                    </m:e>
                    <m:sup>
                      <m:r>
                        <w:rPr>
                          <w:rFonts w:ascii="Cambria Math" w:hAnsi="Cambria Math"/>
                        </w:rPr>
                        <m:t xml:space="preserve">2</m:t>
                      </m:r>
                    </m:sup>
                  </m:sSup>
                </m:e>
              </m:nary>
            </m:e>
          </m:rad>
        </m:oMath>
      </m:oMathPara>
    </w:p>
    <w:p>
      <w:pPr>
        <w:pStyle w:val="Normal"/>
        <w:rPr/>
      </w:pPr>
      <w:r>
        <w:rPr/>
        <w:t>where,</w:t>
      </w:r>
    </w:p>
    <w:p>
      <w:pPr>
        <w:pStyle w:val="B1"/>
        <w:rPr/>
      </w:pPr>
      <w:r>
        <w:rPr/>
        <w:tab/>
      </w:r>
      <w:r>
        <w:rPr/>
      </w:r>
      <m:oMath xmlns:m="http://schemas.openxmlformats.org/officeDocument/2006/math">
        <m:r>
          <w:rPr>
            <w:rFonts w:ascii="Cambria Math" w:hAnsi="Cambria Math"/>
          </w:rPr>
          <m:t xml:space="preserve">N</m:t>
        </m:r>
      </m:oMath>
      <w:r>
        <w:rPr/>
        <w:t xml:space="preserve"> is number of measurements positions</w:t>
      </w:r>
    </w:p>
    <w:p>
      <w:pPr>
        <w:pStyle w:val="B1"/>
        <w:rPr/>
      </w:pPr>
      <w:r>
        <w:rPr/>
        <w:tab/>
      </w:r>
      <w:r>
        <w:rPr/>
      </w:r>
      <m:oMath xmlns:m="http://schemas.openxmlformats.org/officeDocument/2006/math">
        <m:bar>
          <m:barPr>
            <m:pos m:val="top"/>
          </m:barPr>
          <m:e>
            <m:r>
              <w:rPr>
                <w:rFonts w:ascii="Cambria Math" w:hAnsi="Cambria Math"/>
              </w:rPr>
              <m:t xml:space="preserve">P</m:t>
            </m:r>
          </m:e>
        </m:bar>
      </m:oMath>
      <w:r>
        <w:rPr/>
        <w:t xml:space="preserve"> is dB average of all </w:t>
      </w:r>
      <w:r>
        <w:rPr/>
      </w:r>
      <m:oMath xmlns:m="http://schemas.openxmlformats.org/officeDocument/2006/math">
        <m:sSub>
          <m:e>
            <m:r>
              <w:rPr>
                <w:rFonts w:ascii="Cambria Math" w:hAnsi="Cambria Math"/>
              </w:rPr>
              <m:t xml:space="preserve">P</m:t>
            </m:r>
          </m:e>
          <m:sub>
            <m:r>
              <w:rPr>
                <w:rFonts w:ascii="Cambria Math" w:hAnsi="Cambria Math"/>
              </w:rPr>
              <m:t xml:space="preserve">n</m:t>
            </m:r>
          </m:sub>
        </m:sSub>
      </m:oMath>
    </w:p>
    <w:p>
      <w:pPr>
        <w:pStyle w:val="Normal"/>
        <w:rPr/>
      </w:pPr>
      <w:r>
        <w:rPr>
          <w:sz w:val="18"/>
        </w:rPr>
        <w:tab/>
      </w:r>
      <w:r>
        <w:rPr>
          <w:sz w:val="18"/>
        </w:rPr>
      </w:r>
      <m:oMath xmlns:m="http://schemas.openxmlformats.org/officeDocument/2006/math">
        <m:sSub>
          <m:e>
            <m:r>
              <w:rPr>
                <w:rFonts w:ascii="Cambria Math" w:hAnsi="Cambria Math"/>
              </w:rPr>
              <m:t xml:space="preserve">P</m:t>
            </m:r>
          </m:e>
          <m:sub>
            <m:r>
              <w:rPr>
                <w:rFonts w:ascii="Cambria Math" w:hAnsi="Cambria Math"/>
              </w:rPr>
              <m:t xml:space="preserve">i</m:t>
            </m:r>
          </m:sub>
        </m:sSub>
      </m:oMath>
      <w:r>
        <w:rPr>
          <w:sz w:val="18"/>
        </w:rPr>
        <w:t xml:space="preserve"> is </w:t>
      </w:r>
      <w:r>
        <w:rPr/>
      </w:r>
      <m:oMath xmlns:m="http://schemas.openxmlformats.org/officeDocument/2006/math">
        <m:sSub>
          <m:e>
            <m:r>
              <w:rPr>
                <w:rFonts w:ascii="Cambria Math" w:hAnsi="Cambria Math"/>
              </w:rPr>
              <m:t xml:space="preserve">P</m:t>
            </m:r>
          </m:e>
          <m:sub>
            <m:r>
              <w:rPr>
                <w:rFonts w:ascii="Cambria Math" w:hAnsi="Cambria Math"/>
              </w:rPr>
              <m:t xml:space="preserve">n</m:t>
            </m:r>
          </m:sub>
        </m:sSub>
      </m:oMath>
      <w:r>
        <w:rPr/>
        <w:t xml:space="preserve"> or </w:t>
      </w:r>
      <w:r>
        <w:rPr/>
      </w:r>
      <m:oMath xmlns:m="http://schemas.openxmlformats.org/officeDocument/2006/math">
        <m:sSub>
          <m:e>
            <m:r>
              <w:rPr>
                <w:rFonts w:ascii="Cambria Math" w:hAnsi="Cambria Math"/>
              </w:rPr>
              <m:t xml:space="preserve">P</m:t>
            </m:r>
          </m:e>
          <m:sub>
            <m:sSub>
              <m:e>
                <m:r>
                  <m:rPr>
                    <m:lit/>
                    <m:nor/>
                  </m:rPr>
                  <w:rPr>
                    <w:rFonts w:ascii="Cambria Math" w:hAnsi="Cambria Math"/>
                  </w:rPr>
                  <m:t xml:space="preserve">meas</m:t>
                </m:r>
              </m:e>
              <m:sub>
                <m:r>
                  <w:rPr>
                    <w:rFonts w:ascii="Cambria Math" w:hAnsi="Cambria Math"/>
                  </w:rPr>
                  <m:t xml:space="preserve">n</m:t>
                </m:r>
              </m:sub>
            </m:sSub>
          </m:sub>
        </m:sSub>
      </m:oMath>
    </w:p>
    <w:p>
      <w:pPr>
        <w:pStyle w:val="Heading2"/>
        <w:rPr/>
      </w:pPr>
      <w:bookmarkStart w:id="551" w:name="__RefHeading___Toc68601445"/>
      <w:bookmarkEnd w:id="551"/>
      <w:r>
        <w:rPr/>
        <w:t>G.3</w:t>
        <w:tab/>
        <w:t>Standard deviation of electric field</w:t>
      </w:r>
    </w:p>
    <w:p>
      <w:pPr>
        <w:pStyle w:val="Normal"/>
        <w:rPr/>
      </w:pPr>
      <w:r>
        <w:rPr/>
        <w:t>To obtain a more accurate picture of quality of quiet zone, the measurement described in G.2.1 can be done from multiple directions and polarizations. Doing free space VSWR measurement from different directions in 15-degree separation for elevation and azimuth, results in 264 standard deviation values in both polarizations (</w:t>
      </w:r>
      <w:r>
        <w:rPr>
          <w:sz w:val="14"/>
        </w:rPr>
      </w:r>
      <m:oMath xmlns:m="http://schemas.openxmlformats.org/officeDocument/2006/math">
        <m:sSub>
          <m:e>
            <m:r>
              <w:rPr>
                <w:rFonts w:ascii="Cambria Math" w:hAnsi="Cambria Math"/>
              </w:rPr>
              <m:t xml:space="preserve">s</m:t>
            </m:r>
          </m:e>
          <m:sub>
            <m:r>
              <w:rPr>
                <w:rFonts w:ascii="Cambria Math" w:hAnsi="Cambria Math"/>
              </w:rPr>
              <m:t xml:space="preserve">θ</m:t>
            </m:r>
            <m:r>
              <w:rPr>
                <w:rFonts w:ascii="Cambria Math" w:hAnsi="Cambria Math"/>
              </w:rPr>
              <m:t xml:space="preserve">,</m:t>
            </m:r>
            <m:r>
              <w:rPr>
                <w:rFonts w:ascii="Cambria Math" w:hAnsi="Cambria Math"/>
              </w:rPr>
              <m:t xml:space="preserve">Φ</m:t>
            </m:r>
            <m:r>
              <w:rPr>
                <w:rFonts w:ascii="Cambria Math" w:hAnsi="Cambria Math"/>
              </w:rPr>
              <m:t xml:space="preserve">,</m:t>
            </m:r>
            <m:r>
              <m:rPr>
                <m:lit/>
                <m:nor/>
              </m:rPr>
              <w:rPr>
                <w:rFonts w:ascii="Cambria Math" w:hAnsi="Cambria Math"/>
              </w:rPr>
              <m:t xml:space="preserve">pol</m:t>
            </m:r>
          </m:sub>
        </m:sSub>
      </m:oMath>
      <w:r>
        <w:rPr>
          <w:sz w:val="14"/>
        </w:rPr>
        <w:t>)</w:t>
      </w:r>
      <w:r>
        <w:rPr/>
        <w:t>. From these values average sample standard deviation in electric field in quiet zone can be calculated from equation:</w:t>
      </w:r>
    </w:p>
    <w:p>
      <w:pPr>
        <w:pStyle w:val="EQ"/>
        <w:rPr>
          <w:lang w:val="en-GB" w:eastAsia="en-GB"/>
        </w:rPr>
      </w:pPr>
      <w:r>
        <w:rPr>
          <w:lang w:val="en-GB" w:eastAsia="en-GB"/>
        </w:rPr>
      </w:r>
      <m:oMathPara xmlns:m="http://schemas.openxmlformats.org/officeDocument/2006/math">
        <m:oMathParaPr>
          <m:jc m:val="left"/>
        </m:oMathParaPr>
        <m:oMath>
          <m:bar>
            <m:barPr>
              <m:pos m:val="top"/>
            </m:barPr>
            <m:e>
              <m:sSub>
                <m:e>
                  <m:r>
                    <w:rPr>
                      <w:rFonts w:ascii="Cambria Math" w:hAnsi="Cambria Math"/>
                    </w:rPr>
                    <m:t xml:space="preserve">S</m:t>
                  </m:r>
                </m:e>
                <m:sub>
                  <m:r>
                    <m:rPr>
                      <m:lit/>
                      <m:nor/>
                    </m:rPr>
                    <w:rPr>
                      <w:rFonts w:ascii="Cambria Math" w:hAnsi="Cambria Math"/>
                    </w:rPr>
                    <m:t xml:space="preserve">freq</m:t>
                  </m:r>
                </m:sub>
              </m:sSub>
            </m:e>
          </m:bar>
          <m:r>
            <w:rPr>
              <w:rFonts w:ascii="Cambria Math" w:hAnsi="Cambria Math"/>
            </w:rPr>
            <m:t xml:space="preserve">=</m:t>
          </m:r>
          <m:f>
            <m:num>
              <m:f>
                <m:num>
                  <m:r>
                    <w:rPr>
                      <w:rFonts w:ascii="Cambria Math" w:hAnsi="Cambria Math"/>
                    </w:rPr>
                    <m:t xml:space="preserve">π</m:t>
                  </m:r>
                </m:num>
                <m:den>
                  <m:r>
                    <w:rPr>
                      <w:rFonts w:ascii="Cambria Math" w:hAnsi="Cambria Math"/>
                    </w:rPr>
                    <m:t xml:space="preserve">2</m:t>
                  </m:r>
                  <m:r>
                    <m:rPr>
                      <m:lit/>
                      <m:nor/>
                    </m:rPr>
                    <w:rPr>
                      <w:rFonts w:ascii="Cambria Math" w:hAnsi="Cambria Math"/>
                    </w:rPr>
                    <m:t xml:space="preserve">IJ</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I</m:t>
                  </m:r>
                </m:sup>
                <m:e>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J</m:t>
                      </m:r>
                    </m:sup>
                    <m:e>
                      <m:sSub>
                        <m:e>
                          <m:r>
                            <w:rPr>
                              <w:rFonts w:ascii="Cambria Math" w:hAnsi="Cambria Math"/>
                            </w:rPr>
                            <m:t xml:space="preserve">s</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m:rPr>
                              <m:lit/>
                              <m:nor/>
                            </m:rPr>
                            <w:rPr>
                              <w:rFonts w:ascii="Cambria Math" w:hAnsi="Cambria Math"/>
                            </w:rPr>
                            <m:t xml:space="preserve">hor</m:t>
                          </m:r>
                        </m:sub>
                      </m:sSub>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i</m:t>
                          </m:r>
                        </m:sub>
                      </m:sSub>
                      <m:r>
                        <w:rPr>
                          <w:rFonts w:ascii="Cambria Math" w:hAnsi="Cambria Math"/>
                        </w:rPr>
                        <m:t xml:space="preserve">)</m:t>
                      </m:r>
                    </m:e>
                  </m:nary>
                  <m:r>
                    <w:rPr>
                      <w:rFonts w:ascii="Cambria Math" w:hAnsi="Cambria Math"/>
                    </w:rPr>
                    <m:t xml:space="preserve">+</m:t>
                  </m:r>
                  <m:f>
                    <m:num>
                      <m:r>
                        <w:rPr>
                          <w:rFonts w:ascii="Cambria Math" w:hAnsi="Cambria Math"/>
                        </w:rPr>
                        <m:t xml:space="preserve">π</m:t>
                      </m:r>
                    </m:num>
                    <m:den>
                      <m:r>
                        <w:rPr>
                          <w:rFonts w:ascii="Cambria Math" w:hAnsi="Cambria Math"/>
                        </w:rPr>
                        <m:t xml:space="preserve">2</m:t>
                      </m:r>
                      <m:r>
                        <m:rPr>
                          <m:lit/>
                          <m:nor/>
                        </m:rPr>
                        <w:rPr>
                          <w:rFonts w:ascii="Cambria Math" w:hAnsi="Cambria Math"/>
                        </w:rPr>
                        <m:t xml:space="preserve">IJ</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I</m:t>
                      </m:r>
                    </m:sup>
                    <m:e>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J</m:t>
                          </m:r>
                        </m:sup>
                        <m:e>
                          <m:sSub>
                            <m:e>
                              <m:r>
                                <w:rPr>
                                  <w:rFonts w:ascii="Cambria Math" w:hAnsi="Cambria Math"/>
                                </w:rPr>
                                <m:t xml:space="preserve">s</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m:rPr>
                                  <m:lit/>
                                  <m:nor/>
                                </m:rPr>
                                <w:rPr>
                                  <w:rFonts w:ascii="Cambria Math" w:hAnsi="Cambria Math"/>
                                </w:rPr>
                                <m:t xml:space="preserve">ver</m:t>
                              </m:r>
                            </m:sub>
                          </m:sSub>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i</m:t>
                              </m:r>
                            </m:sub>
                          </m:sSub>
                          <m:r>
                            <w:rPr>
                              <w:rFonts w:ascii="Cambria Math" w:hAnsi="Cambria Math"/>
                            </w:rPr>
                            <m:t xml:space="preserve">)</m:t>
                          </m:r>
                        </m:e>
                      </m:nary>
                    </m:e>
                  </m:nary>
                </m:e>
              </m:nary>
            </m:num>
            <m:den>
              <m:r>
                <w:rPr>
                  <w:rFonts w:ascii="Cambria Math" w:hAnsi="Cambria Math"/>
                </w:rPr>
                <m:t xml:space="preserve">2</m:t>
              </m:r>
            </m:den>
          </m:f>
        </m:oMath>
      </m:oMathPara>
    </w:p>
    <w:p>
      <w:pPr>
        <w:pStyle w:val="Normal"/>
        <w:rPr/>
      </w:pPr>
      <w:r>
        <w:rPr/>
        <w:t>where,</w:t>
      </w:r>
    </w:p>
    <w:p>
      <w:pPr>
        <w:pStyle w:val="B1"/>
        <w:rPr/>
      </w:pPr>
      <w:r>
        <w:rPr/>
        <w:tab/>
      </w:r>
      <w:r>
        <w:rPr/>
      </w:r>
      <m:oMath xmlns:m="http://schemas.openxmlformats.org/officeDocument/2006/math">
        <m:r>
          <w:rPr>
            <w:rFonts w:ascii="Cambria Math" w:hAnsi="Cambria Math"/>
          </w:rPr>
          <m:t xml:space="preserve">I</m:t>
        </m:r>
      </m:oMath>
      <w:r>
        <w:rPr/>
        <w:t xml:space="preserve"> is number of angular intervals in elevation,</w:t>
      </w:r>
    </w:p>
    <w:p>
      <w:pPr>
        <w:pStyle w:val="B1"/>
        <w:rPr/>
      </w:pPr>
      <w:r>
        <w:rPr/>
        <w:tab/>
      </w:r>
      <w:r>
        <w:rPr/>
      </w:r>
      <m:oMath xmlns:m="http://schemas.openxmlformats.org/officeDocument/2006/math">
        <m:r>
          <w:rPr>
            <w:rFonts w:ascii="Cambria Math" w:hAnsi="Cambria Math"/>
          </w:rPr>
          <m:t xml:space="preserve">J</m:t>
        </m:r>
      </m:oMath>
      <w:r>
        <w:rPr/>
        <w:t xml:space="preserve"> is number of angular intervals in azimuth and</w:t>
      </w:r>
    </w:p>
    <w:p>
      <w:pPr>
        <w:pStyle w:val="B1"/>
        <w:rPr/>
      </w:pPr>
      <w:r>
        <w:rPr/>
        <w:tab/>
      </w:r>
      <w:r>
        <w:rPr/>
      </w:r>
      <m:oMath xmlns:m="http://schemas.openxmlformats.org/officeDocument/2006/math">
        <m:sSub>
          <m:e>
            <m:r>
              <w:rPr>
                <w:rFonts w:ascii="Cambria Math" w:hAnsi="Cambria Math"/>
              </w:rPr>
              <m:t xml:space="preserve">Θ</m:t>
            </m:r>
          </m:e>
          <m:sub>
            <m:r>
              <w:rPr>
                <w:rFonts w:ascii="Cambria Math" w:hAnsi="Cambria Math"/>
              </w:rPr>
              <m:t xml:space="preserve">i</m:t>
            </m:r>
          </m:sub>
        </m:sSub>
      </m:oMath>
      <w:r>
        <w:rPr/>
        <w:t xml:space="preserve"> is elevation of measurement </w:t>
      </w:r>
      <w:r>
        <w:rPr/>
      </w:r>
      <m:oMath xmlns:m="http://schemas.openxmlformats.org/officeDocument/2006/math">
        <m:sSub>
          <m:e>
            <m:r>
              <w:rPr>
                <w:rFonts w:ascii="Cambria Math" w:hAnsi="Cambria Math"/>
              </w:rPr>
              <m:t xml:space="preserve">s</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m:rPr>
                <m:lit/>
                <m:nor/>
              </m:rPr>
              <w:rPr>
                <w:rFonts w:ascii="Cambria Math" w:hAnsi="Cambria Math"/>
              </w:rPr>
              <m:t xml:space="preserve">pol</m:t>
            </m:r>
          </m:sub>
        </m:sSub>
      </m:oMath>
      <w:r>
        <w:rPr/>
        <w:t>.</w:t>
      </w:r>
    </w:p>
    <w:p>
      <w:pPr>
        <w:pStyle w:val="Normal"/>
        <w:rPr/>
      </w:pPr>
      <w:r>
        <w:rPr/>
        <w:t xml:space="preserve">This quiet zone quality measurement should be done at all the frequencies used in measurements. It can also be sufficient on all the centre frequencies in the measurement bands but also in this case the Tx and Rx shall be measured separately. </w:t>
      </w:r>
    </w:p>
    <w:p>
      <w:pPr>
        <w:pStyle w:val="Heading8"/>
        <w:ind w:left="0" w:hanging="0"/>
        <w:rPr/>
      </w:pPr>
      <w:bookmarkStart w:id="552" w:name="__RefHeading___Toc68601446"/>
      <w:bookmarkEnd w:id="552"/>
      <w:r>
        <w:rPr/>
        <w:t>Annex H (informative): Reverberation chamber specifications and validation method</w:t>
      </w:r>
    </w:p>
    <w:p>
      <w:pPr>
        <w:pStyle w:val="Heading2"/>
        <w:rPr/>
      </w:pPr>
      <w:bookmarkStart w:id="553" w:name="__RefHeading___Toc68601447"/>
      <w:bookmarkEnd w:id="553"/>
      <w:r>
        <w:rPr/>
        <w:t>H.1</w:t>
        <w:tab/>
        <w:t>Shielded reverberation chamber specifications</w:t>
      </w:r>
    </w:p>
    <w:p>
      <w:pPr>
        <w:pStyle w:val="Normal"/>
        <w:numPr>
          <w:ilvl w:val="0"/>
          <w:numId w:val="5"/>
        </w:numPr>
        <w:tabs>
          <w:tab w:val="clear" w:pos="284"/>
          <w:tab w:val="left" w:pos="0" w:leader="none"/>
        </w:tabs>
        <w:suppressAutoHyphens w:val="true"/>
        <w:ind w:left="0" w:hanging="0"/>
        <w:rPr/>
      </w:pPr>
      <w:r>
        <w:rPr/>
        <w:t>Before measuring the test site characteristics in terms of stirring effectiveness, the shielding effectiveness of the metallic enclosure must be measured.</w:t>
      </w:r>
    </w:p>
    <w:p>
      <w:pPr>
        <w:pStyle w:val="Normal"/>
        <w:numPr>
          <w:ilvl w:val="0"/>
          <w:numId w:val="5"/>
        </w:numPr>
        <w:tabs>
          <w:tab w:val="clear" w:pos="284"/>
          <w:tab w:val="left" w:pos="0" w:leader="none"/>
        </w:tabs>
        <w:suppressAutoHyphens w:val="true"/>
        <w:ind w:left="0" w:hanging="0"/>
        <w:rPr/>
      </w:pPr>
      <w:r>
        <w:rPr/>
        <w:t>To avoid environmental perturbations, the measurements shall be performed in a shielded enclosure, preserved from electromagnetic disturbances coming from electromagnetic environment such as: TV broadcast, radio, cellular, ISM equipment, to name a few. The shielding effectiveness recommended to be tested according to the EN 50 147-1 standard in the frequency range of 800 MHz up to 4 GHz.</w:t>
      </w:r>
    </w:p>
    <w:p>
      <w:pPr>
        <w:pStyle w:val="Normal"/>
        <w:numPr>
          <w:ilvl w:val="0"/>
          <w:numId w:val="5"/>
        </w:numPr>
        <w:suppressAutoHyphens w:val="true"/>
        <w:rPr/>
      </w:pPr>
      <w:r>
        <w:rPr/>
        <w:t>The recommended level of the shielding effectiveness is -100 dB from 800 MHz to 4 GHz.</w:t>
      </w:r>
    </w:p>
    <w:p>
      <w:pPr>
        <w:pStyle w:val="Heading2"/>
        <w:rPr/>
      </w:pPr>
      <w:bookmarkStart w:id="554" w:name="__RefHeading___Toc68601448"/>
      <w:bookmarkEnd w:id="554"/>
      <w:r>
        <w:rPr/>
        <w:t>H.2</w:t>
        <w:tab/>
        <w:t>Reverberation chamber statistical ripple and repeatability validation</w:t>
      </w:r>
    </w:p>
    <w:p>
      <w:pPr>
        <w:pStyle w:val="Normal"/>
        <w:numPr>
          <w:ilvl w:val="0"/>
          <w:numId w:val="5"/>
        </w:numPr>
        <w:tabs>
          <w:tab w:val="clear" w:pos="284"/>
          <w:tab w:val="left" w:pos="0" w:leader="none"/>
        </w:tabs>
        <w:suppressAutoHyphens w:val="true"/>
        <w:ind w:left="0" w:hanging="0"/>
        <w:rPr/>
      </w:pPr>
      <w:r>
        <w:rPr/>
        <w:t>The reverberation chamber is typically evaluated according to its isotropy level and ability to produce independent samples. The uncertainty due to chamber statistics is determined by repeated calibration measurements as described in Annex B.2.2. This uncertainty contribution is a composite value consisting of most of the specific reverberation chamber contributions, such as limited number of modes, polarization imbalance and mode-stirring techniques.</w:t>
      </w:r>
    </w:p>
    <w:p>
      <w:pPr>
        <w:pStyle w:val="Normal"/>
        <w:numPr>
          <w:ilvl w:val="0"/>
          <w:numId w:val="5"/>
        </w:numPr>
        <w:tabs>
          <w:tab w:val="clear" w:pos="284"/>
          <w:tab w:val="left" w:pos="0" w:leader="none"/>
        </w:tabs>
        <w:suppressAutoHyphens w:val="true"/>
        <w:ind w:left="0" w:hanging="0"/>
        <w:rPr/>
      </w:pPr>
      <w:r>
        <w:rPr/>
        <w:t>The uncertainty contribution value shall be determined by repeated calibration measurements for nine different positions and orientations of the calibration antenna in order to determine the statistical variation as a function of frequency, or at least at the frequencies where the chamber shall be used. This uncertainty contribution value can be assumed to have a normal distribution.</w:t>
      </w:r>
    </w:p>
    <w:p>
      <w:pPr>
        <w:pStyle w:val="Normal"/>
        <w:numPr>
          <w:ilvl w:val="0"/>
          <w:numId w:val="5"/>
        </w:numPr>
        <w:tabs>
          <w:tab w:val="clear" w:pos="284"/>
          <w:tab w:val="left" w:pos="0" w:leader="none"/>
        </w:tabs>
        <w:suppressAutoHyphens w:val="true"/>
        <w:ind w:left="0" w:hanging="0"/>
        <w:rPr/>
      </w:pPr>
      <w:r>
        <w:rPr/>
        <w:t>The uncertainty will depend on chamber size, frequency, stirrer sequence, stirrer types and shapes, polarization stirring (if any), and the degree of chamber loading. All these factors must remain the same for all of the nine calibration measurements. The uncertainty will also depend on frequency stirring bandwidth (if any), but the effects of different amounts of frequency stirring can be studied with the same sets of calibration data as when no frequency stirring is applied.</w:t>
      </w:r>
    </w:p>
    <w:p>
      <w:pPr>
        <w:pStyle w:val="Normal"/>
        <w:numPr>
          <w:ilvl w:val="0"/>
          <w:numId w:val="5"/>
        </w:numPr>
        <w:tabs>
          <w:tab w:val="clear" w:pos="284"/>
        </w:tabs>
        <w:suppressAutoHyphens w:val="true"/>
        <w:ind w:left="0" w:hanging="0"/>
        <w:rPr/>
      </w:pPr>
      <w:r>
        <w:rPr/>
        <w:t>The nine net average power transfer functions of all or some of the nine calibration configurations for each loading case shall be averaged to provide a good reference level. Frequency stirring can only be applied to improve the reference level. Therefore, the uncertainty shall be found by computing the average and standard deviation of the net average power transfer function of each of the nine reference (antenna) positions and orientations (without frequency stirring) around the reference level (which can be frequency stirred if it gives better overall accuracy).</w:t>
      </w:r>
    </w:p>
    <w:p>
      <w:pPr>
        <w:pStyle w:val="Normal"/>
        <w:numPr>
          <w:ilvl w:val="0"/>
          <w:numId w:val="5"/>
        </w:numPr>
        <w:tabs>
          <w:tab w:val="clear" w:pos="284"/>
          <w:tab w:val="left" w:pos="0" w:leader="none"/>
        </w:tabs>
        <w:suppressAutoHyphens w:val="true"/>
        <w:ind w:left="0" w:hanging="0"/>
        <w:rPr/>
      </w:pPr>
      <w:r>
        <w:rPr/>
        <w:t>The data obtained during these reference measurements can be used for analysis of the chamber’s systematic and deterministic contribution to S21. Such analysis can help determine possible uncertainty sources in chambers where the “chamber statistics” portion of the uncertainty analysis is too high to fulfil the total uncertainty criterion. The normalized standard deviation is calculated using the following expression:</w:t>
      </w:r>
    </w:p>
    <w:p>
      <w:pPr>
        <w:pStyle w:val="EQ"/>
        <w:numPr>
          <w:ilvl w:val="0"/>
          <w:numId w:val="5"/>
        </w:numPr>
        <w:suppressAutoHyphens w:val="true"/>
        <w:rPr>
          <w:lang w:val="en-GB" w:eastAsia="en-GB"/>
        </w:rPr>
      </w:pPr>
      <w:r>
        <w:rPr>
          <w:lang w:val="en-GB" w:eastAsia="en-GB"/>
        </w:rPr>
      </w:r>
      <m:oMathPara xmlns:m="http://schemas.openxmlformats.org/officeDocument/2006/math">
        <m:oMathParaPr>
          <m:jc m:val="left"/>
        </m:oMathParaPr>
        <m:oMath>
          <m:nary>
            <m:naryPr>
              <m:chr m:val="∑"/>
              <m:subHide m:val="1"/>
              <m:supHide m:val="1"/>
            </m:naryPr>
            <m:sub/>
            <m:sup/>
            <m:e/>
          </m:nary>
          <m:f>
            <m:num>
              <m:rad>
                <m:radPr>
                  <m:degHide m:val="1"/>
                </m:radPr>
                <m:deg/>
                <m:e>
                  <m:sSup>
                    <m:e>
                      <m:r>
                        <w:rPr>
                          <w:rFonts w:ascii="Cambria Math" w:hAnsi="Cambria Math"/>
                        </w:rPr>
                        <m:t xml:space="preserve">σ</m:t>
                      </m:r>
                    </m:e>
                    <m:sup>
                      <m:r>
                        <w:rPr>
                          <w:rFonts w:ascii="Cambria Math" w:hAnsi="Cambria Math"/>
                        </w:rPr>
                        <m:t xml:space="preserve">2</m:t>
                      </m:r>
                    </m:sup>
                  </m:sSup>
                </m:e>
              </m:rad>
            </m:num>
            <m:den>
              <m:sSubSup>
                <m:e>
                  <m:r>
                    <w:rPr>
                      <w:rFonts w:ascii="Cambria Math" w:hAnsi="Cambria Math"/>
                    </w:rPr>
                    <m:t xml:space="preserve">P</m:t>
                  </m:r>
                </m:e>
                <m:sub>
                  <m:r>
                    <m:rPr>
                      <m:lit/>
                      <m:nor/>
                    </m:rPr>
                    <w:rPr>
                      <w:rFonts w:ascii="Cambria Math" w:hAnsi="Cambria Math"/>
                    </w:rPr>
                    <m:t xml:space="preserve">ref</m:t>
                  </m:r>
                </m:sub>
                <m:sup>
                  <m:r>
                    <m:rPr>
                      <m:lit/>
                      <m:nor/>
                    </m:rPr>
                    <w:rPr>
                      <w:rFonts w:ascii="Cambria Math" w:hAnsi="Cambria Math"/>
                    </w:rPr>
                    <m:t xml:space="preserve">mean</m:t>
                  </m:r>
                </m:sup>
              </m:sSubSup>
            </m:den>
          </m:f>
        </m:oMath>
      </m:oMathPara>
    </w:p>
    <w:p>
      <w:pPr>
        <w:pStyle w:val="Normal"/>
        <w:numPr>
          <w:ilvl w:val="0"/>
          <w:numId w:val="5"/>
        </w:numPr>
        <w:suppressAutoHyphens w:val="true"/>
        <w:rPr/>
      </w:pPr>
      <w:r>
        <w:rPr/>
        <w:t>where,</w:t>
      </w:r>
    </w:p>
    <w:p>
      <w:pPr>
        <w:pStyle w:val="EQ"/>
        <w:numPr>
          <w:ilvl w:val="0"/>
          <w:numId w:val="5"/>
        </w:numPr>
        <w:suppressAutoHyphens w:val="true"/>
        <w:rPr>
          <w:lang w:val="en-GB" w:eastAsia="en-GB"/>
        </w:rPr>
      </w:pPr>
      <w:r>
        <w:rPr>
          <w:lang w:val="en-GB" w:eastAsia="en-GB"/>
        </w:rPr>
      </w:r>
      <m:oMathPara xmlns:m="http://schemas.openxmlformats.org/officeDocument/2006/math">
        <m:oMathParaPr>
          <m:jc m:val="left"/>
        </m:oMathParaPr>
        <m:oMath>
          <m:sSup>
            <m:e>
              <m:r>
                <w:rPr>
                  <w:rFonts w:ascii="Cambria Math" w:hAnsi="Cambria Math"/>
                </w:rPr>
                <m:t xml:space="preserve">σ</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T</m:t>
              </m:r>
            </m:den>
          </m:f>
          <m:nary>
            <m:naryPr>
              <m:chr m:val="∑"/>
            </m:naryPr>
            <m:sub>
              <m:r>
                <w:rPr>
                  <w:rFonts w:ascii="Cambria Math" w:hAnsi="Cambria Math"/>
                </w:rPr>
                <m:t xml:space="preserve">t</m:t>
              </m:r>
              <m:r>
                <w:rPr>
                  <w:rFonts w:ascii="Cambria Math" w:hAnsi="Cambria Math"/>
                </w:rPr>
                <m:t xml:space="preserve">=</m:t>
              </m:r>
              <m:r>
                <w:rPr>
                  <w:rFonts w:ascii="Cambria Math" w:hAnsi="Cambria Math"/>
                </w:rPr>
                <m:t xml:space="preserve">1</m:t>
              </m:r>
            </m:sub>
            <m:sup>
              <m:r>
                <w:rPr>
                  <w:rFonts w:ascii="Cambria Math" w:hAnsi="Cambria Math"/>
                </w:rPr>
                <m:t xml:space="preserve">T</m:t>
              </m:r>
            </m:sup>
            <m:e>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t</m:t>
                  </m:r>
                </m:sub>
              </m:sSub>
              <m:r>
                <w:rPr>
                  <w:rFonts w:ascii="Cambria Math" w:hAnsi="Cambria Math"/>
                </w:rPr>
                <m:t xml:space="preserve">−</m:t>
              </m:r>
              <m:sSubSup>
                <m:e>
                  <m:r>
                    <w:rPr>
                      <w:rFonts w:ascii="Cambria Math" w:hAnsi="Cambria Math"/>
                    </w:rPr>
                    <m:t xml:space="preserve">P</m:t>
                  </m:r>
                </m:e>
                <m:sub>
                  <m:r>
                    <m:rPr>
                      <m:lit/>
                      <m:nor/>
                    </m:rPr>
                    <w:rPr>
                      <w:rFonts w:ascii="Cambria Math" w:hAnsi="Cambria Math"/>
                    </w:rPr>
                    <m:t xml:space="preserve">ref</m:t>
                  </m:r>
                </m:sub>
                <m:sup>
                  <m:r>
                    <m:rPr>
                      <m:lit/>
                      <m:nor/>
                    </m:rPr>
                    <w:rPr>
                      <w:rFonts w:ascii="Cambria Math" w:hAnsi="Cambria Math"/>
                    </w:rPr>
                    <m:t xml:space="preserve">mean</m:t>
                  </m:r>
                </m:sup>
              </m:sSubSup>
              <m:sSup>
                <m:e>
                  <m:r>
                    <w:rPr>
                      <w:rFonts w:ascii="Cambria Math" w:hAnsi="Cambria Math"/>
                    </w:rPr>
                    <m:t xml:space="preserve">)</m:t>
                  </m:r>
                </m:e>
                <m:sup>
                  <m:r>
                    <w:rPr>
                      <w:rFonts w:ascii="Cambria Math" w:hAnsi="Cambria Math"/>
                    </w:rPr>
                    <m:t xml:space="preserve">2</m:t>
                  </m:r>
                </m:sup>
              </m:sSup>
            </m:e>
          </m:nary>
        </m:oMath>
      </m:oMathPara>
    </w:p>
    <w:p>
      <w:pPr>
        <w:pStyle w:val="Normal"/>
        <w:numPr>
          <w:ilvl w:val="0"/>
          <w:numId w:val="5"/>
        </w:numPr>
        <w:tabs>
          <w:tab w:val="clear" w:pos="284"/>
          <w:tab w:val="left" w:pos="0" w:leader="none"/>
        </w:tabs>
        <w:suppressAutoHyphens w:val="true"/>
        <w:ind w:left="0" w:hanging="0"/>
        <w:rPr/>
      </w:pPr>
      <w:r>
        <w:rPr/>
        <w:t xml:space="preserve">is the standard deviation of the power transfer function over T different calibration antenna positions.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t</m:t>
            </m:r>
          </m:sub>
        </m:sSub>
      </m:oMath>
      <w:r>
        <w:rPr/>
        <w:t xml:space="preserve"> is the reference power transfer function for position </w:t>
      </w:r>
      <w:r>
        <w:rPr>
          <w:i/>
        </w:rPr>
        <w:t>t</w:t>
      </w:r>
      <w:r>
        <w:rPr/>
        <w:t xml:space="preserve"> of the calibration antenna. The power transfer function for every calibration antenna position is further the average over the power transfer function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n</m:t>
            </m:r>
          </m:sub>
        </m:sSub>
      </m:oMath>
      <w:r>
        <w:rPr/>
        <w:t xml:space="preserve"> for each fixed measurement antenna in the chamber defined in Annex B.2.2. Thus,</w:t>
      </w:r>
    </w:p>
    <w:p>
      <w:pPr>
        <w:pStyle w:val="EQ"/>
        <w:numPr>
          <w:ilvl w:val="0"/>
          <w:numId w:val="5"/>
        </w:numPr>
        <w:suppressAutoHyphens w:val="true"/>
        <w:rPr>
          <w:position w:val="-36"/>
          <w:lang w:val="en-GB" w:eastAsia="en-GB"/>
        </w:rPr>
      </w:pPr>
      <w:r>
        <w:rPr>
          <w:lang w:val="en-GB" w:eastAsia="en-GB"/>
        </w:rPr>
      </w:r>
      <m:oMathPara xmlns:m="http://schemas.openxmlformats.org/officeDocument/2006/math">
        <m:oMathParaPr>
          <m:jc m:val="left"/>
        </m:oMathParaPr>
        <m:oMath>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t</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n</m:t>
                  </m:r>
                </m:sub>
              </m:sSub>
            </m:e>
          </m:nary>
        </m:oMath>
      </m:oMathPara>
    </w:p>
    <w:p>
      <w:pPr>
        <w:pStyle w:val="Normal"/>
        <w:numPr>
          <w:ilvl w:val="0"/>
          <w:numId w:val="5"/>
        </w:numPr>
        <w:suppressAutoHyphens w:val="true"/>
        <w:rPr>
          <w:position w:val="-36"/>
        </w:rPr>
      </w:pPr>
      <w:r>
        <w:rPr>
          <w:position w:val="-30"/>
        </w:rPr>
        <w:t>where,</w:t>
      </w:r>
    </w:p>
    <w:p>
      <w:pPr>
        <w:pStyle w:val="Normal"/>
        <w:numPr>
          <w:ilvl w:val="0"/>
          <w:numId w:val="5"/>
        </w:numPr>
        <w:suppressAutoHyphens w:val="true"/>
        <w:rPr/>
      </w:pPr>
      <w:r>
        <w:rPr>
          <w:i/>
          <w:position w:val="-30"/>
        </w:rPr>
        <w:t>N</w:t>
      </w:r>
      <w:r>
        <w:rPr>
          <w:position w:val="-30"/>
        </w:rPr>
        <w:t xml:space="preserve"> is the total number of fixed measurement antennas. Moreover,</w:t>
      </w:r>
    </w:p>
    <w:p>
      <w:pPr>
        <w:pStyle w:val="EQ"/>
        <w:numPr>
          <w:ilvl w:val="0"/>
          <w:numId w:val="5"/>
        </w:numPr>
        <w:suppressAutoHyphens w:val="true"/>
        <w:rPr>
          <w:lang w:val="en-GB" w:eastAsia="en-GB"/>
        </w:rPr>
      </w:pPr>
      <w:r>
        <w:rPr>
          <w:lang w:val="en-GB" w:eastAsia="en-GB"/>
        </w:rPr>
      </w:r>
      <m:oMathPara xmlns:m="http://schemas.openxmlformats.org/officeDocument/2006/math">
        <m:oMathParaPr>
          <m:jc m:val="left"/>
        </m:oMathParaPr>
        <m:oMath>
          <m:sSubSup>
            <m:e>
              <m:r>
                <w:rPr>
                  <w:rFonts w:ascii="Cambria Math" w:hAnsi="Cambria Math"/>
                </w:rPr>
                <m:t xml:space="preserve">P</m:t>
              </m:r>
            </m:e>
            <m:sub>
              <m:r>
                <m:rPr>
                  <m:lit/>
                  <m:nor/>
                </m:rPr>
                <w:rPr>
                  <w:rFonts w:ascii="Cambria Math" w:hAnsi="Cambria Math"/>
                </w:rPr>
                <m:t xml:space="preserve">ref</m:t>
              </m:r>
            </m:sub>
            <m:sup>
              <m:r>
                <m:rPr>
                  <m:lit/>
                  <m:nor/>
                </m:rPr>
                <w:rPr>
                  <w:rFonts w:ascii="Cambria Math" w:hAnsi="Cambria Math"/>
                </w:rPr>
                <m:t xml:space="preserve">mean</m:t>
              </m:r>
            </m:sup>
          </m:sSubSup>
          <m:r>
            <w:rPr>
              <w:rFonts w:ascii="Cambria Math" w:hAnsi="Cambria Math"/>
            </w:rPr>
            <m:t xml:space="preserve">=</m:t>
          </m:r>
          <m:f>
            <m:num>
              <m:r>
                <w:rPr>
                  <w:rFonts w:ascii="Cambria Math" w:hAnsi="Cambria Math"/>
                </w:rPr>
                <m:t xml:space="preserve">1</m:t>
              </m:r>
            </m:num>
            <m:den>
              <m:r>
                <w:rPr>
                  <w:rFonts w:ascii="Cambria Math" w:hAnsi="Cambria Math"/>
                </w:rPr>
                <m:t xml:space="preserve">T</m:t>
              </m:r>
            </m:den>
          </m:f>
          <m:nary>
            <m:naryPr>
              <m:chr m:val="∑"/>
            </m:naryPr>
            <m:sub>
              <m:r>
                <w:rPr>
                  <w:rFonts w:ascii="Cambria Math" w:hAnsi="Cambria Math"/>
                </w:rPr>
                <m:t xml:space="preserve">t</m:t>
              </m:r>
              <m:r>
                <w:rPr>
                  <w:rFonts w:ascii="Cambria Math" w:hAnsi="Cambria Math"/>
                </w:rPr>
                <m:t xml:space="preserve">=</m:t>
              </m:r>
              <m:r>
                <w:rPr>
                  <w:rFonts w:ascii="Cambria Math" w:hAnsi="Cambria Math"/>
                </w:rPr>
                <m:t xml:space="preserve">1</m:t>
              </m:r>
            </m:sub>
            <m:sup>
              <m:r>
                <w:rPr>
                  <w:rFonts w:ascii="Cambria Math" w:hAnsi="Cambria Math"/>
                </w:rPr>
                <m:t xml:space="preserve">T</m:t>
              </m:r>
            </m:sup>
            <m:e>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t</m:t>
                  </m:r>
                </m:sub>
              </m:sSub>
            </m:e>
          </m:nary>
        </m:oMath>
      </m:oMathPara>
    </w:p>
    <w:p>
      <w:pPr>
        <w:pStyle w:val="Normal"/>
        <w:numPr>
          <w:ilvl w:val="0"/>
          <w:numId w:val="5"/>
        </w:numPr>
        <w:suppressAutoHyphens w:val="true"/>
        <w:rPr/>
      </w:pPr>
      <w:r>
        <w:rPr>
          <w:position w:val="-30"/>
        </w:rPr>
        <w:t xml:space="preserve">is the average power transfer function over the </w:t>
      </w:r>
      <w:r>
        <w:rPr>
          <w:i/>
          <w:position w:val="-30"/>
        </w:rPr>
        <w:t>T</w:t>
      </w:r>
      <w:r>
        <w:rPr>
          <w:position w:val="-30"/>
        </w:rPr>
        <w:t xml:space="preserve"> calibration antenna positions.</w:t>
      </w:r>
    </w:p>
    <w:p>
      <w:pPr>
        <w:pStyle w:val="Heading8"/>
        <w:ind w:left="0" w:hanging="0"/>
        <w:rPr/>
      </w:pPr>
      <w:bookmarkStart w:id="555" w:name="__RefHeading___Toc68601449"/>
      <w:bookmarkEnd w:id="555"/>
      <w:r>
        <w:rPr/>
        <w:t>Annex I (informative): Recommended performance for Handheld UE</w:t>
      </w:r>
    </w:p>
    <w:p>
      <w:pPr>
        <w:pStyle w:val="EditorsNote"/>
        <w:rPr/>
      </w:pPr>
      <w:r>
        <w:rPr/>
        <w:t xml:space="preserve">Editor’s notes: This </w:t>
      </w:r>
      <w:r>
        <w:rPr>
          <w:lang w:eastAsia="zh-TW"/>
        </w:rPr>
        <w:t>annex</w:t>
      </w:r>
      <w:r>
        <w:rPr/>
        <w:t xml:space="preserve"> is incomplete. The following item</w:t>
      </w:r>
      <w:r>
        <w:rPr>
          <w:lang w:eastAsia="zh-TW"/>
        </w:rPr>
        <w:t>s</w:t>
      </w:r>
      <w:r>
        <w:rPr/>
        <w:t xml:space="preserve"> </w:t>
      </w:r>
      <w:r>
        <w:rPr>
          <w:lang w:eastAsia="zh-TW"/>
        </w:rPr>
        <w:t>are</w:t>
      </w:r>
      <w:r>
        <w:rPr/>
        <w:t xml:space="preserve"> missing or incomplete:</w:t>
      </w:r>
    </w:p>
    <w:p>
      <w:pPr>
        <w:pStyle w:val="EditorsNote"/>
        <w:numPr>
          <w:ilvl w:val="0"/>
          <w:numId w:val="15"/>
        </w:numPr>
        <w:rPr/>
      </w:pPr>
      <w:r>
        <w:rPr/>
        <w:t>Table I.2.1.2-1</w:t>
      </w:r>
      <w:r>
        <w:rPr>
          <w:lang w:eastAsia="zh-TW"/>
        </w:rPr>
        <w:t>,</w:t>
      </w:r>
      <w:r>
        <w:rPr/>
        <w:t xml:space="preserve"> </w:t>
      </w:r>
      <w:r>
        <w:rPr>
          <w:lang w:eastAsia="zh-TW"/>
        </w:rPr>
        <w:t>I</w:t>
      </w:r>
      <w:r>
        <w:rPr/>
        <w:t>.2.</w:t>
      </w:r>
      <w:r>
        <w:rPr>
          <w:lang w:eastAsia="zh-TW"/>
        </w:rPr>
        <w:t>2</w:t>
      </w:r>
      <w:r>
        <w:rPr/>
        <w:t>.</w:t>
      </w:r>
      <w:r>
        <w:rPr>
          <w:lang w:eastAsia="zh-TW"/>
        </w:rPr>
        <w:t>1</w:t>
      </w:r>
      <w:r>
        <w:rPr/>
        <w:t>-1</w:t>
      </w:r>
      <w:r>
        <w:rPr>
          <w:lang w:eastAsia="zh-TW"/>
        </w:rPr>
        <w:t>, I</w:t>
      </w:r>
      <w:r>
        <w:rPr/>
        <w:t>.2.</w:t>
      </w:r>
      <w:r>
        <w:rPr>
          <w:lang w:eastAsia="zh-TW"/>
        </w:rPr>
        <w:t>2</w:t>
      </w:r>
      <w:r>
        <w:rPr/>
        <w:t>.</w:t>
      </w:r>
      <w:r>
        <w:rPr>
          <w:lang w:eastAsia="zh-TW"/>
        </w:rPr>
        <w:t>2</w:t>
      </w:r>
      <w:r>
        <w:rPr/>
        <w:t>-1</w:t>
      </w:r>
      <w:r>
        <w:rPr>
          <w:lang w:eastAsia="zh-TW"/>
        </w:rPr>
        <w:t>, I</w:t>
      </w:r>
      <w:r>
        <w:rPr/>
        <w:t>.2.</w:t>
      </w:r>
      <w:r>
        <w:rPr>
          <w:lang w:eastAsia="zh-TW"/>
        </w:rPr>
        <w:t>3</w:t>
      </w:r>
      <w:r>
        <w:rPr/>
        <w:t>.</w:t>
      </w:r>
      <w:r>
        <w:rPr>
          <w:lang w:eastAsia="zh-TW"/>
        </w:rPr>
        <w:t>1</w:t>
      </w:r>
      <w:r>
        <w:rPr/>
        <w:t>-1</w:t>
      </w:r>
      <w:r>
        <w:rPr>
          <w:lang w:eastAsia="zh-TW"/>
        </w:rPr>
        <w:t>, I</w:t>
      </w:r>
      <w:r>
        <w:rPr/>
        <w:t>.2.</w:t>
      </w:r>
      <w:r>
        <w:rPr>
          <w:lang w:eastAsia="zh-TW"/>
        </w:rPr>
        <w:t>3</w:t>
      </w:r>
      <w:r>
        <w:rPr/>
        <w:t>.</w:t>
      </w:r>
      <w:r>
        <w:rPr>
          <w:lang w:eastAsia="zh-TW"/>
        </w:rPr>
        <w:t>2</w:t>
      </w:r>
      <w:r>
        <w:rPr/>
        <w:t>-1</w:t>
      </w:r>
      <w:r>
        <w:rPr>
          <w:lang w:eastAsia="zh-TW"/>
        </w:rPr>
        <w:t xml:space="preserve">, </w:t>
      </w:r>
      <w:r>
        <w:rPr/>
        <w:t>I.</w:t>
      </w:r>
      <w:r>
        <w:rPr>
          <w:lang w:eastAsia="zh-TW"/>
        </w:rPr>
        <w:t>3</w:t>
      </w:r>
      <w:r>
        <w:rPr/>
        <w:t>.1.2-1</w:t>
      </w:r>
      <w:r>
        <w:rPr>
          <w:lang w:eastAsia="zh-TW"/>
        </w:rPr>
        <w:t>,</w:t>
      </w:r>
      <w:r>
        <w:rPr/>
        <w:t xml:space="preserve"> </w:t>
      </w:r>
      <w:r>
        <w:rPr>
          <w:lang w:eastAsia="zh-TW"/>
        </w:rPr>
        <w:t>I</w:t>
      </w:r>
      <w:r>
        <w:rPr/>
        <w:t>.</w:t>
      </w:r>
      <w:r>
        <w:rPr>
          <w:lang w:eastAsia="zh-TW"/>
        </w:rPr>
        <w:t>3</w:t>
      </w:r>
      <w:r>
        <w:rPr/>
        <w:t>.</w:t>
      </w:r>
      <w:r>
        <w:rPr>
          <w:lang w:eastAsia="zh-TW"/>
        </w:rPr>
        <w:t>2</w:t>
      </w:r>
      <w:r>
        <w:rPr/>
        <w:t>.</w:t>
      </w:r>
      <w:r>
        <w:rPr>
          <w:lang w:eastAsia="zh-TW"/>
        </w:rPr>
        <w:t>1</w:t>
      </w:r>
      <w:r>
        <w:rPr/>
        <w:t>-1</w:t>
      </w:r>
      <w:r>
        <w:rPr>
          <w:lang w:eastAsia="zh-TW"/>
        </w:rPr>
        <w:t>, I</w:t>
      </w:r>
      <w:r>
        <w:rPr/>
        <w:t>.</w:t>
      </w:r>
      <w:r>
        <w:rPr>
          <w:lang w:eastAsia="zh-TW"/>
        </w:rPr>
        <w:t>3</w:t>
      </w:r>
      <w:r>
        <w:rPr/>
        <w:t>.</w:t>
      </w:r>
      <w:r>
        <w:rPr>
          <w:lang w:eastAsia="zh-TW"/>
        </w:rPr>
        <w:t>2</w:t>
      </w:r>
      <w:r>
        <w:rPr/>
        <w:t>.</w:t>
      </w:r>
      <w:r>
        <w:rPr>
          <w:lang w:eastAsia="zh-TW"/>
        </w:rPr>
        <w:t>2</w:t>
      </w:r>
      <w:r>
        <w:rPr/>
        <w:t>-1</w:t>
      </w:r>
      <w:r>
        <w:rPr>
          <w:lang w:eastAsia="zh-TW"/>
        </w:rPr>
        <w:t>, I</w:t>
      </w:r>
      <w:r>
        <w:rPr/>
        <w:t>.</w:t>
      </w:r>
      <w:r>
        <w:rPr>
          <w:lang w:eastAsia="zh-TW"/>
        </w:rPr>
        <w:t>3</w:t>
      </w:r>
      <w:r>
        <w:rPr/>
        <w:t>.</w:t>
      </w:r>
      <w:r>
        <w:rPr>
          <w:lang w:eastAsia="zh-TW"/>
        </w:rPr>
        <w:t>3</w:t>
      </w:r>
      <w:r>
        <w:rPr/>
        <w:t>.</w:t>
      </w:r>
      <w:r>
        <w:rPr>
          <w:lang w:eastAsia="zh-TW"/>
        </w:rPr>
        <w:t>1</w:t>
      </w:r>
      <w:r>
        <w:rPr/>
        <w:t>-1</w:t>
      </w:r>
      <w:r>
        <w:rPr>
          <w:lang w:eastAsia="zh-TW"/>
        </w:rPr>
        <w:t xml:space="preserve"> and I</w:t>
      </w:r>
      <w:r>
        <w:rPr/>
        <w:t>.</w:t>
      </w:r>
      <w:r>
        <w:rPr>
          <w:lang w:eastAsia="zh-TW"/>
        </w:rPr>
        <w:t>3</w:t>
      </w:r>
      <w:r>
        <w:rPr/>
        <w:t>.</w:t>
      </w:r>
      <w:r>
        <w:rPr>
          <w:lang w:eastAsia="zh-TW"/>
        </w:rPr>
        <w:t>3</w:t>
      </w:r>
      <w:r>
        <w:rPr/>
        <w:t>.</w:t>
      </w:r>
      <w:r>
        <w:rPr>
          <w:lang w:eastAsia="zh-TW"/>
        </w:rPr>
        <w:t>2</w:t>
      </w:r>
      <w:r>
        <w:rPr/>
        <w:t>-1</w:t>
      </w:r>
      <w:r>
        <w:rPr>
          <w:lang w:eastAsia="zh-TW"/>
        </w:rPr>
        <w:t xml:space="preserve"> </w:t>
      </w:r>
      <w:r>
        <w:rPr/>
        <w:t xml:space="preserve">as they are not </w:t>
      </w:r>
      <w:r>
        <w:rPr>
          <w:lang w:eastAsia="zh-TW"/>
        </w:rPr>
        <w:t>complete</w:t>
      </w:r>
      <w:r>
        <w:rPr/>
        <w:t xml:space="preserve"> in TS 37.144 yet</w:t>
      </w:r>
    </w:p>
    <w:p>
      <w:pPr>
        <w:pStyle w:val="EditorsNote"/>
        <w:numPr>
          <w:ilvl w:val="0"/>
          <w:numId w:val="15"/>
        </w:numPr>
        <w:rPr/>
      </w:pPr>
      <w:r>
        <w:rPr>
          <w:lang w:eastAsia="zh-TW"/>
        </w:rPr>
        <w:t xml:space="preserve">Table I.2.2.3-1, I.2.2.4-1, I.2.3.3-1, I.2.3.4-1, I.3.2.3-1, I.3.2.4-1, I.3.3.3-1 and I.3.3.4 </w:t>
      </w:r>
      <w:r>
        <w:rPr/>
        <w:t>as they are not specified in TS 37.144 yet</w:t>
      </w:r>
    </w:p>
    <w:p>
      <w:pPr>
        <w:pStyle w:val="Heading2"/>
        <w:rPr/>
      </w:pPr>
      <w:bookmarkStart w:id="556" w:name="__RefHeading___Toc68601450"/>
      <w:bookmarkEnd w:id="556"/>
      <w:r>
        <w:rPr/>
        <w:t>I.1</w:t>
        <w:tab/>
        <w:t>General</w:t>
      </w:r>
    </w:p>
    <w:p>
      <w:pPr>
        <w:pStyle w:val="Normal"/>
        <w:rPr/>
      </w:pPr>
      <w:r>
        <w:rPr/>
        <w:t xml:space="preserve">This annex introduces the concept of recommended OTA performance </w:t>
      </w:r>
      <w:r>
        <w:rPr>
          <w:rFonts w:cs="v5.0.0;Times New Roman"/>
        </w:rPr>
        <w:t>for operating bands</w:t>
      </w:r>
      <w:r>
        <w:rPr>
          <w:rFonts w:cs="v5.0.0;Times New Roman"/>
          <w:lang w:eastAsia="zh-TW"/>
        </w:rPr>
        <w:t xml:space="preserve"> for handheld UE’s</w:t>
      </w:r>
      <w:r>
        <w:rPr/>
        <w:t>. This requirement is not mandatory but is recommended.</w:t>
      </w:r>
    </w:p>
    <w:p>
      <w:pPr>
        <w:pStyle w:val="Normal"/>
        <w:rPr>
          <w:lang w:eastAsia="zh-TW"/>
        </w:rPr>
      </w:pPr>
      <w:r>
        <w:rPr/>
        <w:t>The concept of recommended performance is to ensure that UE OTA performance is maximised in order to improve user experience and network performance. It is recognised that the ability to meet the recommended performance depends on the number of frequency bands supported by the UE.</w:t>
      </w:r>
    </w:p>
    <w:p>
      <w:pPr>
        <w:pStyle w:val="Heading2"/>
        <w:rPr/>
      </w:pPr>
      <w:bookmarkStart w:id="557" w:name="__RefHeading___Toc68601451"/>
      <w:bookmarkEnd w:id="557"/>
      <w:r>
        <w:rPr/>
        <w:t>I.2</w:t>
        <w:tab/>
        <w:t>Total Radiated Power</w:t>
      </w:r>
    </w:p>
    <w:p>
      <w:pPr>
        <w:pStyle w:val="Normal"/>
        <w:rPr>
          <w:lang w:eastAsia="zh-TW"/>
        </w:rPr>
      </w:pPr>
      <w:r>
        <w:rPr/>
        <w:t xml:space="preserve">The OTA TRP performance for UTRA </w:t>
      </w:r>
      <w:r>
        <w:rPr>
          <w:lang w:eastAsia="zh-CN"/>
        </w:rPr>
        <w:t>and E-UTRA s</w:t>
      </w:r>
      <w:r>
        <w:rPr/>
        <w:t>hould be greater or equal than the recommended values in this clause.</w:t>
      </w:r>
    </w:p>
    <w:p>
      <w:pPr>
        <w:pStyle w:val="Heading2"/>
        <w:rPr>
          <w:sz w:val="28"/>
          <w:szCs w:val="28"/>
        </w:rPr>
      </w:pPr>
      <w:bookmarkStart w:id="558" w:name="__RefHeading___Toc68601452"/>
      <w:bookmarkEnd w:id="558"/>
      <w:r>
        <w:rPr>
          <w:sz w:val="28"/>
          <w:szCs w:val="28"/>
        </w:rPr>
        <w:t>I.2.1</w:t>
        <w:tab/>
        <w:t>Beside the head phantom position</w:t>
      </w:r>
    </w:p>
    <w:p>
      <w:pPr>
        <w:pStyle w:val="Normal"/>
        <w:jc w:val="both"/>
        <w:rPr/>
      </w:pPr>
      <w:r>
        <w:rPr/>
        <w:t xml:space="preserve">Beside the head phantom test method is defined in subclause </w:t>
      </w:r>
      <w:r>
        <w:rPr>
          <w:lang w:eastAsia="zh-TW"/>
        </w:rPr>
        <w:t>4.3.1</w:t>
      </w:r>
      <w:r>
        <w:rPr/>
        <w:t>.</w:t>
      </w:r>
    </w:p>
    <w:p>
      <w:pPr>
        <w:pStyle w:val="Heading3"/>
        <w:rPr/>
      </w:pPr>
      <w:bookmarkStart w:id="559" w:name="__RefHeading___Toc68601453"/>
      <w:bookmarkEnd w:id="559"/>
      <w:r>
        <w:rPr>
          <w:sz w:val="24"/>
          <w:szCs w:val="24"/>
          <w:lang w:eastAsia="zh-TW"/>
        </w:rPr>
        <w:t>I</w:t>
      </w:r>
      <w:r>
        <w:rPr>
          <w:sz w:val="24"/>
          <w:szCs w:val="24"/>
        </w:rPr>
        <w:t>.2.1.1</w:t>
        <w:tab/>
        <w:t>UTRA FDD</w:t>
      </w:r>
    </w:p>
    <w:p>
      <w:pPr>
        <w:pStyle w:val="TH"/>
        <w:rPr/>
      </w:pPr>
      <w:r>
        <w:rPr/>
        <w:t xml:space="preserve">Table </w:t>
      </w:r>
      <w:r>
        <w:rPr>
          <w:lang w:eastAsia="zh-TW"/>
        </w:rPr>
        <w:t>I</w:t>
      </w:r>
      <w:r>
        <w:rPr/>
        <w:t>.2.1.1-1: Handheld UE TRP recommended performance for UTRA FDD in beside the head phantom position and the primary mechanical mode</w:t>
      </w:r>
    </w:p>
    <w:tbl>
      <w:tblPr>
        <w:tblW w:w="7882" w:type="dxa"/>
        <w:jc w:val="center"/>
        <w:tblInd w:w="0" w:type="dxa"/>
        <w:tblLayout w:type="fixed"/>
        <w:tblCellMar>
          <w:top w:w="0" w:type="dxa"/>
          <w:left w:w="28" w:type="dxa"/>
          <w:bottom w:w="0" w:type="dxa"/>
          <w:right w:w="28" w:type="dxa"/>
        </w:tblCellMar>
      </w:tblPr>
      <w:tblGrid>
        <w:gridCol w:w="1387"/>
        <w:gridCol w:w="1247"/>
        <w:gridCol w:w="1247"/>
        <w:gridCol w:w="1247"/>
        <w:gridCol w:w="1507"/>
        <w:gridCol w:w="1247"/>
      </w:tblGrid>
      <w:tr>
        <w:trPr>
          <w:trHeight w:val="57" w:hRule="atLeast"/>
          <w:cantSplit w:val="true"/>
        </w:trPr>
        <w:tc>
          <w:tcPr>
            <w:tcW w:w="1387" w:type="dxa"/>
            <w:vMerge w:val="restart"/>
            <w:tcBorders>
              <w:top w:val="single" w:sz="4" w:space="0" w:color="000000"/>
              <w:left w:val="single" w:sz="4" w:space="0" w:color="000000"/>
              <w:bottom w:val="single" w:sz="4" w:space="0" w:color="000000"/>
              <w:right w:val="single" w:sz="4" w:space="0" w:color="000000"/>
            </w:tcBorders>
          </w:tcPr>
          <w:p>
            <w:pPr>
              <w:pStyle w:val="TAH"/>
              <w:rPr/>
            </w:pPr>
            <w:r>
              <w:rPr/>
              <w:t>Operating band</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Power class 1</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Power class 2</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Power class 3</w:t>
            </w:r>
          </w:p>
        </w:tc>
        <w:tc>
          <w:tcPr>
            <w:tcW w:w="1507" w:type="dxa"/>
            <w:tcBorders>
              <w:top w:val="single" w:sz="4" w:space="0" w:color="000000"/>
              <w:left w:val="single" w:sz="4" w:space="0" w:color="000000"/>
              <w:bottom w:val="single" w:sz="4" w:space="0" w:color="000000"/>
              <w:right w:val="single" w:sz="4" w:space="0" w:color="000000"/>
            </w:tcBorders>
          </w:tcPr>
          <w:p>
            <w:pPr>
              <w:pStyle w:val="TAH"/>
              <w:rPr/>
            </w:pPr>
            <w:r>
              <w:rPr/>
              <w:t>Power class 3bis</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Power class 4</w:t>
            </w:r>
          </w:p>
        </w:tc>
      </w:tr>
      <w:tr>
        <w:trPr>
          <w:trHeight w:val="57" w:hRule="atLeast"/>
          <w:cantSplit w:val="true"/>
        </w:trPr>
        <w:tc>
          <w:tcPr>
            <w:tcW w:w="138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c>
          <w:tcPr>
            <w:tcW w:w="150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r>
      <w:tr>
        <w:trPr>
          <w:trHeight w:val="57" w:hRule="atLeast"/>
          <w:cantSplit w:val="true"/>
        </w:trPr>
        <w:tc>
          <w:tcPr>
            <w:tcW w:w="138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507"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Average</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I</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+18</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+18</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+16</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II</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+18</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+18</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+16</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III</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+18</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+18</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+16</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IV</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+18</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+18</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+16</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V</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+14</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+14</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+12</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VI</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+14.5</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+14.5</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+12.5</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VII</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+18</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+18</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+16</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VIII</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+13</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IX</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+18</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+18</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+16</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XIX</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w:t>
            </w:r>
            <w:r>
              <w:rPr>
                <w:lang w:eastAsia="ja-JP"/>
              </w:rPr>
              <w:t>14.5</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w:t>
            </w:r>
            <w:r>
              <w:rPr>
                <w:lang w:eastAsia="ja-JP"/>
              </w:rPr>
              <w:t>14.5</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w:t>
            </w:r>
            <w:r>
              <w:rPr>
                <w:lang w:eastAsia="ja-JP"/>
              </w:rPr>
              <w:t>12.5</w:t>
            </w:r>
          </w:p>
        </w:tc>
      </w:tr>
      <w:tr>
        <w:trPr>
          <w:trHeight w:val="57" w:hRule="atLeast"/>
          <w:cantSplit w:val="true"/>
        </w:trPr>
        <w:tc>
          <w:tcPr>
            <w:tcW w:w="7882" w:type="dxa"/>
            <w:gridSpan w:val="6"/>
            <w:tcBorders>
              <w:top w:val="single" w:sz="4" w:space="0" w:color="000000"/>
              <w:left w:val="single" w:sz="4" w:space="0" w:color="000000"/>
              <w:bottom w:val="single" w:sz="4" w:space="0" w:color="000000"/>
              <w:right w:val="single" w:sz="4" w:space="0" w:color="000000"/>
            </w:tcBorders>
          </w:tcPr>
          <w:p>
            <w:pPr>
              <w:pStyle w:val="TAN"/>
              <w:rPr>
                <w:b/>
                <w:b/>
                <w:bCs/>
              </w:rPr>
            </w:pPr>
            <w:r>
              <w:rPr/>
              <w:t>NOTE:</w:t>
              <w:tab/>
              <w:t>Applicable for dual-mode GSM/UMTS.</w:t>
            </w:r>
          </w:p>
        </w:tc>
      </w:tr>
    </w:tbl>
    <w:p>
      <w:pPr>
        <w:pStyle w:val="Normal"/>
        <w:rPr/>
      </w:pPr>
      <w:r>
        <w:rPr/>
      </w:r>
    </w:p>
    <w:p>
      <w:pPr>
        <w:pStyle w:val="Heading3"/>
        <w:rPr/>
      </w:pPr>
      <w:bookmarkStart w:id="560" w:name="__RefHeading___Toc68601454"/>
      <w:bookmarkEnd w:id="560"/>
      <w:r>
        <w:rPr>
          <w:sz w:val="24"/>
          <w:szCs w:val="24"/>
          <w:lang w:eastAsia="zh-TW"/>
        </w:rPr>
        <w:t>I.2.1.2</w:t>
        <w:tab/>
        <w:t>UTRA LCR TDD</w:t>
      </w:r>
    </w:p>
    <w:p>
      <w:pPr>
        <w:pStyle w:val="TH"/>
        <w:rPr/>
      </w:pPr>
      <w:r>
        <w:rPr/>
        <w:t xml:space="preserve">Table </w:t>
      </w:r>
      <w:r>
        <w:rPr>
          <w:lang w:eastAsia="zh-TW"/>
        </w:rPr>
        <w:t>I</w:t>
      </w:r>
      <w:r>
        <w:rPr/>
        <w:t>.2.1.</w:t>
      </w:r>
      <w:r>
        <w:rPr>
          <w:lang w:eastAsia="zh-TW"/>
        </w:rPr>
        <w:t>2</w:t>
      </w:r>
      <w:r>
        <w:rPr/>
        <w:t>-1: Handheld UE TRP recommended performance for UTRA LCR TDD in beside the head phantom position and the primary mechanical mode</w:t>
      </w:r>
    </w:p>
    <w:tbl>
      <w:tblPr>
        <w:tblW w:w="8842" w:type="dxa"/>
        <w:jc w:val="center"/>
        <w:tblInd w:w="0" w:type="dxa"/>
        <w:tblLayout w:type="fixed"/>
        <w:tblCellMar>
          <w:top w:w="0" w:type="dxa"/>
          <w:left w:w="108" w:type="dxa"/>
          <w:bottom w:w="0" w:type="dxa"/>
          <w:right w:w="108" w:type="dxa"/>
        </w:tblCellMar>
      </w:tblPr>
      <w:tblGrid>
        <w:gridCol w:w="1547"/>
        <w:gridCol w:w="1407"/>
        <w:gridCol w:w="1407"/>
        <w:gridCol w:w="1407"/>
        <w:gridCol w:w="1667"/>
        <w:gridCol w:w="1407"/>
      </w:tblGrid>
      <w:tr>
        <w:trPr>
          <w:trHeight w:val="277" w:hRule="atLeast"/>
        </w:trPr>
        <w:tc>
          <w:tcPr>
            <w:tcW w:w="1547" w:type="dxa"/>
            <w:vMerge w:val="restart"/>
            <w:tcBorders>
              <w:top w:val="single" w:sz="4" w:space="0" w:color="000000"/>
              <w:left w:val="single" w:sz="4" w:space="0" w:color="000000"/>
              <w:bottom w:val="single" w:sz="4" w:space="0" w:color="000000"/>
              <w:right w:val="single" w:sz="4" w:space="0" w:color="000000"/>
            </w:tcBorders>
          </w:tcPr>
          <w:p>
            <w:pPr>
              <w:pStyle w:val="TAH"/>
              <w:rPr/>
            </w:pPr>
            <w:r>
              <w:rPr/>
              <w:t>Operating band</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Power class 1</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Power class 2</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Power class 3</w:t>
            </w:r>
          </w:p>
        </w:tc>
        <w:tc>
          <w:tcPr>
            <w:tcW w:w="1667" w:type="dxa"/>
            <w:tcBorders>
              <w:top w:val="single" w:sz="4" w:space="0" w:color="000000"/>
              <w:left w:val="single" w:sz="4" w:space="0" w:color="000000"/>
              <w:bottom w:val="single" w:sz="4" w:space="0" w:color="000000"/>
              <w:right w:val="single" w:sz="4" w:space="0" w:color="000000"/>
            </w:tcBorders>
          </w:tcPr>
          <w:p>
            <w:pPr>
              <w:pStyle w:val="TAH"/>
              <w:rPr/>
            </w:pPr>
            <w:r>
              <w:rPr/>
              <w:t>Power class 3bis</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Power class 4</w:t>
            </w:r>
          </w:p>
        </w:tc>
      </w:tr>
      <w:tr>
        <w:trPr>
          <w:trHeight w:val="316" w:hRule="atLeast"/>
        </w:trPr>
        <w:tc>
          <w:tcPr>
            <w:tcW w:w="154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c>
          <w:tcPr>
            <w:tcW w:w="166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r>
      <w:tr>
        <w:trPr>
          <w:trHeight w:val="244" w:hRule="atLeast"/>
        </w:trPr>
        <w:tc>
          <w:tcPr>
            <w:tcW w:w="154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667"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Average</w:t>
            </w:r>
          </w:p>
        </w:tc>
      </w:tr>
      <w:tr>
        <w:trPr>
          <w:trHeight w:val="215" w:hRule="atLeast"/>
        </w:trPr>
        <w:tc>
          <w:tcPr>
            <w:tcW w:w="1547" w:type="dxa"/>
            <w:tcBorders>
              <w:top w:val="single" w:sz="4" w:space="0" w:color="000000"/>
              <w:left w:val="single" w:sz="4" w:space="0" w:color="000000"/>
              <w:bottom w:val="single" w:sz="4" w:space="0" w:color="000000"/>
              <w:right w:val="single" w:sz="4" w:space="0" w:color="000000"/>
            </w:tcBorders>
            <w:vAlign w:val="center"/>
          </w:tcPr>
          <w:p>
            <w:pPr>
              <w:pStyle w:val="TAC"/>
              <w:rPr/>
            </w:pPr>
            <w:r>
              <w:rPr/>
              <w:t>a</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215" w:hRule="atLeast"/>
        </w:trPr>
        <w:tc>
          <w:tcPr>
            <w:tcW w:w="1547" w:type="dxa"/>
            <w:tcBorders>
              <w:top w:val="single" w:sz="4" w:space="0" w:color="000000"/>
              <w:left w:val="single" w:sz="4" w:space="0" w:color="000000"/>
              <w:bottom w:val="single" w:sz="4" w:space="0" w:color="000000"/>
              <w:right w:val="single" w:sz="4" w:space="0" w:color="000000"/>
            </w:tcBorders>
            <w:vAlign w:val="center"/>
          </w:tcPr>
          <w:p>
            <w:pPr>
              <w:pStyle w:val="TAC"/>
              <w:rPr/>
            </w:pPr>
            <w:r>
              <w:rPr/>
              <w:t>b</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215" w:hRule="atLeast"/>
        </w:trPr>
        <w:tc>
          <w:tcPr>
            <w:tcW w:w="1547" w:type="dxa"/>
            <w:tcBorders>
              <w:top w:val="single" w:sz="4" w:space="0" w:color="000000"/>
              <w:left w:val="single" w:sz="4" w:space="0" w:color="000000"/>
              <w:bottom w:val="single" w:sz="4" w:space="0" w:color="000000"/>
              <w:right w:val="single" w:sz="4" w:space="0" w:color="000000"/>
            </w:tcBorders>
            <w:vAlign w:val="center"/>
          </w:tcPr>
          <w:p>
            <w:pPr>
              <w:pStyle w:val="TAC"/>
              <w:rPr/>
            </w:pPr>
            <w:r>
              <w:rPr/>
              <w:t>c</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215" w:hRule="atLeast"/>
        </w:trPr>
        <w:tc>
          <w:tcPr>
            <w:tcW w:w="1547" w:type="dxa"/>
            <w:tcBorders>
              <w:top w:val="single" w:sz="4" w:space="0" w:color="000000"/>
              <w:left w:val="single" w:sz="4" w:space="0" w:color="000000"/>
              <w:bottom w:val="single" w:sz="4" w:space="0" w:color="000000"/>
              <w:right w:val="single" w:sz="4" w:space="0" w:color="000000"/>
            </w:tcBorders>
            <w:vAlign w:val="center"/>
          </w:tcPr>
          <w:p>
            <w:pPr>
              <w:pStyle w:val="TAC"/>
              <w:rPr/>
            </w:pPr>
            <w:r>
              <w:rPr/>
              <w:t>d</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215" w:hRule="atLeast"/>
        </w:trPr>
        <w:tc>
          <w:tcPr>
            <w:tcW w:w="1547" w:type="dxa"/>
            <w:tcBorders>
              <w:top w:val="single" w:sz="4" w:space="0" w:color="000000"/>
              <w:left w:val="single" w:sz="4" w:space="0" w:color="000000"/>
              <w:bottom w:val="single" w:sz="4" w:space="0" w:color="000000"/>
              <w:right w:val="single" w:sz="4" w:space="0" w:color="000000"/>
            </w:tcBorders>
            <w:vAlign w:val="center"/>
          </w:tcPr>
          <w:p>
            <w:pPr>
              <w:pStyle w:val="TAC"/>
              <w:rPr/>
            </w:pPr>
            <w:r>
              <w:rPr/>
              <w:t>e</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215" w:hRule="atLeast"/>
        </w:trPr>
        <w:tc>
          <w:tcPr>
            <w:tcW w:w="1547" w:type="dxa"/>
            <w:tcBorders>
              <w:top w:val="single" w:sz="4" w:space="0" w:color="000000"/>
              <w:left w:val="single" w:sz="4" w:space="0" w:color="000000"/>
              <w:bottom w:val="single" w:sz="4" w:space="0" w:color="000000"/>
              <w:right w:val="single" w:sz="4" w:space="0" w:color="000000"/>
            </w:tcBorders>
            <w:vAlign w:val="center"/>
          </w:tcPr>
          <w:p>
            <w:pPr>
              <w:pStyle w:val="TAC"/>
              <w:rPr/>
            </w:pPr>
            <w:r>
              <w:rPr/>
              <w:t>f</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220" w:hRule="atLeast"/>
        </w:trPr>
        <w:tc>
          <w:tcPr>
            <w:tcW w:w="8842" w:type="dxa"/>
            <w:gridSpan w:val="6"/>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Applicable for dual-mode GSM/UTRA LCR TDD.</w:t>
            </w:r>
          </w:p>
        </w:tc>
      </w:tr>
    </w:tbl>
    <w:p>
      <w:pPr>
        <w:pStyle w:val="Normal"/>
        <w:rPr/>
      </w:pPr>
      <w:r>
        <w:rPr/>
      </w:r>
    </w:p>
    <w:p>
      <w:pPr>
        <w:pStyle w:val="Heading2"/>
        <w:rPr>
          <w:sz w:val="28"/>
          <w:szCs w:val="28"/>
          <w:lang w:eastAsia="zh-TW"/>
        </w:rPr>
      </w:pPr>
      <w:bookmarkStart w:id="561" w:name="__RefHeading___Toc68601455"/>
      <w:bookmarkEnd w:id="561"/>
      <w:r>
        <w:rPr>
          <w:sz w:val="28"/>
          <w:szCs w:val="28"/>
        </w:rPr>
        <w:t>I.2.2</w:t>
        <w:tab/>
        <w:t>Beside the head and hand phantoms position</w:t>
      </w:r>
    </w:p>
    <w:p>
      <w:pPr>
        <w:pStyle w:val="Normal"/>
        <w:jc w:val="both"/>
        <w:rPr>
          <w:lang w:eastAsia="zh-TW"/>
        </w:rPr>
      </w:pPr>
      <w:r>
        <w:rPr/>
        <w:t>Beside the head</w:t>
      </w:r>
      <w:r>
        <w:rPr>
          <w:lang w:eastAsia="zh-TW"/>
        </w:rPr>
        <w:t xml:space="preserve"> and hand</w:t>
      </w:r>
      <w:r>
        <w:rPr/>
        <w:t xml:space="preserve"> phantom</w:t>
      </w:r>
      <w:r>
        <w:rPr>
          <w:lang w:eastAsia="zh-TW"/>
        </w:rPr>
        <w:t>s</w:t>
      </w:r>
      <w:r>
        <w:rPr/>
        <w:t xml:space="preserve"> test method is defined in subclauses </w:t>
      </w:r>
      <w:r>
        <w:rPr>
          <w:lang w:eastAsia="zh-TW"/>
        </w:rPr>
        <w:t>4.3.3</w:t>
      </w:r>
      <w:r>
        <w:rPr/>
        <w:t>.</w:t>
      </w:r>
    </w:p>
    <w:p>
      <w:pPr>
        <w:pStyle w:val="Heading3"/>
        <w:rPr>
          <w:sz w:val="24"/>
          <w:szCs w:val="24"/>
          <w:lang w:eastAsia="zh-TW"/>
        </w:rPr>
      </w:pPr>
      <w:bookmarkStart w:id="562" w:name="__RefHeading___Toc68601456"/>
      <w:bookmarkEnd w:id="562"/>
      <w:r>
        <w:rPr>
          <w:sz w:val="24"/>
          <w:szCs w:val="24"/>
          <w:lang w:eastAsia="zh-TW"/>
        </w:rPr>
        <w:t>I.2.2.1</w:t>
        <w:tab/>
        <w:t>UTRA FDD</w:t>
      </w:r>
    </w:p>
    <w:p>
      <w:pPr>
        <w:pStyle w:val="TH"/>
        <w:rPr/>
      </w:pPr>
      <w:r>
        <w:rPr/>
        <w:t xml:space="preserve">Table </w:t>
      </w:r>
      <w:r>
        <w:rPr>
          <w:lang w:eastAsia="zh-TW"/>
        </w:rPr>
        <w:t>I</w:t>
      </w:r>
      <w:r>
        <w:rPr/>
        <w:t>.2.2.1-1: Handheld UE TRP recommended performance for UTRA FDD beside the head and hand phantoms position and the primary mechanical mode</w:t>
      </w:r>
    </w:p>
    <w:tbl>
      <w:tblPr>
        <w:tblW w:w="7882" w:type="dxa"/>
        <w:jc w:val="center"/>
        <w:tblInd w:w="0" w:type="dxa"/>
        <w:tblLayout w:type="fixed"/>
        <w:tblCellMar>
          <w:top w:w="0" w:type="dxa"/>
          <w:left w:w="28" w:type="dxa"/>
          <w:bottom w:w="0" w:type="dxa"/>
          <w:right w:w="28" w:type="dxa"/>
        </w:tblCellMar>
      </w:tblPr>
      <w:tblGrid>
        <w:gridCol w:w="1387"/>
        <w:gridCol w:w="1247"/>
        <w:gridCol w:w="1247"/>
        <w:gridCol w:w="1247"/>
        <w:gridCol w:w="1507"/>
        <w:gridCol w:w="1247"/>
      </w:tblGrid>
      <w:tr>
        <w:trPr>
          <w:trHeight w:val="57" w:hRule="atLeast"/>
          <w:cantSplit w:val="true"/>
        </w:trPr>
        <w:tc>
          <w:tcPr>
            <w:tcW w:w="1387" w:type="dxa"/>
            <w:vMerge w:val="restart"/>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Operating band</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Power class 1</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Power class 2</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Power class 3</w:t>
            </w:r>
          </w:p>
        </w:tc>
        <w:tc>
          <w:tcPr>
            <w:tcW w:w="150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Power class 3bis</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Power class 4</w:t>
            </w:r>
          </w:p>
        </w:tc>
      </w:tr>
      <w:tr>
        <w:trPr>
          <w:trHeight w:val="57" w:hRule="atLeast"/>
          <w:cantSplit w:val="true"/>
        </w:trPr>
        <w:tc>
          <w:tcPr>
            <w:tcW w:w="138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24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24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24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50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24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r>
      <w:tr>
        <w:trPr>
          <w:trHeight w:val="57" w:hRule="atLeast"/>
          <w:cantSplit w:val="true"/>
        </w:trPr>
        <w:tc>
          <w:tcPr>
            <w:tcW w:w="138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247" w:type="dxa"/>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247" w:type="dxa"/>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24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150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124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16.25</w:t>
            </w:r>
          </w:p>
        </w:tc>
        <w:tc>
          <w:tcPr>
            <w:tcW w:w="150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16.25</w:t>
            </w:r>
          </w:p>
        </w:tc>
        <w:tc>
          <w:tcPr>
            <w:tcW w:w="150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III</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IV</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12.40</w:t>
            </w:r>
          </w:p>
        </w:tc>
        <w:tc>
          <w:tcPr>
            <w:tcW w:w="150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12.40</w:t>
            </w:r>
          </w:p>
        </w:tc>
        <w:tc>
          <w:tcPr>
            <w:tcW w:w="150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VIII</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12.40</w:t>
            </w:r>
          </w:p>
        </w:tc>
        <w:tc>
          <w:tcPr>
            <w:tcW w:w="150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IX</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XIX</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12.40</w:t>
            </w:r>
          </w:p>
        </w:tc>
        <w:tc>
          <w:tcPr>
            <w:tcW w:w="150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7882" w:type="dxa"/>
            <w:gridSpan w:val="6"/>
            <w:tcBorders>
              <w:top w:val="single" w:sz="4" w:space="0" w:color="000000"/>
              <w:left w:val="single" w:sz="4" w:space="0" w:color="000000"/>
              <w:bottom w:val="single" w:sz="4" w:space="0" w:color="000000"/>
              <w:right w:val="single" w:sz="4" w:space="0" w:color="000000"/>
            </w:tcBorders>
          </w:tcPr>
          <w:p>
            <w:pPr>
              <w:pStyle w:val="TAN"/>
              <w:rPr/>
            </w:pPr>
            <w:r>
              <w:rPr>
                <w:lang w:eastAsia="en-US"/>
              </w:rPr>
              <w:t>NOTE 1:</w:t>
              <w:tab/>
              <w:t>Applicable for dual-mode GSM/UMTS.</w:t>
            </w:r>
          </w:p>
          <w:p>
            <w:pPr>
              <w:pStyle w:val="TAN"/>
              <w:rPr/>
            </w:pPr>
            <w:r>
              <w:rPr>
                <w:rFonts w:cs="Arial"/>
                <w:lang w:eastAsia="en-US"/>
              </w:rPr>
              <w:t>NOTE 2:</w:t>
              <w:tab/>
              <w:t>Applicable for devices narrower than 72mm as defined in TR 25.914.</w:t>
            </w:r>
          </w:p>
          <w:p>
            <w:pPr>
              <w:pStyle w:val="TAN"/>
              <w:rPr>
                <w:b/>
                <w:b/>
                <w:bCs/>
                <w:lang w:eastAsia="en-US"/>
              </w:rPr>
            </w:pPr>
            <w:r>
              <w:rPr>
                <w:rFonts w:cs="Arial"/>
                <w:lang w:eastAsia="en-US"/>
              </w:rPr>
              <w:t>NOTE 3:</w:t>
              <w:tab/>
              <w:t>Not applicable for devices supporting CDMA or carrier aggregation.</w:t>
            </w:r>
          </w:p>
        </w:tc>
      </w:tr>
    </w:tbl>
    <w:p>
      <w:pPr>
        <w:pStyle w:val="Normal"/>
        <w:rPr/>
      </w:pPr>
      <w:r>
        <w:rPr/>
      </w:r>
    </w:p>
    <w:p>
      <w:pPr>
        <w:pStyle w:val="Heading3"/>
        <w:rPr>
          <w:sz w:val="24"/>
          <w:szCs w:val="24"/>
          <w:lang w:eastAsia="zh-TW"/>
        </w:rPr>
      </w:pPr>
      <w:bookmarkStart w:id="563" w:name="__RefHeading___Toc68601457"/>
      <w:bookmarkEnd w:id="563"/>
      <w:r>
        <w:rPr>
          <w:sz w:val="24"/>
          <w:szCs w:val="24"/>
          <w:lang w:eastAsia="zh-TW"/>
        </w:rPr>
        <w:t>I.2.2.2</w:t>
        <w:tab/>
        <w:t>UTRA LCR TDD</w:t>
      </w:r>
    </w:p>
    <w:p>
      <w:pPr>
        <w:pStyle w:val="TH"/>
        <w:rPr/>
      </w:pPr>
      <w:r>
        <w:rPr/>
        <w:t xml:space="preserve">Table </w:t>
      </w:r>
      <w:r>
        <w:rPr>
          <w:lang w:eastAsia="zh-TW"/>
        </w:rPr>
        <w:t>I</w:t>
      </w:r>
      <w:r>
        <w:rPr/>
        <w:t>.2.2.2-1: Handheld UE TRP recommended performance for UTRA LCR TDD in beside the head and hand phantoms position and the primary mechanical mode</w:t>
      </w:r>
    </w:p>
    <w:tbl>
      <w:tblPr>
        <w:tblW w:w="8842" w:type="dxa"/>
        <w:jc w:val="center"/>
        <w:tblInd w:w="0" w:type="dxa"/>
        <w:tblLayout w:type="fixed"/>
        <w:tblCellMar>
          <w:top w:w="0" w:type="dxa"/>
          <w:left w:w="108" w:type="dxa"/>
          <w:bottom w:w="0" w:type="dxa"/>
          <w:right w:w="108" w:type="dxa"/>
        </w:tblCellMar>
      </w:tblPr>
      <w:tblGrid>
        <w:gridCol w:w="1547"/>
        <w:gridCol w:w="1407"/>
        <w:gridCol w:w="1407"/>
        <w:gridCol w:w="1407"/>
        <w:gridCol w:w="1667"/>
        <w:gridCol w:w="1407"/>
      </w:tblGrid>
      <w:tr>
        <w:trPr>
          <w:trHeight w:val="277" w:hRule="atLeast"/>
        </w:trPr>
        <w:tc>
          <w:tcPr>
            <w:tcW w:w="1547" w:type="dxa"/>
            <w:vMerge w:val="restart"/>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Operating band</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Power class 1</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Power class 2</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Power class 3</w:t>
            </w:r>
          </w:p>
        </w:tc>
        <w:tc>
          <w:tcPr>
            <w:tcW w:w="166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Power class 3bis</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Power class 4</w:t>
            </w:r>
          </w:p>
        </w:tc>
      </w:tr>
      <w:tr>
        <w:trPr>
          <w:trHeight w:val="316" w:hRule="atLeast"/>
        </w:trPr>
        <w:tc>
          <w:tcPr>
            <w:tcW w:w="154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40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40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40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66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40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r>
      <w:tr>
        <w:trPr>
          <w:trHeight w:val="244" w:hRule="atLeast"/>
        </w:trPr>
        <w:tc>
          <w:tcPr>
            <w:tcW w:w="154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407" w:type="dxa"/>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40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1407" w:type="dxa"/>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667" w:type="dxa"/>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407" w:type="dxa"/>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r>
      <w:tr>
        <w:trPr>
          <w:trHeight w:val="215" w:hRule="atLeast"/>
        </w:trPr>
        <w:tc>
          <w:tcPr>
            <w:tcW w:w="154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a</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154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b</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154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c</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154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154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e</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154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f</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20" w:hRule="atLeast"/>
        </w:trPr>
        <w:tc>
          <w:tcPr>
            <w:tcW w:w="8842" w:type="dxa"/>
            <w:gridSpan w:val="6"/>
            <w:tcBorders>
              <w:top w:val="single" w:sz="4" w:space="0" w:color="000000"/>
              <w:left w:val="single" w:sz="4" w:space="0" w:color="000000"/>
              <w:bottom w:val="single" w:sz="4" w:space="0" w:color="000000"/>
              <w:right w:val="single" w:sz="4" w:space="0" w:color="000000"/>
            </w:tcBorders>
            <w:vAlign w:val="center"/>
          </w:tcPr>
          <w:p>
            <w:pPr>
              <w:pStyle w:val="TAN"/>
              <w:rPr>
                <w:lang w:eastAsia="en-US"/>
              </w:rPr>
            </w:pPr>
            <w:r>
              <w:rPr>
                <w:lang w:eastAsia="en-US"/>
              </w:rPr>
              <w:t>Note:</w:t>
              <w:tab/>
              <w:t>Applicable for dual-mode GSM/UTRA LCR TDD.</w:t>
            </w:r>
          </w:p>
        </w:tc>
      </w:tr>
    </w:tbl>
    <w:p>
      <w:pPr>
        <w:pStyle w:val="Normal"/>
        <w:rPr/>
      </w:pPr>
      <w:r>
        <w:rPr/>
      </w:r>
    </w:p>
    <w:p>
      <w:pPr>
        <w:pStyle w:val="Heading3"/>
        <w:rPr>
          <w:sz w:val="24"/>
          <w:szCs w:val="24"/>
          <w:lang w:eastAsia="zh-TW"/>
        </w:rPr>
      </w:pPr>
      <w:bookmarkStart w:id="564" w:name="__RefHeading___Toc68601458"/>
      <w:bookmarkEnd w:id="564"/>
      <w:r>
        <w:rPr>
          <w:sz w:val="24"/>
          <w:szCs w:val="24"/>
          <w:lang w:eastAsia="zh-TW"/>
        </w:rPr>
        <w:t>I.2.2.3</w:t>
        <w:tab/>
        <w:t>E-UTRA FDD</w:t>
      </w:r>
    </w:p>
    <w:p>
      <w:pPr>
        <w:pStyle w:val="TH"/>
        <w:rPr/>
      </w:pPr>
      <w:r>
        <w:rPr>
          <w:lang w:eastAsia="zh-TW"/>
        </w:rPr>
        <w:t>Table I.2.2.3-1: TBD</w:t>
      </w:r>
    </w:p>
    <w:p>
      <w:pPr>
        <w:pStyle w:val="Heading3"/>
        <w:rPr>
          <w:sz w:val="24"/>
          <w:szCs w:val="24"/>
          <w:lang w:eastAsia="zh-TW"/>
        </w:rPr>
      </w:pPr>
      <w:bookmarkStart w:id="565" w:name="__RefHeading___Toc68601459"/>
      <w:bookmarkEnd w:id="565"/>
      <w:r>
        <w:rPr>
          <w:sz w:val="24"/>
          <w:szCs w:val="24"/>
          <w:lang w:eastAsia="zh-TW"/>
        </w:rPr>
        <w:t>I.2.2.4</w:t>
        <w:tab/>
        <w:t>E-UTRA TDD</w:t>
      </w:r>
    </w:p>
    <w:p>
      <w:pPr>
        <w:pStyle w:val="TH"/>
        <w:rPr/>
      </w:pPr>
      <w:r>
        <w:rPr>
          <w:lang w:eastAsia="zh-TW"/>
        </w:rPr>
        <w:t>Table I.2.2.4-1: TBD</w:t>
      </w:r>
    </w:p>
    <w:p>
      <w:pPr>
        <w:pStyle w:val="Heading2"/>
        <w:rPr>
          <w:sz w:val="28"/>
          <w:szCs w:val="28"/>
          <w:lang w:eastAsia="zh-TW"/>
        </w:rPr>
      </w:pPr>
      <w:bookmarkStart w:id="566" w:name="__RefHeading___Toc68601460"/>
      <w:bookmarkEnd w:id="566"/>
      <w:r>
        <w:rPr>
          <w:sz w:val="28"/>
          <w:szCs w:val="28"/>
        </w:rPr>
        <w:t>I.2.3</w:t>
        <w:tab/>
        <w:t>Hand phantom browsing mode position</w:t>
      </w:r>
    </w:p>
    <w:p>
      <w:pPr>
        <w:pStyle w:val="Normal"/>
        <w:jc w:val="both"/>
        <w:rPr>
          <w:lang w:eastAsia="zh-TW"/>
        </w:rPr>
      </w:pPr>
      <w:r>
        <w:rPr>
          <w:lang w:eastAsia="zh-TW"/>
        </w:rPr>
        <w:t>Hand phantom browsing mode</w:t>
      </w:r>
      <w:r>
        <w:rPr/>
        <w:t xml:space="preserve"> test method is defined in subclauses </w:t>
      </w:r>
      <w:r>
        <w:rPr>
          <w:lang w:eastAsia="zh-TW"/>
        </w:rPr>
        <w:t>4.3.4</w:t>
      </w:r>
      <w:r>
        <w:rPr/>
        <w:t>.</w:t>
      </w:r>
    </w:p>
    <w:p>
      <w:pPr>
        <w:pStyle w:val="Heading3"/>
        <w:rPr/>
      </w:pPr>
      <w:bookmarkStart w:id="567" w:name="__RefHeading___Toc68601461"/>
      <w:bookmarkEnd w:id="567"/>
      <w:r>
        <w:rPr>
          <w:sz w:val="24"/>
          <w:szCs w:val="24"/>
          <w:lang w:eastAsia="zh-TW"/>
        </w:rPr>
        <w:t>I.2.3.1</w:t>
        <w:tab/>
        <w:t>UTRA FDD</w:t>
      </w:r>
    </w:p>
    <w:p>
      <w:pPr>
        <w:pStyle w:val="TH"/>
        <w:rPr/>
      </w:pPr>
      <w:r>
        <w:rPr/>
        <w:t xml:space="preserve">Table </w:t>
      </w:r>
      <w:r>
        <w:rPr>
          <w:lang w:eastAsia="zh-TW"/>
        </w:rPr>
        <w:t>I</w:t>
      </w:r>
      <w:r>
        <w:rPr/>
        <w:t>.2.3.1-1: Handheld UE TRP recommended performance for UTRA FDD in the hand phantom browsing mode position</w:t>
      </w:r>
    </w:p>
    <w:tbl>
      <w:tblPr>
        <w:tblW w:w="7882" w:type="dxa"/>
        <w:jc w:val="center"/>
        <w:tblInd w:w="0" w:type="dxa"/>
        <w:tblLayout w:type="fixed"/>
        <w:tblCellMar>
          <w:top w:w="0" w:type="dxa"/>
          <w:left w:w="28" w:type="dxa"/>
          <w:bottom w:w="0" w:type="dxa"/>
          <w:right w:w="28" w:type="dxa"/>
        </w:tblCellMar>
      </w:tblPr>
      <w:tblGrid>
        <w:gridCol w:w="1387"/>
        <w:gridCol w:w="1247"/>
        <w:gridCol w:w="1247"/>
        <w:gridCol w:w="1247"/>
        <w:gridCol w:w="1507"/>
        <w:gridCol w:w="1247"/>
      </w:tblGrid>
      <w:tr>
        <w:trPr>
          <w:trHeight w:val="57" w:hRule="atLeast"/>
          <w:cantSplit w:val="true"/>
        </w:trPr>
        <w:tc>
          <w:tcPr>
            <w:tcW w:w="1387" w:type="dxa"/>
            <w:vMerge w:val="restart"/>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Operating band</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Power class 1</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Power class 2</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Power class 3</w:t>
            </w:r>
          </w:p>
        </w:tc>
        <w:tc>
          <w:tcPr>
            <w:tcW w:w="150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Power class 3bis</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Power class 4</w:t>
            </w:r>
          </w:p>
        </w:tc>
      </w:tr>
      <w:tr>
        <w:trPr>
          <w:trHeight w:val="57" w:hRule="atLeast"/>
          <w:cantSplit w:val="true"/>
        </w:trPr>
        <w:tc>
          <w:tcPr>
            <w:tcW w:w="138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24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24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24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50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Power (dBm)</w:t>
            </w:r>
          </w:p>
        </w:tc>
        <w:tc>
          <w:tcPr>
            <w:tcW w:w="124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r>
      <w:tr>
        <w:trPr>
          <w:trHeight w:val="57" w:hRule="atLeast"/>
          <w:cantSplit w:val="true"/>
        </w:trPr>
        <w:tc>
          <w:tcPr>
            <w:tcW w:w="138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247" w:type="dxa"/>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247" w:type="dxa"/>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24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150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124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III</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IV</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VIII</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IX</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XIX</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7882" w:type="dxa"/>
            <w:gridSpan w:val="6"/>
            <w:tcBorders>
              <w:top w:val="single" w:sz="4" w:space="0" w:color="000000"/>
              <w:left w:val="single" w:sz="4" w:space="0" w:color="000000"/>
              <w:bottom w:val="single" w:sz="4" w:space="0" w:color="000000"/>
              <w:right w:val="single" w:sz="4" w:space="0" w:color="000000"/>
            </w:tcBorders>
          </w:tcPr>
          <w:p>
            <w:pPr>
              <w:pStyle w:val="TAN"/>
              <w:rPr>
                <w:b/>
                <w:b/>
                <w:bCs/>
                <w:lang w:eastAsia="en-US"/>
              </w:rPr>
            </w:pPr>
            <w:r>
              <w:rPr>
                <w:lang w:eastAsia="en-US"/>
              </w:rPr>
              <w:t>NOTE:</w:t>
              <w:tab/>
              <w:t>Applicable for dual-mode GSM/UMTS.</w:t>
            </w:r>
          </w:p>
        </w:tc>
      </w:tr>
    </w:tbl>
    <w:p>
      <w:pPr>
        <w:pStyle w:val="Normal"/>
        <w:rPr/>
      </w:pPr>
      <w:r>
        <w:rPr/>
      </w:r>
    </w:p>
    <w:p>
      <w:pPr>
        <w:pStyle w:val="Heading3"/>
        <w:rPr>
          <w:sz w:val="24"/>
          <w:szCs w:val="24"/>
          <w:lang w:eastAsia="zh-TW"/>
        </w:rPr>
      </w:pPr>
      <w:bookmarkStart w:id="568" w:name="__RefHeading___Toc68601462"/>
      <w:bookmarkEnd w:id="568"/>
      <w:r>
        <w:rPr>
          <w:sz w:val="24"/>
          <w:szCs w:val="24"/>
          <w:lang w:eastAsia="zh-TW"/>
        </w:rPr>
        <w:t>I.2.3.2</w:t>
        <w:tab/>
        <w:t>UTRA LCR TDD</w:t>
      </w:r>
    </w:p>
    <w:p>
      <w:pPr>
        <w:pStyle w:val="TH"/>
        <w:rPr/>
      </w:pPr>
      <w:r>
        <w:rPr/>
        <w:t xml:space="preserve">Table </w:t>
      </w:r>
      <w:r>
        <w:rPr>
          <w:lang w:eastAsia="zh-TW"/>
        </w:rPr>
        <w:t>I</w:t>
      </w:r>
      <w:r>
        <w:rPr/>
        <w:t>.2.3.2-1: Handheld UE TRP recommended performance for UTRA LCR TDD in the hand phantom browsing mode position</w:t>
      </w:r>
    </w:p>
    <w:tbl>
      <w:tblPr>
        <w:tblW w:w="8842" w:type="dxa"/>
        <w:jc w:val="center"/>
        <w:tblInd w:w="0" w:type="dxa"/>
        <w:tblLayout w:type="fixed"/>
        <w:tblCellMar>
          <w:top w:w="0" w:type="dxa"/>
          <w:left w:w="108" w:type="dxa"/>
          <w:bottom w:w="0" w:type="dxa"/>
          <w:right w:w="108" w:type="dxa"/>
        </w:tblCellMar>
      </w:tblPr>
      <w:tblGrid>
        <w:gridCol w:w="1547"/>
        <w:gridCol w:w="1407"/>
        <w:gridCol w:w="1407"/>
        <w:gridCol w:w="1407"/>
        <w:gridCol w:w="1667"/>
        <w:gridCol w:w="1407"/>
      </w:tblGrid>
      <w:tr>
        <w:trPr>
          <w:trHeight w:val="277" w:hRule="atLeast"/>
        </w:trPr>
        <w:tc>
          <w:tcPr>
            <w:tcW w:w="1547" w:type="dxa"/>
            <w:vMerge w:val="restart"/>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Operating band </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Power class 1</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Power class 2</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Power class 3</w:t>
            </w:r>
          </w:p>
        </w:tc>
        <w:tc>
          <w:tcPr>
            <w:tcW w:w="166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Power class 3bis</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Power class 4</w:t>
            </w:r>
          </w:p>
        </w:tc>
      </w:tr>
      <w:tr>
        <w:trPr>
          <w:trHeight w:val="316" w:hRule="atLeast"/>
        </w:trPr>
        <w:tc>
          <w:tcPr>
            <w:tcW w:w="154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40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40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40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66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c>
          <w:tcPr>
            <w:tcW w:w="140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Power (dBm)</w:t>
            </w:r>
          </w:p>
        </w:tc>
      </w:tr>
      <w:tr>
        <w:trPr>
          <w:trHeight w:val="244" w:hRule="atLeast"/>
        </w:trPr>
        <w:tc>
          <w:tcPr>
            <w:tcW w:w="154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407" w:type="dxa"/>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40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1407" w:type="dxa"/>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667" w:type="dxa"/>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407" w:type="dxa"/>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r>
      <w:tr>
        <w:trPr>
          <w:trHeight w:val="215" w:hRule="atLeast"/>
        </w:trPr>
        <w:tc>
          <w:tcPr>
            <w:tcW w:w="154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a</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154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b</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154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c</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154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154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e</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15" w:hRule="atLeast"/>
        </w:trPr>
        <w:tc>
          <w:tcPr>
            <w:tcW w:w="154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f</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TBD</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w:t>
            </w:r>
          </w:p>
        </w:tc>
      </w:tr>
      <w:tr>
        <w:trPr>
          <w:trHeight w:val="220" w:hRule="atLeast"/>
        </w:trPr>
        <w:tc>
          <w:tcPr>
            <w:tcW w:w="8842" w:type="dxa"/>
            <w:gridSpan w:val="6"/>
            <w:tcBorders>
              <w:top w:val="single" w:sz="4" w:space="0" w:color="000000"/>
              <w:left w:val="single" w:sz="4" w:space="0" w:color="000000"/>
              <w:bottom w:val="single" w:sz="4" w:space="0" w:color="000000"/>
              <w:right w:val="single" w:sz="4" w:space="0" w:color="000000"/>
            </w:tcBorders>
            <w:vAlign w:val="center"/>
          </w:tcPr>
          <w:p>
            <w:pPr>
              <w:pStyle w:val="TAN"/>
              <w:rPr>
                <w:lang w:eastAsia="en-US"/>
              </w:rPr>
            </w:pPr>
            <w:r>
              <w:rPr>
                <w:lang w:eastAsia="en-US"/>
              </w:rPr>
              <w:t>Note:</w:t>
              <w:tab/>
              <w:t>Applicable for dual-mode GSM/UTRA LCR TDD.</w:t>
            </w:r>
          </w:p>
        </w:tc>
      </w:tr>
    </w:tbl>
    <w:p>
      <w:pPr>
        <w:pStyle w:val="Normal"/>
        <w:rPr/>
      </w:pPr>
      <w:r>
        <w:rPr/>
      </w:r>
    </w:p>
    <w:p>
      <w:pPr>
        <w:pStyle w:val="Heading3"/>
        <w:rPr>
          <w:sz w:val="24"/>
          <w:szCs w:val="24"/>
          <w:lang w:eastAsia="zh-TW"/>
        </w:rPr>
      </w:pPr>
      <w:bookmarkStart w:id="569" w:name="__RefHeading___Toc68601463"/>
      <w:bookmarkEnd w:id="569"/>
      <w:r>
        <w:rPr>
          <w:sz w:val="24"/>
          <w:szCs w:val="24"/>
          <w:lang w:eastAsia="zh-TW"/>
        </w:rPr>
        <w:t>I.2.3.3</w:t>
        <w:tab/>
        <w:t>E-UTRA FDD</w:t>
      </w:r>
    </w:p>
    <w:p>
      <w:pPr>
        <w:pStyle w:val="TH"/>
        <w:rPr/>
      </w:pPr>
      <w:r>
        <w:rPr/>
        <w:t>Table I.2.3.3-1: Tablet TRP recommended performance for E-UTRA FDD in the data transfer position</w:t>
      </w:r>
    </w:p>
    <w:tbl>
      <w:tblPr>
        <w:tblW w:w="7584" w:type="dxa"/>
        <w:jc w:val="center"/>
        <w:tblInd w:w="0" w:type="dxa"/>
        <w:tblLayout w:type="fixed"/>
        <w:tblCellMar>
          <w:top w:w="0" w:type="dxa"/>
          <w:left w:w="108" w:type="dxa"/>
          <w:bottom w:w="0" w:type="dxa"/>
          <w:right w:w="108" w:type="dxa"/>
        </w:tblCellMar>
      </w:tblPr>
      <w:tblGrid>
        <w:gridCol w:w="1096"/>
        <w:gridCol w:w="1455"/>
        <w:gridCol w:w="1559"/>
        <w:gridCol w:w="1843"/>
        <w:gridCol w:w="1631"/>
      </w:tblGrid>
      <w:tr>
        <w:trPr/>
        <w:tc>
          <w:tcPr>
            <w:tcW w:w="1096" w:type="dxa"/>
            <w:vMerge w:val="restart"/>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Operating band</w:t>
            </w:r>
          </w:p>
        </w:tc>
        <w:tc>
          <w:tcPr>
            <w:tcW w:w="1455"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Power Class 1</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Power Class 2</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Power Class 3</w:t>
            </w:r>
          </w:p>
        </w:tc>
        <w:tc>
          <w:tcPr>
            <w:tcW w:w="1631"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Power Class 4</w:t>
            </w:r>
          </w:p>
        </w:tc>
      </w:tr>
      <w:tr>
        <w:trPr/>
        <w:tc>
          <w:tcPr>
            <w:tcW w:w="109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cs="Arial"/>
                <w:bCs/>
              </w:rPr>
            </w:pPr>
            <w:r>
              <w:rPr>
                <w:rFonts w:cs="Arial"/>
                <w:bCs/>
              </w:rPr>
            </w:r>
          </w:p>
        </w:tc>
        <w:tc>
          <w:tcPr>
            <w:tcW w:w="1455"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Power (dBm)</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Power (dBm)</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Power (dBm)</w:t>
            </w:r>
          </w:p>
        </w:tc>
        <w:tc>
          <w:tcPr>
            <w:tcW w:w="1631"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Power (dBm)</w:t>
            </w:r>
          </w:p>
        </w:tc>
      </w:tr>
      <w:tr>
        <w:trPr/>
        <w:tc>
          <w:tcPr>
            <w:tcW w:w="109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cs="Arial"/>
                <w:bCs/>
              </w:rPr>
            </w:pPr>
            <w:r>
              <w:rPr>
                <w:rFonts w:cs="Arial"/>
                <w:bCs/>
              </w:rPr>
            </w:r>
          </w:p>
        </w:tc>
        <w:tc>
          <w:tcPr>
            <w:tcW w:w="1455" w:type="dxa"/>
            <w:tcBorders>
              <w:top w:val="single" w:sz="4" w:space="0" w:color="000000"/>
              <w:left w:val="single" w:sz="4" w:space="0" w:color="000000"/>
              <w:bottom w:val="single" w:sz="4" w:space="0" w:color="000000"/>
              <w:right w:val="single" w:sz="4" w:space="0" w:color="000000"/>
            </w:tcBorders>
          </w:tcPr>
          <w:p>
            <w:pPr>
              <w:pStyle w:val="TAH"/>
              <w:snapToGrid w:val="false"/>
              <w:rPr>
                <w:rFonts w:cs="Arial"/>
                <w:bCs/>
              </w:rPr>
            </w:pPr>
            <w:r>
              <w:rPr>
                <w:rFonts w:cs="Arial"/>
                <w:bCs/>
              </w:rPr>
            </w:r>
          </w:p>
        </w:tc>
        <w:tc>
          <w:tcPr>
            <w:tcW w:w="1559" w:type="dxa"/>
            <w:tcBorders>
              <w:top w:val="single" w:sz="4" w:space="0" w:color="000000"/>
              <w:left w:val="single" w:sz="4" w:space="0" w:color="000000"/>
              <w:bottom w:val="single" w:sz="4" w:space="0" w:color="000000"/>
              <w:right w:val="single" w:sz="4" w:space="0" w:color="000000"/>
            </w:tcBorders>
          </w:tcPr>
          <w:p>
            <w:pPr>
              <w:pStyle w:val="TAH"/>
              <w:snapToGrid w:val="false"/>
              <w:rPr>
                <w:rFonts w:cs="Arial"/>
              </w:rPr>
            </w:pPr>
            <w:r>
              <w:rPr>
                <w:rFonts w:cs="Arial"/>
              </w:rPr>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Average</w:t>
            </w:r>
          </w:p>
        </w:tc>
        <w:tc>
          <w:tcPr>
            <w:tcW w:w="1631" w:type="dxa"/>
            <w:tcBorders>
              <w:top w:val="single" w:sz="4" w:space="0" w:color="000000"/>
              <w:left w:val="single" w:sz="4" w:space="0" w:color="000000"/>
              <w:bottom w:val="single" w:sz="4" w:space="0" w:color="000000"/>
              <w:right w:val="single" w:sz="4" w:space="0" w:color="000000"/>
            </w:tcBorders>
          </w:tcPr>
          <w:p>
            <w:pPr>
              <w:pStyle w:val="TAH"/>
              <w:snapToGrid w:val="false"/>
              <w:rPr>
                <w:rFonts w:cs="Arial"/>
              </w:rPr>
            </w:pPr>
            <w:r>
              <w:rPr>
                <w:rFonts w:cs="Arial"/>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21.0</w:t>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2</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843"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3</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20.5</w:t>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4</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843"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5</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843"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7</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20.0</w:t>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8</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843"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12</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843"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13</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843"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19</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20.0</w:t>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20</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rFonts w:cs="Arial"/>
                <w:lang w:eastAsia="en-US"/>
              </w:rPr>
              <w:t>19.5</w:t>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21</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rFonts w:cs="Arial"/>
                <w:lang w:eastAsia="en-US"/>
              </w:rPr>
              <w:t>20.0</w:t>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r>
      <w:tr>
        <w:trPr/>
        <w:tc>
          <w:tcPr>
            <w:tcW w:w="109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28</w:t>
            </w:r>
          </w:p>
        </w:tc>
        <w:tc>
          <w:tcPr>
            <w:tcW w:w="145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ja-JP"/>
              </w:rPr>
            </w:pPr>
            <w:r>
              <w:rPr>
                <w:rFonts w:cs="Arial"/>
                <w:lang w:eastAsia="ja-JP"/>
              </w:rPr>
            </w:r>
          </w:p>
        </w:tc>
        <w:tc>
          <w:tcPr>
            <w:tcW w:w="163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r>
      <w:tr>
        <w:trPr/>
        <w:tc>
          <w:tcPr>
            <w:tcW w:w="7584"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 1: Applicable for multi-mode GSM/UMTS/LTE.</w:t>
            </w:r>
          </w:p>
          <w:p>
            <w:pPr>
              <w:pStyle w:val="TAN"/>
              <w:rPr>
                <w:lang w:eastAsia="en-US"/>
              </w:rPr>
            </w:pPr>
            <w:r>
              <w:rPr/>
              <w:t>NOTE 2: Applicability for devices supporting CDMA or aggregated carriers (e.g. multi-carrier HSPA, LTE Carrier Aggregation) is FFS.</w:t>
            </w:r>
          </w:p>
        </w:tc>
      </w:tr>
    </w:tbl>
    <w:p>
      <w:pPr>
        <w:pStyle w:val="Normal"/>
        <w:rPr>
          <w:lang w:eastAsia="zh-TW"/>
        </w:rPr>
      </w:pPr>
      <w:r>
        <w:rPr>
          <w:lang w:eastAsia="zh-TW"/>
        </w:rPr>
      </w:r>
    </w:p>
    <w:p>
      <w:pPr>
        <w:pStyle w:val="Heading3"/>
        <w:rPr>
          <w:sz w:val="24"/>
          <w:szCs w:val="24"/>
          <w:lang w:eastAsia="zh-TW"/>
        </w:rPr>
      </w:pPr>
      <w:bookmarkStart w:id="570" w:name="__RefHeading___Toc68601464"/>
      <w:bookmarkEnd w:id="570"/>
      <w:r>
        <w:rPr>
          <w:sz w:val="24"/>
          <w:szCs w:val="24"/>
          <w:lang w:eastAsia="zh-TW"/>
        </w:rPr>
        <w:t>I.2.3.4</w:t>
        <w:tab/>
        <w:t>E-UTRA TDD</w:t>
      </w:r>
    </w:p>
    <w:p>
      <w:pPr>
        <w:pStyle w:val="TH"/>
        <w:rPr>
          <w:lang w:eastAsia="zh-TW"/>
        </w:rPr>
      </w:pPr>
      <w:r>
        <w:rPr>
          <w:lang w:eastAsia="zh-TW"/>
        </w:rPr>
        <w:t>Table I.2.3.4-1: TBD</w:t>
      </w:r>
    </w:p>
    <w:p>
      <w:pPr>
        <w:pStyle w:val="Heading2"/>
        <w:rPr/>
      </w:pPr>
      <w:bookmarkStart w:id="571" w:name="__RefHeading___Toc68601465"/>
      <w:bookmarkStart w:id="572" w:name="historyclause"/>
      <w:bookmarkEnd w:id="571"/>
      <w:bookmarkEnd w:id="572"/>
      <w:r>
        <w:rPr/>
        <w:t>I.3</w:t>
        <w:tab/>
        <w:t>Total Radiated Sensitivity</w:t>
      </w:r>
    </w:p>
    <w:p>
      <w:pPr>
        <w:pStyle w:val="Normal"/>
        <w:rPr>
          <w:lang w:eastAsia="zh-TW"/>
        </w:rPr>
      </w:pPr>
      <w:r>
        <w:rPr/>
        <w:t>The OTA TRS performance for UTRA and E-UTRA should be lower or equal than the recommended values shown in this clause.</w:t>
      </w:r>
    </w:p>
    <w:p>
      <w:pPr>
        <w:pStyle w:val="Heading2"/>
        <w:rPr/>
      </w:pPr>
      <w:bookmarkStart w:id="573" w:name="__RefHeading___Toc68601466"/>
      <w:bookmarkEnd w:id="573"/>
      <w:r>
        <w:rPr>
          <w:sz w:val="28"/>
          <w:szCs w:val="28"/>
          <w:lang w:eastAsia="zh-TW"/>
        </w:rPr>
        <w:t>I</w:t>
      </w:r>
      <w:r>
        <w:rPr>
          <w:sz w:val="28"/>
          <w:szCs w:val="28"/>
        </w:rPr>
        <w:t>.3.1</w:t>
        <w:tab/>
        <w:t>Beside the head phantom position</w:t>
      </w:r>
    </w:p>
    <w:p>
      <w:pPr>
        <w:pStyle w:val="Normal"/>
        <w:jc w:val="both"/>
        <w:rPr/>
      </w:pPr>
      <w:r>
        <w:rPr/>
        <w:t xml:space="preserve">Beside the head phantom test method is defined in subclause </w:t>
      </w:r>
      <w:r>
        <w:rPr>
          <w:lang w:eastAsia="zh-TW"/>
        </w:rPr>
        <w:t>4.3.1</w:t>
      </w:r>
      <w:r>
        <w:rPr/>
        <w:t>.</w:t>
      </w:r>
    </w:p>
    <w:p>
      <w:pPr>
        <w:pStyle w:val="Heading3"/>
        <w:rPr>
          <w:sz w:val="24"/>
          <w:szCs w:val="24"/>
          <w:lang w:eastAsia="zh-TW"/>
        </w:rPr>
      </w:pPr>
      <w:bookmarkStart w:id="574" w:name="__RefHeading___Toc68601467"/>
      <w:bookmarkEnd w:id="574"/>
      <w:r>
        <w:rPr>
          <w:sz w:val="24"/>
          <w:szCs w:val="24"/>
          <w:lang w:eastAsia="zh-TW"/>
        </w:rPr>
        <w:t>I.3.1.1</w:t>
        <w:tab/>
        <w:t>UTRA FDD</w:t>
      </w:r>
    </w:p>
    <w:p>
      <w:pPr>
        <w:pStyle w:val="TH"/>
        <w:rPr/>
      </w:pPr>
      <w:r>
        <w:rPr/>
        <w:t xml:space="preserve">Table </w:t>
      </w:r>
      <w:r>
        <w:rPr>
          <w:lang w:eastAsia="zh-TW"/>
        </w:rPr>
        <w:t>I</w:t>
      </w:r>
      <w:r>
        <w:rPr/>
        <w:t>.3.1.1-1: Handheld UE TRS recommended performance for FDD in beside the head phantom position for the primary mechanical mode</w:t>
      </w:r>
    </w:p>
    <w:tbl>
      <w:tblPr>
        <w:tblW w:w="9697" w:type="dxa"/>
        <w:jc w:val="center"/>
        <w:tblInd w:w="0" w:type="dxa"/>
        <w:tblLayout w:type="fixed"/>
        <w:tblCellMar>
          <w:top w:w="0" w:type="dxa"/>
          <w:left w:w="28" w:type="dxa"/>
          <w:bottom w:w="0" w:type="dxa"/>
          <w:right w:w="28" w:type="dxa"/>
        </w:tblCellMar>
      </w:tblPr>
      <w:tblGrid>
        <w:gridCol w:w="3899"/>
        <w:gridCol w:w="3507"/>
        <w:gridCol w:w="2291"/>
      </w:tblGrid>
      <w:tr>
        <w:trPr>
          <w:trHeight w:val="289" w:hRule="atLeast"/>
          <w:cantSplit w:val="true"/>
        </w:trPr>
        <w:tc>
          <w:tcPr>
            <w:tcW w:w="3899" w:type="dxa"/>
            <w:tcBorders>
              <w:top w:val="single" w:sz="4" w:space="0" w:color="000000"/>
              <w:left w:val="single" w:sz="4" w:space="0" w:color="000000"/>
              <w:bottom w:val="single" w:sz="4" w:space="0" w:color="000000"/>
              <w:right w:val="single" w:sz="4" w:space="0" w:color="000000"/>
            </w:tcBorders>
          </w:tcPr>
          <w:p>
            <w:pPr>
              <w:pStyle w:val="TAH"/>
              <w:rPr/>
            </w:pPr>
            <w:r>
              <w:rPr/>
              <w:t>Operating band</w:t>
            </w:r>
          </w:p>
        </w:tc>
        <w:tc>
          <w:tcPr>
            <w:tcW w:w="3507"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2291" w:type="dxa"/>
            <w:tcBorders>
              <w:top w:val="single" w:sz="4" w:space="0" w:color="000000"/>
              <w:left w:val="single" w:sz="4" w:space="0" w:color="000000"/>
              <w:bottom w:val="single" w:sz="4" w:space="0" w:color="000000"/>
              <w:right w:val="single" w:sz="4" w:space="0" w:color="000000"/>
            </w:tcBorders>
          </w:tcPr>
          <w:p>
            <w:pPr>
              <w:pStyle w:val="TAH"/>
              <w:rPr/>
            </w:pPr>
            <w:r>
              <w:rPr/>
              <w:t>&lt;REFÎ</w:t>
            </w:r>
            <w:r>
              <w:rPr>
                <w:vertAlign w:val="subscript"/>
              </w:rPr>
              <w:t>or</w:t>
            </w:r>
            <w:r>
              <w:rPr/>
              <w:t>&gt;</w:t>
            </w:r>
          </w:p>
        </w:tc>
      </w:tr>
      <w:tr>
        <w:trPr>
          <w:trHeight w:val="57" w:hRule="atLeast"/>
          <w:cantSplit w:val="true"/>
        </w:trPr>
        <w:tc>
          <w:tcPr>
            <w:tcW w:w="3899" w:type="dxa"/>
            <w:tcBorders>
              <w:top w:val="single" w:sz="4" w:space="0" w:color="000000"/>
              <w:left w:val="single" w:sz="4" w:space="0" w:color="000000"/>
              <w:bottom w:val="single" w:sz="4" w:space="0" w:color="000000"/>
              <w:right w:val="single" w:sz="4" w:space="0" w:color="000000"/>
            </w:tcBorders>
          </w:tcPr>
          <w:p>
            <w:pPr>
              <w:pStyle w:val="TAC"/>
              <w:rPr/>
            </w:pPr>
            <w:r>
              <w:rPr/>
              <w:t>I</w:t>
            </w:r>
          </w:p>
        </w:tc>
        <w:tc>
          <w:tcPr>
            <w:tcW w:w="3507"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2291" w:type="dxa"/>
            <w:tcBorders>
              <w:top w:val="single" w:sz="4" w:space="0" w:color="000000"/>
              <w:left w:val="single" w:sz="4" w:space="0" w:color="000000"/>
              <w:bottom w:val="single" w:sz="4" w:space="0" w:color="000000"/>
              <w:right w:val="single" w:sz="4" w:space="0" w:color="000000"/>
            </w:tcBorders>
          </w:tcPr>
          <w:p>
            <w:pPr>
              <w:pStyle w:val="TAC"/>
              <w:rPr/>
            </w:pPr>
            <w:r>
              <w:rPr/>
              <w:t>-104</w:t>
            </w:r>
          </w:p>
        </w:tc>
      </w:tr>
      <w:tr>
        <w:trPr>
          <w:trHeight w:val="57" w:hRule="atLeast"/>
          <w:cantSplit w:val="true"/>
        </w:trPr>
        <w:tc>
          <w:tcPr>
            <w:tcW w:w="3899" w:type="dxa"/>
            <w:tcBorders>
              <w:top w:val="single" w:sz="4" w:space="0" w:color="000000"/>
              <w:left w:val="single" w:sz="4" w:space="0" w:color="000000"/>
              <w:bottom w:val="single" w:sz="4" w:space="0" w:color="000000"/>
              <w:right w:val="single" w:sz="4" w:space="0" w:color="000000"/>
            </w:tcBorders>
          </w:tcPr>
          <w:p>
            <w:pPr>
              <w:pStyle w:val="TAC"/>
              <w:rPr/>
            </w:pPr>
            <w:r>
              <w:rPr/>
              <w:t>II</w:t>
            </w:r>
          </w:p>
        </w:tc>
        <w:tc>
          <w:tcPr>
            <w:tcW w:w="3507"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2291" w:type="dxa"/>
            <w:tcBorders>
              <w:top w:val="single" w:sz="4" w:space="0" w:color="000000"/>
              <w:left w:val="single" w:sz="4" w:space="0" w:color="000000"/>
              <w:bottom w:val="single" w:sz="4" w:space="0" w:color="000000"/>
              <w:right w:val="single" w:sz="4" w:space="0" w:color="000000"/>
            </w:tcBorders>
          </w:tcPr>
          <w:p>
            <w:pPr>
              <w:pStyle w:val="TAC"/>
              <w:rPr/>
            </w:pPr>
            <w:r>
              <w:rPr/>
              <w:t>-102</w:t>
            </w:r>
          </w:p>
        </w:tc>
      </w:tr>
      <w:tr>
        <w:trPr>
          <w:trHeight w:val="57" w:hRule="atLeast"/>
          <w:cantSplit w:val="true"/>
        </w:trPr>
        <w:tc>
          <w:tcPr>
            <w:tcW w:w="3899" w:type="dxa"/>
            <w:tcBorders>
              <w:top w:val="single" w:sz="4" w:space="0" w:color="000000"/>
              <w:left w:val="single" w:sz="4" w:space="0" w:color="000000"/>
              <w:bottom w:val="single" w:sz="4" w:space="0" w:color="000000"/>
              <w:right w:val="single" w:sz="4" w:space="0" w:color="000000"/>
            </w:tcBorders>
          </w:tcPr>
          <w:p>
            <w:pPr>
              <w:pStyle w:val="TAC"/>
              <w:rPr/>
            </w:pPr>
            <w:r>
              <w:rPr/>
              <w:t>III</w:t>
            </w:r>
          </w:p>
        </w:tc>
        <w:tc>
          <w:tcPr>
            <w:tcW w:w="3507"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2291" w:type="dxa"/>
            <w:tcBorders>
              <w:top w:val="single" w:sz="4" w:space="0" w:color="000000"/>
              <w:left w:val="single" w:sz="4" w:space="0" w:color="000000"/>
              <w:bottom w:val="single" w:sz="4" w:space="0" w:color="000000"/>
              <w:right w:val="single" w:sz="4" w:space="0" w:color="000000"/>
            </w:tcBorders>
          </w:tcPr>
          <w:p>
            <w:pPr>
              <w:pStyle w:val="TAC"/>
              <w:rPr/>
            </w:pPr>
            <w:r>
              <w:rPr/>
              <w:t>-101</w:t>
            </w:r>
          </w:p>
        </w:tc>
      </w:tr>
      <w:tr>
        <w:trPr>
          <w:trHeight w:val="57" w:hRule="atLeast"/>
          <w:cantSplit w:val="true"/>
        </w:trPr>
        <w:tc>
          <w:tcPr>
            <w:tcW w:w="3899" w:type="dxa"/>
            <w:tcBorders>
              <w:top w:val="single" w:sz="4" w:space="0" w:color="000000"/>
              <w:left w:val="single" w:sz="4" w:space="0" w:color="000000"/>
              <w:bottom w:val="single" w:sz="4" w:space="0" w:color="000000"/>
              <w:right w:val="single" w:sz="4" w:space="0" w:color="000000"/>
            </w:tcBorders>
          </w:tcPr>
          <w:p>
            <w:pPr>
              <w:pStyle w:val="TAC"/>
              <w:rPr/>
            </w:pPr>
            <w:r>
              <w:rPr/>
              <w:t>IV</w:t>
            </w:r>
          </w:p>
        </w:tc>
        <w:tc>
          <w:tcPr>
            <w:tcW w:w="3507"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2291" w:type="dxa"/>
            <w:tcBorders>
              <w:top w:val="single" w:sz="4" w:space="0" w:color="000000"/>
              <w:left w:val="single" w:sz="4" w:space="0" w:color="000000"/>
              <w:bottom w:val="single" w:sz="4" w:space="0" w:color="000000"/>
              <w:right w:val="single" w:sz="4" w:space="0" w:color="000000"/>
            </w:tcBorders>
          </w:tcPr>
          <w:p>
            <w:pPr>
              <w:pStyle w:val="TAC"/>
              <w:rPr/>
            </w:pPr>
            <w:r>
              <w:rPr/>
              <w:t>-104</w:t>
            </w:r>
          </w:p>
        </w:tc>
      </w:tr>
      <w:tr>
        <w:trPr>
          <w:trHeight w:val="57" w:hRule="atLeast"/>
          <w:cantSplit w:val="true"/>
        </w:trPr>
        <w:tc>
          <w:tcPr>
            <w:tcW w:w="3899" w:type="dxa"/>
            <w:tcBorders>
              <w:top w:val="single" w:sz="4" w:space="0" w:color="000000"/>
              <w:left w:val="single" w:sz="4" w:space="0" w:color="000000"/>
              <w:bottom w:val="single" w:sz="4" w:space="0" w:color="000000"/>
              <w:right w:val="single" w:sz="4" w:space="0" w:color="000000"/>
            </w:tcBorders>
          </w:tcPr>
          <w:p>
            <w:pPr>
              <w:pStyle w:val="TAC"/>
              <w:rPr/>
            </w:pPr>
            <w:r>
              <w:rPr/>
              <w:t>V</w:t>
            </w:r>
          </w:p>
        </w:tc>
        <w:tc>
          <w:tcPr>
            <w:tcW w:w="3507"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2291" w:type="dxa"/>
            <w:tcBorders>
              <w:top w:val="single" w:sz="4" w:space="0" w:color="000000"/>
              <w:left w:val="single" w:sz="4" w:space="0" w:color="000000"/>
              <w:bottom w:val="single" w:sz="4" w:space="0" w:color="000000"/>
              <w:right w:val="single" w:sz="4" w:space="0" w:color="000000"/>
            </w:tcBorders>
          </w:tcPr>
          <w:p>
            <w:pPr>
              <w:pStyle w:val="TAC"/>
              <w:rPr/>
            </w:pPr>
            <w:r>
              <w:rPr/>
              <w:t>-99.5</w:t>
            </w:r>
          </w:p>
        </w:tc>
      </w:tr>
      <w:tr>
        <w:trPr>
          <w:trHeight w:val="57" w:hRule="atLeast"/>
          <w:cantSplit w:val="true"/>
        </w:trPr>
        <w:tc>
          <w:tcPr>
            <w:tcW w:w="3899" w:type="dxa"/>
            <w:tcBorders>
              <w:top w:val="single" w:sz="4" w:space="0" w:color="000000"/>
              <w:left w:val="single" w:sz="4" w:space="0" w:color="000000"/>
              <w:bottom w:val="single" w:sz="4" w:space="0" w:color="000000"/>
              <w:right w:val="single" w:sz="4" w:space="0" w:color="000000"/>
            </w:tcBorders>
          </w:tcPr>
          <w:p>
            <w:pPr>
              <w:pStyle w:val="TAC"/>
              <w:rPr/>
            </w:pPr>
            <w:r>
              <w:rPr/>
              <w:t>VI</w:t>
            </w:r>
          </w:p>
        </w:tc>
        <w:tc>
          <w:tcPr>
            <w:tcW w:w="3507"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2291" w:type="dxa"/>
            <w:tcBorders>
              <w:top w:val="single" w:sz="4" w:space="0" w:color="000000"/>
              <w:left w:val="single" w:sz="4" w:space="0" w:color="000000"/>
              <w:bottom w:val="single" w:sz="4" w:space="0" w:color="000000"/>
              <w:right w:val="single" w:sz="4" w:space="0" w:color="000000"/>
            </w:tcBorders>
          </w:tcPr>
          <w:p>
            <w:pPr>
              <w:pStyle w:val="TAC"/>
              <w:rPr/>
            </w:pPr>
            <w:r>
              <w:rPr/>
              <w:t>-101</w:t>
            </w:r>
          </w:p>
        </w:tc>
      </w:tr>
      <w:tr>
        <w:trPr>
          <w:trHeight w:val="57" w:hRule="atLeast"/>
          <w:cantSplit w:val="true"/>
        </w:trPr>
        <w:tc>
          <w:tcPr>
            <w:tcW w:w="3899" w:type="dxa"/>
            <w:tcBorders>
              <w:top w:val="single" w:sz="4" w:space="0" w:color="000000"/>
              <w:left w:val="single" w:sz="4" w:space="0" w:color="000000"/>
              <w:bottom w:val="single" w:sz="4" w:space="0" w:color="000000"/>
              <w:right w:val="single" w:sz="4" w:space="0" w:color="000000"/>
            </w:tcBorders>
          </w:tcPr>
          <w:p>
            <w:pPr>
              <w:pStyle w:val="TAC"/>
              <w:rPr/>
            </w:pPr>
            <w:r>
              <w:rPr/>
              <w:t>VII</w:t>
            </w:r>
          </w:p>
        </w:tc>
        <w:tc>
          <w:tcPr>
            <w:tcW w:w="3507"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2291" w:type="dxa"/>
            <w:tcBorders>
              <w:top w:val="single" w:sz="4" w:space="0" w:color="000000"/>
              <w:left w:val="single" w:sz="4" w:space="0" w:color="000000"/>
              <w:bottom w:val="single" w:sz="4" w:space="0" w:color="000000"/>
              <w:right w:val="single" w:sz="4" w:space="0" w:color="000000"/>
            </w:tcBorders>
          </w:tcPr>
          <w:p>
            <w:pPr>
              <w:pStyle w:val="TAC"/>
              <w:rPr/>
            </w:pPr>
            <w:r>
              <w:rPr/>
              <w:t>-102</w:t>
            </w:r>
          </w:p>
        </w:tc>
      </w:tr>
      <w:tr>
        <w:trPr>
          <w:trHeight w:val="57" w:hRule="atLeast"/>
          <w:cantSplit w:val="true"/>
        </w:trPr>
        <w:tc>
          <w:tcPr>
            <w:tcW w:w="3899" w:type="dxa"/>
            <w:tcBorders>
              <w:top w:val="single" w:sz="4" w:space="0" w:color="000000"/>
              <w:left w:val="single" w:sz="4" w:space="0" w:color="000000"/>
              <w:bottom w:val="single" w:sz="4" w:space="0" w:color="000000"/>
              <w:right w:val="single" w:sz="4" w:space="0" w:color="000000"/>
            </w:tcBorders>
          </w:tcPr>
          <w:p>
            <w:pPr>
              <w:pStyle w:val="TAC"/>
              <w:rPr/>
            </w:pPr>
            <w:r>
              <w:rPr/>
              <w:t>VIII</w:t>
            </w:r>
          </w:p>
        </w:tc>
        <w:tc>
          <w:tcPr>
            <w:tcW w:w="3507"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2291" w:type="dxa"/>
            <w:tcBorders>
              <w:top w:val="single" w:sz="4" w:space="0" w:color="000000"/>
              <w:left w:val="single" w:sz="4" w:space="0" w:color="000000"/>
              <w:bottom w:val="single" w:sz="4" w:space="0" w:color="000000"/>
              <w:right w:val="single" w:sz="4" w:space="0" w:color="000000"/>
            </w:tcBorders>
          </w:tcPr>
          <w:p>
            <w:pPr>
              <w:pStyle w:val="TAC"/>
              <w:rPr/>
            </w:pPr>
            <w:r>
              <w:rPr/>
              <w:t>-100</w:t>
            </w:r>
          </w:p>
        </w:tc>
      </w:tr>
      <w:tr>
        <w:trPr>
          <w:trHeight w:val="105" w:hRule="atLeast"/>
          <w:cantSplit w:val="true"/>
        </w:trPr>
        <w:tc>
          <w:tcPr>
            <w:tcW w:w="3899" w:type="dxa"/>
            <w:tcBorders>
              <w:top w:val="single" w:sz="4" w:space="0" w:color="000000"/>
              <w:left w:val="single" w:sz="4" w:space="0" w:color="000000"/>
              <w:bottom w:val="single" w:sz="4" w:space="0" w:color="000000"/>
              <w:right w:val="single" w:sz="4" w:space="0" w:color="000000"/>
            </w:tcBorders>
          </w:tcPr>
          <w:p>
            <w:pPr>
              <w:pStyle w:val="TAC"/>
              <w:rPr/>
            </w:pPr>
            <w:r>
              <w:rPr/>
              <w:t>IX</w:t>
            </w:r>
          </w:p>
        </w:tc>
        <w:tc>
          <w:tcPr>
            <w:tcW w:w="3507"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2291" w:type="dxa"/>
            <w:tcBorders>
              <w:top w:val="single" w:sz="4" w:space="0" w:color="000000"/>
              <w:left w:val="single" w:sz="4" w:space="0" w:color="000000"/>
              <w:bottom w:val="single" w:sz="4" w:space="0" w:color="000000"/>
              <w:right w:val="single" w:sz="4" w:space="0" w:color="000000"/>
            </w:tcBorders>
          </w:tcPr>
          <w:p>
            <w:pPr>
              <w:pStyle w:val="TAC"/>
              <w:rPr/>
            </w:pPr>
            <w:r>
              <w:rPr/>
              <w:t>-103</w:t>
            </w:r>
          </w:p>
        </w:tc>
      </w:tr>
      <w:tr>
        <w:trPr>
          <w:trHeight w:val="105" w:hRule="atLeast"/>
          <w:cantSplit w:val="true"/>
        </w:trPr>
        <w:tc>
          <w:tcPr>
            <w:tcW w:w="3899"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XIX</w:t>
            </w:r>
          </w:p>
        </w:tc>
        <w:tc>
          <w:tcPr>
            <w:tcW w:w="350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2291"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-10</w:t>
            </w:r>
            <w:r>
              <w:rPr>
                <w:lang w:eastAsia="ja-JP"/>
              </w:rPr>
              <w:t>1</w:t>
            </w:r>
          </w:p>
        </w:tc>
      </w:tr>
      <w:tr>
        <w:trPr>
          <w:trHeight w:val="105" w:hRule="atLeast"/>
          <w:cantSplit w:val="true"/>
        </w:trPr>
        <w:tc>
          <w:tcPr>
            <w:tcW w:w="9697" w:type="dxa"/>
            <w:gridSpan w:val="3"/>
            <w:tcBorders>
              <w:top w:val="single" w:sz="4" w:space="0" w:color="000000"/>
              <w:left w:val="single" w:sz="4" w:space="0" w:color="000000"/>
              <w:bottom w:val="single" w:sz="4" w:space="0" w:color="000000"/>
              <w:right w:val="single" w:sz="4" w:space="0" w:color="000000"/>
            </w:tcBorders>
          </w:tcPr>
          <w:p>
            <w:pPr>
              <w:pStyle w:val="TAN"/>
              <w:rPr/>
            </w:pPr>
            <w:r>
              <w:rPr/>
              <w:t>NOTE 1:</w:t>
              <w:tab/>
              <w:t xml:space="preserve">For the UE which supports DB-DC-HSDPA configuration 2, average &lt;REFÎor&gt; level of -101 dBm/3.84 </w:t>
            </w:r>
            <w:r>
              <w:rPr>
                <w:lang w:eastAsia="ko-KR"/>
              </w:rPr>
              <w:t>shall apply for Band II.</w:t>
            </w:r>
          </w:p>
          <w:p>
            <w:pPr>
              <w:pStyle w:val="TAN"/>
              <w:rPr/>
            </w:pPr>
            <w:r>
              <w:rPr/>
              <w:t>NOTE 2:</w:t>
              <w:tab/>
              <w:t>For the UE which supports DB-DC-HSDPA configuration 2, average &lt;REFÎor&gt; level of -103 dBm/3.84 MHz shall apply for Band IV.</w:t>
            </w:r>
          </w:p>
        </w:tc>
      </w:tr>
    </w:tbl>
    <w:p>
      <w:pPr>
        <w:pStyle w:val="Normal"/>
        <w:rPr/>
      </w:pPr>
      <w:r>
        <w:rPr/>
      </w:r>
    </w:p>
    <w:p>
      <w:pPr>
        <w:pStyle w:val="Heading3"/>
        <w:rPr>
          <w:sz w:val="24"/>
          <w:szCs w:val="24"/>
          <w:lang w:eastAsia="zh-TW"/>
        </w:rPr>
      </w:pPr>
      <w:bookmarkStart w:id="575" w:name="__RefHeading___Toc68601468"/>
      <w:bookmarkEnd w:id="575"/>
      <w:r>
        <w:rPr>
          <w:sz w:val="24"/>
          <w:szCs w:val="24"/>
          <w:lang w:eastAsia="zh-TW"/>
        </w:rPr>
        <w:t>I.3.1.2</w:t>
        <w:tab/>
        <w:t>UTRA LCR TDD</w:t>
      </w:r>
    </w:p>
    <w:p>
      <w:pPr>
        <w:pStyle w:val="TH"/>
        <w:rPr/>
      </w:pPr>
      <w:r>
        <w:rPr/>
        <w:t xml:space="preserve">Table </w:t>
      </w:r>
      <w:r>
        <w:rPr>
          <w:lang w:eastAsia="zh-TW"/>
        </w:rPr>
        <w:t>I</w:t>
      </w:r>
      <w:r>
        <w:rPr/>
        <w:t>.</w:t>
      </w:r>
      <w:r>
        <w:rPr>
          <w:lang w:eastAsia="zh-CN"/>
        </w:rPr>
        <w:t>3.1.</w:t>
      </w:r>
      <w:r>
        <w:rPr>
          <w:lang w:eastAsia="zh-TW"/>
        </w:rPr>
        <w:t>2</w:t>
      </w:r>
      <w:r>
        <w:rPr>
          <w:lang w:eastAsia="zh-CN"/>
        </w:rPr>
        <w:t>-1</w:t>
      </w:r>
      <w:r>
        <w:rPr/>
        <w:t>: Handheld UE TRS recommended performance for UTRA LCR</w:t>
      </w:r>
      <w:r>
        <w:rPr>
          <w:lang w:eastAsia="zh-CN"/>
        </w:rPr>
        <w:t xml:space="preserve"> TDD</w:t>
      </w:r>
      <w:r>
        <w:rPr/>
        <w:t xml:space="preserve"> in beside the head phantom position and the primary mechanical mode.</w:t>
      </w:r>
    </w:p>
    <w:tbl>
      <w:tblPr>
        <w:tblW w:w="4939" w:type="dxa"/>
        <w:jc w:val="center"/>
        <w:tblInd w:w="0" w:type="dxa"/>
        <w:tblLayout w:type="fixed"/>
        <w:tblCellMar>
          <w:top w:w="0" w:type="dxa"/>
          <w:left w:w="108" w:type="dxa"/>
          <w:bottom w:w="0" w:type="dxa"/>
          <w:right w:w="108" w:type="dxa"/>
        </w:tblCellMar>
      </w:tblPr>
      <w:tblGrid>
        <w:gridCol w:w="1924"/>
        <w:gridCol w:w="1750"/>
        <w:gridCol w:w="1265"/>
      </w:tblGrid>
      <w:tr>
        <w:trPr>
          <w:trHeight w:val="431" w:hRule="atLeast"/>
        </w:trPr>
        <w:tc>
          <w:tcPr>
            <w:tcW w:w="1924" w:type="dxa"/>
            <w:tcBorders>
              <w:top w:val="single" w:sz="4" w:space="0" w:color="000000"/>
              <w:left w:val="single" w:sz="4" w:space="0" w:color="000000"/>
              <w:right w:val="single" w:sz="4" w:space="0" w:color="000000"/>
            </w:tcBorders>
          </w:tcPr>
          <w:p>
            <w:pPr>
              <w:pStyle w:val="TAH"/>
              <w:rPr/>
            </w:pPr>
            <w:r>
              <w:rPr/>
              <w:t>Operating band</w:t>
            </w:r>
          </w:p>
        </w:tc>
        <w:tc>
          <w:tcPr>
            <w:tcW w:w="1750" w:type="dxa"/>
            <w:tcBorders>
              <w:top w:val="single" w:sz="4" w:space="0" w:color="000000"/>
              <w:left w:val="single" w:sz="4" w:space="0" w:color="000000"/>
              <w:right w:val="single" w:sz="4" w:space="0" w:color="000000"/>
            </w:tcBorders>
          </w:tcPr>
          <w:p>
            <w:pPr>
              <w:pStyle w:val="TAH"/>
              <w:rPr/>
            </w:pPr>
            <w:r>
              <w:rPr/>
              <w:t>Unit</w:t>
            </w:r>
          </w:p>
        </w:tc>
        <w:tc>
          <w:tcPr>
            <w:tcW w:w="1265" w:type="dxa"/>
            <w:tcBorders>
              <w:top w:val="single" w:sz="4" w:space="0" w:color="000000"/>
              <w:left w:val="single" w:sz="4" w:space="0" w:color="000000"/>
              <w:right w:val="single" w:sz="4" w:space="0" w:color="000000"/>
            </w:tcBorders>
          </w:tcPr>
          <w:p>
            <w:pPr>
              <w:pStyle w:val="TAH"/>
              <w:rPr/>
            </w:pPr>
            <w:r>
              <w:rPr/>
              <w:t>&lt;REFÎor&gt;</w:t>
            </w:r>
          </w:p>
          <w:p>
            <w:pPr>
              <w:pStyle w:val="TAH"/>
              <w:rPr/>
            </w:pPr>
            <w:r>
              <w:rPr/>
              <w:t>Average</w:t>
            </w:r>
          </w:p>
        </w:tc>
      </w:tr>
      <w:tr>
        <w:trPr>
          <w:trHeight w:val="218" w:hRule="atLeast"/>
        </w:trPr>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pPr>
            <w:r>
              <w:rPr/>
              <w:t>a</w:t>
            </w:r>
          </w:p>
        </w:tc>
        <w:tc>
          <w:tcPr>
            <w:tcW w:w="1750"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dBm/1.28 MHz </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-105</w:t>
            </w:r>
          </w:p>
        </w:tc>
      </w:tr>
      <w:tr>
        <w:trPr>
          <w:trHeight w:val="218" w:hRule="atLeast"/>
        </w:trPr>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pPr>
            <w:r>
              <w:rPr/>
              <w:t>b</w:t>
            </w:r>
          </w:p>
        </w:tc>
        <w:tc>
          <w:tcPr>
            <w:tcW w:w="1750" w:type="dxa"/>
            <w:tcBorders>
              <w:top w:val="single" w:sz="4" w:space="0" w:color="000000"/>
              <w:left w:val="single" w:sz="4" w:space="0" w:color="000000"/>
              <w:bottom w:val="single" w:sz="4" w:space="0" w:color="000000"/>
              <w:right w:val="single" w:sz="4" w:space="0" w:color="000000"/>
            </w:tcBorders>
            <w:vAlign w:val="center"/>
          </w:tcPr>
          <w:p>
            <w:pPr>
              <w:pStyle w:val="TAC"/>
              <w:rPr/>
            </w:pPr>
            <w:r>
              <w:rPr/>
              <w:t>dBm/1.28 MHz</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r>
      <w:tr>
        <w:trPr>
          <w:trHeight w:val="218" w:hRule="atLeast"/>
        </w:trPr>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pPr>
            <w:r>
              <w:rPr/>
              <w:t>c</w:t>
            </w:r>
          </w:p>
        </w:tc>
        <w:tc>
          <w:tcPr>
            <w:tcW w:w="1750" w:type="dxa"/>
            <w:tcBorders>
              <w:top w:val="single" w:sz="4" w:space="0" w:color="000000"/>
              <w:left w:val="single" w:sz="4" w:space="0" w:color="000000"/>
              <w:bottom w:val="single" w:sz="4" w:space="0" w:color="000000"/>
              <w:right w:val="single" w:sz="4" w:space="0" w:color="000000"/>
            </w:tcBorders>
            <w:vAlign w:val="center"/>
          </w:tcPr>
          <w:p>
            <w:pPr>
              <w:pStyle w:val="TAC"/>
              <w:rPr/>
            </w:pPr>
            <w:r>
              <w:rPr/>
              <w:t>dBm/1.28 MHz</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r>
      <w:tr>
        <w:trPr>
          <w:trHeight w:val="218" w:hRule="atLeast"/>
        </w:trPr>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pPr>
            <w:r>
              <w:rPr/>
              <w:t>d</w:t>
            </w:r>
          </w:p>
        </w:tc>
        <w:tc>
          <w:tcPr>
            <w:tcW w:w="1750" w:type="dxa"/>
            <w:tcBorders>
              <w:top w:val="single" w:sz="4" w:space="0" w:color="000000"/>
              <w:left w:val="single" w:sz="4" w:space="0" w:color="000000"/>
              <w:bottom w:val="single" w:sz="4" w:space="0" w:color="000000"/>
              <w:right w:val="single" w:sz="4" w:space="0" w:color="000000"/>
            </w:tcBorders>
            <w:vAlign w:val="center"/>
          </w:tcPr>
          <w:p>
            <w:pPr>
              <w:pStyle w:val="TAC"/>
              <w:rPr/>
            </w:pPr>
            <w:r>
              <w:rPr/>
              <w:t>dBm/1.28 MHz</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r>
      <w:tr>
        <w:trPr>
          <w:trHeight w:val="218" w:hRule="atLeast"/>
        </w:trPr>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pPr>
            <w:r>
              <w:rPr/>
              <w:t>e</w:t>
            </w:r>
          </w:p>
        </w:tc>
        <w:tc>
          <w:tcPr>
            <w:tcW w:w="1750" w:type="dxa"/>
            <w:tcBorders>
              <w:top w:val="single" w:sz="4" w:space="0" w:color="000000"/>
              <w:left w:val="single" w:sz="4" w:space="0" w:color="000000"/>
              <w:bottom w:val="single" w:sz="4" w:space="0" w:color="000000"/>
              <w:right w:val="single" w:sz="4" w:space="0" w:color="000000"/>
            </w:tcBorders>
            <w:vAlign w:val="center"/>
          </w:tcPr>
          <w:p>
            <w:pPr>
              <w:pStyle w:val="TAC"/>
              <w:rPr/>
            </w:pPr>
            <w:r>
              <w:rPr/>
              <w:t>dBm/1.28 MHz</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-105</w:t>
            </w:r>
          </w:p>
        </w:tc>
      </w:tr>
      <w:tr>
        <w:trPr>
          <w:trHeight w:val="218" w:hRule="atLeast"/>
        </w:trPr>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pPr>
            <w:r>
              <w:rPr/>
              <w:t>f</w:t>
            </w:r>
          </w:p>
        </w:tc>
        <w:tc>
          <w:tcPr>
            <w:tcW w:w="1750" w:type="dxa"/>
            <w:tcBorders>
              <w:top w:val="single" w:sz="4" w:space="0" w:color="000000"/>
              <w:left w:val="single" w:sz="4" w:space="0" w:color="000000"/>
              <w:bottom w:val="single" w:sz="4" w:space="0" w:color="000000"/>
              <w:right w:val="single" w:sz="4" w:space="0" w:color="000000"/>
            </w:tcBorders>
            <w:vAlign w:val="center"/>
          </w:tcPr>
          <w:p>
            <w:pPr>
              <w:pStyle w:val="TAC"/>
              <w:rPr/>
            </w:pPr>
            <w:r>
              <w:rPr/>
              <w:t>dBm/1.28 MHz</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-105</w:t>
            </w:r>
          </w:p>
        </w:tc>
      </w:tr>
      <w:tr>
        <w:trPr>
          <w:trHeight w:val="220" w:hRule="atLeast"/>
        </w:trPr>
        <w:tc>
          <w:tcPr>
            <w:tcW w:w="4939" w:type="dxa"/>
            <w:gridSpan w:val="3"/>
            <w:tcBorders>
              <w:left w:val="single" w:sz="4" w:space="0" w:color="000000"/>
              <w:bottom w:val="single" w:sz="4" w:space="0" w:color="000000"/>
              <w:right w:val="single" w:sz="4" w:space="0" w:color="000000"/>
            </w:tcBorders>
            <w:vAlign w:val="center"/>
          </w:tcPr>
          <w:p>
            <w:pPr>
              <w:pStyle w:val="TAN"/>
              <w:rPr/>
            </w:pPr>
            <w:r>
              <w:rPr/>
              <w:t>NOTE:</w:t>
              <w:tab/>
              <w:t xml:space="preserve">Applicable for dual-mode GSM/UTRA LCR TDD. </w:t>
            </w:r>
          </w:p>
        </w:tc>
      </w:tr>
    </w:tbl>
    <w:p>
      <w:pPr>
        <w:pStyle w:val="Normal"/>
        <w:rPr/>
      </w:pPr>
      <w:r>
        <w:rPr/>
      </w:r>
    </w:p>
    <w:p>
      <w:pPr>
        <w:pStyle w:val="Heading3"/>
        <w:rPr>
          <w:szCs w:val="28"/>
          <w:lang w:eastAsia="zh-TW"/>
        </w:rPr>
      </w:pPr>
      <w:bookmarkStart w:id="576" w:name="__RefHeading___Toc68601469"/>
      <w:bookmarkEnd w:id="576"/>
      <w:r>
        <w:rPr>
          <w:szCs w:val="28"/>
          <w:lang w:eastAsia="zh-TW"/>
        </w:rPr>
        <w:t>I.3.2</w:t>
        <w:tab/>
        <w:t>Beside the head and hand phantoms position</w:t>
      </w:r>
    </w:p>
    <w:p>
      <w:pPr>
        <w:pStyle w:val="Normal"/>
        <w:jc w:val="both"/>
        <w:rPr>
          <w:lang w:eastAsia="zh-TW"/>
        </w:rPr>
      </w:pPr>
      <w:r>
        <w:rPr/>
        <w:t>Beside the head</w:t>
      </w:r>
      <w:r>
        <w:rPr>
          <w:lang w:eastAsia="zh-TW"/>
        </w:rPr>
        <w:t xml:space="preserve"> and hand</w:t>
      </w:r>
      <w:r>
        <w:rPr/>
        <w:t xml:space="preserve"> phantom</w:t>
      </w:r>
      <w:r>
        <w:rPr>
          <w:lang w:eastAsia="zh-TW"/>
        </w:rPr>
        <w:t>s</w:t>
      </w:r>
      <w:r>
        <w:rPr/>
        <w:t xml:space="preserve"> test method is defined in subclauses </w:t>
      </w:r>
      <w:r>
        <w:rPr>
          <w:lang w:eastAsia="zh-TW"/>
        </w:rPr>
        <w:t>4.3.3</w:t>
      </w:r>
      <w:r>
        <w:rPr/>
        <w:t>.</w:t>
      </w:r>
    </w:p>
    <w:p>
      <w:pPr>
        <w:pStyle w:val="Heading3"/>
        <w:rPr>
          <w:sz w:val="24"/>
          <w:szCs w:val="24"/>
          <w:lang w:eastAsia="zh-TW"/>
        </w:rPr>
      </w:pPr>
      <w:bookmarkStart w:id="577" w:name="__RefHeading___Toc68601470"/>
      <w:bookmarkEnd w:id="577"/>
      <w:r>
        <w:rPr>
          <w:sz w:val="24"/>
          <w:szCs w:val="24"/>
          <w:lang w:eastAsia="zh-TW"/>
        </w:rPr>
        <w:t>I.3.2.1</w:t>
        <w:tab/>
        <w:t>UTRA FDD</w:t>
      </w:r>
    </w:p>
    <w:p>
      <w:pPr>
        <w:pStyle w:val="TH"/>
        <w:rPr/>
      </w:pPr>
      <w:r>
        <w:rPr/>
        <w:t xml:space="preserve">Table </w:t>
      </w:r>
      <w:r>
        <w:rPr>
          <w:lang w:eastAsia="zh-TW"/>
        </w:rPr>
        <w:t>I</w:t>
      </w:r>
      <w:r>
        <w:rPr/>
        <w:t>.3.2.1-1: TRS recommended performance for UTRA FDD in the beside the head and hand phantoms position for the primary mechanical mode</w:t>
      </w:r>
    </w:p>
    <w:tbl>
      <w:tblPr>
        <w:tblW w:w="6264" w:type="dxa"/>
        <w:jc w:val="center"/>
        <w:tblInd w:w="0" w:type="dxa"/>
        <w:tblLayout w:type="fixed"/>
        <w:tblCellMar>
          <w:top w:w="0" w:type="dxa"/>
          <w:left w:w="28" w:type="dxa"/>
          <w:bottom w:w="0" w:type="dxa"/>
          <w:right w:w="28" w:type="dxa"/>
        </w:tblCellMar>
      </w:tblPr>
      <w:tblGrid>
        <w:gridCol w:w="1897"/>
        <w:gridCol w:w="2369"/>
        <w:gridCol w:w="1998"/>
      </w:tblGrid>
      <w:tr>
        <w:trPr>
          <w:trHeight w:val="424" w:hRule="atLeast"/>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Operating band</w:t>
            </w:r>
          </w:p>
        </w:tc>
        <w:tc>
          <w:tcPr>
            <w:tcW w:w="236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Unit</w:t>
            </w:r>
          </w:p>
        </w:tc>
        <w:tc>
          <w:tcPr>
            <w:tcW w:w="1998"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&lt;REFÎ</w:t>
            </w:r>
            <w:r>
              <w:rPr>
                <w:vertAlign w:val="subscript"/>
                <w:lang w:eastAsia="en-US"/>
              </w:rPr>
              <w:t>or</w:t>
            </w:r>
            <w:r>
              <w:rPr>
                <w:lang w:eastAsia="en-US"/>
              </w:rPr>
              <w:t>&gt;</w:t>
            </w:r>
          </w:p>
          <w:p>
            <w:pPr>
              <w:pStyle w:val="TAH"/>
              <w:rPr>
                <w:lang w:eastAsia="en-US"/>
              </w:rPr>
            </w:pPr>
            <w:r>
              <w:rPr>
                <w:lang w:eastAsia="en-US"/>
              </w:rPr>
              <w:t>Average</w:t>
            </w:r>
          </w:p>
        </w:tc>
      </w:tr>
      <w:tr>
        <w:trPr>
          <w:trHeight w:val="57" w:hRule="atLeast"/>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w:t>
            </w:r>
          </w:p>
        </w:tc>
        <w:tc>
          <w:tcPr>
            <w:tcW w:w="236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99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-104.0</w:t>
            </w:r>
          </w:p>
        </w:tc>
      </w:tr>
      <w:tr>
        <w:trPr>
          <w:trHeight w:val="57" w:hRule="atLeast"/>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w:t>
            </w:r>
          </w:p>
        </w:tc>
        <w:tc>
          <w:tcPr>
            <w:tcW w:w="236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99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-102.0</w:t>
            </w:r>
          </w:p>
        </w:tc>
      </w:tr>
      <w:tr>
        <w:trPr>
          <w:trHeight w:val="57" w:hRule="atLeast"/>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III</w:t>
            </w:r>
          </w:p>
        </w:tc>
        <w:tc>
          <w:tcPr>
            <w:tcW w:w="236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99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IV</w:t>
            </w:r>
          </w:p>
        </w:tc>
        <w:tc>
          <w:tcPr>
            <w:tcW w:w="236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99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w:t>
            </w:r>
          </w:p>
        </w:tc>
        <w:tc>
          <w:tcPr>
            <w:tcW w:w="236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99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-99.75</w:t>
            </w:r>
          </w:p>
        </w:tc>
      </w:tr>
      <w:tr>
        <w:trPr>
          <w:trHeight w:val="57" w:hRule="atLeast"/>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w:t>
            </w:r>
          </w:p>
        </w:tc>
        <w:tc>
          <w:tcPr>
            <w:tcW w:w="2369"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dBm/3.84 MHz</w:t>
            </w:r>
          </w:p>
        </w:tc>
        <w:tc>
          <w:tcPr>
            <w:tcW w:w="199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-99.75</w:t>
            </w:r>
          </w:p>
        </w:tc>
      </w:tr>
      <w:tr>
        <w:trPr>
          <w:trHeight w:val="57" w:hRule="atLeast"/>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w:t>
            </w:r>
          </w:p>
        </w:tc>
        <w:tc>
          <w:tcPr>
            <w:tcW w:w="236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99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VIII</w:t>
            </w:r>
          </w:p>
        </w:tc>
        <w:tc>
          <w:tcPr>
            <w:tcW w:w="236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99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-99.75</w:t>
            </w:r>
          </w:p>
        </w:tc>
      </w:tr>
      <w:tr>
        <w:trPr>
          <w:trHeight w:val="105" w:hRule="atLeast"/>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IX</w:t>
            </w:r>
          </w:p>
        </w:tc>
        <w:tc>
          <w:tcPr>
            <w:tcW w:w="236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99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105" w:hRule="atLeast"/>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XIX</w:t>
            </w:r>
          </w:p>
        </w:tc>
        <w:tc>
          <w:tcPr>
            <w:tcW w:w="236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99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-99.75</w:t>
            </w:r>
          </w:p>
        </w:tc>
      </w:tr>
      <w:tr>
        <w:trPr>
          <w:trHeight w:val="105" w:hRule="atLeast"/>
          <w:cantSplit w:val="true"/>
        </w:trPr>
        <w:tc>
          <w:tcPr>
            <w:tcW w:w="6264" w:type="dxa"/>
            <w:gridSpan w:val="3"/>
            <w:tcBorders>
              <w:top w:val="single" w:sz="4" w:space="0" w:color="000000"/>
              <w:left w:val="single" w:sz="4" w:space="0" w:color="000000"/>
              <w:bottom w:val="single" w:sz="4" w:space="0" w:color="000000"/>
              <w:right w:val="single" w:sz="4" w:space="0" w:color="000000"/>
            </w:tcBorders>
          </w:tcPr>
          <w:p>
            <w:pPr>
              <w:pStyle w:val="TAN"/>
              <w:rPr/>
            </w:pPr>
            <w:r>
              <w:rPr>
                <w:lang w:eastAsia="en-US"/>
              </w:rPr>
              <w:t>NOTE 1:</w:t>
              <w:tab/>
              <w:t xml:space="preserve">For the UE which supports DB-DC-HSDPA configuration 2, average &lt;REFÎor&gt; level of -101 dBm/3.84 </w:t>
            </w:r>
            <w:r>
              <w:rPr>
                <w:lang w:eastAsia="ko-KR"/>
              </w:rPr>
              <w:t>shall apply for Band II.</w:t>
            </w:r>
          </w:p>
          <w:p>
            <w:pPr>
              <w:pStyle w:val="TAN"/>
              <w:rPr/>
            </w:pPr>
            <w:r>
              <w:rPr>
                <w:lang w:eastAsia="en-US"/>
              </w:rPr>
              <w:t>NOTE 2:</w:t>
              <w:tab/>
              <w:t>For the UE which supports DB-DC-HSDPA configuration 2, average &lt;REFÎor&gt; level of -103 dBm/3.84 MHz shall apply for Band IV.</w:t>
            </w:r>
          </w:p>
          <w:p>
            <w:pPr>
              <w:pStyle w:val="TAN"/>
              <w:rPr/>
            </w:pPr>
            <w:r>
              <w:rPr>
                <w:rFonts w:cs="Arial"/>
                <w:lang w:eastAsia="en-US"/>
              </w:rPr>
              <w:t>NOTE 3:</w:t>
              <w:tab/>
              <w:t>Applicable for devices narrower than 72mm as defined in TR 25.914</w:t>
            </w:r>
          </w:p>
          <w:p>
            <w:pPr>
              <w:pStyle w:val="TAN"/>
              <w:rPr>
                <w:lang w:eastAsia="en-US"/>
              </w:rPr>
            </w:pPr>
            <w:r>
              <w:rPr>
                <w:rFonts w:cs="Arial"/>
                <w:lang w:eastAsia="en-US"/>
              </w:rPr>
              <w:t>NOTE 4:</w:t>
              <w:tab/>
              <w:t>Not applicable for devices supporting CDMA or carrier aggregation</w:t>
            </w:r>
          </w:p>
        </w:tc>
      </w:tr>
    </w:tbl>
    <w:p>
      <w:pPr>
        <w:pStyle w:val="Normal"/>
        <w:rPr/>
      </w:pPr>
      <w:r>
        <w:rPr/>
      </w:r>
    </w:p>
    <w:p>
      <w:pPr>
        <w:pStyle w:val="Heading3"/>
        <w:rPr>
          <w:sz w:val="24"/>
          <w:szCs w:val="24"/>
          <w:lang w:eastAsia="zh-TW"/>
        </w:rPr>
      </w:pPr>
      <w:bookmarkStart w:id="578" w:name="__RefHeading___Toc68601471"/>
      <w:bookmarkEnd w:id="578"/>
      <w:r>
        <w:rPr>
          <w:sz w:val="24"/>
          <w:szCs w:val="24"/>
          <w:lang w:eastAsia="zh-TW"/>
        </w:rPr>
        <w:t>I.3.2.2</w:t>
        <w:tab/>
        <w:t>UTRA LCR TDD</w:t>
      </w:r>
    </w:p>
    <w:p>
      <w:pPr>
        <w:pStyle w:val="TH"/>
        <w:rPr/>
      </w:pPr>
      <w:r>
        <w:rPr/>
        <w:t xml:space="preserve">Table </w:t>
      </w:r>
      <w:r>
        <w:rPr>
          <w:lang w:eastAsia="zh-TW"/>
        </w:rPr>
        <w:t>I</w:t>
      </w:r>
      <w:r>
        <w:rPr/>
        <w:t>.</w:t>
      </w:r>
      <w:r>
        <w:rPr>
          <w:lang w:eastAsia="zh-CN"/>
        </w:rPr>
        <w:t>3.2.2-1</w:t>
      </w:r>
      <w:r>
        <w:rPr/>
        <w:t>: TRS recommended performance for UTRA LCR</w:t>
      </w:r>
      <w:r>
        <w:rPr>
          <w:lang w:eastAsia="zh-CN"/>
        </w:rPr>
        <w:t xml:space="preserve"> TDD</w:t>
      </w:r>
      <w:r>
        <w:rPr/>
        <w:t xml:space="preserve"> in the beside the head and hand phantoms position and the primary mechanical mode</w:t>
      </w:r>
    </w:p>
    <w:tbl>
      <w:tblPr>
        <w:tblW w:w="4939" w:type="dxa"/>
        <w:jc w:val="center"/>
        <w:tblInd w:w="0" w:type="dxa"/>
        <w:tblLayout w:type="fixed"/>
        <w:tblCellMar>
          <w:top w:w="0" w:type="dxa"/>
          <w:left w:w="108" w:type="dxa"/>
          <w:bottom w:w="0" w:type="dxa"/>
          <w:right w:w="108" w:type="dxa"/>
        </w:tblCellMar>
      </w:tblPr>
      <w:tblGrid>
        <w:gridCol w:w="1924"/>
        <w:gridCol w:w="1750"/>
        <w:gridCol w:w="1265"/>
      </w:tblGrid>
      <w:tr>
        <w:trPr>
          <w:trHeight w:val="470" w:hRule="atLeast"/>
        </w:trPr>
        <w:tc>
          <w:tcPr>
            <w:tcW w:w="1924" w:type="dxa"/>
            <w:tcBorders>
              <w:top w:val="single" w:sz="4" w:space="0" w:color="000000"/>
              <w:left w:val="single" w:sz="4" w:space="0" w:color="000000"/>
              <w:right w:val="single" w:sz="4" w:space="0" w:color="000000"/>
            </w:tcBorders>
          </w:tcPr>
          <w:p>
            <w:pPr>
              <w:pStyle w:val="TAH"/>
              <w:rPr/>
            </w:pPr>
            <w:r>
              <w:rPr/>
              <w:t>Operating band</w:t>
            </w:r>
          </w:p>
        </w:tc>
        <w:tc>
          <w:tcPr>
            <w:tcW w:w="1750" w:type="dxa"/>
            <w:tcBorders>
              <w:top w:val="single" w:sz="4" w:space="0" w:color="000000"/>
              <w:left w:val="single" w:sz="4" w:space="0" w:color="000000"/>
              <w:right w:val="single" w:sz="4" w:space="0" w:color="000000"/>
            </w:tcBorders>
          </w:tcPr>
          <w:p>
            <w:pPr>
              <w:pStyle w:val="TAH"/>
              <w:rPr/>
            </w:pPr>
            <w:r>
              <w:rPr/>
              <w:t>Unit</w:t>
            </w:r>
          </w:p>
        </w:tc>
        <w:tc>
          <w:tcPr>
            <w:tcW w:w="1265" w:type="dxa"/>
            <w:tcBorders>
              <w:top w:val="single" w:sz="4" w:space="0" w:color="000000"/>
              <w:left w:val="single" w:sz="4" w:space="0" w:color="000000"/>
              <w:right w:val="single" w:sz="4" w:space="0" w:color="000000"/>
            </w:tcBorders>
          </w:tcPr>
          <w:p>
            <w:pPr>
              <w:pStyle w:val="TAH"/>
              <w:rPr/>
            </w:pPr>
            <w:r>
              <w:rPr/>
              <w:t>&lt;REFÎor&gt;</w:t>
            </w:r>
          </w:p>
          <w:p>
            <w:pPr>
              <w:pStyle w:val="TAH"/>
              <w:rPr/>
            </w:pPr>
            <w:r>
              <w:rPr/>
              <w:t>Average</w:t>
            </w:r>
          </w:p>
        </w:tc>
      </w:tr>
      <w:tr>
        <w:trPr>
          <w:trHeight w:val="218" w:hRule="atLeast"/>
        </w:trPr>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pPr>
            <w:r>
              <w:rPr/>
              <w:t>a</w:t>
            </w:r>
          </w:p>
        </w:tc>
        <w:tc>
          <w:tcPr>
            <w:tcW w:w="1750"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dBm/1.28 MHz </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r>
      <w:tr>
        <w:trPr>
          <w:trHeight w:val="218" w:hRule="atLeast"/>
        </w:trPr>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pPr>
            <w:r>
              <w:rPr/>
              <w:t>b</w:t>
            </w:r>
          </w:p>
        </w:tc>
        <w:tc>
          <w:tcPr>
            <w:tcW w:w="1750" w:type="dxa"/>
            <w:tcBorders>
              <w:top w:val="single" w:sz="4" w:space="0" w:color="000000"/>
              <w:left w:val="single" w:sz="4" w:space="0" w:color="000000"/>
              <w:bottom w:val="single" w:sz="4" w:space="0" w:color="000000"/>
              <w:right w:val="single" w:sz="4" w:space="0" w:color="000000"/>
            </w:tcBorders>
            <w:vAlign w:val="center"/>
          </w:tcPr>
          <w:p>
            <w:pPr>
              <w:pStyle w:val="TAC"/>
              <w:rPr/>
            </w:pPr>
            <w:r>
              <w:rPr/>
              <w:t>dBm/1.28 MHz</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r>
      <w:tr>
        <w:trPr>
          <w:trHeight w:val="218" w:hRule="atLeast"/>
        </w:trPr>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pPr>
            <w:r>
              <w:rPr/>
              <w:t>c</w:t>
            </w:r>
          </w:p>
        </w:tc>
        <w:tc>
          <w:tcPr>
            <w:tcW w:w="1750" w:type="dxa"/>
            <w:tcBorders>
              <w:top w:val="single" w:sz="4" w:space="0" w:color="000000"/>
              <w:left w:val="single" w:sz="4" w:space="0" w:color="000000"/>
              <w:bottom w:val="single" w:sz="4" w:space="0" w:color="000000"/>
              <w:right w:val="single" w:sz="4" w:space="0" w:color="000000"/>
            </w:tcBorders>
            <w:vAlign w:val="center"/>
          </w:tcPr>
          <w:p>
            <w:pPr>
              <w:pStyle w:val="TAC"/>
              <w:rPr/>
            </w:pPr>
            <w:r>
              <w:rPr/>
              <w:t>dBm/1.28 MHz</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r>
      <w:tr>
        <w:trPr>
          <w:trHeight w:val="218" w:hRule="atLeast"/>
        </w:trPr>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pPr>
            <w:r>
              <w:rPr/>
              <w:t>d</w:t>
            </w:r>
          </w:p>
        </w:tc>
        <w:tc>
          <w:tcPr>
            <w:tcW w:w="1750" w:type="dxa"/>
            <w:tcBorders>
              <w:top w:val="single" w:sz="4" w:space="0" w:color="000000"/>
              <w:left w:val="single" w:sz="4" w:space="0" w:color="000000"/>
              <w:bottom w:val="single" w:sz="4" w:space="0" w:color="000000"/>
              <w:right w:val="single" w:sz="4" w:space="0" w:color="000000"/>
            </w:tcBorders>
            <w:vAlign w:val="center"/>
          </w:tcPr>
          <w:p>
            <w:pPr>
              <w:pStyle w:val="TAC"/>
              <w:rPr/>
            </w:pPr>
            <w:r>
              <w:rPr/>
              <w:t>dBm/1.28 MHz</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r>
      <w:tr>
        <w:trPr>
          <w:trHeight w:val="218" w:hRule="atLeast"/>
        </w:trPr>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pPr>
            <w:r>
              <w:rPr/>
              <w:t>e</w:t>
            </w:r>
          </w:p>
        </w:tc>
        <w:tc>
          <w:tcPr>
            <w:tcW w:w="1750" w:type="dxa"/>
            <w:tcBorders>
              <w:top w:val="single" w:sz="4" w:space="0" w:color="000000"/>
              <w:left w:val="single" w:sz="4" w:space="0" w:color="000000"/>
              <w:bottom w:val="single" w:sz="4" w:space="0" w:color="000000"/>
              <w:right w:val="single" w:sz="4" w:space="0" w:color="000000"/>
            </w:tcBorders>
            <w:vAlign w:val="center"/>
          </w:tcPr>
          <w:p>
            <w:pPr>
              <w:pStyle w:val="TAC"/>
              <w:rPr/>
            </w:pPr>
            <w:r>
              <w:rPr/>
              <w:t>dBm/1.28 MHz</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r>
      <w:tr>
        <w:trPr>
          <w:trHeight w:val="218" w:hRule="atLeast"/>
        </w:trPr>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pPr>
            <w:r>
              <w:rPr/>
              <w:t>f</w:t>
            </w:r>
          </w:p>
        </w:tc>
        <w:tc>
          <w:tcPr>
            <w:tcW w:w="1750" w:type="dxa"/>
            <w:tcBorders>
              <w:top w:val="single" w:sz="4" w:space="0" w:color="000000"/>
              <w:left w:val="single" w:sz="4" w:space="0" w:color="000000"/>
              <w:bottom w:val="single" w:sz="4" w:space="0" w:color="000000"/>
              <w:right w:val="single" w:sz="4" w:space="0" w:color="000000"/>
            </w:tcBorders>
            <w:vAlign w:val="center"/>
          </w:tcPr>
          <w:p>
            <w:pPr>
              <w:pStyle w:val="TAC"/>
              <w:rPr/>
            </w:pPr>
            <w:r>
              <w:rPr/>
              <w:t>dBm/1.28 MHz</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r>
      <w:tr>
        <w:trPr>
          <w:trHeight w:val="220" w:hRule="atLeast"/>
        </w:trPr>
        <w:tc>
          <w:tcPr>
            <w:tcW w:w="4939" w:type="dxa"/>
            <w:gridSpan w:val="3"/>
            <w:tcBorders>
              <w:left w:val="single" w:sz="4" w:space="0" w:color="000000"/>
              <w:bottom w:val="single" w:sz="4" w:space="0" w:color="000000"/>
              <w:right w:val="single" w:sz="4" w:space="0" w:color="000000"/>
            </w:tcBorders>
            <w:vAlign w:val="center"/>
          </w:tcPr>
          <w:p>
            <w:pPr>
              <w:pStyle w:val="TAN"/>
              <w:rPr/>
            </w:pPr>
            <w:r>
              <w:rPr/>
              <w:t>NOTE:</w:t>
              <w:tab/>
              <w:t xml:space="preserve">Applicable for dual-mode GSM/UTRA LCR TDD. </w:t>
            </w:r>
          </w:p>
        </w:tc>
      </w:tr>
    </w:tbl>
    <w:p>
      <w:pPr>
        <w:pStyle w:val="Normal"/>
        <w:rPr/>
      </w:pPr>
      <w:r>
        <w:rPr/>
      </w:r>
    </w:p>
    <w:p>
      <w:pPr>
        <w:pStyle w:val="Heading3"/>
        <w:rPr>
          <w:sz w:val="24"/>
          <w:szCs w:val="24"/>
          <w:lang w:eastAsia="zh-TW"/>
        </w:rPr>
      </w:pPr>
      <w:bookmarkStart w:id="579" w:name="__RefHeading___Toc68601472"/>
      <w:bookmarkEnd w:id="579"/>
      <w:r>
        <w:rPr>
          <w:sz w:val="24"/>
          <w:szCs w:val="24"/>
          <w:lang w:eastAsia="zh-TW"/>
        </w:rPr>
        <w:t>I.3.2.3</w:t>
        <w:tab/>
        <w:t>E-UTRA FDD</w:t>
      </w:r>
    </w:p>
    <w:p>
      <w:pPr>
        <w:pStyle w:val="TH"/>
        <w:rPr/>
      </w:pPr>
      <w:r>
        <w:rPr/>
        <w:t>Table I.3.2.3-1: Tablet TRS recommended performance for E-UTRA FDD in data transfer position</w:t>
      </w:r>
    </w:p>
    <w:tbl>
      <w:tblPr>
        <w:tblW w:w="5436" w:type="dxa"/>
        <w:jc w:val="center"/>
        <w:tblInd w:w="0" w:type="dxa"/>
        <w:tblLayout w:type="fixed"/>
        <w:tblCellMar>
          <w:top w:w="0" w:type="dxa"/>
          <w:left w:w="28" w:type="dxa"/>
          <w:bottom w:w="0" w:type="dxa"/>
          <w:right w:w="28" w:type="dxa"/>
        </w:tblCellMar>
      </w:tblPr>
      <w:tblGrid>
        <w:gridCol w:w="1472"/>
        <w:gridCol w:w="1744"/>
        <w:gridCol w:w="2220"/>
      </w:tblGrid>
      <w:tr>
        <w:trPr>
          <w:trHeight w:val="57" w:hRule="atLeast"/>
          <w:cantSplit w:val="true"/>
        </w:trPr>
        <w:tc>
          <w:tcPr>
            <w:tcW w:w="1472" w:type="dxa"/>
            <w:vMerge w:val="restart"/>
            <w:tcBorders>
              <w:top w:val="single" w:sz="4" w:space="0" w:color="000000"/>
              <w:left w:val="single" w:sz="4" w:space="0" w:color="000000"/>
              <w:bottom w:val="single" w:sz="4" w:space="0" w:color="000000"/>
              <w:right w:val="single" w:sz="4" w:space="0" w:color="000000"/>
            </w:tcBorders>
          </w:tcPr>
          <w:p>
            <w:pPr>
              <w:pStyle w:val="TAH"/>
              <w:rPr/>
            </w:pPr>
            <w:r>
              <w:rPr>
                <w:rFonts w:cs="Arial"/>
              </w:rPr>
              <w:t>Operating band</w:t>
            </w:r>
          </w:p>
        </w:tc>
        <w:tc>
          <w:tcPr>
            <w:tcW w:w="1744" w:type="dxa"/>
            <w:vMerge w:val="restart"/>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Channel bandwidth</w:t>
            </w:r>
          </w:p>
        </w:tc>
        <w:tc>
          <w:tcPr>
            <w:tcW w:w="2220"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Sensitivity (dBm)</w:t>
            </w:r>
          </w:p>
        </w:tc>
      </w:tr>
      <w:tr>
        <w:trPr>
          <w:trHeight w:val="57" w:hRule="atLeast"/>
          <w:cantSplit w:val="true"/>
        </w:trPr>
        <w:tc>
          <w:tcPr>
            <w:tcW w:w="147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cs="Arial"/>
              </w:rPr>
            </w:pPr>
            <w:r>
              <w:rPr>
                <w:rFonts w:cs="Arial"/>
              </w:rPr>
            </w:r>
          </w:p>
        </w:tc>
        <w:tc>
          <w:tcPr>
            <w:tcW w:w="1744"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cs="Arial"/>
              </w:rPr>
            </w:pPr>
            <w:r>
              <w:rPr>
                <w:rFonts w:cs="Arial"/>
              </w:rPr>
            </w:r>
          </w:p>
        </w:tc>
        <w:tc>
          <w:tcPr>
            <w:tcW w:w="2220"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Average</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10 MHz</w:t>
            </w:r>
          </w:p>
        </w:tc>
        <w:tc>
          <w:tcPr>
            <w:tcW w:w="2220"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-96.0</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2</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10 MHz</w:t>
            </w:r>
          </w:p>
        </w:tc>
        <w:tc>
          <w:tcPr>
            <w:tcW w:w="222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3</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10 MHz</w:t>
            </w:r>
          </w:p>
        </w:tc>
        <w:tc>
          <w:tcPr>
            <w:tcW w:w="2220"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-97.0</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4</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10 MHz</w:t>
            </w:r>
          </w:p>
        </w:tc>
        <w:tc>
          <w:tcPr>
            <w:tcW w:w="222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5</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10 MHz</w:t>
            </w:r>
          </w:p>
        </w:tc>
        <w:tc>
          <w:tcPr>
            <w:tcW w:w="222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7</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10 MHz</w:t>
            </w:r>
          </w:p>
        </w:tc>
        <w:tc>
          <w:tcPr>
            <w:tcW w:w="2220"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-95.75</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8</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10 MHz</w:t>
            </w:r>
          </w:p>
        </w:tc>
        <w:tc>
          <w:tcPr>
            <w:tcW w:w="222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12</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10 MHz</w:t>
            </w:r>
          </w:p>
        </w:tc>
        <w:tc>
          <w:tcPr>
            <w:tcW w:w="222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13</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10 MHz</w:t>
            </w:r>
          </w:p>
        </w:tc>
        <w:tc>
          <w:tcPr>
            <w:tcW w:w="222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19</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10 MHz</w:t>
            </w:r>
          </w:p>
        </w:tc>
        <w:tc>
          <w:tcPr>
            <w:tcW w:w="222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-94.5</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20</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10 MHz</w:t>
            </w:r>
          </w:p>
        </w:tc>
        <w:tc>
          <w:tcPr>
            <w:tcW w:w="2220"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rFonts w:cs="Arial"/>
                <w:lang w:eastAsia="en-US"/>
              </w:rPr>
              <w:t>-94.5</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21</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15 MHz</w:t>
            </w:r>
          </w:p>
        </w:tc>
        <w:tc>
          <w:tcPr>
            <w:tcW w:w="2220"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rFonts w:cs="Arial"/>
                <w:lang w:eastAsia="en-US"/>
              </w:rPr>
              <w:t>-93.0</w:t>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28</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10 MHz</w:t>
            </w:r>
          </w:p>
        </w:tc>
        <w:tc>
          <w:tcPr>
            <w:tcW w:w="222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ja-JP"/>
              </w:rPr>
            </w:pPr>
            <w:r>
              <w:rPr>
                <w:rFonts w:cs="Arial"/>
                <w:lang w:eastAsia="ja-JP"/>
              </w:rPr>
            </w:r>
          </w:p>
        </w:tc>
      </w:tr>
      <w:tr>
        <w:trPr>
          <w:trHeight w:val="57" w:hRule="atLeast"/>
          <w:cantSplit w:val="true"/>
        </w:trPr>
        <w:tc>
          <w:tcPr>
            <w:tcW w:w="1472"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32</w:t>
            </w:r>
          </w:p>
        </w:tc>
        <w:tc>
          <w:tcPr>
            <w:tcW w:w="1744"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10 MHz</w:t>
            </w:r>
          </w:p>
        </w:tc>
        <w:tc>
          <w:tcPr>
            <w:tcW w:w="222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ja-JP"/>
              </w:rPr>
            </w:pPr>
            <w:r>
              <w:rPr>
                <w:rFonts w:cs="Arial"/>
                <w:lang w:eastAsia="ja-JP"/>
              </w:rPr>
            </w:r>
          </w:p>
        </w:tc>
      </w:tr>
      <w:tr>
        <w:trPr>
          <w:trHeight w:val="57" w:hRule="atLeast"/>
          <w:cantSplit w:val="true"/>
        </w:trPr>
        <w:tc>
          <w:tcPr>
            <w:tcW w:w="5436" w:type="dxa"/>
            <w:gridSpan w:val="3"/>
            <w:tcBorders>
              <w:top w:val="single" w:sz="4" w:space="0" w:color="000000"/>
              <w:left w:val="single" w:sz="4" w:space="0" w:color="000000"/>
              <w:bottom w:val="single" w:sz="4" w:space="0" w:color="000000"/>
              <w:right w:val="single" w:sz="4" w:space="0" w:color="000000"/>
            </w:tcBorders>
            <w:vAlign w:val="center"/>
          </w:tcPr>
          <w:p>
            <w:pPr>
              <w:pStyle w:val="TAN"/>
              <w:rPr/>
            </w:pPr>
            <w:r>
              <w:rPr/>
              <w:t>NOTE 1: Applicable for multi-mode GSM/UMTS/LTE.</w:t>
            </w:r>
          </w:p>
          <w:p>
            <w:pPr>
              <w:pStyle w:val="TAN"/>
              <w:rPr/>
            </w:pPr>
            <w:r>
              <w:rPr/>
              <w:t>NOTE 2: Applicability for devices supporting CDMA or aggregated carriers (e.g. multi-carrier HSPA, LTE Carrier Aggregation) is FFS.</w:t>
            </w:r>
          </w:p>
        </w:tc>
      </w:tr>
    </w:tbl>
    <w:p>
      <w:pPr>
        <w:pStyle w:val="Normal"/>
        <w:rPr>
          <w:lang w:eastAsia="zh-TW"/>
        </w:rPr>
      </w:pPr>
      <w:r>
        <w:rPr>
          <w:lang w:eastAsia="zh-TW"/>
        </w:rPr>
      </w:r>
    </w:p>
    <w:p>
      <w:pPr>
        <w:pStyle w:val="Heading3"/>
        <w:rPr>
          <w:sz w:val="24"/>
          <w:szCs w:val="24"/>
          <w:lang w:eastAsia="zh-TW"/>
        </w:rPr>
      </w:pPr>
      <w:bookmarkStart w:id="580" w:name="__RefHeading___Toc68601473"/>
      <w:bookmarkEnd w:id="580"/>
      <w:r>
        <w:rPr>
          <w:sz w:val="24"/>
          <w:szCs w:val="24"/>
          <w:lang w:eastAsia="zh-TW"/>
        </w:rPr>
        <w:t>I.3.2.4</w:t>
        <w:tab/>
        <w:t>E-UTRA TDD</w:t>
      </w:r>
    </w:p>
    <w:p>
      <w:pPr>
        <w:pStyle w:val="TH"/>
        <w:rPr/>
      </w:pPr>
      <w:r>
        <w:rPr>
          <w:lang w:eastAsia="zh-TW"/>
        </w:rPr>
        <w:t>Table I.3.2.4-1: TBD</w:t>
      </w:r>
    </w:p>
    <w:p>
      <w:pPr>
        <w:pStyle w:val="Heading2"/>
        <w:rPr>
          <w:sz w:val="28"/>
          <w:szCs w:val="28"/>
          <w:lang w:eastAsia="zh-TW"/>
        </w:rPr>
      </w:pPr>
      <w:bookmarkStart w:id="581" w:name="__RefHeading___Toc68601474"/>
      <w:bookmarkEnd w:id="581"/>
      <w:r>
        <w:rPr>
          <w:sz w:val="28"/>
          <w:szCs w:val="28"/>
          <w:lang w:eastAsia="zh-TW"/>
        </w:rPr>
        <w:t>I.3.3</w:t>
        <w:tab/>
        <w:t>Hand phantom browsing mode position</w:t>
      </w:r>
    </w:p>
    <w:p>
      <w:pPr>
        <w:pStyle w:val="Normal"/>
        <w:jc w:val="both"/>
        <w:rPr>
          <w:lang w:eastAsia="zh-TW"/>
        </w:rPr>
      </w:pPr>
      <w:r>
        <w:rPr>
          <w:lang w:eastAsia="zh-TW"/>
        </w:rPr>
        <w:t>Hand phantom browsing mode</w:t>
      </w:r>
      <w:r>
        <w:rPr/>
        <w:t xml:space="preserve"> test method is defined in subclauses </w:t>
      </w:r>
      <w:r>
        <w:rPr>
          <w:lang w:eastAsia="zh-TW"/>
        </w:rPr>
        <w:t>4.3.4</w:t>
      </w:r>
      <w:r>
        <w:rPr/>
        <w:t>.</w:t>
      </w:r>
    </w:p>
    <w:p>
      <w:pPr>
        <w:pStyle w:val="Heading3"/>
        <w:rPr>
          <w:sz w:val="24"/>
          <w:szCs w:val="24"/>
          <w:lang w:eastAsia="zh-TW"/>
        </w:rPr>
      </w:pPr>
      <w:bookmarkStart w:id="582" w:name="__RefHeading___Toc68601475"/>
      <w:bookmarkEnd w:id="582"/>
      <w:r>
        <w:rPr>
          <w:sz w:val="24"/>
          <w:szCs w:val="24"/>
          <w:lang w:eastAsia="zh-TW"/>
        </w:rPr>
        <w:t>I.3.3.1</w:t>
        <w:tab/>
        <w:t>UTRA FDD</w:t>
      </w:r>
    </w:p>
    <w:p>
      <w:pPr>
        <w:pStyle w:val="TH"/>
        <w:rPr/>
      </w:pPr>
      <w:r>
        <w:rPr/>
        <w:t xml:space="preserve">Table </w:t>
      </w:r>
      <w:r>
        <w:rPr>
          <w:lang w:eastAsia="zh-TW"/>
        </w:rPr>
        <w:t>I</w:t>
      </w:r>
      <w:r>
        <w:rPr/>
        <w:t>.3.3.1-1: TRS recommended performance for UTRA FDD in hand phantom browsing mode position</w:t>
      </w:r>
    </w:p>
    <w:tbl>
      <w:tblPr>
        <w:tblW w:w="6264" w:type="dxa"/>
        <w:jc w:val="center"/>
        <w:tblInd w:w="0" w:type="dxa"/>
        <w:tblLayout w:type="fixed"/>
        <w:tblCellMar>
          <w:top w:w="0" w:type="dxa"/>
          <w:left w:w="28" w:type="dxa"/>
          <w:bottom w:w="0" w:type="dxa"/>
          <w:right w:w="28" w:type="dxa"/>
        </w:tblCellMar>
      </w:tblPr>
      <w:tblGrid>
        <w:gridCol w:w="1897"/>
        <w:gridCol w:w="2369"/>
        <w:gridCol w:w="1998"/>
      </w:tblGrid>
      <w:tr>
        <w:trPr>
          <w:trHeight w:val="424" w:hRule="atLeast"/>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Operating band</w:t>
            </w:r>
          </w:p>
        </w:tc>
        <w:tc>
          <w:tcPr>
            <w:tcW w:w="236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Unit</w:t>
            </w:r>
          </w:p>
        </w:tc>
        <w:tc>
          <w:tcPr>
            <w:tcW w:w="1998"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&lt;REFÎ</w:t>
            </w:r>
            <w:r>
              <w:rPr>
                <w:vertAlign w:val="subscript"/>
                <w:lang w:eastAsia="en-US"/>
              </w:rPr>
              <w:t>or</w:t>
            </w:r>
            <w:r>
              <w:rPr>
                <w:lang w:eastAsia="en-US"/>
              </w:rPr>
              <w:t>&gt;</w:t>
            </w:r>
          </w:p>
          <w:p>
            <w:pPr>
              <w:pStyle w:val="TAH"/>
              <w:rPr>
                <w:lang w:eastAsia="en-US"/>
              </w:rPr>
            </w:pPr>
            <w:r>
              <w:rPr>
                <w:lang w:eastAsia="en-US"/>
              </w:rPr>
              <w:t>Average</w:t>
            </w:r>
          </w:p>
        </w:tc>
      </w:tr>
      <w:tr>
        <w:trPr>
          <w:trHeight w:val="57" w:hRule="atLeast"/>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w:t>
            </w:r>
          </w:p>
        </w:tc>
        <w:tc>
          <w:tcPr>
            <w:tcW w:w="236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99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w:t>
            </w:r>
          </w:p>
        </w:tc>
        <w:tc>
          <w:tcPr>
            <w:tcW w:w="236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998"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TBD</w:t>
            </w:r>
          </w:p>
        </w:tc>
      </w:tr>
      <w:tr>
        <w:trPr>
          <w:trHeight w:val="57" w:hRule="atLeast"/>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III</w:t>
            </w:r>
          </w:p>
        </w:tc>
        <w:tc>
          <w:tcPr>
            <w:tcW w:w="236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99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IV</w:t>
            </w:r>
          </w:p>
        </w:tc>
        <w:tc>
          <w:tcPr>
            <w:tcW w:w="236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99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w:t>
            </w:r>
          </w:p>
        </w:tc>
        <w:tc>
          <w:tcPr>
            <w:tcW w:w="236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99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w:t>
            </w:r>
          </w:p>
        </w:tc>
        <w:tc>
          <w:tcPr>
            <w:tcW w:w="236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99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w:t>
            </w:r>
          </w:p>
        </w:tc>
        <w:tc>
          <w:tcPr>
            <w:tcW w:w="236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99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VIII</w:t>
            </w:r>
          </w:p>
        </w:tc>
        <w:tc>
          <w:tcPr>
            <w:tcW w:w="236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99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105" w:hRule="atLeast"/>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IX</w:t>
            </w:r>
          </w:p>
        </w:tc>
        <w:tc>
          <w:tcPr>
            <w:tcW w:w="236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99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105" w:hRule="atLeast"/>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XIX</w:t>
            </w:r>
          </w:p>
        </w:tc>
        <w:tc>
          <w:tcPr>
            <w:tcW w:w="236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99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105" w:hRule="atLeast"/>
          <w:cantSplit w:val="true"/>
        </w:trPr>
        <w:tc>
          <w:tcPr>
            <w:tcW w:w="6264" w:type="dxa"/>
            <w:gridSpan w:val="3"/>
            <w:tcBorders>
              <w:top w:val="single" w:sz="4" w:space="0" w:color="000000"/>
              <w:left w:val="single" w:sz="4" w:space="0" w:color="000000"/>
              <w:bottom w:val="single" w:sz="4" w:space="0" w:color="000000"/>
              <w:right w:val="single" w:sz="4" w:space="0" w:color="000000"/>
            </w:tcBorders>
          </w:tcPr>
          <w:p>
            <w:pPr>
              <w:pStyle w:val="TAN"/>
              <w:rPr/>
            </w:pPr>
            <w:r>
              <w:rPr>
                <w:lang w:eastAsia="en-US"/>
              </w:rPr>
              <w:t>NOTE 1:</w:t>
              <w:tab/>
              <w:t xml:space="preserve">For the UE which supports DB-DC-HSDPA configuration 2, average &lt;REFÎor&gt; level of -101 dBm/3.84 </w:t>
            </w:r>
            <w:r>
              <w:rPr>
                <w:lang w:eastAsia="ko-KR"/>
              </w:rPr>
              <w:t>shall apply for Band II.</w:t>
            </w:r>
          </w:p>
          <w:p>
            <w:pPr>
              <w:pStyle w:val="TAN"/>
              <w:rPr/>
            </w:pPr>
            <w:r>
              <w:rPr>
                <w:lang w:eastAsia="en-US"/>
              </w:rPr>
              <w:t>NOTE 2:</w:t>
              <w:tab/>
              <w:t>For the UE which supports DB-DC-HSDPA configuration 2, average &lt;REFÎor&gt; level of -103 dBm/3.84 MHz shall apply for Band IV.</w:t>
            </w:r>
          </w:p>
        </w:tc>
      </w:tr>
    </w:tbl>
    <w:p>
      <w:pPr>
        <w:pStyle w:val="Normal"/>
        <w:rPr/>
      </w:pPr>
      <w:r>
        <w:rPr/>
      </w:r>
    </w:p>
    <w:p>
      <w:pPr>
        <w:pStyle w:val="Heading3"/>
        <w:rPr>
          <w:sz w:val="24"/>
          <w:szCs w:val="24"/>
          <w:lang w:eastAsia="zh-TW"/>
        </w:rPr>
      </w:pPr>
      <w:bookmarkStart w:id="583" w:name="__RefHeading___Toc68601476"/>
      <w:bookmarkEnd w:id="583"/>
      <w:r>
        <w:rPr>
          <w:sz w:val="24"/>
          <w:szCs w:val="24"/>
          <w:lang w:eastAsia="zh-TW"/>
        </w:rPr>
        <w:t>I.3.3.2</w:t>
        <w:tab/>
        <w:t>UTRA LCR TDD</w:t>
      </w:r>
    </w:p>
    <w:p>
      <w:pPr>
        <w:pStyle w:val="TH"/>
        <w:rPr/>
      </w:pPr>
      <w:r>
        <w:rPr/>
        <w:t xml:space="preserve">Table </w:t>
      </w:r>
      <w:r>
        <w:rPr>
          <w:lang w:eastAsia="zh-TW"/>
        </w:rPr>
        <w:t>I</w:t>
      </w:r>
      <w:r>
        <w:rPr/>
        <w:t>.</w:t>
      </w:r>
      <w:r>
        <w:rPr>
          <w:lang w:eastAsia="zh-CN"/>
        </w:rPr>
        <w:t>3.3.2-1</w:t>
      </w:r>
      <w:r>
        <w:rPr/>
        <w:t>: TRS recommended performance for UTRA LCR</w:t>
      </w:r>
      <w:r>
        <w:rPr>
          <w:lang w:eastAsia="zh-CN"/>
        </w:rPr>
        <w:t xml:space="preserve"> TDD</w:t>
      </w:r>
      <w:r>
        <w:rPr/>
        <w:t xml:space="preserve"> in hand phantom browsing mode position</w:t>
      </w:r>
    </w:p>
    <w:tbl>
      <w:tblPr>
        <w:tblW w:w="4939" w:type="dxa"/>
        <w:jc w:val="center"/>
        <w:tblInd w:w="0" w:type="dxa"/>
        <w:tblLayout w:type="fixed"/>
        <w:tblCellMar>
          <w:top w:w="0" w:type="dxa"/>
          <w:left w:w="108" w:type="dxa"/>
          <w:bottom w:w="0" w:type="dxa"/>
          <w:right w:w="108" w:type="dxa"/>
        </w:tblCellMar>
      </w:tblPr>
      <w:tblGrid>
        <w:gridCol w:w="1924"/>
        <w:gridCol w:w="1750"/>
        <w:gridCol w:w="1265"/>
      </w:tblGrid>
      <w:tr>
        <w:trPr>
          <w:trHeight w:val="595" w:hRule="atLeast"/>
        </w:trPr>
        <w:tc>
          <w:tcPr>
            <w:tcW w:w="1924" w:type="dxa"/>
            <w:tcBorders>
              <w:top w:val="single" w:sz="4" w:space="0" w:color="000000"/>
              <w:left w:val="single" w:sz="4" w:space="0" w:color="000000"/>
              <w:right w:val="single" w:sz="4" w:space="0" w:color="000000"/>
            </w:tcBorders>
          </w:tcPr>
          <w:p>
            <w:pPr>
              <w:pStyle w:val="TAH"/>
              <w:rPr>
                <w:lang w:eastAsia="en-US"/>
              </w:rPr>
            </w:pPr>
            <w:r>
              <w:rPr>
                <w:lang w:eastAsia="en-US"/>
              </w:rPr>
              <w:t>Operating band</w:t>
            </w:r>
          </w:p>
        </w:tc>
        <w:tc>
          <w:tcPr>
            <w:tcW w:w="1750" w:type="dxa"/>
            <w:tcBorders>
              <w:top w:val="single" w:sz="4" w:space="0" w:color="000000"/>
              <w:left w:val="single" w:sz="4" w:space="0" w:color="000000"/>
              <w:right w:val="single" w:sz="4" w:space="0" w:color="000000"/>
            </w:tcBorders>
          </w:tcPr>
          <w:p>
            <w:pPr>
              <w:pStyle w:val="TAH"/>
              <w:rPr>
                <w:lang w:eastAsia="en-US"/>
              </w:rPr>
            </w:pPr>
            <w:r>
              <w:rPr>
                <w:lang w:eastAsia="en-US"/>
              </w:rPr>
              <w:t>Unit</w:t>
            </w:r>
          </w:p>
        </w:tc>
        <w:tc>
          <w:tcPr>
            <w:tcW w:w="1265" w:type="dxa"/>
            <w:tcBorders>
              <w:top w:val="single" w:sz="4" w:space="0" w:color="000000"/>
              <w:left w:val="single" w:sz="4" w:space="0" w:color="000000"/>
              <w:right w:val="single" w:sz="4" w:space="0" w:color="000000"/>
            </w:tcBorders>
          </w:tcPr>
          <w:p>
            <w:pPr>
              <w:pStyle w:val="TAH"/>
              <w:rPr>
                <w:lang w:eastAsia="en-US"/>
              </w:rPr>
            </w:pPr>
            <w:r>
              <w:rPr>
                <w:lang w:eastAsia="en-US"/>
              </w:rPr>
              <w:t>&lt;REFÎor&gt;</w:t>
            </w:r>
          </w:p>
          <w:p>
            <w:pPr>
              <w:pStyle w:val="TAH"/>
              <w:rPr>
                <w:lang w:eastAsia="en-US"/>
              </w:rPr>
            </w:pPr>
            <w:r>
              <w:rPr>
                <w:lang w:eastAsia="en-US"/>
              </w:rPr>
              <w:t>Average</w:t>
            </w:r>
          </w:p>
        </w:tc>
      </w:tr>
      <w:tr>
        <w:trPr>
          <w:trHeight w:val="218" w:hRule="atLeast"/>
        </w:trPr>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a</w:t>
            </w:r>
          </w:p>
        </w:tc>
        <w:tc>
          <w:tcPr>
            <w:tcW w:w="1750"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 xml:space="preserve">dBm/1.28 MHz </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TBD</w:t>
            </w:r>
          </w:p>
        </w:tc>
      </w:tr>
      <w:tr>
        <w:trPr>
          <w:trHeight w:val="218" w:hRule="atLeast"/>
        </w:trPr>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b</w:t>
            </w:r>
          </w:p>
        </w:tc>
        <w:tc>
          <w:tcPr>
            <w:tcW w:w="1750"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dBm/1.28 MHz</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TBD</w:t>
            </w:r>
          </w:p>
        </w:tc>
      </w:tr>
      <w:tr>
        <w:trPr>
          <w:trHeight w:val="218" w:hRule="atLeast"/>
        </w:trPr>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c</w:t>
            </w:r>
          </w:p>
        </w:tc>
        <w:tc>
          <w:tcPr>
            <w:tcW w:w="1750"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dBm/1.28 MHz</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TBD</w:t>
            </w:r>
          </w:p>
        </w:tc>
      </w:tr>
      <w:tr>
        <w:trPr>
          <w:trHeight w:val="218" w:hRule="atLeast"/>
        </w:trPr>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d</w:t>
            </w:r>
          </w:p>
        </w:tc>
        <w:tc>
          <w:tcPr>
            <w:tcW w:w="1750"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dBm/1.28 MHz</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TBD</w:t>
            </w:r>
          </w:p>
        </w:tc>
      </w:tr>
      <w:tr>
        <w:trPr>
          <w:trHeight w:val="218" w:hRule="atLeast"/>
        </w:trPr>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e</w:t>
            </w:r>
          </w:p>
        </w:tc>
        <w:tc>
          <w:tcPr>
            <w:tcW w:w="1750"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dBm/1.28 MHz</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TBD</w:t>
            </w:r>
          </w:p>
        </w:tc>
      </w:tr>
      <w:tr>
        <w:trPr>
          <w:trHeight w:val="218" w:hRule="atLeast"/>
        </w:trPr>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f</w:t>
            </w:r>
          </w:p>
        </w:tc>
        <w:tc>
          <w:tcPr>
            <w:tcW w:w="1750"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dBm/1.28 MHz</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en-US"/>
              </w:rPr>
            </w:pPr>
            <w:r>
              <w:rPr>
                <w:rFonts w:cs="Arial"/>
                <w:szCs w:val="18"/>
                <w:lang w:eastAsia="en-US"/>
              </w:rPr>
              <w:t>TBD</w:t>
            </w:r>
          </w:p>
        </w:tc>
      </w:tr>
      <w:tr>
        <w:trPr>
          <w:trHeight w:val="220" w:hRule="atLeast"/>
        </w:trPr>
        <w:tc>
          <w:tcPr>
            <w:tcW w:w="4939" w:type="dxa"/>
            <w:gridSpan w:val="3"/>
            <w:tcBorders>
              <w:left w:val="single" w:sz="4" w:space="0" w:color="000000"/>
              <w:bottom w:val="single" w:sz="4" w:space="0" w:color="000000"/>
              <w:right w:val="single" w:sz="4" w:space="0" w:color="000000"/>
            </w:tcBorders>
            <w:vAlign w:val="center"/>
          </w:tcPr>
          <w:p>
            <w:pPr>
              <w:pStyle w:val="TAN"/>
              <w:rPr>
                <w:lang w:eastAsia="en-US"/>
              </w:rPr>
            </w:pPr>
            <w:r>
              <w:rPr>
                <w:lang w:eastAsia="en-US"/>
              </w:rPr>
              <w:t>NOTE:</w:t>
              <w:tab/>
              <w:t>Applicable for dual-mode GSM/UTRA LCR TDD.</w:t>
            </w:r>
          </w:p>
        </w:tc>
      </w:tr>
    </w:tbl>
    <w:p>
      <w:pPr>
        <w:pStyle w:val="Normal"/>
        <w:rPr/>
      </w:pPr>
      <w:r>
        <w:rPr/>
      </w:r>
    </w:p>
    <w:p>
      <w:pPr>
        <w:pStyle w:val="Heading3"/>
        <w:rPr>
          <w:sz w:val="24"/>
          <w:szCs w:val="24"/>
          <w:lang w:eastAsia="zh-TW"/>
        </w:rPr>
      </w:pPr>
      <w:bookmarkStart w:id="584" w:name="__RefHeading___Toc68601477"/>
      <w:bookmarkEnd w:id="584"/>
      <w:r>
        <w:rPr>
          <w:sz w:val="24"/>
          <w:szCs w:val="24"/>
          <w:lang w:eastAsia="zh-TW"/>
        </w:rPr>
        <w:t>I.3.3.3</w:t>
        <w:tab/>
        <w:t>E-UTRA FDD</w:t>
      </w:r>
    </w:p>
    <w:p>
      <w:pPr>
        <w:pStyle w:val="TH"/>
        <w:rPr>
          <w:lang w:eastAsia="zh-TW"/>
        </w:rPr>
      </w:pPr>
      <w:r>
        <w:rPr>
          <w:lang w:eastAsia="zh-TW"/>
        </w:rPr>
        <w:t>Table I.3.3.3-1 TBD</w:t>
      </w:r>
    </w:p>
    <w:p>
      <w:pPr>
        <w:pStyle w:val="Heading3"/>
        <w:rPr>
          <w:sz w:val="24"/>
          <w:szCs w:val="24"/>
          <w:lang w:eastAsia="zh-TW"/>
        </w:rPr>
      </w:pPr>
      <w:bookmarkStart w:id="585" w:name="__RefHeading___Toc68601478"/>
      <w:bookmarkEnd w:id="585"/>
      <w:r>
        <w:rPr>
          <w:sz w:val="24"/>
          <w:szCs w:val="24"/>
          <w:lang w:eastAsia="zh-TW"/>
        </w:rPr>
        <w:t>I.3.3.4</w:t>
        <w:tab/>
        <w:t>E-UTRA TDD</w:t>
      </w:r>
    </w:p>
    <w:p>
      <w:pPr>
        <w:pStyle w:val="TH"/>
        <w:rPr>
          <w:lang w:eastAsia="zh-TW"/>
        </w:rPr>
      </w:pPr>
      <w:r>
        <w:rPr>
          <w:lang w:eastAsia="zh-TW"/>
        </w:rPr>
        <w:t>Table I.3.3.4-1 TBD</w:t>
      </w:r>
    </w:p>
    <w:p>
      <w:pPr>
        <w:pStyle w:val="Heading8"/>
        <w:ind w:left="0" w:hanging="0"/>
        <w:rPr/>
      </w:pPr>
      <w:bookmarkStart w:id="586" w:name="__RefHeading___Toc68601479"/>
      <w:bookmarkEnd w:id="586"/>
      <w:r>
        <w:rPr/>
        <w:t>Annex J (informative): Recommended performance for LME</w:t>
      </w:r>
    </w:p>
    <w:p>
      <w:pPr>
        <w:pStyle w:val="EditorsNote"/>
        <w:rPr/>
      </w:pPr>
      <w:r>
        <w:rPr/>
        <w:t xml:space="preserve">Editor’s notes: This </w:t>
      </w:r>
      <w:r>
        <w:rPr>
          <w:lang w:eastAsia="zh-TW"/>
        </w:rPr>
        <w:t>annex</w:t>
      </w:r>
      <w:r>
        <w:rPr/>
        <w:t xml:space="preserve"> is incomplete. The following item</w:t>
      </w:r>
      <w:r>
        <w:rPr>
          <w:lang w:eastAsia="zh-TW"/>
        </w:rPr>
        <w:t>s</w:t>
      </w:r>
      <w:r>
        <w:rPr/>
        <w:t xml:space="preserve"> </w:t>
      </w:r>
      <w:r>
        <w:rPr>
          <w:lang w:eastAsia="zh-TW"/>
        </w:rPr>
        <w:t>are</w:t>
      </w:r>
      <w:r>
        <w:rPr/>
        <w:t xml:space="preserve"> missing or incomplete:</w:t>
      </w:r>
    </w:p>
    <w:p>
      <w:pPr>
        <w:pStyle w:val="EditorsNote"/>
        <w:numPr>
          <w:ilvl w:val="0"/>
          <w:numId w:val="15"/>
        </w:numPr>
        <w:rPr/>
      </w:pPr>
      <w:r>
        <w:rPr/>
        <w:t xml:space="preserve">Table </w:t>
      </w:r>
      <w:r>
        <w:rPr>
          <w:lang w:eastAsia="zh-TW"/>
        </w:rPr>
        <w:t>J</w:t>
      </w:r>
      <w:r>
        <w:rPr/>
        <w:t>.2.</w:t>
      </w:r>
      <w:r>
        <w:rPr>
          <w:lang w:eastAsia="zh-TW"/>
        </w:rPr>
        <w:t>1</w:t>
      </w:r>
      <w:r>
        <w:rPr/>
        <w:t>-1</w:t>
      </w:r>
      <w:r>
        <w:rPr>
          <w:lang w:eastAsia="zh-TW"/>
        </w:rPr>
        <w:t>,</w:t>
      </w:r>
      <w:r>
        <w:rPr/>
        <w:t xml:space="preserve"> </w:t>
      </w:r>
      <w:r>
        <w:rPr>
          <w:lang w:eastAsia="zh-TW"/>
        </w:rPr>
        <w:t>J</w:t>
      </w:r>
      <w:r>
        <w:rPr/>
        <w:t>.2.</w:t>
      </w:r>
      <w:r>
        <w:rPr>
          <w:lang w:eastAsia="zh-TW"/>
        </w:rPr>
        <w:t>2</w:t>
      </w:r>
      <w:r>
        <w:rPr/>
        <w:t>-1</w:t>
      </w:r>
      <w:r>
        <w:rPr>
          <w:lang w:eastAsia="zh-TW"/>
        </w:rPr>
        <w:t>, J</w:t>
      </w:r>
      <w:r>
        <w:rPr/>
        <w:t>.</w:t>
      </w:r>
      <w:r>
        <w:rPr>
          <w:lang w:eastAsia="zh-TW"/>
        </w:rPr>
        <w:t>3</w:t>
      </w:r>
      <w:r>
        <w:rPr/>
        <w:t>.</w:t>
      </w:r>
      <w:r>
        <w:rPr>
          <w:lang w:eastAsia="zh-TW"/>
        </w:rPr>
        <w:t>1</w:t>
      </w:r>
      <w:r>
        <w:rPr/>
        <w:t>-1</w:t>
      </w:r>
      <w:r>
        <w:rPr>
          <w:lang w:eastAsia="zh-TW"/>
        </w:rPr>
        <w:t xml:space="preserve"> and</w:t>
      </w:r>
      <w:r>
        <w:rPr/>
        <w:t xml:space="preserve"> </w:t>
      </w:r>
      <w:r>
        <w:rPr>
          <w:lang w:eastAsia="zh-TW"/>
        </w:rPr>
        <w:t>J</w:t>
      </w:r>
      <w:r>
        <w:rPr/>
        <w:t>.</w:t>
      </w:r>
      <w:r>
        <w:rPr>
          <w:lang w:eastAsia="zh-TW"/>
        </w:rPr>
        <w:t>3</w:t>
      </w:r>
      <w:r>
        <w:rPr/>
        <w:t>.</w:t>
      </w:r>
      <w:r>
        <w:rPr>
          <w:lang w:eastAsia="zh-TW"/>
        </w:rPr>
        <w:t>2</w:t>
      </w:r>
      <w:r>
        <w:rPr/>
        <w:t>-1</w:t>
      </w:r>
      <w:r>
        <w:rPr>
          <w:lang w:eastAsia="zh-TW"/>
        </w:rPr>
        <w:t xml:space="preserve"> </w:t>
      </w:r>
      <w:r>
        <w:rPr/>
        <w:t xml:space="preserve">as they are not </w:t>
      </w:r>
      <w:r>
        <w:rPr>
          <w:lang w:eastAsia="zh-TW"/>
        </w:rPr>
        <w:t>complete</w:t>
      </w:r>
      <w:r>
        <w:rPr/>
        <w:t xml:space="preserve"> in TS 37.144 yet</w:t>
      </w:r>
    </w:p>
    <w:p>
      <w:pPr>
        <w:pStyle w:val="EditorsNote"/>
        <w:numPr>
          <w:ilvl w:val="0"/>
          <w:numId w:val="15"/>
        </w:numPr>
        <w:rPr/>
      </w:pPr>
      <w:r>
        <w:rPr>
          <w:lang w:eastAsia="zh-TW"/>
        </w:rPr>
        <w:t>Table J.2.3-1, J.2.4-1, J.3.3-1 and J.3.4-1</w:t>
      </w:r>
      <w:r>
        <w:rPr/>
        <w:t xml:space="preserve"> </w:t>
      </w:r>
      <w:r>
        <w:rPr>
          <w:lang w:eastAsia="zh-TW"/>
        </w:rPr>
        <w:t xml:space="preserve">as they are </w:t>
      </w:r>
      <w:r>
        <w:rPr/>
        <w:t>not specified in TS 37.144 yet</w:t>
      </w:r>
    </w:p>
    <w:p>
      <w:pPr>
        <w:pStyle w:val="Heading2"/>
        <w:rPr/>
      </w:pPr>
      <w:bookmarkStart w:id="587" w:name="__RefHeading___Toc68601480"/>
      <w:bookmarkEnd w:id="587"/>
      <w:r>
        <w:rPr/>
        <w:t>J.1</w:t>
        <w:tab/>
        <w:t>General</w:t>
      </w:r>
    </w:p>
    <w:p>
      <w:pPr>
        <w:pStyle w:val="Normal"/>
        <w:rPr/>
      </w:pPr>
      <w:r>
        <w:rPr/>
        <w:t xml:space="preserve">This annex introduces the concept of recommended OTA performance </w:t>
      </w:r>
      <w:r>
        <w:rPr>
          <w:rFonts w:cs="v5.0.0;Times New Roman"/>
        </w:rPr>
        <w:t>for operating bands</w:t>
      </w:r>
      <w:r>
        <w:rPr>
          <w:rFonts w:cs="v5.0.0;Times New Roman"/>
          <w:lang w:eastAsia="zh-TW"/>
        </w:rPr>
        <w:t xml:space="preserve"> for </w:t>
      </w:r>
      <w:r>
        <w:rPr/>
        <w:t>UE’s supporting LME feature. This requirement is not mandatory but is recommended.</w:t>
      </w:r>
    </w:p>
    <w:p>
      <w:pPr>
        <w:pStyle w:val="Normal"/>
        <w:rPr/>
      </w:pPr>
      <w:r>
        <w:rPr/>
        <w:t xml:space="preserve">The concept of recommended performance is to ensure that UE OTA performance is maximised in order to improve user experience and network performance. It is recognised that the ability to meet the recommended performance depends on the number of frequency bands supported by the </w:t>
      </w:r>
      <w:r>
        <w:rPr>
          <w:lang w:eastAsia="zh-TW"/>
        </w:rPr>
        <w:t>UE</w:t>
      </w:r>
      <w:r>
        <w:rPr/>
        <w:t>.</w:t>
      </w:r>
    </w:p>
    <w:p>
      <w:pPr>
        <w:pStyle w:val="Heading2"/>
        <w:rPr/>
      </w:pPr>
      <w:bookmarkStart w:id="588" w:name="__RefHeading___Toc68601481"/>
      <w:bookmarkEnd w:id="588"/>
      <w:r>
        <w:rPr/>
        <w:t>J.2</w:t>
        <w:tab/>
        <w:t>Total Radiated Power</w:t>
      </w:r>
    </w:p>
    <w:p>
      <w:pPr>
        <w:pStyle w:val="Normal"/>
        <w:rPr>
          <w:lang w:eastAsia="zh-TW"/>
        </w:rPr>
      </w:pPr>
      <w:r>
        <w:rPr/>
        <w:t xml:space="preserve">The OTA TRP performance for UTRA </w:t>
      </w:r>
      <w:r>
        <w:rPr>
          <w:lang w:eastAsia="zh-CN"/>
        </w:rPr>
        <w:t>and E-UTRA s</w:t>
      </w:r>
      <w:r>
        <w:rPr/>
        <w:t>hould be greater or equal than the recommended values in this clause.</w:t>
      </w:r>
    </w:p>
    <w:p>
      <w:pPr>
        <w:pStyle w:val="Normal"/>
        <w:jc w:val="both"/>
        <w:rPr>
          <w:lang w:eastAsia="zh-TW"/>
        </w:rPr>
      </w:pPr>
      <w:r>
        <w:rPr>
          <w:lang w:eastAsia="zh-TW"/>
        </w:rPr>
        <w:t>Laptop ground plane phantom</w:t>
      </w:r>
      <w:r>
        <w:rPr/>
        <w:t xml:space="preserve"> test method is defined in subclauses </w:t>
      </w:r>
      <w:r>
        <w:rPr>
          <w:lang w:eastAsia="zh-TW"/>
        </w:rPr>
        <w:t>4.3.2</w:t>
      </w:r>
      <w:r>
        <w:rPr/>
        <w:t>.</w:t>
      </w:r>
    </w:p>
    <w:p>
      <w:pPr>
        <w:pStyle w:val="Heading3"/>
        <w:rPr/>
      </w:pPr>
      <w:bookmarkStart w:id="589" w:name="__RefHeading___Toc68601482"/>
      <w:bookmarkEnd w:id="589"/>
      <w:r>
        <w:rPr>
          <w:rFonts w:eastAsia="PMingLiU;新細明體"/>
          <w:lang w:eastAsia="zh-TW"/>
        </w:rPr>
        <w:t>J</w:t>
      </w:r>
      <w:r>
        <w:rPr>
          <w:rFonts w:eastAsia="PMingLiU;新細明體"/>
        </w:rPr>
        <w:t>.2.</w:t>
      </w:r>
      <w:r>
        <w:rPr>
          <w:rFonts w:eastAsia="PMingLiU;新細明體"/>
          <w:lang w:eastAsia="zh-TW"/>
        </w:rPr>
        <w:t>1</w:t>
      </w:r>
      <w:r>
        <w:rPr>
          <w:rFonts w:eastAsia="PMingLiU;新細明體"/>
        </w:rPr>
        <w:tab/>
        <w:t>UTRA FDD</w:t>
      </w:r>
    </w:p>
    <w:p>
      <w:pPr>
        <w:pStyle w:val="TH"/>
        <w:rPr>
          <w:rFonts w:eastAsia="PMingLiU;新細明體"/>
        </w:rPr>
      </w:pPr>
      <w:r>
        <w:rPr>
          <w:rFonts w:eastAsia="PMingLiU;新細明體"/>
        </w:rPr>
        <w:t xml:space="preserve">Table </w:t>
      </w:r>
      <w:r>
        <w:rPr>
          <w:rFonts w:eastAsia="PMingLiU;新細明體"/>
          <w:lang w:eastAsia="zh-TW"/>
        </w:rPr>
        <w:t>J</w:t>
      </w:r>
      <w:r>
        <w:rPr>
          <w:rFonts w:eastAsia="PMingLiU;新細明體"/>
        </w:rPr>
        <w:t>.2</w:t>
      </w:r>
      <w:r>
        <w:rPr>
          <w:rFonts w:eastAsia="PMingLiU;新細明體"/>
          <w:lang w:eastAsia="zh-TW"/>
        </w:rPr>
        <w:t>.1</w:t>
      </w:r>
      <w:r>
        <w:rPr>
          <w:rFonts w:eastAsia="PMingLiU;新細明體"/>
        </w:rPr>
        <w:t>-1: LME TRP recommended performance for UTRA FDD in data transfer position</w:t>
      </w:r>
    </w:p>
    <w:tbl>
      <w:tblPr>
        <w:tblW w:w="7882" w:type="dxa"/>
        <w:jc w:val="center"/>
        <w:tblInd w:w="0" w:type="dxa"/>
        <w:tblLayout w:type="fixed"/>
        <w:tblCellMar>
          <w:top w:w="0" w:type="dxa"/>
          <w:left w:w="28" w:type="dxa"/>
          <w:bottom w:w="0" w:type="dxa"/>
          <w:right w:w="28" w:type="dxa"/>
        </w:tblCellMar>
      </w:tblPr>
      <w:tblGrid>
        <w:gridCol w:w="1387"/>
        <w:gridCol w:w="1247"/>
        <w:gridCol w:w="1247"/>
        <w:gridCol w:w="1247"/>
        <w:gridCol w:w="1507"/>
        <w:gridCol w:w="1247"/>
      </w:tblGrid>
      <w:tr>
        <w:trPr>
          <w:trHeight w:val="57" w:hRule="atLeast"/>
          <w:cantSplit w:val="true"/>
        </w:trPr>
        <w:tc>
          <w:tcPr>
            <w:tcW w:w="1387" w:type="dxa"/>
            <w:vMerge w:val="restart"/>
            <w:tcBorders>
              <w:top w:val="single" w:sz="4" w:space="0" w:color="000000"/>
              <w:left w:val="single" w:sz="4" w:space="0" w:color="000000"/>
              <w:bottom w:val="single" w:sz="4" w:space="0" w:color="000000"/>
              <w:right w:val="single" w:sz="4" w:space="0" w:color="000000"/>
            </w:tcBorders>
          </w:tcPr>
          <w:p>
            <w:pPr>
              <w:pStyle w:val="TAH"/>
              <w:rPr/>
            </w:pPr>
            <w:r>
              <w:rPr/>
              <w:t>Operating band</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Power class 1</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Power class 2</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Power class 3</w:t>
            </w:r>
          </w:p>
        </w:tc>
        <w:tc>
          <w:tcPr>
            <w:tcW w:w="1507" w:type="dxa"/>
            <w:tcBorders>
              <w:top w:val="single" w:sz="4" w:space="0" w:color="000000"/>
              <w:left w:val="single" w:sz="4" w:space="0" w:color="000000"/>
              <w:bottom w:val="single" w:sz="4" w:space="0" w:color="000000"/>
              <w:right w:val="single" w:sz="4" w:space="0" w:color="000000"/>
            </w:tcBorders>
          </w:tcPr>
          <w:p>
            <w:pPr>
              <w:pStyle w:val="TAH"/>
              <w:rPr/>
            </w:pPr>
            <w:r>
              <w:rPr/>
              <w:t>Power class 3bis</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Power class 4</w:t>
            </w:r>
          </w:p>
        </w:tc>
      </w:tr>
      <w:tr>
        <w:trPr>
          <w:trHeight w:val="57" w:hRule="atLeast"/>
          <w:cantSplit w:val="true"/>
        </w:trPr>
        <w:tc>
          <w:tcPr>
            <w:tcW w:w="1387"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b/>
                <w:b/>
                <w:sz w:val="18"/>
                <w:lang w:eastAsia="zh-CN"/>
              </w:rPr>
            </w:pPr>
            <w:r>
              <w:rPr>
                <w:rFonts w:cs="Arial" w:ascii="Arial" w:hAnsi="Arial"/>
                <w:b/>
                <w:sz w:val="18"/>
                <w:lang w:eastAsia="zh-CN"/>
              </w:rPr>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c>
          <w:tcPr>
            <w:tcW w:w="150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r>
      <w:tr>
        <w:trPr>
          <w:trHeight w:val="57" w:hRule="atLeast"/>
          <w:cantSplit w:val="true"/>
        </w:trPr>
        <w:tc>
          <w:tcPr>
            <w:tcW w:w="1387"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b/>
                <w:b/>
                <w:sz w:val="18"/>
                <w:lang w:eastAsia="zh-CN"/>
              </w:rPr>
            </w:pPr>
            <w:r>
              <w:rPr>
                <w:rFonts w:cs="Arial" w:ascii="Arial" w:hAnsi="Arial"/>
                <w:b/>
                <w:sz w:val="18"/>
                <w:lang w:eastAsia="zh-CN"/>
              </w:rPr>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507"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Average</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I</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II</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III</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IV</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V</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VI</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VII</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VIII</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IX</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XIX</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7882" w:type="dxa"/>
            <w:gridSpan w:val="6"/>
            <w:tcBorders>
              <w:top w:val="single" w:sz="4" w:space="0" w:color="000000"/>
              <w:left w:val="single" w:sz="4" w:space="0" w:color="000000"/>
              <w:bottom w:val="single" w:sz="4" w:space="0" w:color="000000"/>
              <w:right w:val="single" w:sz="4" w:space="0" w:color="000000"/>
            </w:tcBorders>
          </w:tcPr>
          <w:p>
            <w:pPr>
              <w:pStyle w:val="TAN"/>
              <w:rPr/>
            </w:pPr>
            <w:r>
              <w:rPr/>
              <w:t>NOTE 1:</w:t>
              <w:tab/>
              <w:t>Applicable for dual-mode GSM/UMTS.</w:t>
            </w:r>
          </w:p>
          <w:p>
            <w:pPr>
              <w:pStyle w:val="TAN"/>
              <w:rPr>
                <w:b/>
                <w:b/>
                <w:bCs/>
              </w:rPr>
            </w:pPr>
            <w:r>
              <w:rPr/>
              <w:t xml:space="preserve">NOTE 2: </w:t>
              <w:tab/>
              <w:t>Applicable for USB plug-in devices.</w:t>
            </w:r>
          </w:p>
        </w:tc>
      </w:tr>
    </w:tbl>
    <w:p>
      <w:pPr>
        <w:pStyle w:val="Normal"/>
        <w:rPr/>
      </w:pPr>
      <w:r>
        <w:rPr/>
      </w:r>
    </w:p>
    <w:p>
      <w:pPr>
        <w:pStyle w:val="Heading3"/>
        <w:rPr>
          <w:rFonts w:eastAsia="PMingLiU;新細明體"/>
          <w:lang w:eastAsia="zh-TW"/>
        </w:rPr>
      </w:pPr>
      <w:bookmarkStart w:id="590" w:name="__RefHeading___Toc68601483"/>
      <w:bookmarkEnd w:id="590"/>
      <w:r>
        <w:rPr>
          <w:rFonts w:eastAsia="PMingLiU;新細明體"/>
          <w:lang w:eastAsia="zh-TW"/>
        </w:rPr>
        <w:t>J.2.2</w:t>
        <w:tab/>
        <w:t>UTRA LCR TDD</w:t>
      </w:r>
    </w:p>
    <w:p>
      <w:pPr>
        <w:pStyle w:val="TH"/>
        <w:rPr>
          <w:rFonts w:eastAsia="PMingLiU;新細明體"/>
        </w:rPr>
      </w:pPr>
      <w:r>
        <w:rPr>
          <w:rFonts w:eastAsia="PMingLiU;新細明體"/>
        </w:rPr>
        <w:t xml:space="preserve">Table </w:t>
      </w:r>
      <w:r>
        <w:rPr>
          <w:rFonts w:eastAsia="PMingLiU;新細明體"/>
          <w:lang w:eastAsia="zh-TW"/>
        </w:rPr>
        <w:t>J</w:t>
      </w:r>
      <w:r>
        <w:rPr>
          <w:rFonts w:eastAsia="PMingLiU;新細明體"/>
        </w:rPr>
        <w:t>.2.2-1: LME TRP recommended performance for UTRA LCR TDD in data transfer position</w:t>
      </w:r>
    </w:p>
    <w:tbl>
      <w:tblPr>
        <w:tblW w:w="8842" w:type="dxa"/>
        <w:jc w:val="center"/>
        <w:tblInd w:w="0" w:type="dxa"/>
        <w:tblLayout w:type="fixed"/>
        <w:tblCellMar>
          <w:top w:w="0" w:type="dxa"/>
          <w:left w:w="108" w:type="dxa"/>
          <w:bottom w:w="0" w:type="dxa"/>
          <w:right w:w="108" w:type="dxa"/>
        </w:tblCellMar>
      </w:tblPr>
      <w:tblGrid>
        <w:gridCol w:w="1547"/>
        <w:gridCol w:w="1407"/>
        <w:gridCol w:w="1407"/>
        <w:gridCol w:w="1407"/>
        <w:gridCol w:w="1667"/>
        <w:gridCol w:w="1407"/>
      </w:tblGrid>
      <w:tr>
        <w:trPr>
          <w:trHeight w:val="277" w:hRule="atLeast"/>
        </w:trPr>
        <w:tc>
          <w:tcPr>
            <w:tcW w:w="1547" w:type="dxa"/>
            <w:vMerge w:val="restart"/>
            <w:tcBorders>
              <w:top w:val="single" w:sz="6" w:space="0" w:color="000000"/>
              <w:left w:val="single" w:sz="6" w:space="0" w:color="000000"/>
              <w:bottom w:val="single" w:sz="6" w:space="0" w:color="000000"/>
              <w:right w:val="single" w:sz="6" w:space="0" w:color="000000"/>
            </w:tcBorders>
          </w:tcPr>
          <w:p>
            <w:pPr>
              <w:pStyle w:val="TAH"/>
              <w:rPr/>
            </w:pPr>
            <w:r>
              <w:rPr/>
              <w:t>Operating band</w:t>
            </w:r>
          </w:p>
        </w:tc>
        <w:tc>
          <w:tcPr>
            <w:tcW w:w="1407" w:type="dxa"/>
            <w:tcBorders>
              <w:top w:val="single" w:sz="6" w:space="0" w:color="000000"/>
              <w:left w:val="single" w:sz="6" w:space="0" w:color="000000"/>
              <w:bottom w:val="single" w:sz="6" w:space="0" w:color="000000"/>
              <w:right w:val="single" w:sz="6" w:space="0" w:color="000000"/>
            </w:tcBorders>
          </w:tcPr>
          <w:p>
            <w:pPr>
              <w:pStyle w:val="TAH"/>
              <w:rPr/>
            </w:pPr>
            <w:r>
              <w:rPr/>
              <w:t>Power class 1</w:t>
            </w:r>
          </w:p>
        </w:tc>
        <w:tc>
          <w:tcPr>
            <w:tcW w:w="1407" w:type="dxa"/>
            <w:tcBorders>
              <w:top w:val="single" w:sz="6" w:space="0" w:color="000000"/>
              <w:left w:val="single" w:sz="6" w:space="0" w:color="000000"/>
              <w:bottom w:val="single" w:sz="6" w:space="0" w:color="000000"/>
              <w:right w:val="single" w:sz="6" w:space="0" w:color="000000"/>
            </w:tcBorders>
          </w:tcPr>
          <w:p>
            <w:pPr>
              <w:pStyle w:val="TAH"/>
              <w:rPr/>
            </w:pPr>
            <w:r>
              <w:rPr/>
              <w:t>Power class 2</w:t>
            </w:r>
          </w:p>
        </w:tc>
        <w:tc>
          <w:tcPr>
            <w:tcW w:w="1407" w:type="dxa"/>
            <w:tcBorders>
              <w:top w:val="single" w:sz="6" w:space="0" w:color="000000"/>
              <w:left w:val="single" w:sz="6" w:space="0" w:color="000000"/>
              <w:bottom w:val="single" w:sz="6" w:space="0" w:color="000000"/>
              <w:right w:val="single" w:sz="6" w:space="0" w:color="000000"/>
            </w:tcBorders>
          </w:tcPr>
          <w:p>
            <w:pPr>
              <w:pStyle w:val="TAH"/>
              <w:rPr/>
            </w:pPr>
            <w:r>
              <w:rPr/>
              <w:t>Power class 3</w:t>
            </w:r>
          </w:p>
        </w:tc>
        <w:tc>
          <w:tcPr>
            <w:tcW w:w="1667" w:type="dxa"/>
            <w:tcBorders>
              <w:top w:val="single" w:sz="6" w:space="0" w:color="000000"/>
              <w:left w:val="single" w:sz="6" w:space="0" w:color="000000"/>
              <w:bottom w:val="single" w:sz="6" w:space="0" w:color="000000"/>
              <w:right w:val="single" w:sz="6" w:space="0" w:color="000000"/>
            </w:tcBorders>
          </w:tcPr>
          <w:p>
            <w:pPr>
              <w:pStyle w:val="TAH"/>
              <w:rPr/>
            </w:pPr>
            <w:r>
              <w:rPr/>
              <w:t>Power class 3bis</w:t>
            </w:r>
          </w:p>
        </w:tc>
        <w:tc>
          <w:tcPr>
            <w:tcW w:w="1407" w:type="dxa"/>
            <w:tcBorders>
              <w:top w:val="single" w:sz="6" w:space="0" w:color="000000"/>
              <w:left w:val="single" w:sz="6" w:space="0" w:color="000000"/>
              <w:bottom w:val="single" w:sz="6" w:space="0" w:color="000000"/>
              <w:right w:val="single" w:sz="6" w:space="0" w:color="000000"/>
            </w:tcBorders>
          </w:tcPr>
          <w:p>
            <w:pPr>
              <w:pStyle w:val="TAH"/>
              <w:rPr/>
            </w:pPr>
            <w:r>
              <w:rPr/>
              <w:t>Power class 4</w:t>
            </w:r>
          </w:p>
        </w:tc>
      </w:tr>
      <w:tr>
        <w:trPr>
          <w:trHeight w:val="316" w:hRule="atLeast"/>
        </w:trPr>
        <w:tc>
          <w:tcPr>
            <w:tcW w:w="1547" w:type="dxa"/>
            <w:vMerge w:val="continue"/>
            <w:tcBorders>
              <w:top w:val="single" w:sz="6" w:space="0" w:color="000000"/>
              <w:left w:val="single" w:sz="6" w:space="0" w:color="000000"/>
              <w:bottom w:val="single" w:sz="6" w:space="0" w:color="000000"/>
              <w:right w:val="single" w:sz="6" w:space="0" w:color="000000"/>
            </w:tcBorders>
          </w:tcPr>
          <w:p>
            <w:pPr>
              <w:pStyle w:val="Normal"/>
              <w:snapToGrid w:val="false"/>
              <w:spacing w:before="0" w:after="0"/>
              <w:rPr>
                <w:rFonts w:ascii="Arial" w:hAnsi="Arial" w:cs="Arial"/>
                <w:b/>
                <w:b/>
                <w:sz w:val="18"/>
                <w:lang w:eastAsia="zh-CN"/>
              </w:rPr>
            </w:pPr>
            <w:r>
              <w:rPr>
                <w:rFonts w:cs="Arial" w:ascii="Arial" w:hAnsi="Arial"/>
                <w:b/>
                <w:sz w:val="18"/>
                <w:lang w:eastAsia="zh-CN"/>
              </w:rPr>
            </w:r>
          </w:p>
        </w:tc>
        <w:tc>
          <w:tcPr>
            <w:tcW w:w="1407" w:type="dxa"/>
            <w:tcBorders>
              <w:top w:val="single" w:sz="6" w:space="0" w:color="000000"/>
              <w:left w:val="single" w:sz="6" w:space="0" w:color="000000"/>
              <w:bottom w:val="single" w:sz="6" w:space="0" w:color="000000"/>
              <w:right w:val="single" w:sz="6" w:space="0" w:color="000000"/>
            </w:tcBorders>
          </w:tcPr>
          <w:p>
            <w:pPr>
              <w:pStyle w:val="TAH"/>
              <w:rPr/>
            </w:pPr>
            <w:r>
              <w:rPr/>
              <w:t>Power (dBm)</w:t>
            </w:r>
          </w:p>
        </w:tc>
        <w:tc>
          <w:tcPr>
            <w:tcW w:w="1407" w:type="dxa"/>
            <w:tcBorders>
              <w:top w:val="single" w:sz="6" w:space="0" w:color="000000"/>
              <w:left w:val="single" w:sz="6" w:space="0" w:color="000000"/>
              <w:bottom w:val="single" w:sz="6" w:space="0" w:color="000000"/>
              <w:right w:val="single" w:sz="6" w:space="0" w:color="000000"/>
            </w:tcBorders>
          </w:tcPr>
          <w:p>
            <w:pPr>
              <w:pStyle w:val="TAH"/>
              <w:rPr/>
            </w:pPr>
            <w:r>
              <w:rPr/>
              <w:t>Power (dBm)</w:t>
            </w:r>
          </w:p>
        </w:tc>
        <w:tc>
          <w:tcPr>
            <w:tcW w:w="1407" w:type="dxa"/>
            <w:tcBorders>
              <w:top w:val="single" w:sz="6" w:space="0" w:color="000000"/>
              <w:left w:val="single" w:sz="6" w:space="0" w:color="000000"/>
              <w:bottom w:val="single" w:sz="6" w:space="0" w:color="000000"/>
              <w:right w:val="single" w:sz="6" w:space="0" w:color="000000"/>
            </w:tcBorders>
          </w:tcPr>
          <w:p>
            <w:pPr>
              <w:pStyle w:val="TAH"/>
              <w:rPr/>
            </w:pPr>
            <w:r>
              <w:rPr/>
              <w:t>Power (dBm)</w:t>
            </w:r>
          </w:p>
        </w:tc>
        <w:tc>
          <w:tcPr>
            <w:tcW w:w="1667" w:type="dxa"/>
            <w:tcBorders>
              <w:top w:val="single" w:sz="6" w:space="0" w:color="000000"/>
              <w:left w:val="single" w:sz="6" w:space="0" w:color="000000"/>
              <w:bottom w:val="single" w:sz="6" w:space="0" w:color="000000"/>
              <w:right w:val="single" w:sz="6" w:space="0" w:color="000000"/>
            </w:tcBorders>
          </w:tcPr>
          <w:p>
            <w:pPr>
              <w:pStyle w:val="TAH"/>
              <w:rPr/>
            </w:pPr>
            <w:r>
              <w:rPr/>
              <w:t>Power (dBm)</w:t>
            </w:r>
          </w:p>
        </w:tc>
        <w:tc>
          <w:tcPr>
            <w:tcW w:w="1407" w:type="dxa"/>
            <w:tcBorders>
              <w:top w:val="single" w:sz="6" w:space="0" w:color="000000"/>
              <w:left w:val="single" w:sz="6" w:space="0" w:color="000000"/>
              <w:bottom w:val="single" w:sz="6" w:space="0" w:color="000000"/>
              <w:right w:val="single" w:sz="6" w:space="0" w:color="000000"/>
            </w:tcBorders>
          </w:tcPr>
          <w:p>
            <w:pPr>
              <w:pStyle w:val="TAH"/>
              <w:rPr/>
            </w:pPr>
            <w:r>
              <w:rPr/>
              <w:t>Power (dBm)</w:t>
            </w:r>
          </w:p>
        </w:tc>
      </w:tr>
      <w:tr>
        <w:trPr>
          <w:trHeight w:val="244" w:hRule="atLeast"/>
        </w:trPr>
        <w:tc>
          <w:tcPr>
            <w:tcW w:w="1547" w:type="dxa"/>
            <w:vMerge w:val="continue"/>
            <w:tcBorders>
              <w:top w:val="single" w:sz="6" w:space="0" w:color="000000"/>
              <w:left w:val="single" w:sz="6" w:space="0" w:color="000000"/>
              <w:bottom w:val="single" w:sz="6" w:space="0" w:color="000000"/>
              <w:right w:val="single" w:sz="6" w:space="0" w:color="000000"/>
            </w:tcBorders>
          </w:tcPr>
          <w:p>
            <w:pPr>
              <w:pStyle w:val="Normal"/>
              <w:snapToGrid w:val="false"/>
              <w:spacing w:before="0" w:after="0"/>
              <w:rPr>
                <w:rFonts w:ascii="Arial" w:hAnsi="Arial" w:cs="Arial"/>
                <w:b/>
                <w:b/>
                <w:sz w:val="18"/>
                <w:lang w:eastAsia="zh-CN"/>
              </w:rPr>
            </w:pPr>
            <w:r>
              <w:rPr>
                <w:rFonts w:cs="Arial" w:ascii="Arial" w:hAnsi="Arial"/>
                <w:b/>
                <w:sz w:val="18"/>
                <w:lang w:eastAsia="zh-CN"/>
              </w:rPr>
            </w:r>
          </w:p>
        </w:tc>
        <w:tc>
          <w:tcPr>
            <w:tcW w:w="1407" w:type="dxa"/>
            <w:tcBorders>
              <w:top w:val="single" w:sz="6" w:space="0" w:color="000000"/>
              <w:left w:val="single" w:sz="6" w:space="0" w:color="000000"/>
              <w:bottom w:val="single" w:sz="6" w:space="0" w:color="000000"/>
              <w:right w:val="single" w:sz="6" w:space="0" w:color="000000"/>
            </w:tcBorders>
          </w:tcPr>
          <w:p>
            <w:pPr>
              <w:pStyle w:val="TAH"/>
              <w:rPr/>
            </w:pPr>
            <w:r>
              <w:rPr/>
              <w:t>Average</w:t>
            </w:r>
          </w:p>
        </w:tc>
        <w:tc>
          <w:tcPr>
            <w:tcW w:w="1407" w:type="dxa"/>
            <w:tcBorders>
              <w:top w:val="single" w:sz="6" w:space="0" w:color="000000"/>
              <w:left w:val="single" w:sz="6" w:space="0" w:color="000000"/>
              <w:bottom w:val="single" w:sz="6" w:space="0" w:color="000000"/>
              <w:right w:val="single" w:sz="6" w:space="0" w:color="000000"/>
            </w:tcBorders>
          </w:tcPr>
          <w:p>
            <w:pPr>
              <w:pStyle w:val="TAH"/>
              <w:rPr/>
            </w:pPr>
            <w:r>
              <w:rPr/>
              <w:t>Average</w:t>
            </w:r>
          </w:p>
        </w:tc>
        <w:tc>
          <w:tcPr>
            <w:tcW w:w="1407" w:type="dxa"/>
            <w:tcBorders>
              <w:top w:val="single" w:sz="6" w:space="0" w:color="000000"/>
              <w:left w:val="single" w:sz="6" w:space="0" w:color="000000"/>
              <w:bottom w:val="single" w:sz="6" w:space="0" w:color="000000"/>
              <w:right w:val="single" w:sz="6" w:space="0" w:color="000000"/>
            </w:tcBorders>
          </w:tcPr>
          <w:p>
            <w:pPr>
              <w:pStyle w:val="TAH"/>
              <w:rPr/>
            </w:pPr>
            <w:r>
              <w:rPr/>
              <w:t>Average</w:t>
            </w:r>
          </w:p>
        </w:tc>
        <w:tc>
          <w:tcPr>
            <w:tcW w:w="1667" w:type="dxa"/>
            <w:tcBorders>
              <w:top w:val="single" w:sz="6" w:space="0" w:color="000000"/>
              <w:left w:val="single" w:sz="6" w:space="0" w:color="000000"/>
              <w:bottom w:val="single" w:sz="6" w:space="0" w:color="000000"/>
              <w:right w:val="single" w:sz="6" w:space="0" w:color="000000"/>
            </w:tcBorders>
          </w:tcPr>
          <w:p>
            <w:pPr>
              <w:pStyle w:val="TAH"/>
              <w:rPr/>
            </w:pPr>
            <w:r>
              <w:rPr/>
              <w:t>Average</w:t>
            </w:r>
          </w:p>
        </w:tc>
        <w:tc>
          <w:tcPr>
            <w:tcW w:w="1407" w:type="dxa"/>
            <w:tcBorders>
              <w:top w:val="single" w:sz="6" w:space="0" w:color="000000"/>
              <w:left w:val="single" w:sz="6" w:space="0" w:color="000000"/>
              <w:bottom w:val="single" w:sz="6" w:space="0" w:color="000000"/>
              <w:right w:val="single" w:sz="6" w:space="0" w:color="000000"/>
            </w:tcBorders>
          </w:tcPr>
          <w:p>
            <w:pPr>
              <w:pStyle w:val="TAH"/>
              <w:rPr/>
            </w:pPr>
            <w:r>
              <w:rPr/>
              <w:t>Average</w:t>
            </w:r>
          </w:p>
        </w:tc>
      </w:tr>
      <w:tr>
        <w:trPr>
          <w:trHeight w:val="215" w:hRule="atLeast"/>
        </w:trPr>
        <w:tc>
          <w:tcPr>
            <w:tcW w:w="1547" w:type="dxa"/>
            <w:tcBorders>
              <w:top w:val="single" w:sz="6" w:space="0" w:color="000000"/>
              <w:left w:val="single" w:sz="6" w:space="0" w:color="000000"/>
              <w:bottom w:val="single" w:sz="6" w:space="0" w:color="000000"/>
              <w:right w:val="single" w:sz="6" w:space="0" w:color="000000"/>
            </w:tcBorders>
            <w:vAlign w:val="center"/>
          </w:tcPr>
          <w:p>
            <w:pPr>
              <w:pStyle w:val="TAC"/>
              <w:rPr/>
            </w:pPr>
            <w:r>
              <w:rPr/>
              <w:t>a</w:t>
            </w:r>
          </w:p>
        </w:tc>
        <w:tc>
          <w:tcPr>
            <w:tcW w:w="1407" w:type="dxa"/>
            <w:tcBorders>
              <w:top w:val="single" w:sz="6" w:space="0" w:color="000000"/>
              <w:left w:val="single" w:sz="6" w:space="0" w:color="000000"/>
              <w:bottom w:val="single" w:sz="6" w:space="0" w:color="000000"/>
              <w:right w:val="single" w:sz="6" w:space="0" w:color="000000"/>
            </w:tcBorders>
            <w:vAlign w:val="center"/>
          </w:tcPr>
          <w:p>
            <w:pPr>
              <w:pStyle w:val="TAC"/>
              <w:rPr/>
            </w:pPr>
            <w:r>
              <w:rPr/>
              <w:t>-</w:t>
            </w:r>
          </w:p>
        </w:tc>
        <w:tc>
          <w:tcPr>
            <w:tcW w:w="1407" w:type="dxa"/>
            <w:tcBorders>
              <w:top w:val="single" w:sz="6" w:space="0" w:color="000000"/>
              <w:left w:val="single" w:sz="6" w:space="0" w:color="000000"/>
              <w:bottom w:val="single" w:sz="6" w:space="0" w:color="000000"/>
              <w:right w:val="single" w:sz="6" w:space="0" w:color="000000"/>
            </w:tcBorders>
            <w:vAlign w:val="center"/>
          </w:tcPr>
          <w:p>
            <w:pPr>
              <w:pStyle w:val="TAC"/>
              <w:rPr/>
            </w:pPr>
            <w:r>
              <w:rPr/>
              <w:t>TBD</w:t>
            </w:r>
          </w:p>
        </w:tc>
        <w:tc>
          <w:tcPr>
            <w:tcW w:w="1407" w:type="dxa"/>
            <w:tcBorders>
              <w:top w:val="single" w:sz="6" w:space="0" w:color="000000"/>
              <w:left w:val="single" w:sz="6" w:space="0" w:color="000000"/>
              <w:bottom w:val="single" w:sz="6" w:space="0" w:color="000000"/>
              <w:right w:val="single" w:sz="6" w:space="0" w:color="000000"/>
            </w:tcBorders>
            <w:vAlign w:val="center"/>
          </w:tcPr>
          <w:p>
            <w:pPr>
              <w:pStyle w:val="TAC"/>
              <w:rPr/>
            </w:pPr>
            <w:r>
              <w:rPr/>
              <w:t>-</w:t>
            </w:r>
          </w:p>
        </w:tc>
        <w:tc>
          <w:tcPr>
            <w:tcW w:w="1667" w:type="dxa"/>
            <w:tcBorders>
              <w:top w:val="single" w:sz="6" w:space="0" w:color="000000"/>
              <w:left w:val="single" w:sz="6" w:space="0" w:color="000000"/>
              <w:bottom w:val="single" w:sz="6" w:space="0" w:color="000000"/>
              <w:right w:val="single" w:sz="6" w:space="0" w:color="000000"/>
            </w:tcBorders>
            <w:vAlign w:val="center"/>
          </w:tcPr>
          <w:p>
            <w:pPr>
              <w:pStyle w:val="TAC"/>
              <w:rPr/>
            </w:pPr>
            <w:r>
              <w:rPr/>
              <w:t>-</w:t>
            </w:r>
          </w:p>
        </w:tc>
        <w:tc>
          <w:tcPr>
            <w:tcW w:w="1407" w:type="dxa"/>
            <w:tcBorders>
              <w:top w:val="single" w:sz="6" w:space="0" w:color="000000"/>
              <w:left w:val="single" w:sz="6" w:space="0" w:color="000000"/>
              <w:bottom w:val="single" w:sz="6" w:space="0" w:color="000000"/>
              <w:right w:val="single" w:sz="6" w:space="0" w:color="000000"/>
            </w:tcBorders>
            <w:vAlign w:val="center"/>
          </w:tcPr>
          <w:p>
            <w:pPr>
              <w:pStyle w:val="TAC"/>
              <w:rPr/>
            </w:pPr>
            <w:r>
              <w:rPr/>
              <w:t>-</w:t>
            </w:r>
          </w:p>
        </w:tc>
      </w:tr>
      <w:tr>
        <w:trPr>
          <w:trHeight w:val="215" w:hRule="atLeast"/>
        </w:trPr>
        <w:tc>
          <w:tcPr>
            <w:tcW w:w="1547" w:type="dxa"/>
            <w:tcBorders>
              <w:top w:val="single" w:sz="6" w:space="0" w:color="000000"/>
              <w:left w:val="single" w:sz="6" w:space="0" w:color="000000"/>
              <w:bottom w:val="single" w:sz="6" w:space="0" w:color="000000"/>
              <w:right w:val="single" w:sz="6" w:space="0" w:color="000000"/>
            </w:tcBorders>
            <w:vAlign w:val="center"/>
          </w:tcPr>
          <w:p>
            <w:pPr>
              <w:pStyle w:val="TAC"/>
              <w:rPr/>
            </w:pPr>
            <w:r>
              <w:rPr/>
              <w:t>b</w:t>
            </w:r>
          </w:p>
        </w:tc>
        <w:tc>
          <w:tcPr>
            <w:tcW w:w="1407" w:type="dxa"/>
            <w:tcBorders>
              <w:top w:val="single" w:sz="6" w:space="0" w:color="000000"/>
              <w:left w:val="single" w:sz="6" w:space="0" w:color="000000"/>
              <w:bottom w:val="single" w:sz="6" w:space="0" w:color="000000"/>
              <w:right w:val="single" w:sz="6" w:space="0" w:color="000000"/>
            </w:tcBorders>
            <w:vAlign w:val="center"/>
          </w:tcPr>
          <w:p>
            <w:pPr>
              <w:pStyle w:val="TAC"/>
              <w:rPr/>
            </w:pPr>
            <w:r>
              <w:rPr/>
              <w:t>-</w:t>
            </w:r>
          </w:p>
        </w:tc>
        <w:tc>
          <w:tcPr>
            <w:tcW w:w="1407" w:type="dxa"/>
            <w:tcBorders>
              <w:top w:val="single" w:sz="6" w:space="0" w:color="000000"/>
              <w:left w:val="single" w:sz="6" w:space="0" w:color="000000"/>
              <w:bottom w:val="single" w:sz="6" w:space="0" w:color="000000"/>
              <w:right w:val="single" w:sz="6" w:space="0" w:color="000000"/>
            </w:tcBorders>
            <w:vAlign w:val="center"/>
          </w:tcPr>
          <w:p>
            <w:pPr>
              <w:pStyle w:val="TAC"/>
              <w:rPr/>
            </w:pPr>
            <w:r>
              <w:rPr/>
              <w:t>TBD</w:t>
            </w:r>
          </w:p>
        </w:tc>
        <w:tc>
          <w:tcPr>
            <w:tcW w:w="1407" w:type="dxa"/>
            <w:tcBorders>
              <w:top w:val="single" w:sz="6" w:space="0" w:color="000000"/>
              <w:left w:val="single" w:sz="6" w:space="0" w:color="000000"/>
              <w:bottom w:val="single" w:sz="6" w:space="0" w:color="000000"/>
              <w:right w:val="single" w:sz="6" w:space="0" w:color="000000"/>
            </w:tcBorders>
            <w:vAlign w:val="center"/>
          </w:tcPr>
          <w:p>
            <w:pPr>
              <w:pStyle w:val="TAC"/>
              <w:rPr/>
            </w:pPr>
            <w:r>
              <w:rPr/>
              <w:t>-</w:t>
            </w:r>
          </w:p>
        </w:tc>
        <w:tc>
          <w:tcPr>
            <w:tcW w:w="1667" w:type="dxa"/>
            <w:tcBorders>
              <w:top w:val="single" w:sz="6" w:space="0" w:color="000000"/>
              <w:left w:val="single" w:sz="6" w:space="0" w:color="000000"/>
              <w:bottom w:val="single" w:sz="6" w:space="0" w:color="000000"/>
              <w:right w:val="single" w:sz="6" w:space="0" w:color="000000"/>
            </w:tcBorders>
            <w:vAlign w:val="center"/>
          </w:tcPr>
          <w:p>
            <w:pPr>
              <w:pStyle w:val="TAC"/>
              <w:rPr/>
            </w:pPr>
            <w:r>
              <w:rPr/>
              <w:t>-</w:t>
            </w:r>
          </w:p>
        </w:tc>
        <w:tc>
          <w:tcPr>
            <w:tcW w:w="1407" w:type="dxa"/>
            <w:tcBorders>
              <w:top w:val="single" w:sz="6" w:space="0" w:color="000000"/>
              <w:left w:val="single" w:sz="6" w:space="0" w:color="000000"/>
              <w:bottom w:val="single" w:sz="6" w:space="0" w:color="000000"/>
              <w:right w:val="single" w:sz="6" w:space="0" w:color="000000"/>
            </w:tcBorders>
            <w:vAlign w:val="center"/>
          </w:tcPr>
          <w:p>
            <w:pPr>
              <w:pStyle w:val="TAC"/>
              <w:rPr/>
            </w:pPr>
            <w:r>
              <w:rPr/>
              <w:t>-</w:t>
            </w:r>
          </w:p>
        </w:tc>
      </w:tr>
      <w:tr>
        <w:trPr>
          <w:trHeight w:val="215" w:hRule="atLeast"/>
        </w:trPr>
        <w:tc>
          <w:tcPr>
            <w:tcW w:w="1547" w:type="dxa"/>
            <w:tcBorders>
              <w:top w:val="single" w:sz="6" w:space="0" w:color="000000"/>
              <w:left w:val="single" w:sz="6" w:space="0" w:color="000000"/>
              <w:bottom w:val="single" w:sz="6" w:space="0" w:color="000000"/>
              <w:right w:val="single" w:sz="6" w:space="0" w:color="000000"/>
            </w:tcBorders>
            <w:vAlign w:val="center"/>
          </w:tcPr>
          <w:p>
            <w:pPr>
              <w:pStyle w:val="TAC"/>
              <w:rPr/>
            </w:pPr>
            <w:r>
              <w:rPr/>
              <w:t>c</w:t>
            </w:r>
          </w:p>
        </w:tc>
        <w:tc>
          <w:tcPr>
            <w:tcW w:w="1407" w:type="dxa"/>
            <w:tcBorders>
              <w:top w:val="single" w:sz="6" w:space="0" w:color="000000"/>
              <w:left w:val="single" w:sz="6" w:space="0" w:color="000000"/>
              <w:bottom w:val="single" w:sz="6" w:space="0" w:color="000000"/>
              <w:right w:val="single" w:sz="6" w:space="0" w:color="000000"/>
            </w:tcBorders>
            <w:vAlign w:val="center"/>
          </w:tcPr>
          <w:p>
            <w:pPr>
              <w:pStyle w:val="TAC"/>
              <w:rPr/>
            </w:pPr>
            <w:r>
              <w:rPr/>
              <w:t>-</w:t>
            </w:r>
          </w:p>
        </w:tc>
        <w:tc>
          <w:tcPr>
            <w:tcW w:w="1407" w:type="dxa"/>
            <w:tcBorders>
              <w:top w:val="single" w:sz="6" w:space="0" w:color="000000"/>
              <w:left w:val="single" w:sz="6" w:space="0" w:color="000000"/>
              <w:bottom w:val="single" w:sz="6" w:space="0" w:color="000000"/>
              <w:right w:val="single" w:sz="6" w:space="0" w:color="000000"/>
            </w:tcBorders>
            <w:vAlign w:val="center"/>
          </w:tcPr>
          <w:p>
            <w:pPr>
              <w:pStyle w:val="TAC"/>
              <w:rPr/>
            </w:pPr>
            <w:r>
              <w:rPr/>
              <w:t>TBD</w:t>
            </w:r>
          </w:p>
        </w:tc>
        <w:tc>
          <w:tcPr>
            <w:tcW w:w="1407" w:type="dxa"/>
            <w:tcBorders>
              <w:top w:val="single" w:sz="6" w:space="0" w:color="000000"/>
              <w:left w:val="single" w:sz="6" w:space="0" w:color="000000"/>
              <w:bottom w:val="single" w:sz="6" w:space="0" w:color="000000"/>
              <w:right w:val="single" w:sz="6" w:space="0" w:color="000000"/>
            </w:tcBorders>
            <w:vAlign w:val="center"/>
          </w:tcPr>
          <w:p>
            <w:pPr>
              <w:pStyle w:val="TAC"/>
              <w:rPr/>
            </w:pPr>
            <w:r>
              <w:rPr/>
              <w:t>-</w:t>
            </w:r>
          </w:p>
        </w:tc>
        <w:tc>
          <w:tcPr>
            <w:tcW w:w="1667" w:type="dxa"/>
            <w:tcBorders>
              <w:top w:val="single" w:sz="6" w:space="0" w:color="000000"/>
              <w:left w:val="single" w:sz="6" w:space="0" w:color="000000"/>
              <w:bottom w:val="single" w:sz="6" w:space="0" w:color="000000"/>
              <w:right w:val="single" w:sz="6" w:space="0" w:color="000000"/>
            </w:tcBorders>
            <w:vAlign w:val="center"/>
          </w:tcPr>
          <w:p>
            <w:pPr>
              <w:pStyle w:val="TAC"/>
              <w:rPr/>
            </w:pPr>
            <w:r>
              <w:rPr/>
              <w:t>-</w:t>
            </w:r>
          </w:p>
        </w:tc>
        <w:tc>
          <w:tcPr>
            <w:tcW w:w="1407" w:type="dxa"/>
            <w:tcBorders>
              <w:top w:val="single" w:sz="6" w:space="0" w:color="000000"/>
              <w:left w:val="single" w:sz="6" w:space="0" w:color="000000"/>
              <w:bottom w:val="single" w:sz="6" w:space="0" w:color="000000"/>
              <w:right w:val="single" w:sz="6" w:space="0" w:color="000000"/>
            </w:tcBorders>
            <w:vAlign w:val="center"/>
          </w:tcPr>
          <w:p>
            <w:pPr>
              <w:pStyle w:val="TAC"/>
              <w:rPr/>
            </w:pPr>
            <w:r>
              <w:rPr/>
              <w:t>-</w:t>
            </w:r>
          </w:p>
        </w:tc>
      </w:tr>
      <w:tr>
        <w:trPr>
          <w:trHeight w:val="215" w:hRule="atLeast"/>
        </w:trPr>
        <w:tc>
          <w:tcPr>
            <w:tcW w:w="1547" w:type="dxa"/>
            <w:tcBorders>
              <w:top w:val="single" w:sz="6" w:space="0" w:color="000000"/>
              <w:left w:val="single" w:sz="6" w:space="0" w:color="000000"/>
              <w:bottom w:val="single" w:sz="6" w:space="0" w:color="000000"/>
              <w:right w:val="single" w:sz="6" w:space="0" w:color="000000"/>
            </w:tcBorders>
            <w:vAlign w:val="center"/>
          </w:tcPr>
          <w:p>
            <w:pPr>
              <w:pStyle w:val="TAC"/>
              <w:rPr/>
            </w:pPr>
            <w:r>
              <w:rPr/>
              <w:t>d</w:t>
            </w:r>
          </w:p>
        </w:tc>
        <w:tc>
          <w:tcPr>
            <w:tcW w:w="1407" w:type="dxa"/>
            <w:tcBorders>
              <w:top w:val="single" w:sz="6" w:space="0" w:color="000000"/>
              <w:left w:val="single" w:sz="6" w:space="0" w:color="000000"/>
              <w:bottom w:val="single" w:sz="6" w:space="0" w:color="000000"/>
              <w:right w:val="single" w:sz="6" w:space="0" w:color="000000"/>
            </w:tcBorders>
            <w:vAlign w:val="center"/>
          </w:tcPr>
          <w:p>
            <w:pPr>
              <w:pStyle w:val="TAC"/>
              <w:rPr/>
            </w:pPr>
            <w:r>
              <w:rPr/>
              <w:t>-</w:t>
            </w:r>
          </w:p>
        </w:tc>
        <w:tc>
          <w:tcPr>
            <w:tcW w:w="1407" w:type="dxa"/>
            <w:tcBorders>
              <w:top w:val="single" w:sz="6" w:space="0" w:color="000000"/>
              <w:left w:val="single" w:sz="6" w:space="0" w:color="000000"/>
              <w:bottom w:val="single" w:sz="6" w:space="0" w:color="000000"/>
              <w:right w:val="single" w:sz="6" w:space="0" w:color="000000"/>
            </w:tcBorders>
            <w:vAlign w:val="center"/>
          </w:tcPr>
          <w:p>
            <w:pPr>
              <w:pStyle w:val="TAC"/>
              <w:rPr/>
            </w:pPr>
            <w:r>
              <w:rPr/>
              <w:t>TBD</w:t>
            </w:r>
          </w:p>
        </w:tc>
        <w:tc>
          <w:tcPr>
            <w:tcW w:w="1407" w:type="dxa"/>
            <w:tcBorders>
              <w:top w:val="single" w:sz="6" w:space="0" w:color="000000"/>
              <w:left w:val="single" w:sz="6" w:space="0" w:color="000000"/>
              <w:bottom w:val="single" w:sz="6" w:space="0" w:color="000000"/>
              <w:right w:val="single" w:sz="6" w:space="0" w:color="000000"/>
            </w:tcBorders>
            <w:vAlign w:val="center"/>
          </w:tcPr>
          <w:p>
            <w:pPr>
              <w:pStyle w:val="TAC"/>
              <w:rPr/>
            </w:pPr>
            <w:r>
              <w:rPr/>
              <w:t>-</w:t>
            </w:r>
          </w:p>
        </w:tc>
        <w:tc>
          <w:tcPr>
            <w:tcW w:w="1667" w:type="dxa"/>
            <w:tcBorders>
              <w:top w:val="single" w:sz="6" w:space="0" w:color="000000"/>
              <w:left w:val="single" w:sz="6" w:space="0" w:color="000000"/>
              <w:bottom w:val="single" w:sz="6" w:space="0" w:color="000000"/>
              <w:right w:val="single" w:sz="6" w:space="0" w:color="000000"/>
            </w:tcBorders>
            <w:vAlign w:val="center"/>
          </w:tcPr>
          <w:p>
            <w:pPr>
              <w:pStyle w:val="TAC"/>
              <w:rPr/>
            </w:pPr>
            <w:r>
              <w:rPr/>
              <w:t>-</w:t>
            </w:r>
          </w:p>
        </w:tc>
        <w:tc>
          <w:tcPr>
            <w:tcW w:w="1407" w:type="dxa"/>
            <w:tcBorders>
              <w:top w:val="single" w:sz="6" w:space="0" w:color="000000"/>
              <w:left w:val="single" w:sz="6" w:space="0" w:color="000000"/>
              <w:bottom w:val="single" w:sz="6" w:space="0" w:color="000000"/>
              <w:right w:val="single" w:sz="6" w:space="0" w:color="000000"/>
            </w:tcBorders>
            <w:vAlign w:val="center"/>
          </w:tcPr>
          <w:p>
            <w:pPr>
              <w:pStyle w:val="TAC"/>
              <w:rPr/>
            </w:pPr>
            <w:r>
              <w:rPr/>
              <w:t>-</w:t>
            </w:r>
          </w:p>
        </w:tc>
      </w:tr>
      <w:tr>
        <w:trPr>
          <w:trHeight w:val="215" w:hRule="atLeast"/>
        </w:trPr>
        <w:tc>
          <w:tcPr>
            <w:tcW w:w="1547" w:type="dxa"/>
            <w:tcBorders>
              <w:top w:val="single" w:sz="6" w:space="0" w:color="000000"/>
              <w:left w:val="single" w:sz="6" w:space="0" w:color="000000"/>
              <w:bottom w:val="single" w:sz="6" w:space="0" w:color="000000"/>
              <w:right w:val="single" w:sz="6" w:space="0" w:color="000000"/>
            </w:tcBorders>
            <w:vAlign w:val="center"/>
          </w:tcPr>
          <w:p>
            <w:pPr>
              <w:pStyle w:val="TAC"/>
              <w:rPr/>
            </w:pPr>
            <w:r>
              <w:rPr/>
              <w:t>e</w:t>
            </w:r>
          </w:p>
        </w:tc>
        <w:tc>
          <w:tcPr>
            <w:tcW w:w="1407" w:type="dxa"/>
            <w:tcBorders>
              <w:top w:val="single" w:sz="6" w:space="0" w:color="000000"/>
              <w:left w:val="single" w:sz="6" w:space="0" w:color="000000"/>
              <w:bottom w:val="single" w:sz="6" w:space="0" w:color="000000"/>
              <w:right w:val="single" w:sz="6" w:space="0" w:color="000000"/>
            </w:tcBorders>
            <w:vAlign w:val="center"/>
          </w:tcPr>
          <w:p>
            <w:pPr>
              <w:pStyle w:val="TAC"/>
              <w:rPr/>
            </w:pPr>
            <w:r>
              <w:rPr/>
              <w:t>-</w:t>
            </w:r>
          </w:p>
        </w:tc>
        <w:tc>
          <w:tcPr>
            <w:tcW w:w="1407" w:type="dxa"/>
            <w:tcBorders>
              <w:top w:val="single" w:sz="6" w:space="0" w:color="000000"/>
              <w:left w:val="single" w:sz="6" w:space="0" w:color="000000"/>
              <w:bottom w:val="single" w:sz="6" w:space="0" w:color="000000"/>
              <w:right w:val="single" w:sz="6" w:space="0" w:color="000000"/>
            </w:tcBorders>
            <w:vAlign w:val="center"/>
          </w:tcPr>
          <w:p>
            <w:pPr>
              <w:pStyle w:val="TAC"/>
              <w:rPr/>
            </w:pPr>
            <w:r>
              <w:rPr/>
              <w:t>TBD</w:t>
            </w:r>
          </w:p>
        </w:tc>
        <w:tc>
          <w:tcPr>
            <w:tcW w:w="1407" w:type="dxa"/>
            <w:tcBorders>
              <w:top w:val="single" w:sz="6" w:space="0" w:color="000000"/>
              <w:left w:val="single" w:sz="6" w:space="0" w:color="000000"/>
              <w:bottom w:val="single" w:sz="6" w:space="0" w:color="000000"/>
              <w:right w:val="single" w:sz="6" w:space="0" w:color="000000"/>
            </w:tcBorders>
            <w:vAlign w:val="center"/>
          </w:tcPr>
          <w:p>
            <w:pPr>
              <w:pStyle w:val="TAC"/>
              <w:rPr/>
            </w:pPr>
            <w:r>
              <w:rPr/>
              <w:t>-</w:t>
            </w:r>
          </w:p>
        </w:tc>
        <w:tc>
          <w:tcPr>
            <w:tcW w:w="1667" w:type="dxa"/>
            <w:tcBorders>
              <w:top w:val="single" w:sz="6" w:space="0" w:color="000000"/>
              <w:left w:val="single" w:sz="6" w:space="0" w:color="000000"/>
              <w:bottom w:val="single" w:sz="6" w:space="0" w:color="000000"/>
              <w:right w:val="single" w:sz="6" w:space="0" w:color="000000"/>
            </w:tcBorders>
            <w:vAlign w:val="center"/>
          </w:tcPr>
          <w:p>
            <w:pPr>
              <w:pStyle w:val="TAC"/>
              <w:rPr/>
            </w:pPr>
            <w:r>
              <w:rPr/>
              <w:t>-</w:t>
            </w:r>
          </w:p>
        </w:tc>
        <w:tc>
          <w:tcPr>
            <w:tcW w:w="1407" w:type="dxa"/>
            <w:tcBorders>
              <w:top w:val="single" w:sz="6" w:space="0" w:color="000000"/>
              <w:left w:val="single" w:sz="6" w:space="0" w:color="000000"/>
              <w:bottom w:val="single" w:sz="6" w:space="0" w:color="000000"/>
              <w:right w:val="single" w:sz="6" w:space="0" w:color="000000"/>
            </w:tcBorders>
            <w:vAlign w:val="center"/>
          </w:tcPr>
          <w:p>
            <w:pPr>
              <w:pStyle w:val="TAC"/>
              <w:rPr/>
            </w:pPr>
            <w:r>
              <w:rPr/>
              <w:t>-</w:t>
            </w:r>
          </w:p>
        </w:tc>
      </w:tr>
      <w:tr>
        <w:trPr>
          <w:trHeight w:val="215" w:hRule="atLeast"/>
        </w:trPr>
        <w:tc>
          <w:tcPr>
            <w:tcW w:w="1547" w:type="dxa"/>
            <w:tcBorders>
              <w:top w:val="single" w:sz="6" w:space="0" w:color="000000"/>
              <w:left w:val="single" w:sz="6" w:space="0" w:color="000000"/>
              <w:bottom w:val="single" w:sz="6" w:space="0" w:color="000000"/>
              <w:right w:val="single" w:sz="6" w:space="0" w:color="000000"/>
            </w:tcBorders>
            <w:vAlign w:val="center"/>
          </w:tcPr>
          <w:p>
            <w:pPr>
              <w:pStyle w:val="TAC"/>
              <w:rPr/>
            </w:pPr>
            <w:r>
              <w:rPr/>
              <w:t>f</w:t>
            </w:r>
          </w:p>
        </w:tc>
        <w:tc>
          <w:tcPr>
            <w:tcW w:w="1407" w:type="dxa"/>
            <w:tcBorders>
              <w:top w:val="single" w:sz="6" w:space="0" w:color="000000"/>
              <w:left w:val="single" w:sz="6" w:space="0" w:color="000000"/>
              <w:bottom w:val="single" w:sz="6" w:space="0" w:color="000000"/>
              <w:right w:val="single" w:sz="6" w:space="0" w:color="000000"/>
            </w:tcBorders>
            <w:vAlign w:val="center"/>
          </w:tcPr>
          <w:p>
            <w:pPr>
              <w:pStyle w:val="TAC"/>
              <w:rPr/>
            </w:pPr>
            <w:r>
              <w:rPr/>
              <w:t>-</w:t>
            </w:r>
          </w:p>
        </w:tc>
        <w:tc>
          <w:tcPr>
            <w:tcW w:w="1407" w:type="dxa"/>
            <w:tcBorders>
              <w:top w:val="single" w:sz="6" w:space="0" w:color="000000"/>
              <w:left w:val="single" w:sz="6" w:space="0" w:color="000000"/>
              <w:bottom w:val="single" w:sz="6" w:space="0" w:color="000000"/>
              <w:right w:val="single" w:sz="6" w:space="0" w:color="000000"/>
            </w:tcBorders>
            <w:vAlign w:val="center"/>
          </w:tcPr>
          <w:p>
            <w:pPr>
              <w:pStyle w:val="TAC"/>
              <w:rPr/>
            </w:pPr>
            <w:r>
              <w:rPr/>
              <w:t>TBD</w:t>
            </w:r>
          </w:p>
        </w:tc>
        <w:tc>
          <w:tcPr>
            <w:tcW w:w="1407" w:type="dxa"/>
            <w:tcBorders>
              <w:top w:val="single" w:sz="6" w:space="0" w:color="000000"/>
              <w:left w:val="single" w:sz="6" w:space="0" w:color="000000"/>
              <w:bottom w:val="single" w:sz="6" w:space="0" w:color="000000"/>
              <w:right w:val="single" w:sz="6" w:space="0" w:color="000000"/>
            </w:tcBorders>
            <w:vAlign w:val="center"/>
          </w:tcPr>
          <w:p>
            <w:pPr>
              <w:pStyle w:val="TAC"/>
              <w:rPr/>
            </w:pPr>
            <w:r>
              <w:rPr/>
              <w:t>-</w:t>
            </w:r>
          </w:p>
        </w:tc>
        <w:tc>
          <w:tcPr>
            <w:tcW w:w="1667" w:type="dxa"/>
            <w:tcBorders>
              <w:top w:val="single" w:sz="6" w:space="0" w:color="000000"/>
              <w:left w:val="single" w:sz="6" w:space="0" w:color="000000"/>
              <w:bottom w:val="single" w:sz="6" w:space="0" w:color="000000"/>
              <w:right w:val="single" w:sz="6" w:space="0" w:color="000000"/>
            </w:tcBorders>
            <w:vAlign w:val="center"/>
          </w:tcPr>
          <w:p>
            <w:pPr>
              <w:pStyle w:val="TAC"/>
              <w:rPr/>
            </w:pPr>
            <w:r>
              <w:rPr/>
              <w:t>-</w:t>
            </w:r>
          </w:p>
        </w:tc>
        <w:tc>
          <w:tcPr>
            <w:tcW w:w="1407" w:type="dxa"/>
            <w:tcBorders>
              <w:top w:val="single" w:sz="6" w:space="0" w:color="000000"/>
              <w:left w:val="single" w:sz="6" w:space="0" w:color="000000"/>
              <w:bottom w:val="single" w:sz="6" w:space="0" w:color="000000"/>
              <w:right w:val="single" w:sz="6" w:space="0" w:color="000000"/>
            </w:tcBorders>
            <w:vAlign w:val="center"/>
          </w:tcPr>
          <w:p>
            <w:pPr>
              <w:pStyle w:val="TAC"/>
              <w:rPr/>
            </w:pPr>
            <w:r>
              <w:rPr/>
              <w:t>-</w:t>
            </w:r>
          </w:p>
        </w:tc>
      </w:tr>
      <w:tr>
        <w:trPr>
          <w:trHeight w:val="220" w:hRule="atLeast"/>
        </w:trPr>
        <w:tc>
          <w:tcPr>
            <w:tcW w:w="8842" w:type="dxa"/>
            <w:gridSpan w:val="6"/>
            <w:tcBorders>
              <w:top w:val="single" w:sz="6" w:space="0" w:color="000000"/>
              <w:left w:val="single" w:sz="6" w:space="0" w:color="000000"/>
              <w:bottom w:val="single" w:sz="6" w:space="0" w:color="000000"/>
              <w:right w:val="single" w:sz="6" w:space="0" w:color="000000"/>
            </w:tcBorders>
            <w:vAlign w:val="center"/>
          </w:tcPr>
          <w:p>
            <w:pPr>
              <w:pStyle w:val="TAN"/>
              <w:rPr/>
            </w:pPr>
            <w:r>
              <w:rPr/>
              <w:t>NOTE 1:</w:t>
              <w:tab/>
              <w:t>Applicable for dual-mode GSM/UTRA LCR TDD.</w:t>
            </w:r>
          </w:p>
          <w:p>
            <w:pPr>
              <w:pStyle w:val="TAN"/>
              <w:rPr/>
            </w:pPr>
            <w:r>
              <w:rPr/>
              <w:t>NOTE 2:</w:t>
              <w:tab/>
              <w:t>Applicable for USB plug-in devices.</w:t>
            </w:r>
          </w:p>
        </w:tc>
      </w:tr>
    </w:tbl>
    <w:p>
      <w:pPr>
        <w:pStyle w:val="Normal"/>
        <w:rPr/>
      </w:pPr>
      <w:r>
        <w:rPr/>
      </w:r>
    </w:p>
    <w:p>
      <w:pPr>
        <w:pStyle w:val="Heading3"/>
        <w:rPr>
          <w:rFonts w:eastAsia="PMingLiU;新細明體"/>
          <w:lang w:eastAsia="zh-TW"/>
        </w:rPr>
      </w:pPr>
      <w:bookmarkStart w:id="591" w:name="__RefHeading___Toc68601484"/>
      <w:bookmarkEnd w:id="591"/>
      <w:r>
        <w:rPr>
          <w:rFonts w:eastAsia="PMingLiU;新細明體"/>
          <w:lang w:eastAsia="zh-TW"/>
        </w:rPr>
        <w:t>J.2.3</w:t>
        <w:tab/>
        <w:t>E-UTRA FDD</w:t>
      </w:r>
    </w:p>
    <w:p>
      <w:pPr>
        <w:pStyle w:val="TH"/>
        <w:rPr>
          <w:rFonts w:eastAsia="PMingLiU;新細明體"/>
          <w:lang w:eastAsia="zh-TW"/>
        </w:rPr>
      </w:pPr>
      <w:r>
        <w:rPr>
          <w:lang w:eastAsia="zh-TW"/>
        </w:rPr>
        <w:t>Table J.2.3-1: TBD</w:t>
      </w:r>
    </w:p>
    <w:p>
      <w:pPr>
        <w:pStyle w:val="Heading3"/>
        <w:rPr>
          <w:rFonts w:eastAsia="PMingLiU;新細明體"/>
          <w:lang w:eastAsia="zh-TW"/>
        </w:rPr>
      </w:pPr>
      <w:bookmarkStart w:id="592" w:name="__RefHeading___Toc68601485"/>
      <w:bookmarkEnd w:id="592"/>
      <w:r>
        <w:rPr>
          <w:rFonts w:eastAsia="PMingLiU;新細明體"/>
          <w:lang w:eastAsia="zh-TW"/>
        </w:rPr>
        <w:t>J.2.4</w:t>
        <w:tab/>
        <w:t>E-UTRA TDD</w:t>
      </w:r>
    </w:p>
    <w:p>
      <w:pPr>
        <w:pStyle w:val="TH"/>
        <w:rPr>
          <w:lang w:eastAsia="zh-TW"/>
        </w:rPr>
      </w:pPr>
      <w:r>
        <w:rPr>
          <w:lang w:eastAsia="zh-TW"/>
        </w:rPr>
        <w:t>Table J.2.4-1: TBD</w:t>
      </w:r>
    </w:p>
    <w:p>
      <w:pPr>
        <w:pStyle w:val="Heading2"/>
        <w:rPr/>
      </w:pPr>
      <w:bookmarkStart w:id="593" w:name="__RefHeading___Toc68601486"/>
      <w:bookmarkEnd w:id="593"/>
      <w:r>
        <w:rPr/>
        <w:t>J.3</w:t>
        <w:tab/>
        <w:t>Total Radiated Sensitivity</w:t>
      </w:r>
    </w:p>
    <w:p>
      <w:pPr>
        <w:pStyle w:val="Normal"/>
        <w:rPr>
          <w:lang w:eastAsia="zh-TW"/>
        </w:rPr>
      </w:pPr>
      <w:r>
        <w:rPr/>
        <w:t>The OTA TRS performance for UTRA and E-UTRA should be lower or equal than the recommended values shown in this clause.</w:t>
      </w:r>
    </w:p>
    <w:p>
      <w:pPr>
        <w:pStyle w:val="Normal"/>
        <w:jc w:val="both"/>
        <w:rPr>
          <w:lang w:eastAsia="zh-TW"/>
        </w:rPr>
      </w:pPr>
      <w:r>
        <w:rPr>
          <w:lang w:eastAsia="zh-TW"/>
        </w:rPr>
        <w:t>Laptop ground plane phantom</w:t>
      </w:r>
      <w:r>
        <w:rPr/>
        <w:t xml:space="preserve"> test method is defined in subclauses </w:t>
      </w:r>
      <w:r>
        <w:rPr>
          <w:lang w:eastAsia="zh-TW"/>
        </w:rPr>
        <w:t>4.3.2</w:t>
      </w:r>
      <w:r>
        <w:rPr/>
        <w:t>.</w:t>
      </w:r>
    </w:p>
    <w:p>
      <w:pPr>
        <w:pStyle w:val="Heading3"/>
        <w:rPr>
          <w:rFonts w:eastAsia="PMingLiU;新細明體"/>
          <w:lang w:eastAsia="zh-TW"/>
        </w:rPr>
      </w:pPr>
      <w:bookmarkStart w:id="594" w:name="__RefHeading___Toc68601487"/>
      <w:bookmarkEnd w:id="594"/>
      <w:r>
        <w:rPr>
          <w:rFonts w:eastAsia="PMingLiU;新細明體"/>
          <w:lang w:eastAsia="zh-TW"/>
        </w:rPr>
        <w:t>J.3.1</w:t>
        <w:tab/>
        <w:t>UTRA FDD</w:t>
      </w:r>
    </w:p>
    <w:p>
      <w:pPr>
        <w:pStyle w:val="TH"/>
        <w:rPr>
          <w:rFonts w:eastAsia="PMingLiU;新細明體"/>
        </w:rPr>
      </w:pPr>
      <w:r>
        <w:rPr>
          <w:rFonts w:eastAsia="PMingLiU;新細明體"/>
        </w:rPr>
        <w:t xml:space="preserve">Table </w:t>
      </w:r>
      <w:r>
        <w:rPr>
          <w:rFonts w:eastAsia="PMingLiU;新細明體"/>
          <w:lang w:eastAsia="zh-TW"/>
        </w:rPr>
        <w:t>J</w:t>
      </w:r>
      <w:r>
        <w:rPr>
          <w:rFonts w:eastAsia="PMingLiU;新細明體"/>
        </w:rPr>
        <w:t>.3.</w:t>
      </w:r>
      <w:r>
        <w:rPr>
          <w:rFonts w:eastAsia="PMingLiU;新細明體"/>
          <w:lang w:eastAsia="zh-TW"/>
        </w:rPr>
        <w:t>1</w:t>
      </w:r>
      <w:r>
        <w:rPr>
          <w:rFonts w:eastAsia="PMingLiU;新細明體"/>
        </w:rPr>
        <w:t>-1: LME TRS recommended performance for UTRA FDD in the data transfer position</w:t>
      </w:r>
    </w:p>
    <w:tbl>
      <w:tblPr>
        <w:tblW w:w="3719" w:type="dxa"/>
        <w:jc w:val="center"/>
        <w:tblInd w:w="0" w:type="dxa"/>
        <w:tblLayout w:type="fixed"/>
        <w:tblCellMar>
          <w:top w:w="0" w:type="dxa"/>
          <w:left w:w="28" w:type="dxa"/>
          <w:bottom w:w="0" w:type="dxa"/>
          <w:right w:w="28" w:type="dxa"/>
        </w:tblCellMar>
      </w:tblPr>
      <w:tblGrid>
        <w:gridCol w:w="1503"/>
        <w:gridCol w:w="1352"/>
        <w:gridCol w:w="864"/>
      </w:tblGrid>
      <w:tr>
        <w:trPr>
          <w:trHeight w:val="424" w:hRule="atLeast"/>
          <w:cantSplit w:val="true"/>
        </w:trPr>
        <w:tc>
          <w:tcPr>
            <w:tcW w:w="1503" w:type="dxa"/>
            <w:tcBorders>
              <w:top w:val="single" w:sz="4" w:space="0" w:color="000000"/>
              <w:left w:val="single" w:sz="4" w:space="0" w:color="000000"/>
              <w:bottom w:val="single" w:sz="4" w:space="0" w:color="000000"/>
              <w:right w:val="single" w:sz="4" w:space="0" w:color="000000"/>
            </w:tcBorders>
          </w:tcPr>
          <w:p>
            <w:pPr>
              <w:pStyle w:val="TAH"/>
              <w:rPr/>
            </w:pPr>
            <w:r>
              <w:rPr/>
              <w:t>Operating band</w:t>
            </w:r>
          </w:p>
        </w:tc>
        <w:tc>
          <w:tcPr>
            <w:tcW w:w="1352"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864" w:type="dxa"/>
            <w:tcBorders>
              <w:top w:val="single" w:sz="4" w:space="0" w:color="000000"/>
              <w:left w:val="single" w:sz="4" w:space="0" w:color="000000"/>
              <w:bottom w:val="single" w:sz="4" w:space="0" w:color="000000"/>
              <w:right w:val="single" w:sz="4" w:space="0" w:color="000000"/>
            </w:tcBorders>
          </w:tcPr>
          <w:p>
            <w:pPr>
              <w:pStyle w:val="TAH"/>
              <w:rPr/>
            </w:pPr>
            <w:r>
              <w:rPr/>
              <w:t>&lt;REFÎ</w:t>
            </w:r>
            <w:r>
              <w:rPr>
                <w:vertAlign w:val="subscript"/>
              </w:rPr>
              <w:t>or</w:t>
            </w:r>
            <w:r>
              <w:rPr/>
              <w:t>&gt;</w:t>
            </w:r>
          </w:p>
          <w:p>
            <w:pPr>
              <w:pStyle w:val="TAH"/>
              <w:rPr/>
            </w:pPr>
            <w:r>
              <w:rPr/>
              <w:t>Average</w:t>
            </w:r>
          </w:p>
        </w:tc>
      </w:tr>
      <w:tr>
        <w:trPr>
          <w:trHeight w:val="57" w:hRule="atLeast"/>
          <w:cantSplit w:val="true"/>
        </w:trPr>
        <w:tc>
          <w:tcPr>
            <w:tcW w:w="1503" w:type="dxa"/>
            <w:tcBorders>
              <w:top w:val="single" w:sz="4" w:space="0" w:color="000000"/>
              <w:left w:val="single" w:sz="4" w:space="0" w:color="000000"/>
              <w:bottom w:val="single" w:sz="4" w:space="0" w:color="000000"/>
              <w:right w:val="single" w:sz="4" w:space="0" w:color="000000"/>
            </w:tcBorders>
          </w:tcPr>
          <w:p>
            <w:pPr>
              <w:pStyle w:val="TAC"/>
              <w:rPr/>
            </w:pPr>
            <w:r>
              <w:rPr/>
              <w:t>I</w:t>
            </w:r>
          </w:p>
        </w:tc>
        <w:tc>
          <w:tcPr>
            <w:tcW w:w="1352"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864"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503" w:type="dxa"/>
            <w:tcBorders>
              <w:top w:val="single" w:sz="4" w:space="0" w:color="000000"/>
              <w:left w:val="single" w:sz="4" w:space="0" w:color="000000"/>
              <w:bottom w:val="single" w:sz="4" w:space="0" w:color="000000"/>
              <w:right w:val="single" w:sz="4" w:space="0" w:color="000000"/>
            </w:tcBorders>
          </w:tcPr>
          <w:p>
            <w:pPr>
              <w:pStyle w:val="TAC"/>
              <w:rPr/>
            </w:pPr>
            <w:r>
              <w:rPr/>
              <w:t>II</w:t>
            </w:r>
          </w:p>
        </w:tc>
        <w:tc>
          <w:tcPr>
            <w:tcW w:w="1352"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864"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503" w:type="dxa"/>
            <w:tcBorders>
              <w:top w:val="single" w:sz="4" w:space="0" w:color="000000"/>
              <w:left w:val="single" w:sz="4" w:space="0" w:color="000000"/>
              <w:bottom w:val="single" w:sz="4" w:space="0" w:color="000000"/>
              <w:right w:val="single" w:sz="4" w:space="0" w:color="000000"/>
            </w:tcBorders>
          </w:tcPr>
          <w:p>
            <w:pPr>
              <w:pStyle w:val="TAC"/>
              <w:rPr/>
            </w:pPr>
            <w:r>
              <w:rPr/>
              <w:t>III</w:t>
            </w:r>
          </w:p>
        </w:tc>
        <w:tc>
          <w:tcPr>
            <w:tcW w:w="1352"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864"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503" w:type="dxa"/>
            <w:tcBorders>
              <w:top w:val="single" w:sz="4" w:space="0" w:color="000000"/>
              <w:left w:val="single" w:sz="4" w:space="0" w:color="000000"/>
              <w:bottom w:val="single" w:sz="4" w:space="0" w:color="000000"/>
              <w:right w:val="single" w:sz="4" w:space="0" w:color="000000"/>
            </w:tcBorders>
          </w:tcPr>
          <w:p>
            <w:pPr>
              <w:pStyle w:val="TAC"/>
              <w:rPr/>
            </w:pPr>
            <w:r>
              <w:rPr/>
              <w:t>IV</w:t>
            </w:r>
          </w:p>
        </w:tc>
        <w:tc>
          <w:tcPr>
            <w:tcW w:w="1352"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864"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503" w:type="dxa"/>
            <w:tcBorders>
              <w:top w:val="single" w:sz="4" w:space="0" w:color="000000"/>
              <w:left w:val="single" w:sz="4" w:space="0" w:color="000000"/>
              <w:bottom w:val="single" w:sz="4" w:space="0" w:color="000000"/>
              <w:right w:val="single" w:sz="4" w:space="0" w:color="000000"/>
            </w:tcBorders>
          </w:tcPr>
          <w:p>
            <w:pPr>
              <w:pStyle w:val="TAC"/>
              <w:rPr/>
            </w:pPr>
            <w:r>
              <w:rPr/>
              <w:t>V</w:t>
            </w:r>
          </w:p>
        </w:tc>
        <w:tc>
          <w:tcPr>
            <w:tcW w:w="1352"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864"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503" w:type="dxa"/>
            <w:tcBorders>
              <w:top w:val="single" w:sz="4" w:space="0" w:color="000000"/>
              <w:left w:val="single" w:sz="4" w:space="0" w:color="000000"/>
              <w:bottom w:val="single" w:sz="4" w:space="0" w:color="000000"/>
              <w:right w:val="single" w:sz="4" w:space="0" w:color="000000"/>
            </w:tcBorders>
          </w:tcPr>
          <w:p>
            <w:pPr>
              <w:pStyle w:val="TAC"/>
              <w:rPr/>
            </w:pPr>
            <w:r>
              <w:rPr/>
              <w:t>VI</w:t>
            </w:r>
          </w:p>
        </w:tc>
        <w:tc>
          <w:tcPr>
            <w:tcW w:w="1352"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864"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503" w:type="dxa"/>
            <w:tcBorders>
              <w:top w:val="single" w:sz="4" w:space="0" w:color="000000"/>
              <w:left w:val="single" w:sz="4" w:space="0" w:color="000000"/>
              <w:bottom w:val="single" w:sz="4" w:space="0" w:color="000000"/>
              <w:right w:val="single" w:sz="4" w:space="0" w:color="000000"/>
            </w:tcBorders>
          </w:tcPr>
          <w:p>
            <w:pPr>
              <w:pStyle w:val="TAC"/>
              <w:rPr/>
            </w:pPr>
            <w:r>
              <w:rPr/>
              <w:t>VII</w:t>
            </w:r>
          </w:p>
        </w:tc>
        <w:tc>
          <w:tcPr>
            <w:tcW w:w="1352"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864"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503" w:type="dxa"/>
            <w:tcBorders>
              <w:top w:val="single" w:sz="4" w:space="0" w:color="000000"/>
              <w:left w:val="single" w:sz="4" w:space="0" w:color="000000"/>
              <w:bottom w:val="single" w:sz="4" w:space="0" w:color="000000"/>
              <w:right w:val="single" w:sz="4" w:space="0" w:color="000000"/>
            </w:tcBorders>
          </w:tcPr>
          <w:p>
            <w:pPr>
              <w:pStyle w:val="TAC"/>
              <w:rPr/>
            </w:pPr>
            <w:r>
              <w:rPr/>
              <w:t>VIII</w:t>
            </w:r>
          </w:p>
        </w:tc>
        <w:tc>
          <w:tcPr>
            <w:tcW w:w="1352"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864"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105" w:hRule="atLeast"/>
          <w:cantSplit w:val="true"/>
        </w:trPr>
        <w:tc>
          <w:tcPr>
            <w:tcW w:w="1503" w:type="dxa"/>
            <w:tcBorders>
              <w:top w:val="single" w:sz="4" w:space="0" w:color="000000"/>
              <w:left w:val="single" w:sz="4" w:space="0" w:color="000000"/>
              <w:bottom w:val="single" w:sz="4" w:space="0" w:color="000000"/>
              <w:right w:val="single" w:sz="4" w:space="0" w:color="000000"/>
            </w:tcBorders>
          </w:tcPr>
          <w:p>
            <w:pPr>
              <w:pStyle w:val="TAC"/>
              <w:rPr/>
            </w:pPr>
            <w:r>
              <w:rPr/>
              <w:t>IX</w:t>
            </w:r>
          </w:p>
        </w:tc>
        <w:tc>
          <w:tcPr>
            <w:tcW w:w="1352"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864"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105" w:hRule="atLeast"/>
          <w:cantSplit w:val="true"/>
        </w:trPr>
        <w:tc>
          <w:tcPr>
            <w:tcW w:w="150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XIX</w:t>
            </w:r>
          </w:p>
        </w:tc>
        <w:tc>
          <w:tcPr>
            <w:tcW w:w="135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86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105" w:hRule="atLeast"/>
          <w:cantSplit w:val="true"/>
        </w:trPr>
        <w:tc>
          <w:tcPr>
            <w:tcW w:w="3719" w:type="dxa"/>
            <w:gridSpan w:val="3"/>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851" w:hanging="851"/>
              <w:rPr>
                <w:rFonts w:ascii="Arial" w:hAnsi="Arial" w:cs="Arial"/>
                <w:sz w:val="18"/>
              </w:rPr>
            </w:pPr>
            <w:r>
              <w:rPr>
                <w:rStyle w:val="TANChar"/>
              </w:rPr>
              <w:t xml:space="preserve">NOTE: </w:t>
              <w:tab/>
              <w:t>Applicable for USB plug-in devices.</w:t>
            </w:r>
          </w:p>
        </w:tc>
      </w:tr>
    </w:tbl>
    <w:p>
      <w:pPr>
        <w:pStyle w:val="Normal"/>
        <w:rPr/>
      </w:pPr>
      <w:r>
        <w:rPr/>
      </w:r>
    </w:p>
    <w:p>
      <w:pPr>
        <w:pStyle w:val="Heading3"/>
        <w:rPr>
          <w:rFonts w:eastAsia="PMingLiU;新細明體"/>
          <w:lang w:eastAsia="zh-TW"/>
        </w:rPr>
      </w:pPr>
      <w:bookmarkStart w:id="595" w:name="__RefHeading___Toc68601488"/>
      <w:bookmarkEnd w:id="595"/>
      <w:r>
        <w:rPr>
          <w:rFonts w:eastAsia="PMingLiU;新細明體"/>
          <w:lang w:eastAsia="zh-TW"/>
        </w:rPr>
        <w:t>J.3.2</w:t>
        <w:tab/>
        <w:t>UTRA LCR TDD</w:t>
      </w:r>
    </w:p>
    <w:p>
      <w:pPr>
        <w:pStyle w:val="TH"/>
        <w:rPr>
          <w:rFonts w:eastAsia="PMingLiU;新細明體"/>
        </w:rPr>
      </w:pPr>
      <w:r>
        <w:rPr>
          <w:rFonts w:eastAsia="PMingLiU;新細明體"/>
        </w:rPr>
        <w:t xml:space="preserve">Table </w:t>
      </w:r>
      <w:r>
        <w:rPr>
          <w:rFonts w:eastAsia="PMingLiU;新細明體"/>
          <w:lang w:eastAsia="zh-TW"/>
        </w:rPr>
        <w:t>J</w:t>
      </w:r>
      <w:r>
        <w:rPr>
          <w:rFonts w:eastAsia="PMingLiU;新細明體"/>
        </w:rPr>
        <w:t>.3.2-1: LME TRS recommended performance for UTRA LCR TDD in the data transfer position</w:t>
      </w:r>
    </w:p>
    <w:tbl>
      <w:tblPr>
        <w:tblW w:w="4939" w:type="dxa"/>
        <w:jc w:val="center"/>
        <w:tblInd w:w="0" w:type="dxa"/>
        <w:tblLayout w:type="fixed"/>
        <w:tblCellMar>
          <w:top w:w="0" w:type="dxa"/>
          <w:left w:w="108" w:type="dxa"/>
          <w:bottom w:w="0" w:type="dxa"/>
          <w:right w:w="108" w:type="dxa"/>
        </w:tblCellMar>
      </w:tblPr>
      <w:tblGrid>
        <w:gridCol w:w="1924"/>
        <w:gridCol w:w="1750"/>
        <w:gridCol w:w="1265"/>
      </w:tblGrid>
      <w:tr>
        <w:trPr>
          <w:trHeight w:val="484" w:hRule="atLeast"/>
        </w:trPr>
        <w:tc>
          <w:tcPr>
            <w:tcW w:w="1924" w:type="dxa"/>
            <w:tcBorders>
              <w:top w:val="single" w:sz="6" w:space="0" w:color="000000"/>
              <w:left w:val="single" w:sz="6" w:space="0" w:color="000000"/>
              <w:right w:val="single" w:sz="6" w:space="0" w:color="000000"/>
            </w:tcBorders>
          </w:tcPr>
          <w:p>
            <w:pPr>
              <w:pStyle w:val="TAH"/>
              <w:rPr/>
            </w:pPr>
            <w:r>
              <w:rPr/>
              <w:t xml:space="preserve">Operating band </w:t>
            </w:r>
          </w:p>
        </w:tc>
        <w:tc>
          <w:tcPr>
            <w:tcW w:w="1750" w:type="dxa"/>
            <w:tcBorders>
              <w:top w:val="single" w:sz="6" w:space="0" w:color="000000"/>
              <w:left w:val="single" w:sz="6" w:space="0" w:color="000000"/>
              <w:right w:val="single" w:sz="6" w:space="0" w:color="000000"/>
            </w:tcBorders>
          </w:tcPr>
          <w:p>
            <w:pPr>
              <w:pStyle w:val="TAH"/>
              <w:rPr/>
            </w:pPr>
            <w:r>
              <w:rPr/>
              <w:t xml:space="preserve">Unit </w:t>
            </w:r>
          </w:p>
        </w:tc>
        <w:tc>
          <w:tcPr>
            <w:tcW w:w="1265" w:type="dxa"/>
            <w:tcBorders>
              <w:top w:val="single" w:sz="6" w:space="0" w:color="000000"/>
              <w:left w:val="single" w:sz="6" w:space="0" w:color="000000"/>
              <w:right w:val="single" w:sz="6" w:space="0" w:color="000000"/>
            </w:tcBorders>
          </w:tcPr>
          <w:p>
            <w:pPr>
              <w:pStyle w:val="TAH"/>
              <w:rPr/>
            </w:pPr>
            <w:r>
              <w:rPr/>
              <w:t>&lt;REFÎor&gt;</w:t>
            </w:r>
          </w:p>
          <w:p>
            <w:pPr>
              <w:pStyle w:val="TAH"/>
              <w:rPr/>
            </w:pPr>
            <w:r>
              <w:rPr/>
              <w:t xml:space="preserve">Average </w:t>
            </w:r>
          </w:p>
        </w:tc>
      </w:tr>
      <w:tr>
        <w:trPr>
          <w:trHeight w:val="218" w:hRule="atLeast"/>
        </w:trPr>
        <w:tc>
          <w:tcPr>
            <w:tcW w:w="1924" w:type="dxa"/>
            <w:tcBorders>
              <w:top w:val="single" w:sz="6" w:space="0" w:color="000000"/>
              <w:left w:val="single" w:sz="6" w:space="0" w:color="000000"/>
              <w:bottom w:val="single" w:sz="6" w:space="0" w:color="000000"/>
              <w:right w:val="single" w:sz="6" w:space="0" w:color="000000"/>
            </w:tcBorders>
            <w:vAlign w:val="center"/>
          </w:tcPr>
          <w:p>
            <w:pPr>
              <w:pStyle w:val="TAC"/>
              <w:rPr/>
            </w:pPr>
            <w:r>
              <w:rPr/>
              <w:t>a</w:t>
            </w:r>
          </w:p>
        </w:tc>
        <w:tc>
          <w:tcPr>
            <w:tcW w:w="1750" w:type="dxa"/>
            <w:tcBorders>
              <w:top w:val="single" w:sz="6" w:space="0" w:color="000000"/>
              <w:left w:val="single" w:sz="6" w:space="0" w:color="000000"/>
              <w:bottom w:val="single" w:sz="6" w:space="0" w:color="000000"/>
              <w:right w:val="single" w:sz="6" w:space="0" w:color="000000"/>
            </w:tcBorders>
            <w:vAlign w:val="center"/>
          </w:tcPr>
          <w:p>
            <w:pPr>
              <w:pStyle w:val="TAC"/>
              <w:rPr/>
            </w:pPr>
            <w:r>
              <w:rPr/>
              <w:t xml:space="preserve">dBm/1.28 MHz </w:t>
            </w:r>
          </w:p>
        </w:tc>
        <w:tc>
          <w:tcPr>
            <w:tcW w:w="1265" w:type="dxa"/>
            <w:tcBorders>
              <w:top w:val="single" w:sz="6" w:space="0" w:color="000000"/>
              <w:left w:val="single" w:sz="6" w:space="0" w:color="000000"/>
              <w:bottom w:val="single" w:sz="6" w:space="0" w:color="000000"/>
              <w:right w:val="single" w:sz="6" w:space="0" w:color="000000"/>
            </w:tcBorders>
            <w:vAlign w:val="center"/>
          </w:tcPr>
          <w:p>
            <w:pPr>
              <w:pStyle w:val="TAC"/>
              <w:rPr/>
            </w:pPr>
            <w:r>
              <w:rPr/>
              <w:t>TBD</w:t>
            </w:r>
          </w:p>
        </w:tc>
      </w:tr>
      <w:tr>
        <w:trPr>
          <w:trHeight w:val="218" w:hRule="atLeast"/>
        </w:trPr>
        <w:tc>
          <w:tcPr>
            <w:tcW w:w="1924" w:type="dxa"/>
            <w:tcBorders>
              <w:top w:val="single" w:sz="6" w:space="0" w:color="000000"/>
              <w:left w:val="single" w:sz="6" w:space="0" w:color="000000"/>
              <w:bottom w:val="single" w:sz="6" w:space="0" w:color="000000"/>
              <w:right w:val="single" w:sz="6" w:space="0" w:color="000000"/>
            </w:tcBorders>
            <w:vAlign w:val="center"/>
          </w:tcPr>
          <w:p>
            <w:pPr>
              <w:pStyle w:val="TAC"/>
              <w:rPr/>
            </w:pPr>
            <w:r>
              <w:rPr/>
              <w:t>b</w:t>
            </w:r>
          </w:p>
        </w:tc>
        <w:tc>
          <w:tcPr>
            <w:tcW w:w="1750" w:type="dxa"/>
            <w:tcBorders>
              <w:top w:val="single" w:sz="6" w:space="0" w:color="000000"/>
              <w:left w:val="single" w:sz="6" w:space="0" w:color="000000"/>
              <w:bottom w:val="single" w:sz="6" w:space="0" w:color="000000"/>
              <w:right w:val="single" w:sz="6" w:space="0" w:color="000000"/>
            </w:tcBorders>
            <w:vAlign w:val="center"/>
          </w:tcPr>
          <w:p>
            <w:pPr>
              <w:pStyle w:val="TAC"/>
              <w:rPr/>
            </w:pPr>
            <w:r>
              <w:rPr/>
              <w:t>dBm/1.28 MHz</w:t>
            </w:r>
          </w:p>
        </w:tc>
        <w:tc>
          <w:tcPr>
            <w:tcW w:w="1265" w:type="dxa"/>
            <w:tcBorders>
              <w:top w:val="single" w:sz="6" w:space="0" w:color="000000"/>
              <w:left w:val="single" w:sz="6" w:space="0" w:color="000000"/>
              <w:bottom w:val="single" w:sz="6" w:space="0" w:color="000000"/>
              <w:right w:val="single" w:sz="6" w:space="0" w:color="000000"/>
            </w:tcBorders>
            <w:vAlign w:val="center"/>
          </w:tcPr>
          <w:p>
            <w:pPr>
              <w:pStyle w:val="TAC"/>
              <w:rPr/>
            </w:pPr>
            <w:r>
              <w:rPr/>
              <w:t>TBD</w:t>
            </w:r>
          </w:p>
        </w:tc>
      </w:tr>
      <w:tr>
        <w:trPr>
          <w:trHeight w:val="218" w:hRule="atLeast"/>
        </w:trPr>
        <w:tc>
          <w:tcPr>
            <w:tcW w:w="1924" w:type="dxa"/>
            <w:tcBorders>
              <w:top w:val="single" w:sz="6" w:space="0" w:color="000000"/>
              <w:left w:val="single" w:sz="6" w:space="0" w:color="000000"/>
              <w:bottom w:val="single" w:sz="6" w:space="0" w:color="000000"/>
              <w:right w:val="single" w:sz="6" w:space="0" w:color="000000"/>
            </w:tcBorders>
            <w:vAlign w:val="center"/>
          </w:tcPr>
          <w:p>
            <w:pPr>
              <w:pStyle w:val="TAC"/>
              <w:rPr/>
            </w:pPr>
            <w:r>
              <w:rPr/>
              <w:t>c</w:t>
            </w:r>
          </w:p>
        </w:tc>
        <w:tc>
          <w:tcPr>
            <w:tcW w:w="1750" w:type="dxa"/>
            <w:tcBorders>
              <w:top w:val="single" w:sz="6" w:space="0" w:color="000000"/>
              <w:left w:val="single" w:sz="6" w:space="0" w:color="000000"/>
              <w:bottom w:val="single" w:sz="6" w:space="0" w:color="000000"/>
              <w:right w:val="single" w:sz="6" w:space="0" w:color="000000"/>
            </w:tcBorders>
            <w:vAlign w:val="center"/>
          </w:tcPr>
          <w:p>
            <w:pPr>
              <w:pStyle w:val="TAC"/>
              <w:rPr/>
            </w:pPr>
            <w:r>
              <w:rPr/>
              <w:t>dBm/1.28 MHz</w:t>
            </w:r>
          </w:p>
        </w:tc>
        <w:tc>
          <w:tcPr>
            <w:tcW w:w="1265" w:type="dxa"/>
            <w:tcBorders>
              <w:top w:val="single" w:sz="6" w:space="0" w:color="000000"/>
              <w:left w:val="single" w:sz="6" w:space="0" w:color="000000"/>
              <w:bottom w:val="single" w:sz="6" w:space="0" w:color="000000"/>
              <w:right w:val="single" w:sz="6" w:space="0" w:color="000000"/>
            </w:tcBorders>
            <w:vAlign w:val="center"/>
          </w:tcPr>
          <w:p>
            <w:pPr>
              <w:pStyle w:val="TAC"/>
              <w:rPr/>
            </w:pPr>
            <w:r>
              <w:rPr/>
              <w:t>TBD</w:t>
            </w:r>
          </w:p>
        </w:tc>
      </w:tr>
      <w:tr>
        <w:trPr>
          <w:trHeight w:val="218" w:hRule="atLeast"/>
        </w:trPr>
        <w:tc>
          <w:tcPr>
            <w:tcW w:w="1924" w:type="dxa"/>
            <w:tcBorders>
              <w:top w:val="single" w:sz="6" w:space="0" w:color="000000"/>
              <w:left w:val="single" w:sz="6" w:space="0" w:color="000000"/>
              <w:bottom w:val="single" w:sz="6" w:space="0" w:color="000000"/>
              <w:right w:val="single" w:sz="6" w:space="0" w:color="000000"/>
            </w:tcBorders>
            <w:vAlign w:val="center"/>
          </w:tcPr>
          <w:p>
            <w:pPr>
              <w:pStyle w:val="TAC"/>
              <w:rPr/>
            </w:pPr>
            <w:r>
              <w:rPr/>
              <w:t>d</w:t>
            </w:r>
          </w:p>
        </w:tc>
        <w:tc>
          <w:tcPr>
            <w:tcW w:w="1750" w:type="dxa"/>
            <w:tcBorders>
              <w:top w:val="single" w:sz="6" w:space="0" w:color="000000"/>
              <w:left w:val="single" w:sz="6" w:space="0" w:color="000000"/>
              <w:bottom w:val="single" w:sz="6" w:space="0" w:color="000000"/>
              <w:right w:val="single" w:sz="6" w:space="0" w:color="000000"/>
            </w:tcBorders>
            <w:vAlign w:val="center"/>
          </w:tcPr>
          <w:p>
            <w:pPr>
              <w:pStyle w:val="TAC"/>
              <w:rPr/>
            </w:pPr>
            <w:r>
              <w:rPr/>
              <w:t>dBm/1.28 MHz</w:t>
            </w:r>
          </w:p>
        </w:tc>
        <w:tc>
          <w:tcPr>
            <w:tcW w:w="1265" w:type="dxa"/>
            <w:tcBorders>
              <w:top w:val="single" w:sz="6" w:space="0" w:color="000000"/>
              <w:left w:val="single" w:sz="6" w:space="0" w:color="000000"/>
              <w:bottom w:val="single" w:sz="6" w:space="0" w:color="000000"/>
              <w:right w:val="single" w:sz="6" w:space="0" w:color="000000"/>
            </w:tcBorders>
            <w:vAlign w:val="center"/>
          </w:tcPr>
          <w:p>
            <w:pPr>
              <w:pStyle w:val="TAC"/>
              <w:rPr/>
            </w:pPr>
            <w:r>
              <w:rPr/>
              <w:t>TBD</w:t>
            </w:r>
          </w:p>
        </w:tc>
      </w:tr>
      <w:tr>
        <w:trPr>
          <w:trHeight w:val="218" w:hRule="atLeast"/>
        </w:trPr>
        <w:tc>
          <w:tcPr>
            <w:tcW w:w="1924" w:type="dxa"/>
            <w:tcBorders>
              <w:top w:val="single" w:sz="6" w:space="0" w:color="000000"/>
              <w:left w:val="single" w:sz="6" w:space="0" w:color="000000"/>
              <w:bottom w:val="single" w:sz="6" w:space="0" w:color="000000"/>
              <w:right w:val="single" w:sz="6" w:space="0" w:color="000000"/>
            </w:tcBorders>
            <w:vAlign w:val="center"/>
          </w:tcPr>
          <w:p>
            <w:pPr>
              <w:pStyle w:val="TAC"/>
              <w:rPr/>
            </w:pPr>
            <w:r>
              <w:rPr/>
              <w:t>e</w:t>
            </w:r>
          </w:p>
        </w:tc>
        <w:tc>
          <w:tcPr>
            <w:tcW w:w="1750" w:type="dxa"/>
            <w:tcBorders>
              <w:top w:val="single" w:sz="6" w:space="0" w:color="000000"/>
              <w:left w:val="single" w:sz="6" w:space="0" w:color="000000"/>
              <w:bottom w:val="single" w:sz="6" w:space="0" w:color="000000"/>
              <w:right w:val="single" w:sz="6" w:space="0" w:color="000000"/>
            </w:tcBorders>
            <w:vAlign w:val="center"/>
          </w:tcPr>
          <w:p>
            <w:pPr>
              <w:pStyle w:val="TAC"/>
              <w:rPr/>
            </w:pPr>
            <w:r>
              <w:rPr/>
              <w:t>dBm/1.28 MHz</w:t>
            </w:r>
          </w:p>
        </w:tc>
        <w:tc>
          <w:tcPr>
            <w:tcW w:w="1265" w:type="dxa"/>
            <w:tcBorders>
              <w:top w:val="single" w:sz="6" w:space="0" w:color="000000"/>
              <w:left w:val="single" w:sz="6" w:space="0" w:color="000000"/>
              <w:bottom w:val="single" w:sz="6" w:space="0" w:color="000000"/>
              <w:right w:val="single" w:sz="6" w:space="0" w:color="000000"/>
            </w:tcBorders>
            <w:vAlign w:val="center"/>
          </w:tcPr>
          <w:p>
            <w:pPr>
              <w:pStyle w:val="TAC"/>
              <w:rPr/>
            </w:pPr>
            <w:r>
              <w:rPr/>
              <w:t>TBD</w:t>
            </w:r>
          </w:p>
        </w:tc>
      </w:tr>
      <w:tr>
        <w:trPr>
          <w:trHeight w:val="218" w:hRule="atLeast"/>
        </w:trPr>
        <w:tc>
          <w:tcPr>
            <w:tcW w:w="1924" w:type="dxa"/>
            <w:tcBorders>
              <w:top w:val="single" w:sz="6" w:space="0" w:color="000000"/>
              <w:left w:val="single" w:sz="6" w:space="0" w:color="000000"/>
              <w:bottom w:val="single" w:sz="6" w:space="0" w:color="000000"/>
              <w:right w:val="single" w:sz="6" w:space="0" w:color="000000"/>
            </w:tcBorders>
            <w:vAlign w:val="center"/>
          </w:tcPr>
          <w:p>
            <w:pPr>
              <w:pStyle w:val="TAC"/>
              <w:rPr/>
            </w:pPr>
            <w:r>
              <w:rPr/>
              <w:t>f</w:t>
            </w:r>
          </w:p>
        </w:tc>
        <w:tc>
          <w:tcPr>
            <w:tcW w:w="1750" w:type="dxa"/>
            <w:tcBorders>
              <w:top w:val="single" w:sz="6" w:space="0" w:color="000000"/>
              <w:left w:val="single" w:sz="6" w:space="0" w:color="000000"/>
              <w:bottom w:val="single" w:sz="6" w:space="0" w:color="000000"/>
              <w:right w:val="single" w:sz="6" w:space="0" w:color="000000"/>
            </w:tcBorders>
            <w:vAlign w:val="center"/>
          </w:tcPr>
          <w:p>
            <w:pPr>
              <w:pStyle w:val="TAC"/>
              <w:rPr/>
            </w:pPr>
            <w:r>
              <w:rPr/>
              <w:t>dBm/1.28 MHz</w:t>
            </w:r>
          </w:p>
        </w:tc>
        <w:tc>
          <w:tcPr>
            <w:tcW w:w="1265" w:type="dxa"/>
            <w:tcBorders>
              <w:top w:val="single" w:sz="6" w:space="0" w:color="000000"/>
              <w:left w:val="single" w:sz="6" w:space="0" w:color="000000"/>
              <w:bottom w:val="single" w:sz="6" w:space="0" w:color="000000"/>
              <w:right w:val="single" w:sz="6" w:space="0" w:color="000000"/>
            </w:tcBorders>
            <w:vAlign w:val="center"/>
          </w:tcPr>
          <w:p>
            <w:pPr>
              <w:pStyle w:val="TAC"/>
              <w:rPr/>
            </w:pPr>
            <w:r>
              <w:rPr/>
              <w:t>TBD</w:t>
            </w:r>
          </w:p>
        </w:tc>
      </w:tr>
      <w:tr>
        <w:trPr>
          <w:trHeight w:val="220" w:hRule="atLeast"/>
        </w:trPr>
        <w:tc>
          <w:tcPr>
            <w:tcW w:w="4939" w:type="dxa"/>
            <w:gridSpan w:val="3"/>
            <w:tcBorders>
              <w:left w:val="single" w:sz="6" w:space="0" w:color="000000"/>
              <w:bottom w:val="single" w:sz="6" w:space="0" w:color="000000"/>
              <w:right w:val="single" w:sz="6" w:space="0" w:color="000000"/>
            </w:tcBorders>
            <w:vAlign w:val="center"/>
          </w:tcPr>
          <w:p>
            <w:pPr>
              <w:pStyle w:val="TAN"/>
              <w:rPr/>
            </w:pPr>
            <w:r>
              <w:rPr/>
              <w:t>NOTE 1:</w:t>
              <w:tab/>
              <w:t xml:space="preserve">Applicable for dual-mode GSM/UTRA LCR TDD. </w:t>
            </w:r>
          </w:p>
          <w:p>
            <w:pPr>
              <w:pStyle w:val="TAN"/>
              <w:rPr/>
            </w:pPr>
            <w:r>
              <w:rPr/>
              <w:t xml:space="preserve">NOTE 2: </w:t>
              <w:tab/>
              <w:t>Applicable for USB plug-in devices.</w:t>
            </w:r>
          </w:p>
        </w:tc>
      </w:tr>
    </w:tbl>
    <w:p>
      <w:pPr>
        <w:pStyle w:val="Normal"/>
        <w:rPr/>
      </w:pPr>
      <w:r>
        <w:rPr/>
      </w:r>
    </w:p>
    <w:p>
      <w:pPr>
        <w:pStyle w:val="Heading3"/>
        <w:rPr>
          <w:rFonts w:eastAsia="PMingLiU;新細明體"/>
          <w:lang w:eastAsia="zh-TW"/>
        </w:rPr>
      </w:pPr>
      <w:bookmarkStart w:id="596" w:name="__RefHeading___Toc68601489"/>
      <w:bookmarkEnd w:id="596"/>
      <w:r>
        <w:rPr>
          <w:rFonts w:eastAsia="PMingLiU;新細明體"/>
          <w:lang w:eastAsia="zh-TW"/>
        </w:rPr>
        <w:t>J.3.3</w:t>
        <w:tab/>
        <w:t>E-UTRA FDD</w:t>
      </w:r>
    </w:p>
    <w:p>
      <w:pPr>
        <w:pStyle w:val="TH"/>
        <w:rPr>
          <w:rFonts w:eastAsia="PMingLiU;新細明體"/>
        </w:rPr>
      </w:pPr>
      <w:r>
        <w:rPr>
          <w:lang w:eastAsia="zh-TW"/>
        </w:rPr>
        <w:t xml:space="preserve">Table J.3.3-1: </w:t>
      </w:r>
      <w:r>
        <w:rPr/>
        <w:t>TBD</w:t>
      </w:r>
    </w:p>
    <w:p>
      <w:pPr>
        <w:pStyle w:val="Heading3"/>
        <w:rPr>
          <w:rFonts w:eastAsia="PMingLiU;新細明體"/>
          <w:lang w:eastAsia="zh-TW"/>
        </w:rPr>
      </w:pPr>
      <w:bookmarkStart w:id="597" w:name="__RefHeading___Toc68601490"/>
      <w:bookmarkEnd w:id="597"/>
      <w:r>
        <w:rPr>
          <w:rFonts w:eastAsia="PMingLiU;新細明體"/>
          <w:lang w:eastAsia="zh-TW"/>
        </w:rPr>
        <w:t>J.3.4</w:t>
        <w:tab/>
        <w:t>E-UTRA TDD</w:t>
      </w:r>
    </w:p>
    <w:p>
      <w:pPr>
        <w:pStyle w:val="TH"/>
        <w:rPr/>
      </w:pPr>
      <w:r>
        <w:rPr>
          <w:lang w:eastAsia="zh-TW"/>
        </w:rPr>
        <w:t xml:space="preserve">Table J.3.4-1: </w:t>
      </w:r>
      <w:r>
        <w:rPr/>
        <w:t>TBD</w:t>
      </w:r>
    </w:p>
    <w:p>
      <w:pPr>
        <w:pStyle w:val="Heading8"/>
        <w:ind w:left="0" w:hanging="0"/>
        <w:rPr/>
      </w:pPr>
      <w:bookmarkStart w:id="598" w:name="__RefHeading___Toc68601491"/>
      <w:bookmarkEnd w:id="598"/>
      <w:r>
        <w:rPr/>
        <w:t>Annex K (informative): Recommended performance for LEE</w:t>
      </w:r>
    </w:p>
    <w:p>
      <w:pPr>
        <w:pStyle w:val="EditorsNote"/>
        <w:rPr/>
      </w:pPr>
      <w:r>
        <w:rPr/>
        <w:t xml:space="preserve">Editor’s notes: This </w:t>
      </w:r>
      <w:r>
        <w:rPr>
          <w:lang w:eastAsia="zh-TW"/>
        </w:rPr>
        <w:t>annex</w:t>
      </w:r>
      <w:r>
        <w:rPr/>
        <w:t xml:space="preserve"> is incomplete. The following item</w:t>
      </w:r>
      <w:r>
        <w:rPr>
          <w:lang w:eastAsia="zh-TW"/>
        </w:rPr>
        <w:t>s</w:t>
      </w:r>
      <w:r>
        <w:rPr/>
        <w:t xml:space="preserve"> </w:t>
      </w:r>
      <w:r>
        <w:rPr>
          <w:lang w:eastAsia="zh-TW"/>
        </w:rPr>
        <w:t>are</w:t>
      </w:r>
      <w:r>
        <w:rPr/>
        <w:t xml:space="preserve"> missing or incomplete:</w:t>
      </w:r>
    </w:p>
    <w:p>
      <w:pPr>
        <w:pStyle w:val="EditorsNote"/>
        <w:rPr/>
      </w:pPr>
      <w:r>
        <w:rPr/>
        <w:t xml:space="preserve">- Table </w:t>
      </w:r>
      <w:r>
        <w:rPr>
          <w:lang w:eastAsia="zh-TW"/>
        </w:rPr>
        <w:t>K</w:t>
      </w:r>
      <w:r>
        <w:rPr/>
        <w:t>.2.</w:t>
      </w:r>
      <w:r>
        <w:rPr>
          <w:lang w:eastAsia="zh-TW"/>
        </w:rPr>
        <w:t>1</w:t>
      </w:r>
      <w:r>
        <w:rPr/>
        <w:t>-1</w:t>
      </w:r>
      <w:r>
        <w:rPr>
          <w:lang w:eastAsia="zh-TW"/>
        </w:rPr>
        <w:t>,</w:t>
      </w:r>
      <w:r>
        <w:rPr/>
        <w:t xml:space="preserve"> </w:t>
      </w:r>
      <w:r>
        <w:rPr>
          <w:lang w:eastAsia="zh-TW"/>
        </w:rPr>
        <w:t>K.2.1-2, K</w:t>
      </w:r>
      <w:r>
        <w:rPr/>
        <w:t>.2.</w:t>
      </w:r>
      <w:r>
        <w:rPr>
          <w:lang w:eastAsia="zh-TW"/>
        </w:rPr>
        <w:t>2</w:t>
      </w:r>
      <w:r>
        <w:rPr/>
        <w:t>-1</w:t>
      </w:r>
      <w:r>
        <w:rPr>
          <w:lang w:eastAsia="zh-TW"/>
        </w:rPr>
        <w:t>, K.2.2-2, K</w:t>
      </w:r>
      <w:r>
        <w:rPr/>
        <w:t>.</w:t>
      </w:r>
      <w:r>
        <w:rPr>
          <w:lang w:eastAsia="zh-TW"/>
        </w:rPr>
        <w:t>3</w:t>
      </w:r>
      <w:r>
        <w:rPr/>
        <w:t>.</w:t>
      </w:r>
      <w:r>
        <w:rPr>
          <w:lang w:eastAsia="zh-TW"/>
        </w:rPr>
        <w:t>1</w:t>
      </w:r>
      <w:r>
        <w:rPr/>
        <w:t>-1</w:t>
      </w:r>
      <w:r>
        <w:rPr>
          <w:lang w:eastAsia="zh-TW"/>
        </w:rPr>
        <w:t>,</w:t>
      </w:r>
      <w:r>
        <w:rPr/>
        <w:t xml:space="preserve"> </w:t>
      </w:r>
      <w:r>
        <w:rPr>
          <w:lang w:eastAsia="zh-TW"/>
        </w:rPr>
        <w:t>K.3.1-2, K</w:t>
      </w:r>
      <w:r>
        <w:rPr/>
        <w:t>.</w:t>
      </w:r>
      <w:r>
        <w:rPr>
          <w:lang w:eastAsia="zh-TW"/>
        </w:rPr>
        <w:t>3</w:t>
      </w:r>
      <w:r>
        <w:rPr/>
        <w:t>.</w:t>
      </w:r>
      <w:r>
        <w:rPr>
          <w:lang w:eastAsia="zh-TW"/>
        </w:rPr>
        <w:t>2</w:t>
      </w:r>
      <w:r>
        <w:rPr/>
        <w:t>-1</w:t>
      </w:r>
      <w:r>
        <w:rPr>
          <w:lang w:eastAsia="zh-TW"/>
        </w:rPr>
        <w:t xml:space="preserve"> and K.3.2-2 </w:t>
      </w:r>
      <w:r>
        <w:rPr/>
        <w:t xml:space="preserve">as they are not </w:t>
      </w:r>
      <w:r>
        <w:rPr>
          <w:lang w:eastAsia="zh-TW"/>
        </w:rPr>
        <w:t>complete</w:t>
      </w:r>
      <w:r>
        <w:rPr/>
        <w:t xml:space="preserve"> in TS 37.144 yet</w:t>
      </w:r>
    </w:p>
    <w:p>
      <w:pPr>
        <w:pStyle w:val="EditorsNote"/>
        <w:rPr/>
      </w:pPr>
      <w:r>
        <w:rPr/>
        <w:t>- Table K.2.3-1, K.2.3-2, K.2.4-1, K.2.4-</w:t>
      </w:r>
      <w:r>
        <w:rPr>
          <w:lang w:eastAsia="zh-TW"/>
        </w:rPr>
        <w:t>2,</w:t>
      </w:r>
      <w:r>
        <w:rPr/>
        <w:t xml:space="preserve"> K.</w:t>
      </w:r>
      <w:r>
        <w:rPr>
          <w:lang w:eastAsia="zh-TW"/>
        </w:rPr>
        <w:t>3</w:t>
      </w:r>
      <w:r>
        <w:rPr/>
        <w:t>.3-1, K.</w:t>
      </w:r>
      <w:r>
        <w:rPr>
          <w:lang w:eastAsia="zh-TW"/>
        </w:rPr>
        <w:t>3</w:t>
      </w:r>
      <w:r>
        <w:rPr/>
        <w:t>.3-2, K.</w:t>
      </w:r>
      <w:r>
        <w:rPr>
          <w:lang w:eastAsia="zh-TW"/>
        </w:rPr>
        <w:t>3</w:t>
      </w:r>
      <w:r>
        <w:rPr/>
        <w:t>.4-1</w:t>
      </w:r>
      <w:r>
        <w:rPr>
          <w:lang w:eastAsia="zh-TW"/>
        </w:rPr>
        <w:t xml:space="preserve"> and</w:t>
      </w:r>
      <w:r>
        <w:rPr/>
        <w:t xml:space="preserve"> K.</w:t>
      </w:r>
      <w:r>
        <w:rPr>
          <w:lang w:eastAsia="zh-TW"/>
        </w:rPr>
        <w:t>3</w:t>
      </w:r>
      <w:r>
        <w:rPr/>
        <w:t>.4-</w:t>
      </w:r>
      <w:r>
        <w:rPr>
          <w:lang w:eastAsia="zh-TW"/>
        </w:rPr>
        <w:t>2</w:t>
      </w:r>
      <w:r>
        <w:rPr/>
        <w:t xml:space="preserve"> as they are not specified in TS 37.144 yet</w:t>
      </w:r>
    </w:p>
    <w:p>
      <w:pPr>
        <w:pStyle w:val="Heading2"/>
        <w:rPr/>
      </w:pPr>
      <w:bookmarkStart w:id="599" w:name="__RefHeading___Toc68601492"/>
      <w:bookmarkEnd w:id="599"/>
      <w:r>
        <w:rPr/>
        <w:t>K.1</w:t>
        <w:tab/>
        <w:t>General</w:t>
      </w:r>
    </w:p>
    <w:p>
      <w:pPr>
        <w:pStyle w:val="Normal"/>
        <w:rPr/>
      </w:pPr>
      <w:r>
        <w:rPr/>
        <w:t xml:space="preserve">This annex introduces the concept of recommended OTA performance </w:t>
      </w:r>
      <w:r>
        <w:rPr>
          <w:rFonts w:cs="v5.0.0;Times New Roman"/>
        </w:rPr>
        <w:t>for operating bands for UE’s supporting LEE feature</w:t>
      </w:r>
      <w:r>
        <w:rPr/>
        <w:t>. This requirement is not mandatory but is recommended.</w:t>
      </w:r>
    </w:p>
    <w:p>
      <w:pPr>
        <w:pStyle w:val="Normal"/>
        <w:rPr/>
      </w:pPr>
      <w:r>
        <w:rPr/>
        <w:t>The concept of recommended performance is to ensure that UE OTA performance is maximised in order to improve user experience and network performance. It is recognised that the ability to meet the recommended performance depends on the number of frequency bands supported by the UE.</w:t>
      </w:r>
    </w:p>
    <w:p>
      <w:pPr>
        <w:pStyle w:val="Heading2"/>
        <w:rPr/>
      </w:pPr>
      <w:bookmarkStart w:id="600" w:name="__RefHeading___Toc68601493"/>
      <w:bookmarkEnd w:id="600"/>
      <w:r>
        <w:rPr/>
        <w:t>K.2</w:t>
        <w:tab/>
        <w:t>Total Radiated Power</w:t>
      </w:r>
    </w:p>
    <w:p>
      <w:pPr>
        <w:pStyle w:val="Normal"/>
        <w:rPr/>
      </w:pPr>
      <w:r>
        <w:rPr/>
        <w:t xml:space="preserve">The OTA TRP performance for UTRA </w:t>
      </w:r>
      <w:r>
        <w:rPr>
          <w:lang w:eastAsia="zh-CN"/>
        </w:rPr>
        <w:t>and E-UTRA s</w:t>
      </w:r>
      <w:r>
        <w:rPr/>
        <w:t>hould be greater or equal than the recommended values in this clause.</w:t>
      </w:r>
    </w:p>
    <w:p>
      <w:pPr>
        <w:pStyle w:val="Normal"/>
        <w:jc w:val="both"/>
        <w:rPr/>
      </w:pPr>
      <w:r>
        <w:rPr>
          <w:lang w:eastAsia="zh-TW"/>
        </w:rPr>
        <w:t>T</w:t>
      </w:r>
      <w:r>
        <w:rPr/>
        <w:t>est method</w:t>
      </w:r>
      <w:r>
        <w:rPr>
          <w:lang w:eastAsia="zh-TW"/>
        </w:rPr>
        <w:t xml:space="preserve"> for </w:t>
      </w:r>
      <w:r>
        <w:rPr>
          <w:lang w:eastAsia="zh-CN"/>
        </w:rPr>
        <w:t>devices with embedded modules</w:t>
      </w:r>
      <w:r>
        <w:rPr/>
        <w:t xml:space="preserve"> is defined in subclauses </w:t>
      </w:r>
      <w:r>
        <w:rPr>
          <w:lang w:eastAsia="zh-TW"/>
        </w:rPr>
        <w:t>4.3.5</w:t>
      </w:r>
      <w:r>
        <w:rPr/>
        <w:t>.</w:t>
      </w:r>
    </w:p>
    <w:p>
      <w:pPr>
        <w:pStyle w:val="Heading3"/>
        <w:rPr/>
      </w:pPr>
      <w:bookmarkStart w:id="601" w:name="__RefHeading___Toc68601494"/>
      <w:bookmarkEnd w:id="601"/>
      <w:r>
        <w:rPr/>
        <w:t>K.2.1</w:t>
        <w:tab/>
        <w:t>UTRA FDD</w:t>
      </w:r>
    </w:p>
    <w:p>
      <w:pPr>
        <w:pStyle w:val="TH"/>
        <w:rPr/>
      </w:pPr>
      <w:r>
        <w:rPr/>
        <w:t>Table K.2.1-1: Notebook TRP recommended performance for UTRA FDD in data transfer position</w:t>
      </w:r>
    </w:p>
    <w:tbl>
      <w:tblPr>
        <w:tblW w:w="7882" w:type="dxa"/>
        <w:jc w:val="center"/>
        <w:tblInd w:w="0" w:type="dxa"/>
        <w:tblLayout w:type="fixed"/>
        <w:tblCellMar>
          <w:top w:w="0" w:type="dxa"/>
          <w:left w:w="28" w:type="dxa"/>
          <w:bottom w:w="0" w:type="dxa"/>
          <w:right w:w="28" w:type="dxa"/>
        </w:tblCellMar>
      </w:tblPr>
      <w:tblGrid>
        <w:gridCol w:w="1387"/>
        <w:gridCol w:w="1247"/>
        <w:gridCol w:w="1247"/>
        <w:gridCol w:w="1247"/>
        <w:gridCol w:w="1507"/>
        <w:gridCol w:w="1247"/>
      </w:tblGrid>
      <w:tr>
        <w:trPr>
          <w:trHeight w:val="57" w:hRule="atLeast"/>
          <w:cantSplit w:val="true"/>
        </w:trPr>
        <w:tc>
          <w:tcPr>
            <w:tcW w:w="1387" w:type="dxa"/>
            <w:vMerge w:val="restart"/>
            <w:tcBorders>
              <w:top w:val="single" w:sz="4" w:space="0" w:color="000000"/>
              <w:left w:val="single" w:sz="4" w:space="0" w:color="000000"/>
              <w:bottom w:val="single" w:sz="4" w:space="0" w:color="000000"/>
              <w:right w:val="single" w:sz="4" w:space="0" w:color="000000"/>
            </w:tcBorders>
          </w:tcPr>
          <w:p>
            <w:pPr>
              <w:pStyle w:val="TAH"/>
              <w:rPr/>
            </w:pPr>
            <w:r>
              <w:rPr/>
              <w:t>Operating band</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Power class 1</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Power class 2</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Power class 3</w:t>
            </w:r>
          </w:p>
        </w:tc>
        <w:tc>
          <w:tcPr>
            <w:tcW w:w="1507" w:type="dxa"/>
            <w:tcBorders>
              <w:top w:val="single" w:sz="4" w:space="0" w:color="000000"/>
              <w:left w:val="single" w:sz="4" w:space="0" w:color="000000"/>
              <w:bottom w:val="single" w:sz="4" w:space="0" w:color="000000"/>
              <w:right w:val="single" w:sz="4" w:space="0" w:color="000000"/>
            </w:tcBorders>
          </w:tcPr>
          <w:p>
            <w:pPr>
              <w:pStyle w:val="TAH"/>
              <w:rPr/>
            </w:pPr>
            <w:r>
              <w:rPr/>
              <w:t>Power class 3bis</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Power class 4</w:t>
            </w:r>
          </w:p>
        </w:tc>
      </w:tr>
      <w:tr>
        <w:trPr>
          <w:trHeight w:val="57" w:hRule="atLeast"/>
          <w:cantSplit w:val="true"/>
        </w:trPr>
        <w:tc>
          <w:tcPr>
            <w:tcW w:w="138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c>
          <w:tcPr>
            <w:tcW w:w="150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r>
      <w:tr>
        <w:trPr>
          <w:trHeight w:val="57" w:hRule="atLeast"/>
          <w:cantSplit w:val="true"/>
        </w:trPr>
        <w:tc>
          <w:tcPr>
            <w:tcW w:w="138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507"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Average</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I</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21.5</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II</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III</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IV</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V</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VI</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21.0</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VII</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VIII</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21.0</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IX</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XIX</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21.0</w:t>
            </w:r>
          </w:p>
        </w:tc>
        <w:tc>
          <w:tcPr>
            <w:tcW w:w="150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7882" w:type="dxa"/>
            <w:gridSpan w:val="6"/>
            <w:tcBorders>
              <w:top w:val="single" w:sz="4" w:space="0" w:color="000000"/>
              <w:left w:val="single" w:sz="4" w:space="0" w:color="000000"/>
              <w:bottom w:val="single" w:sz="4" w:space="0" w:color="000000"/>
              <w:right w:val="single" w:sz="4" w:space="0" w:color="000000"/>
            </w:tcBorders>
          </w:tcPr>
          <w:p>
            <w:pPr>
              <w:pStyle w:val="TAN"/>
              <w:rPr/>
            </w:pPr>
            <w:r>
              <w:rPr/>
              <w:t>NOTE 1: Applicable for multi-mode GSM/UMTS/LTE.</w:t>
            </w:r>
          </w:p>
          <w:p>
            <w:pPr>
              <w:pStyle w:val="TAN"/>
              <w:rPr>
                <w:b/>
                <w:b/>
                <w:bCs/>
              </w:rPr>
            </w:pPr>
            <w:r>
              <w:rPr/>
              <w:t>NOTE 2: Applicable for notebook devices.</w:t>
            </w:r>
          </w:p>
        </w:tc>
      </w:tr>
    </w:tbl>
    <w:p>
      <w:pPr>
        <w:pStyle w:val="Normal"/>
        <w:rPr/>
      </w:pPr>
      <w:r>
        <w:rPr/>
      </w:r>
    </w:p>
    <w:p>
      <w:pPr>
        <w:pStyle w:val="NO"/>
        <w:rPr/>
      </w:pPr>
      <w:r>
        <w:rPr/>
        <w:t>NOTE: TRP minimum performance requirements in Table K.2.1-1apply to HSPA and LTE UEs supporting only single carrier operation. Their applicability to multi-carrier operation is FFS. This is because it has not been verified whether the UEs measured to derive the requirements supported carrier aggregation or not.</w:t>
      </w:r>
    </w:p>
    <w:p>
      <w:pPr>
        <w:pStyle w:val="TH"/>
        <w:rPr/>
      </w:pPr>
      <w:r>
        <w:rPr/>
        <w:t>Table K.2.1-2: Tablet TRP recommended performance for UTRA FDD in data transfer position</w:t>
      </w:r>
    </w:p>
    <w:tbl>
      <w:tblPr>
        <w:tblW w:w="7882" w:type="dxa"/>
        <w:jc w:val="center"/>
        <w:tblInd w:w="0" w:type="dxa"/>
        <w:tblLayout w:type="fixed"/>
        <w:tblCellMar>
          <w:top w:w="0" w:type="dxa"/>
          <w:left w:w="28" w:type="dxa"/>
          <w:bottom w:w="0" w:type="dxa"/>
          <w:right w:w="28" w:type="dxa"/>
        </w:tblCellMar>
      </w:tblPr>
      <w:tblGrid>
        <w:gridCol w:w="1387"/>
        <w:gridCol w:w="1247"/>
        <w:gridCol w:w="1247"/>
        <w:gridCol w:w="1247"/>
        <w:gridCol w:w="1507"/>
        <w:gridCol w:w="1247"/>
      </w:tblGrid>
      <w:tr>
        <w:trPr>
          <w:trHeight w:val="57" w:hRule="atLeast"/>
          <w:cantSplit w:val="true"/>
        </w:trPr>
        <w:tc>
          <w:tcPr>
            <w:tcW w:w="1387" w:type="dxa"/>
            <w:vMerge w:val="restart"/>
            <w:tcBorders>
              <w:top w:val="single" w:sz="4" w:space="0" w:color="000000"/>
              <w:left w:val="single" w:sz="4" w:space="0" w:color="000000"/>
              <w:bottom w:val="single" w:sz="4" w:space="0" w:color="000000"/>
              <w:right w:val="single" w:sz="4" w:space="0" w:color="000000"/>
            </w:tcBorders>
          </w:tcPr>
          <w:p>
            <w:pPr>
              <w:pStyle w:val="TAH"/>
              <w:rPr/>
            </w:pPr>
            <w:r>
              <w:rPr/>
              <w:t>Operating band</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Power class 1</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Power class 2</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Power class 3</w:t>
            </w:r>
          </w:p>
        </w:tc>
        <w:tc>
          <w:tcPr>
            <w:tcW w:w="1507" w:type="dxa"/>
            <w:tcBorders>
              <w:top w:val="single" w:sz="4" w:space="0" w:color="000000"/>
              <w:left w:val="single" w:sz="4" w:space="0" w:color="000000"/>
              <w:bottom w:val="single" w:sz="4" w:space="0" w:color="000000"/>
              <w:right w:val="single" w:sz="4" w:space="0" w:color="000000"/>
            </w:tcBorders>
          </w:tcPr>
          <w:p>
            <w:pPr>
              <w:pStyle w:val="TAH"/>
              <w:rPr/>
            </w:pPr>
            <w:r>
              <w:rPr/>
              <w:t>Power class 3bis</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Power class 4</w:t>
            </w:r>
          </w:p>
        </w:tc>
      </w:tr>
      <w:tr>
        <w:trPr>
          <w:trHeight w:val="57" w:hRule="atLeast"/>
          <w:cantSplit w:val="true"/>
        </w:trPr>
        <w:tc>
          <w:tcPr>
            <w:tcW w:w="138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c>
          <w:tcPr>
            <w:tcW w:w="150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r>
      <w:tr>
        <w:trPr>
          <w:trHeight w:val="57" w:hRule="atLeast"/>
          <w:cantSplit w:val="true"/>
        </w:trPr>
        <w:tc>
          <w:tcPr>
            <w:tcW w:w="138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507"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247" w:type="dxa"/>
            <w:tcBorders>
              <w:top w:val="single" w:sz="4" w:space="0" w:color="000000"/>
              <w:left w:val="single" w:sz="4" w:space="0" w:color="000000"/>
              <w:bottom w:val="single" w:sz="4" w:space="0" w:color="000000"/>
              <w:right w:val="single" w:sz="4" w:space="0" w:color="000000"/>
            </w:tcBorders>
          </w:tcPr>
          <w:p>
            <w:pPr>
              <w:pStyle w:val="TAH"/>
              <w:rPr/>
            </w:pPr>
            <w:r>
              <w:rPr/>
              <w:t>Average</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I</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21.5</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II</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III</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IV</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V</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19.5</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VI</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VII</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VIII</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pPr>
            <w:r>
              <w:rPr/>
              <w:t>IX</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507" w:type="dxa"/>
            <w:tcBorders>
              <w:top w:val="single" w:sz="4" w:space="0" w:color="000000"/>
              <w:left w:val="single" w:sz="4" w:space="0" w:color="000000"/>
              <w:bottom w:val="single" w:sz="4" w:space="0" w:color="000000"/>
              <w:right w:val="single" w:sz="4" w:space="0" w:color="000000"/>
            </w:tcBorders>
          </w:tcPr>
          <w:p>
            <w:pPr>
              <w:pStyle w:val="TAC"/>
              <w:rPr/>
            </w:pPr>
            <w:r>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XIX</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19.5</w:t>
            </w:r>
          </w:p>
        </w:tc>
        <w:tc>
          <w:tcPr>
            <w:tcW w:w="150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TBD</w:t>
            </w:r>
          </w:p>
        </w:tc>
      </w:tr>
      <w:tr>
        <w:trPr>
          <w:trHeight w:val="57" w:hRule="atLeast"/>
          <w:cantSplit w:val="true"/>
        </w:trPr>
        <w:tc>
          <w:tcPr>
            <w:tcW w:w="7882" w:type="dxa"/>
            <w:gridSpan w:val="6"/>
            <w:tcBorders>
              <w:top w:val="single" w:sz="4" w:space="0" w:color="000000"/>
              <w:left w:val="single" w:sz="4" w:space="0" w:color="000000"/>
              <w:bottom w:val="single" w:sz="4" w:space="0" w:color="000000"/>
              <w:right w:val="single" w:sz="4" w:space="0" w:color="000000"/>
            </w:tcBorders>
          </w:tcPr>
          <w:p>
            <w:pPr>
              <w:pStyle w:val="TAN"/>
              <w:rPr/>
            </w:pPr>
            <w:r>
              <w:rPr/>
              <w:t>NOTE 1: Applicable for dual-mode GSM/UMTS.</w:t>
            </w:r>
          </w:p>
          <w:p>
            <w:pPr>
              <w:pStyle w:val="TAN"/>
              <w:rPr>
                <w:b/>
                <w:b/>
                <w:bCs/>
              </w:rPr>
            </w:pPr>
            <w:r>
              <w:rPr/>
              <w:t>NOTE 2: Applicable for tablet devices with two antennas.</w:t>
            </w:r>
          </w:p>
        </w:tc>
      </w:tr>
    </w:tbl>
    <w:p>
      <w:pPr>
        <w:pStyle w:val="Normal"/>
        <w:rPr/>
      </w:pPr>
      <w:r>
        <w:rPr/>
      </w:r>
    </w:p>
    <w:p>
      <w:pPr>
        <w:pStyle w:val="Heading3"/>
        <w:rPr/>
      </w:pPr>
      <w:bookmarkStart w:id="602" w:name="__RefHeading___Toc68601495"/>
      <w:bookmarkEnd w:id="602"/>
      <w:r>
        <w:rPr>
          <w:szCs w:val="28"/>
        </w:rPr>
        <w:t>K.2.2</w:t>
        <w:tab/>
        <w:t>UTRA LCR TDD</w:t>
      </w:r>
    </w:p>
    <w:p>
      <w:pPr>
        <w:pStyle w:val="TH"/>
        <w:rPr/>
      </w:pPr>
      <w:r>
        <w:rPr/>
        <w:t>Table K.2.2-1: Notebook TRP recommended performance for UTRA LCR TDD in data transfer position</w:t>
      </w:r>
    </w:p>
    <w:tbl>
      <w:tblPr>
        <w:tblW w:w="8842" w:type="dxa"/>
        <w:jc w:val="center"/>
        <w:tblInd w:w="0" w:type="dxa"/>
        <w:tblLayout w:type="fixed"/>
        <w:tblCellMar>
          <w:top w:w="0" w:type="dxa"/>
          <w:left w:w="108" w:type="dxa"/>
          <w:bottom w:w="0" w:type="dxa"/>
          <w:right w:w="108" w:type="dxa"/>
        </w:tblCellMar>
      </w:tblPr>
      <w:tblGrid>
        <w:gridCol w:w="1547"/>
        <w:gridCol w:w="1407"/>
        <w:gridCol w:w="1407"/>
        <w:gridCol w:w="1407"/>
        <w:gridCol w:w="1667"/>
        <w:gridCol w:w="1407"/>
      </w:tblGrid>
      <w:tr>
        <w:trPr>
          <w:trHeight w:val="277" w:hRule="atLeast"/>
        </w:trPr>
        <w:tc>
          <w:tcPr>
            <w:tcW w:w="1547" w:type="dxa"/>
            <w:vMerge w:val="restart"/>
            <w:tcBorders>
              <w:top w:val="single" w:sz="4" w:space="0" w:color="000000"/>
              <w:left w:val="single" w:sz="4" w:space="0" w:color="000000"/>
              <w:bottom w:val="single" w:sz="4" w:space="0" w:color="000000"/>
              <w:right w:val="single" w:sz="4" w:space="0" w:color="000000"/>
            </w:tcBorders>
          </w:tcPr>
          <w:p>
            <w:pPr>
              <w:pStyle w:val="TAH"/>
              <w:rPr/>
            </w:pPr>
            <w:r>
              <w:rPr/>
              <w:t>Operating band</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Power class 1</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Power class 2</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Power class 3</w:t>
            </w:r>
          </w:p>
        </w:tc>
        <w:tc>
          <w:tcPr>
            <w:tcW w:w="1667" w:type="dxa"/>
            <w:tcBorders>
              <w:top w:val="single" w:sz="4" w:space="0" w:color="000000"/>
              <w:left w:val="single" w:sz="4" w:space="0" w:color="000000"/>
              <w:bottom w:val="single" w:sz="4" w:space="0" w:color="000000"/>
              <w:right w:val="single" w:sz="4" w:space="0" w:color="000000"/>
            </w:tcBorders>
          </w:tcPr>
          <w:p>
            <w:pPr>
              <w:pStyle w:val="TAH"/>
              <w:rPr/>
            </w:pPr>
            <w:r>
              <w:rPr/>
              <w:t>Power class 3bis</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Power class 4</w:t>
            </w:r>
          </w:p>
        </w:tc>
      </w:tr>
      <w:tr>
        <w:trPr>
          <w:trHeight w:val="316" w:hRule="atLeast"/>
        </w:trPr>
        <w:tc>
          <w:tcPr>
            <w:tcW w:w="154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c>
          <w:tcPr>
            <w:tcW w:w="166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r>
      <w:tr>
        <w:trPr>
          <w:trHeight w:val="244" w:hRule="atLeast"/>
        </w:trPr>
        <w:tc>
          <w:tcPr>
            <w:tcW w:w="154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667"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Average</w:t>
            </w:r>
          </w:p>
        </w:tc>
      </w:tr>
      <w:tr>
        <w:trPr>
          <w:trHeight w:val="215" w:hRule="atLeast"/>
        </w:trPr>
        <w:tc>
          <w:tcPr>
            <w:tcW w:w="1547" w:type="dxa"/>
            <w:tcBorders>
              <w:top w:val="single" w:sz="4" w:space="0" w:color="000000"/>
              <w:left w:val="single" w:sz="4" w:space="0" w:color="000000"/>
              <w:bottom w:val="single" w:sz="4" w:space="0" w:color="000000"/>
              <w:right w:val="single" w:sz="4" w:space="0" w:color="000000"/>
            </w:tcBorders>
            <w:vAlign w:val="center"/>
          </w:tcPr>
          <w:p>
            <w:pPr>
              <w:pStyle w:val="TAC"/>
              <w:rPr/>
            </w:pPr>
            <w:r>
              <w:rPr/>
              <w:t>a</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215" w:hRule="atLeast"/>
        </w:trPr>
        <w:tc>
          <w:tcPr>
            <w:tcW w:w="1547" w:type="dxa"/>
            <w:tcBorders>
              <w:top w:val="single" w:sz="4" w:space="0" w:color="000000"/>
              <w:left w:val="single" w:sz="4" w:space="0" w:color="000000"/>
              <w:bottom w:val="single" w:sz="4" w:space="0" w:color="000000"/>
              <w:right w:val="single" w:sz="4" w:space="0" w:color="000000"/>
            </w:tcBorders>
            <w:vAlign w:val="center"/>
          </w:tcPr>
          <w:p>
            <w:pPr>
              <w:pStyle w:val="TAC"/>
              <w:rPr/>
            </w:pPr>
            <w:r>
              <w:rPr/>
              <w:t>b</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215" w:hRule="atLeast"/>
        </w:trPr>
        <w:tc>
          <w:tcPr>
            <w:tcW w:w="1547" w:type="dxa"/>
            <w:tcBorders>
              <w:top w:val="single" w:sz="4" w:space="0" w:color="000000"/>
              <w:left w:val="single" w:sz="4" w:space="0" w:color="000000"/>
              <w:bottom w:val="single" w:sz="4" w:space="0" w:color="000000"/>
              <w:right w:val="single" w:sz="4" w:space="0" w:color="000000"/>
            </w:tcBorders>
            <w:vAlign w:val="center"/>
          </w:tcPr>
          <w:p>
            <w:pPr>
              <w:pStyle w:val="TAC"/>
              <w:rPr/>
            </w:pPr>
            <w:r>
              <w:rPr/>
              <w:t>c</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215" w:hRule="atLeast"/>
        </w:trPr>
        <w:tc>
          <w:tcPr>
            <w:tcW w:w="1547" w:type="dxa"/>
            <w:tcBorders>
              <w:top w:val="single" w:sz="4" w:space="0" w:color="000000"/>
              <w:left w:val="single" w:sz="4" w:space="0" w:color="000000"/>
              <w:bottom w:val="single" w:sz="4" w:space="0" w:color="000000"/>
              <w:right w:val="single" w:sz="4" w:space="0" w:color="000000"/>
            </w:tcBorders>
            <w:vAlign w:val="center"/>
          </w:tcPr>
          <w:p>
            <w:pPr>
              <w:pStyle w:val="TAC"/>
              <w:rPr/>
            </w:pPr>
            <w:r>
              <w:rPr/>
              <w:t>d</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215" w:hRule="atLeast"/>
        </w:trPr>
        <w:tc>
          <w:tcPr>
            <w:tcW w:w="1547" w:type="dxa"/>
            <w:tcBorders>
              <w:top w:val="single" w:sz="4" w:space="0" w:color="000000"/>
              <w:left w:val="single" w:sz="4" w:space="0" w:color="000000"/>
              <w:bottom w:val="single" w:sz="4" w:space="0" w:color="000000"/>
              <w:right w:val="single" w:sz="4" w:space="0" w:color="000000"/>
            </w:tcBorders>
            <w:vAlign w:val="center"/>
          </w:tcPr>
          <w:p>
            <w:pPr>
              <w:pStyle w:val="TAC"/>
              <w:rPr/>
            </w:pPr>
            <w:r>
              <w:rPr/>
              <w:t>e</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215" w:hRule="atLeast"/>
        </w:trPr>
        <w:tc>
          <w:tcPr>
            <w:tcW w:w="1547" w:type="dxa"/>
            <w:tcBorders>
              <w:top w:val="single" w:sz="4" w:space="0" w:color="000000"/>
              <w:left w:val="single" w:sz="4" w:space="0" w:color="000000"/>
              <w:bottom w:val="single" w:sz="4" w:space="0" w:color="000000"/>
              <w:right w:val="single" w:sz="4" w:space="0" w:color="000000"/>
            </w:tcBorders>
            <w:vAlign w:val="center"/>
          </w:tcPr>
          <w:p>
            <w:pPr>
              <w:pStyle w:val="TAC"/>
              <w:rPr/>
            </w:pPr>
            <w:r>
              <w:rPr/>
              <w:t>f</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220" w:hRule="atLeast"/>
        </w:trPr>
        <w:tc>
          <w:tcPr>
            <w:tcW w:w="8842" w:type="dxa"/>
            <w:gridSpan w:val="6"/>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Applicable for dual-mode GSM/UTRA LCR TDD.</w:t>
            </w:r>
          </w:p>
          <w:p>
            <w:pPr>
              <w:pStyle w:val="TAN"/>
              <w:rPr/>
            </w:pPr>
            <w:r>
              <w:rPr/>
              <w:t xml:space="preserve">NOTE 2: </w:t>
              <w:tab/>
              <w:t>Applicable for notebook devices.</w:t>
            </w:r>
          </w:p>
        </w:tc>
      </w:tr>
    </w:tbl>
    <w:p>
      <w:pPr>
        <w:pStyle w:val="Normal"/>
        <w:rPr/>
      </w:pPr>
      <w:r>
        <w:rPr/>
      </w:r>
    </w:p>
    <w:p>
      <w:pPr>
        <w:pStyle w:val="TH"/>
        <w:rPr/>
      </w:pPr>
      <w:r>
        <w:rPr/>
        <w:t>Table K.2.2-2: Tablet TRP recommended performance for UTRA LCR TDD in data transfer position</w:t>
      </w:r>
    </w:p>
    <w:tbl>
      <w:tblPr>
        <w:tblW w:w="8842" w:type="dxa"/>
        <w:jc w:val="center"/>
        <w:tblInd w:w="0" w:type="dxa"/>
        <w:tblLayout w:type="fixed"/>
        <w:tblCellMar>
          <w:top w:w="0" w:type="dxa"/>
          <w:left w:w="108" w:type="dxa"/>
          <w:bottom w:w="0" w:type="dxa"/>
          <w:right w:w="108" w:type="dxa"/>
        </w:tblCellMar>
      </w:tblPr>
      <w:tblGrid>
        <w:gridCol w:w="1547"/>
        <w:gridCol w:w="1407"/>
        <w:gridCol w:w="1407"/>
        <w:gridCol w:w="1407"/>
        <w:gridCol w:w="1667"/>
        <w:gridCol w:w="1407"/>
      </w:tblGrid>
      <w:tr>
        <w:trPr>
          <w:trHeight w:val="277" w:hRule="atLeast"/>
        </w:trPr>
        <w:tc>
          <w:tcPr>
            <w:tcW w:w="1547" w:type="dxa"/>
            <w:vMerge w:val="restart"/>
            <w:tcBorders>
              <w:top w:val="single" w:sz="4" w:space="0" w:color="000000"/>
              <w:left w:val="single" w:sz="4" w:space="0" w:color="000000"/>
              <w:bottom w:val="single" w:sz="4" w:space="0" w:color="000000"/>
              <w:right w:val="single" w:sz="4" w:space="0" w:color="000000"/>
            </w:tcBorders>
          </w:tcPr>
          <w:p>
            <w:pPr>
              <w:pStyle w:val="TAH"/>
              <w:rPr/>
            </w:pPr>
            <w:r>
              <w:rPr/>
              <w:t>Operating band</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Power class 1</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Power class 2</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Power class 3</w:t>
            </w:r>
          </w:p>
        </w:tc>
        <w:tc>
          <w:tcPr>
            <w:tcW w:w="1667" w:type="dxa"/>
            <w:tcBorders>
              <w:top w:val="single" w:sz="4" w:space="0" w:color="000000"/>
              <w:left w:val="single" w:sz="4" w:space="0" w:color="000000"/>
              <w:bottom w:val="single" w:sz="4" w:space="0" w:color="000000"/>
              <w:right w:val="single" w:sz="4" w:space="0" w:color="000000"/>
            </w:tcBorders>
          </w:tcPr>
          <w:p>
            <w:pPr>
              <w:pStyle w:val="TAH"/>
              <w:rPr/>
            </w:pPr>
            <w:r>
              <w:rPr/>
              <w:t>Power class 3bis</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Power class 4</w:t>
            </w:r>
          </w:p>
        </w:tc>
      </w:tr>
      <w:tr>
        <w:trPr>
          <w:trHeight w:val="316" w:hRule="atLeast"/>
        </w:trPr>
        <w:tc>
          <w:tcPr>
            <w:tcW w:w="154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c>
          <w:tcPr>
            <w:tcW w:w="166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Power (dBm)</w:t>
            </w:r>
          </w:p>
        </w:tc>
      </w:tr>
      <w:tr>
        <w:trPr>
          <w:trHeight w:val="244" w:hRule="atLeast"/>
        </w:trPr>
        <w:tc>
          <w:tcPr>
            <w:tcW w:w="154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667" w:type="dxa"/>
            <w:tcBorders>
              <w:top w:val="single" w:sz="4" w:space="0" w:color="000000"/>
              <w:left w:val="single" w:sz="4" w:space="0" w:color="000000"/>
              <w:bottom w:val="single" w:sz="4" w:space="0" w:color="000000"/>
              <w:right w:val="single" w:sz="4" w:space="0" w:color="000000"/>
            </w:tcBorders>
          </w:tcPr>
          <w:p>
            <w:pPr>
              <w:pStyle w:val="TAH"/>
              <w:rPr/>
            </w:pPr>
            <w:r>
              <w:rPr/>
              <w:t>Average</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Average</w:t>
            </w:r>
          </w:p>
        </w:tc>
      </w:tr>
      <w:tr>
        <w:trPr>
          <w:trHeight w:val="215" w:hRule="atLeast"/>
        </w:trPr>
        <w:tc>
          <w:tcPr>
            <w:tcW w:w="1547" w:type="dxa"/>
            <w:tcBorders>
              <w:top w:val="single" w:sz="4" w:space="0" w:color="000000"/>
              <w:left w:val="single" w:sz="4" w:space="0" w:color="000000"/>
              <w:bottom w:val="single" w:sz="4" w:space="0" w:color="000000"/>
              <w:right w:val="single" w:sz="4" w:space="0" w:color="000000"/>
            </w:tcBorders>
            <w:vAlign w:val="center"/>
          </w:tcPr>
          <w:p>
            <w:pPr>
              <w:pStyle w:val="TAC"/>
              <w:rPr/>
            </w:pPr>
            <w:r>
              <w:rPr/>
              <w:t>a</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215" w:hRule="atLeast"/>
        </w:trPr>
        <w:tc>
          <w:tcPr>
            <w:tcW w:w="1547" w:type="dxa"/>
            <w:tcBorders>
              <w:top w:val="single" w:sz="4" w:space="0" w:color="000000"/>
              <w:left w:val="single" w:sz="4" w:space="0" w:color="000000"/>
              <w:bottom w:val="single" w:sz="4" w:space="0" w:color="000000"/>
              <w:right w:val="single" w:sz="4" w:space="0" w:color="000000"/>
            </w:tcBorders>
            <w:vAlign w:val="center"/>
          </w:tcPr>
          <w:p>
            <w:pPr>
              <w:pStyle w:val="TAC"/>
              <w:rPr/>
            </w:pPr>
            <w:r>
              <w:rPr/>
              <w:t>b</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215" w:hRule="atLeast"/>
        </w:trPr>
        <w:tc>
          <w:tcPr>
            <w:tcW w:w="1547" w:type="dxa"/>
            <w:tcBorders>
              <w:top w:val="single" w:sz="4" w:space="0" w:color="000000"/>
              <w:left w:val="single" w:sz="4" w:space="0" w:color="000000"/>
              <w:bottom w:val="single" w:sz="4" w:space="0" w:color="000000"/>
              <w:right w:val="single" w:sz="4" w:space="0" w:color="000000"/>
            </w:tcBorders>
            <w:vAlign w:val="center"/>
          </w:tcPr>
          <w:p>
            <w:pPr>
              <w:pStyle w:val="TAC"/>
              <w:rPr/>
            </w:pPr>
            <w:r>
              <w:rPr/>
              <w:t>c</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215" w:hRule="atLeast"/>
        </w:trPr>
        <w:tc>
          <w:tcPr>
            <w:tcW w:w="1547" w:type="dxa"/>
            <w:tcBorders>
              <w:top w:val="single" w:sz="4" w:space="0" w:color="000000"/>
              <w:left w:val="single" w:sz="4" w:space="0" w:color="000000"/>
              <w:bottom w:val="single" w:sz="4" w:space="0" w:color="000000"/>
              <w:right w:val="single" w:sz="4" w:space="0" w:color="000000"/>
            </w:tcBorders>
            <w:vAlign w:val="center"/>
          </w:tcPr>
          <w:p>
            <w:pPr>
              <w:pStyle w:val="TAC"/>
              <w:rPr/>
            </w:pPr>
            <w:r>
              <w:rPr/>
              <w:t>d</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215" w:hRule="atLeast"/>
        </w:trPr>
        <w:tc>
          <w:tcPr>
            <w:tcW w:w="1547" w:type="dxa"/>
            <w:tcBorders>
              <w:top w:val="single" w:sz="4" w:space="0" w:color="000000"/>
              <w:left w:val="single" w:sz="4" w:space="0" w:color="000000"/>
              <w:bottom w:val="single" w:sz="4" w:space="0" w:color="000000"/>
              <w:right w:val="single" w:sz="4" w:space="0" w:color="000000"/>
            </w:tcBorders>
            <w:vAlign w:val="center"/>
          </w:tcPr>
          <w:p>
            <w:pPr>
              <w:pStyle w:val="TAC"/>
              <w:rPr/>
            </w:pPr>
            <w:r>
              <w:rPr/>
              <w:t>e</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215" w:hRule="atLeast"/>
        </w:trPr>
        <w:tc>
          <w:tcPr>
            <w:tcW w:w="1547" w:type="dxa"/>
            <w:tcBorders>
              <w:top w:val="single" w:sz="4" w:space="0" w:color="000000"/>
              <w:left w:val="single" w:sz="4" w:space="0" w:color="000000"/>
              <w:bottom w:val="single" w:sz="4" w:space="0" w:color="000000"/>
              <w:right w:val="single" w:sz="4" w:space="0" w:color="000000"/>
            </w:tcBorders>
            <w:vAlign w:val="center"/>
          </w:tcPr>
          <w:p>
            <w:pPr>
              <w:pStyle w:val="TAC"/>
              <w:rPr/>
            </w:pPr>
            <w:r>
              <w:rPr/>
              <w:t>f</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220" w:hRule="atLeast"/>
        </w:trPr>
        <w:tc>
          <w:tcPr>
            <w:tcW w:w="8842" w:type="dxa"/>
            <w:gridSpan w:val="6"/>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Applicable for dual-mode GSM/UTRA LCR TDD.</w:t>
            </w:r>
          </w:p>
          <w:p>
            <w:pPr>
              <w:pStyle w:val="TAN"/>
              <w:rPr/>
            </w:pPr>
            <w:r>
              <w:rPr/>
              <w:t xml:space="preserve">NOTE 2: </w:t>
              <w:tab/>
              <w:t>Applicable for tablet devices.</w:t>
            </w:r>
          </w:p>
        </w:tc>
      </w:tr>
    </w:tbl>
    <w:p>
      <w:pPr>
        <w:pStyle w:val="Normal"/>
        <w:rPr/>
      </w:pPr>
      <w:r>
        <w:rPr/>
      </w:r>
    </w:p>
    <w:p>
      <w:pPr>
        <w:pStyle w:val="Heading3"/>
        <w:rPr>
          <w:szCs w:val="28"/>
        </w:rPr>
      </w:pPr>
      <w:bookmarkStart w:id="603" w:name="__RefHeading___Toc68601496"/>
      <w:bookmarkEnd w:id="603"/>
      <w:r>
        <w:rPr>
          <w:szCs w:val="28"/>
        </w:rPr>
        <w:t>K.2.3</w:t>
        <w:tab/>
        <w:t>E-UTRA FDD</w:t>
      </w:r>
    </w:p>
    <w:p>
      <w:pPr>
        <w:pStyle w:val="Normal"/>
        <w:rPr/>
      </w:pPr>
      <w:r>
        <w:rPr/>
        <w:t>[Table K.2.3-1 and K.2.3-2 TBD]</w:t>
      </w:r>
    </w:p>
    <w:p>
      <w:pPr>
        <w:pStyle w:val="Heading3"/>
        <w:rPr/>
      </w:pPr>
      <w:bookmarkStart w:id="604" w:name="__RefHeading___Toc68601497"/>
      <w:bookmarkEnd w:id="604"/>
      <w:r>
        <w:rPr/>
        <w:t>K.2.4</w:t>
        <w:tab/>
        <w:t>E-UTRA TDD</w:t>
      </w:r>
    </w:p>
    <w:p>
      <w:pPr>
        <w:pStyle w:val="Normal"/>
        <w:rPr/>
      </w:pPr>
      <w:r>
        <w:rPr/>
        <w:t>[Table K.2.4-1 and K.2.4-2 TBD]</w:t>
      </w:r>
    </w:p>
    <w:p>
      <w:pPr>
        <w:pStyle w:val="Heading2"/>
        <w:rPr/>
      </w:pPr>
      <w:bookmarkStart w:id="605" w:name="__RefHeading___Toc68601498"/>
      <w:bookmarkEnd w:id="605"/>
      <w:r>
        <w:rPr/>
        <w:t>K.3</w:t>
        <w:tab/>
        <w:t>Total Radiated Sensitivity</w:t>
      </w:r>
    </w:p>
    <w:p>
      <w:pPr>
        <w:pStyle w:val="Normal"/>
        <w:rPr/>
      </w:pPr>
      <w:r>
        <w:rPr/>
        <w:t>The OTA TRS performance for UTRA and E-UTRA should be lower or equal than the recommended values shown in this clause.</w:t>
      </w:r>
    </w:p>
    <w:p>
      <w:pPr>
        <w:pStyle w:val="Normal"/>
        <w:jc w:val="both"/>
        <w:rPr>
          <w:lang w:eastAsia="zh-TW"/>
        </w:rPr>
      </w:pPr>
      <w:r>
        <w:rPr>
          <w:lang w:eastAsia="zh-TW"/>
        </w:rPr>
        <w:t>T</w:t>
      </w:r>
      <w:r>
        <w:rPr/>
        <w:t>est method</w:t>
      </w:r>
      <w:r>
        <w:rPr>
          <w:lang w:eastAsia="zh-TW"/>
        </w:rPr>
        <w:t xml:space="preserve"> for </w:t>
      </w:r>
      <w:r>
        <w:rPr>
          <w:lang w:eastAsia="zh-CN"/>
        </w:rPr>
        <w:t>devices with embedded modules</w:t>
      </w:r>
      <w:r>
        <w:rPr/>
        <w:t xml:space="preserve"> is defined in subclauses </w:t>
      </w:r>
      <w:r>
        <w:rPr>
          <w:lang w:eastAsia="zh-TW"/>
        </w:rPr>
        <w:t>4.3.5</w:t>
      </w:r>
      <w:r>
        <w:rPr/>
        <w:t>.</w:t>
      </w:r>
    </w:p>
    <w:p>
      <w:pPr>
        <w:pStyle w:val="Heading3"/>
        <w:rPr/>
      </w:pPr>
      <w:bookmarkStart w:id="606" w:name="__RefHeading___Toc68601499"/>
      <w:bookmarkEnd w:id="606"/>
      <w:r>
        <w:rPr/>
        <w:t>K.3.1</w:t>
        <w:tab/>
        <w:t>UTRA FDD</w:t>
      </w:r>
    </w:p>
    <w:p>
      <w:pPr>
        <w:pStyle w:val="TH"/>
        <w:rPr/>
      </w:pPr>
      <w:r>
        <w:rPr/>
        <w:t>Table K.3.1-1: Notebook TRS recommended performance for UTRA FDD in the data transfer position</w:t>
      </w:r>
    </w:p>
    <w:tbl>
      <w:tblPr>
        <w:tblW w:w="4288" w:type="dxa"/>
        <w:jc w:val="center"/>
        <w:tblInd w:w="0" w:type="dxa"/>
        <w:tblLayout w:type="fixed"/>
        <w:tblCellMar>
          <w:top w:w="0" w:type="dxa"/>
          <w:left w:w="28" w:type="dxa"/>
          <w:bottom w:w="0" w:type="dxa"/>
          <w:right w:w="28" w:type="dxa"/>
        </w:tblCellMar>
      </w:tblPr>
      <w:tblGrid>
        <w:gridCol w:w="1733"/>
        <w:gridCol w:w="1558"/>
        <w:gridCol w:w="997"/>
      </w:tblGrid>
      <w:tr>
        <w:trPr>
          <w:trHeight w:val="424" w:hRule="atLeast"/>
          <w:cantSplit w:val="true"/>
        </w:trPr>
        <w:tc>
          <w:tcPr>
            <w:tcW w:w="1733" w:type="dxa"/>
            <w:tcBorders>
              <w:top w:val="single" w:sz="4" w:space="0" w:color="000000"/>
              <w:left w:val="single" w:sz="4" w:space="0" w:color="000000"/>
              <w:bottom w:val="single" w:sz="4" w:space="0" w:color="000000"/>
              <w:right w:val="single" w:sz="4" w:space="0" w:color="000000"/>
            </w:tcBorders>
          </w:tcPr>
          <w:p>
            <w:pPr>
              <w:pStyle w:val="TAH"/>
              <w:rPr/>
            </w:pPr>
            <w:r>
              <w:rPr/>
              <w:t>Operating band</w:t>
            </w:r>
          </w:p>
        </w:tc>
        <w:tc>
          <w:tcPr>
            <w:tcW w:w="1558"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97" w:type="dxa"/>
            <w:tcBorders>
              <w:top w:val="single" w:sz="4" w:space="0" w:color="000000"/>
              <w:left w:val="single" w:sz="4" w:space="0" w:color="000000"/>
              <w:bottom w:val="single" w:sz="4" w:space="0" w:color="000000"/>
              <w:right w:val="single" w:sz="4" w:space="0" w:color="000000"/>
            </w:tcBorders>
          </w:tcPr>
          <w:p>
            <w:pPr>
              <w:pStyle w:val="TAH"/>
              <w:rPr/>
            </w:pPr>
            <w:r>
              <w:rPr/>
              <w:t>&lt;REFÎ</w:t>
            </w:r>
            <w:r>
              <w:rPr>
                <w:vertAlign w:val="subscript"/>
              </w:rPr>
              <w:t>or</w:t>
            </w:r>
            <w:r>
              <w:rPr/>
              <w:t>&gt;</w:t>
            </w:r>
          </w:p>
          <w:p>
            <w:pPr>
              <w:pStyle w:val="TAH"/>
              <w:rPr/>
            </w:pPr>
            <w:r>
              <w:rPr/>
              <w:t>Average</w:t>
            </w:r>
          </w:p>
        </w:tc>
      </w:tr>
      <w:tr>
        <w:trPr>
          <w:trHeight w:val="57" w:hRule="atLeast"/>
          <w:cantSplit w:val="true"/>
        </w:trPr>
        <w:tc>
          <w:tcPr>
            <w:tcW w:w="1733" w:type="dxa"/>
            <w:tcBorders>
              <w:top w:val="single" w:sz="4" w:space="0" w:color="000000"/>
              <w:left w:val="single" w:sz="4" w:space="0" w:color="000000"/>
              <w:bottom w:val="single" w:sz="4" w:space="0" w:color="000000"/>
              <w:right w:val="single" w:sz="4" w:space="0" w:color="000000"/>
            </w:tcBorders>
          </w:tcPr>
          <w:p>
            <w:pPr>
              <w:pStyle w:val="TAC"/>
              <w:rPr/>
            </w:pPr>
            <w:r>
              <w:rPr/>
              <w:t>I</w:t>
            </w:r>
          </w:p>
        </w:tc>
        <w:tc>
          <w:tcPr>
            <w:tcW w:w="1558"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997" w:type="dxa"/>
            <w:tcBorders>
              <w:top w:val="single" w:sz="4" w:space="0" w:color="000000"/>
              <w:left w:val="single" w:sz="4" w:space="0" w:color="000000"/>
              <w:bottom w:val="single" w:sz="4" w:space="0" w:color="000000"/>
              <w:right w:val="single" w:sz="4" w:space="0" w:color="000000"/>
            </w:tcBorders>
          </w:tcPr>
          <w:p>
            <w:pPr>
              <w:pStyle w:val="TAC"/>
              <w:rPr/>
            </w:pPr>
            <w:r>
              <w:rPr/>
              <w:t>-106.5</w:t>
            </w:r>
          </w:p>
        </w:tc>
      </w:tr>
      <w:tr>
        <w:trPr>
          <w:trHeight w:val="57" w:hRule="atLeast"/>
          <w:cantSplit w:val="true"/>
        </w:trPr>
        <w:tc>
          <w:tcPr>
            <w:tcW w:w="1733" w:type="dxa"/>
            <w:tcBorders>
              <w:top w:val="single" w:sz="4" w:space="0" w:color="000000"/>
              <w:left w:val="single" w:sz="4" w:space="0" w:color="000000"/>
              <w:bottom w:val="single" w:sz="4" w:space="0" w:color="000000"/>
              <w:right w:val="single" w:sz="4" w:space="0" w:color="000000"/>
            </w:tcBorders>
          </w:tcPr>
          <w:p>
            <w:pPr>
              <w:pStyle w:val="TAC"/>
              <w:rPr/>
            </w:pPr>
            <w:r>
              <w:rPr/>
              <w:t>II</w:t>
            </w:r>
          </w:p>
        </w:tc>
        <w:tc>
          <w:tcPr>
            <w:tcW w:w="1558"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99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733" w:type="dxa"/>
            <w:tcBorders>
              <w:top w:val="single" w:sz="4" w:space="0" w:color="000000"/>
              <w:left w:val="single" w:sz="4" w:space="0" w:color="000000"/>
              <w:bottom w:val="single" w:sz="4" w:space="0" w:color="000000"/>
              <w:right w:val="single" w:sz="4" w:space="0" w:color="000000"/>
            </w:tcBorders>
          </w:tcPr>
          <w:p>
            <w:pPr>
              <w:pStyle w:val="TAC"/>
              <w:rPr/>
            </w:pPr>
            <w:r>
              <w:rPr/>
              <w:t>III</w:t>
            </w:r>
          </w:p>
        </w:tc>
        <w:tc>
          <w:tcPr>
            <w:tcW w:w="1558"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99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733" w:type="dxa"/>
            <w:tcBorders>
              <w:top w:val="single" w:sz="4" w:space="0" w:color="000000"/>
              <w:left w:val="single" w:sz="4" w:space="0" w:color="000000"/>
              <w:bottom w:val="single" w:sz="4" w:space="0" w:color="000000"/>
              <w:right w:val="single" w:sz="4" w:space="0" w:color="000000"/>
            </w:tcBorders>
          </w:tcPr>
          <w:p>
            <w:pPr>
              <w:pStyle w:val="TAC"/>
              <w:rPr/>
            </w:pPr>
            <w:r>
              <w:rPr/>
              <w:t>IV</w:t>
            </w:r>
          </w:p>
        </w:tc>
        <w:tc>
          <w:tcPr>
            <w:tcW w:w="1558"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99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733" w:type="dxa"/>
            <w:tcBorders>
              <w:top w:val="single" w:sz="4" w:space="0" w:color="000000"/>
              <w:left w:val="single" w:sz="4" w:space="0" w:color="000000"/>
              <w:bottom w:val="single" w:sz="4" w:space="0" w:color="000000"/>
              <w:right w:val="single" w:sz="4" w:space="0" w:color="000000"/>
            </w:tcBorders>
          </w:tcPr>
          <w:p>
            <w:pPr>
              <w:pStyle w:val="TAC"/>
              <w:rPr/>
            </w:pPr>
            <w:r>
              <w:rPr/>
              <w:t>V</w:t>
            </w:r>
          </w:p>
        </w:tc>
        <w:tc>
          <w:tcPr>
            <w:tcW w:w="1558"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99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733" w:type="dxa"/>
            <w:tcBorders>
              <w:top w:val="single" w:sz="4" w:space="0" w:color="000000"/>
              <w:left w:val="single" w:sz="4" w:space="0" w:color="000000"/>
              <w:bottom w:val="single" w:sz="4" w:space="0" w:color="000000"/>
              <w:right w:val="single" w:sz="4" w:space="0" w:color="000000"/>
            </w:tcBorders>
          </w:tcPr>
          <w:p>
            <w:pPr>
              <w:pStyle w:val="TAC"/>
              <w:rPr/>
            </w:pPr>
            <w:r>
              <w:rPr/>
              <w:t>VI</w:t>
            </w:r>
          </w:p>
        </w:tc>
        <w:tc>
          <w:tcPr>
            <w:tcW w:w="1558"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997" w:type="dxa"/>
            <w:tcBorders>
              <w:top w:val="single" w:sz="4" w:space="0" w:color="000000"/>
              <w:left w:val="single" w:sz="4" w:space="0" w:color="000000"/>
              <w:bottom w:val="single" w:sz="4" w:space="0" w:color="000000"/>
              <w:right w:val="single" w:sz="4" w:space="0" w:color="000000"/>
            </w:tcBorders>
          </w:tcPr>
          <w:p>
            <w:pPr>
              <w:pStyle w:val="TAC"/>
              <w:rPr/>
            </w:pPr>
            <w:r>
              <w:rPr/>
              <w:t>-104.5</w:t>
            </w:r>
          </w:p>
        </w:tc>
      </w:tr>
      <w:tr>
        <w:trPr>
          <w:trHeight w:val="57" w:hRule="atLeast"/>
          <w:cantSplit w:val="true"/>
        </w:trPr>
        <w:tc>
          <w:tcPr>
            <w:tcW w:w="1733" w:type="dxa"/>
            <w:tcBorders>
              <w:top w:val="single" w:sz="4" w:space="0" w:color="000000"/>
              <w:left w:val="single" w:sz="4" w:space="0" w:color="000000"/>
              <w:bottom w:val="single" w:sz="4" w:space="0" w:color="000000"/>
              <w:right w:val="single" w:sz="4" w:space="0" w:color="000000"/>
            </w:tcBorders>
          </w:tcPr>
          <w:p>
            <w:pPr>
              <w:pStyle w:val="TAC"/>
              <w:rPr/>
            </w:pPr>
            <w:r>
              <w:rPr/>
              <w:t>VII</w:t>
            </w:r>
          </w:p>
        </w:tc>
        <w:tc>
          <w:tcPr>
            <w:tcW w:w="1558"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99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733" w:type="dxa"/>
            <w:tcBorders>
              <w:top w:val="single" w:sz="4" w:space="0" w:color="000000"/>
              <w:left w:val="single" w:sz="4" w:space="0" w:color="000000"/>
              <w:bottom w:val="single" w:sz="4" w:space="0" w:color="000000"/>
              <w:right w:val="single" w:sz="4" w:space="0" w:color="000000"/>
            </w:tcBorders>
          </w:tcPr>
          <w:p>
            <w:pPr>
              <w:pStyle w:val="TAC"/>
              <w:rPr/>
            </w:pPr>
            <w:r>
              <w:rPr/>
              <w:t>VIII</w:t>
            </w:r>
          </w:p>
        </w:tc>
        <w:tc>
          <w:tcPr>
            <w:tcW w:w="1558"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997" w:type="dxa"/>
            <w:tcBorders>
              <w:top w:val="single" w:sz="4" w:space="0" w:color="000000"/>
              <w:left w:val="single" w:sz="4" w:space="0" w:color="000000"/>
              <w:bottom w:val="single" w:sz="4" w:space="0" w:color="000000"/>
              <w:right w:val="single" w:sz="4" w:space="0" w:color="000000"/>
            </w:tcBorders>
          </w:tcPr>
          <w:p>
            <w:pPr>
              <w:pStyle w:val="TAC"/>
              <w:rPr/>
            </w:pPr>
            <w:r>
              <w:rPr/>
              <w:t>-104.5</w:t>
            </w:r>
          </w:p>
        </w:tc>
      </w:tr>
      <w:tr>
        <w:trPr>
          <w:trHeight w:val="105" w:hRule="atLeast"/>
          <w:cantSplit w:val="true"/>
        </w:trPr>
        <w:tc>
          <w:tcPr>
            <w:tcW w:w="1733" w:type="dxa"/>
            <w:tcBorders>
              <w:top w:val="single" w:sz="4" w:space="0" w:color="000000"/>
              <w:left w:val="single" w:sz="4" w:space="0" w:color="000000"/>
              <w:bottom w:val="single" w:sz="4" w:space="0" w:color="000000"/>
              <w:right w:val="single" w:sz="4" w:space="0" w:color="000000"/>
            </w:tcBorders>
          </w:tcPr>
          <w:p>
            <w:pPr>
              <w:pStyle w:val="TAC"/>
              <w:rPr/>
            </w:pPr>
            <w:r>
              <w:rPr/>
              <w:t>IX</w:t>
            </w:r>
          </w:p>
        </w:tc>
        <w:tc>
          <w:tcPr>
            <w:tcW w:w="1558"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997"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105" w:hRule="atLeast"/>
          <w:cantSplit w:val="true"/>
        </w:trPr>
        <w:tc>
          <w:tcPr>
            <w:tcW w:w="173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XIX</w:t>
            </w:r>
          </w:p>
        </w:tc>
        <w:tc>
          <w:tcPr>
            <w:tcW w:w="155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9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-104.5</w:t>
            </w:r>
          </w:p>
        </w:tc>
      </w:tr>
      <w:tr>
        <w:trPr>
          <w:trHeight w:val="105" w:hRule="atLeast"/>
          <w:cantSplit w:val="true"/>
        </w:trPr>
        <w:tc>
          <w:tcPr>
            <w:tcW w:w="4288" w:type="dxa"/>
            <w:gridSpan w:val="3"/>
            <w:tcBorders>
              <w:top w:val="single" w:sz="4" w:space="0" w:color="000000"/>
              <w:left w:val="single" w:sz="4" w:space="0" w:color="000000"/>
              <w:bottom w:val="single" w:sz="4" w:space="0" w:color="000000"/>
              <w:right w:val="single" w:sz="4" w:space="0" w:color="000000"/>
            </w:tcBorders>
          </w:tcPr>
          <w:p>
            <w:pPr>
              <w:pStyle w:val="TAN"/>
              <w:rPr/>
            </w:pPr>
            <w:r>
              <w:rPr/>
              <w:t>NOTE 1: Applicable for multi-mode GSM/UMTS/LTE.</w:t>
            </w:r>
          </w:p>
          <w:p>
            <w:pPr>
              <w:pStyle w:val="TAN"/>
              <w:rPr/>
            </w:pPr>
            <w:r>
              <w:rPr/>
              <w:t xml:space="preserve">NOTE 2: </w:t>
              <w:tab/>
              <w:t>Applicable for notebook devices.</w:t>
            </w:r>
          </w:p>
        </w:tc>
      </w:tr>
    </w:tbl>
    <w:p>
      <w:pPr>
        <w:pStyle w:val="Normal"/>
        <w:rPr/>
      </w:pPr>
      <w:r>
        <w:rPr/>
      </w:r>
    </w:p>
    <w:p>
      <w:pPr>
        <w:pStyle w:val="NO"/>
        <w:rPr/>
      </w:pPr>
      <w:r>
        <w:rPr/>
        <w:t>NOTE: TRS minimum performance requirements in Table K.3.1-1 apply to HSPA and LTE UEs supporting only single carrier operation. Their applicability to multi-carrier operation is FFS. This is because it has not been verified whether the UEs measured to derive the requirements supported carrier aggregation or not.</w:t>
      </w:r>
    </w:p>
    <w:p>
      <w:pPr>
        <w:pStyle w:val="TH"/>
        <w:rPr/>
      </w:pPr>
      <w:r>
        <w:rPr/>
        <w:t>Table K.3.1-2: Tablet TRS recommended performance for UTRA FDD in the data transfer position</w:t>
      </w:r>
    </w:p>
    <w:tbl>
      <w:tblPr>
        <w:tblW w:w="4690" w:type="dxa"/>
        <w:jc w:val="center"/>
        <w:tblInd w:w="0" w:type="dxa"/>
        <w:tblLayout w:type="fixed"/>
        <w:tblCellMar>
          <w:top w:w="0" w:type="dxa"/>
          <w:left w:w="28" w:type="dxa"/>
          <w:bottom w:w="0" w:type="dxa"/>
          <w:right w:w="28" w:type="dxa"/>
        </w:tblCellMar>
      </w:tblPr>
      <w:tblGrid>
        <w:gridCol w:w="1896"/>
        <w:gridCol w:w="1705"/>
        <w:gridCol w:w="1089"/>
      </w:tblGrid>
      <w:tr>
        <w:trPr>
          <w:trHeight w:val="424" w:hRule="atLeast"/>
          <w:cantSplit w:val="true"/>
        </w:trPr>
        <w:tc>
          <w:tcPr>
            <w:tcW w:w="1896" w:type="dxa"/>
            <w:tcBorders>
              <w:top w:val="single" w:sz="4" w:space="0" w:color="000000"/>
              <w:left w:val="single" w:sz="4" w:space="0" w:color="000000"/>
              <w:bottom w:val="single" w:sz="4" w:space="0" w:color="000000"/>
              <w:right w:val="single" w:sz="4" w:space="0" w:color="000000"/>
            </w:tcBorders>
          </w:tcPr>
          <w:p>
            <w:pPr>
              <w:pStyle w:val="TAH"/>
              <w:rPr/>
            </w:pPr>
            <w:r>
              <w:rPr/>
              <w:t>Operating band</w:t>
            </w:r>
          </w:p>
        </w:tc>
        <w:tc>
          <w:tcPr>
            <w:tcW w:w="1705"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089" w:type="dxa"/>
            <w:tcBorders>
              <w:top w:val="single" w:sz="4" w:space="0" w:color="000000"/>
              <w:left w:val="single" w:sz="4" w:space="0" w:color="000000"/>
              <w:bottom w:val="single" w:sz="4" w:space="0" w:color="000000"/>
              <w:right w:val="single" w:sz="4" w:space="0" w:color="000000"/>
            </w:tcBorders>
          </w:tcPr>
          <w:p>
            <w:pPr>
              <w:pStyle w:val="TAH"/>
              <w:rPr/>
            </w:pPr>
            <w:r>
              <w:rPr/>
              <w:t>&lt;REFÎ</w:t>
            </w:r>
            <w:r>
              <w:rPr>
                <w:vertAlign w:val="subscript"/>
              </w:rPr>
              <w:t>or</w:t>
            </w:r>
            <w:r>
              <w:rPr/>
              <w:t>&gt;</w:t>
            </w:r>
          </w:p>
          <w:p>
            <w:pPr>
              <w:pStyle w:val="TAH"/>
              <w:rPr/>
            </w:pPr>
            <w:r>
              <w:rPr/>
              <w:t>Average</w:t>
            </w:r>
          </w:p>
        </w:tc>
      </w:tr>
      <w:tr>
        <w:trPr>
          <w:trHeight w:val="57" w:hRule="atLeast"/>
          <w:cantSplit w:val="true"/>
        </w:trPr>
        <w:tc>
          <w:tcPr>
            <w:tcW w:w="1896" w:type="dxa"/>
            <w:tcBorders>
              <w:top w:val="single" w:sz="4" w:space="0" w:color="000000"/>
              <w:left w:val="single" w:sz="4" w:space="0" w:color="000000"/>
              <w:bottom w:val="single" w:sz="4" w:space="0" w:color="000000"/>
              <w:right w:val="single" w:sz="4" w:space="0" w:color="000000"/>
            </w:tcBorders>
          </w:tcPr>
          <w:p>
            <w:pPr>
              <w:pStyle w:val="TAC"/>
              <w:rPr/>
            </w:pPr>
            <w:r>
              <w:rPr/>
              <w:t>I</w:t>
            </w:r>
          </w:p>
        </w:tc>
        <w:tc>
          <w:tcPr>
            <w:tcW w:w="1705"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089" w:type="dxa"/>
            <w:tcBorders>
              <w:top w:val="single" w:sz="4" w:space="0" w:color="000000"/>
              <w:left w:val="single" w:sz="4" w:space="0" w:color="000000"/>
              <w:bottom w:val="single" w:sz="4" w:space="0" w:color="000000"/>
              <w:right w:val="single" w:sz="4" w:space="0" w:color="000000"/>
            </w:tcBorders>
          </w:tcPr>
          <w:p>
            <w:pPr>
              <w:pStyle w:val="TAC"/>
              <w:rPr/>
            </w:pPr>
            <w:r>
              <w:rPr/>
              <w:t>-108.75</w:t>
            </w:r>
          </w:p>
        </w:tc>
      </w:tr>
      <w:tr>
        <w:trPr>
          <w:trHeight w:val="57" w:hRule="atLeast"/>
          <w:cantSplit w:val="true"/>
        </w:trPr>
        <w:tc>
          <w:tcPr>
            <w:tcW w:w="1896" w:type="dxa"/>
            <w:tcBorders>
              <w:top w:val="single" w:sz="4" w:space="0" w:color="000000"/>
              <w:left w:val="single" w:sz="4" w:space="0" w:color="000000"/>
              <w:bottom w:val="single" w:sz="4" w:space="0" w:color="000000"/>
              <w:right w:val="single" w:sz="4" w:space="0" w:color="000000"/>
            </w:tcBorders>
          </w:tcPr>
          <w:p>
            <w:pPr>
              <w:pStyle w:val="TAC"/>
              <w:rPr/>
            </w:pPr>
            <w:r>
              <w:rPr/>
              <w:t>II</w:t>
            </w:r>
          </w:p>
        </w:tc>
        <w:tc>
          <w:tcPr>
            <w:tcW w:w="1705"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089"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896" w:type="dxa"/>
            <w:tcBorders>
              <w:top w:val="single" w:sz="4" w:space="0" w:color="000000"/>
              <w:left w:val="single" w:sz="4" w:space="0" w:color="000000"/>
              <w:bottom w:val="single" w:sz="4" w:space="0" w:color="000000"/>
              <w:right w:val="single" w:sz="4" w:space="0" w:color="000000"/>
            </w:tcBorders>
          </w:tcPr>
          <w:p>
            <w:pPr>
              <w:pStyle w:val="TAC"/>
              <w:rPr/>
            </w:pPr>
            <w:r>
              <w:rPr/>
              <w:t>III</w:t>
            </w:r>
          </w:p>
        </w:tc>
        <w:tc>
          <w:tcPr>
            <w:tcW w:w="1705"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089"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896" w:type="dxa"/>
            <w:tcBorders>
              <w:top w:val="single" w:sz="4" w:space="0" w:color="000000"/>
              <w:left w:val="single" w:sz="4" w:space="0" w:color="000000"/>
              <w:bottom w:val="single" w:sz="4" w:space="0" w:color="000000"/>
              <w:right w:val="single" w:sz="4" w:space="0" w:color="000000"/>
            </w:tcBorders>
          </w:tcPr>
          <w:p>
            <w:pPr>
              <w:pStyle w:val="TAC"/>
              <w:rPr/>
            </w:pPr>
            <w:r>
              <w:rPr/>
              <w:t>IV</w:t>
            </w:r>
          </w:p>
        </w:tc>
        <w:tc>
          <w:tcPr>
            <w:tcW w:w="1705"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089"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896" w:type="dxa"/>
            <w:tcBorders>
              <w:top w:val="single" w:sz="4" w:space="0" w:color="000000"/>
              <w:left w:val="single" w:sz="4" w:space="0" w:color="000000"/>
              <w:bottom w:val="single" w:sz="4" w:space="0" w:color="000000"/>
              <w:right w:val="single" w:sz="4" w:space="0" w:color="000000"/>
            </w:tcBorders>
          </w:tcPr>
          <w:p>
            <w:pPr>
              <w:pStyle w:val="TAC"/>
              <w:rPr/>
            </w:pPr>
            <w:r>
              <w:rPr/>
              <w:t>V</w:t>
            </w:r>
          </w:p>
        </w:tc>
        <w:tc>
          <w:tcPr>
            <w:tcW w:w="1705"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089" w:type="dxa"/>
            <w:tcBorders>
              <w:top w:val="single" w:sz="4" w:space="0" w:color="000000"/>
              <w:left w:val="single" w:sz="4" w:space="0" w:color="000000"/>
              <w:bottom w:val="single" w:sz="4" w:space="0" w:color="000000"/>
              <w:right w:val="single" w:sz="4" w:space="0" w:color="000000"/>
            </w:tcBorders>
          </w:tcPr>
          <w:p>
            <w:pPr>
              <w:pStyle w:val="TAC"/>
              <w:rPr/>
            </w:pPr>
            <w:r>
              <w:rPr/>
              <w:t>-106.0</w:t>
            </w:r>
          </w:p>
        </w:tc>
      </w:tr>
      <w:tr>
        <w:trPr>
          <w:trHeight w:val="57" w:hRule="atLeast"/>
          <w:cantSplit w:val="true"/>
        </w:trPr>
        <w:tc>
          <w:tcPr>
            <w:tcW w:w="1896" w:type="dxa"/>
            <w:tcBorders>
              <w:top w:val="single" w:sz="4" w:space="0" w:color="000000"/>
              <w:left w:val="single" w:sz="4" w:space="0" w:color="000000"/>
              <w:bottom w:val="single" w:sz="4" w:space="0" w:color="000000"/>
              <w:right w:val="single" w:sz="4" w:space="0" w:color="000000"/>
            </w:tcBorders>
          </w:tcPr>
          <w:p>
            <w:pPr>
              <w:pStyle w:val="TAC"/>
              <w:rPr/>
            </w:pPr>
            <w:r>
              <w:rPr/>
              <w:t>VI</w:t>
            </w:r>
          </w:p>
        </w:tc>
        <w:tc>
          <w:tcPr>
            <w:tcW w:w="1705"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089"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896" w:type="dxa"/>
            <w:tcBorders>
              <w:top w:val="single" w:sz="4" w:space="0" w:color="000000"/>
              <w:left w:val="single" w:sz="4" w:space="0" w:color="000000"/>
              <w:bottom w:val="single" w:sz="4" w:space="0" w:color="000000"/>
              <w:right w:val="single" w:sz="4" w:space="0" w:color="000000"/>
            </w:tcBorders>
          </w:tcPr>
          <w:p>
            <w:pPr>
              <w:pStyle w:val="TAC"/>
              <w:rPr/>
            </w:pPr>
            <w:r>
              <w:rPr/>
              <w:t>VII</w:t>
            </w:r>
          </w:p>
        </w:tc>
        <w:tc>
          <w:tcPr>
            <w:tcW w:w="1705"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089"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57" w:hRule="atLeast"/>
          <w:cantSplit w:val="true"/>
        </w:trPr>
        <w:tc>
          <w:tcPr>
            <w:tcW w:w="1896" w:type="dxa"/>
            <w:tcBorders>
              <w:top w:val="single" w:sz="4" w:space="0" w:color="000000"/>
              <w:left w:val="single" w:sz="4" w:space="0" w:color="000000"/>
              <w:bottom w:val="single" w:sz="4" w:space="0" w:color="000000"/>
              <w:right w:val="single" w:sz="4" w:space="0" w:color="000000"/>
            </w:tcBorders>
          </w:tcPr>
          <w:p>
            <w:pPr>
              <w:pStyle w:val="TAC"/>
              <w:rPr/>
            </w:pPr>
            <w:r>
              <w:rPr/>
              <w:t>VIII</w:t>
            </w:r>
          </w:p>
        </w:tc>
        <w:tc>
          <w:tcPr>
            <w:tcW w:w="1705"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089"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105" w:hRule="atLeast"/>
          <w:cantSplit w:val="true"/>
        </w:trPr>
        <w:tc>
          <w:tcPr>
            <w:tcW w:w="1896" w:type="dxa"/>
            <w:tcBorders>
              <w:top w:val="single" w:sz="4" w:space="0" w:color="000000"/>
              <w:left w:val="single" w:sz="4" w:space="0" w:color="000000"/>
              <w:bottom w:val="single" w:sz="4" w:space="0" w:color="000000"/>
              <w:right w:val="single" w:sz="4" w:space="0" w:color="000000"/>
            </w:tcBorders>
          </w:tcPr>
          <w:p>
            <w:pPr>
              <w:pStyle w:val="TAC"/>
              <w:rPr/>
            </w:pPr>
            <w:r>
              <w:rPr/>
              <w:t>IX</w:t>
            </w:r>
          </w:p>
        </w:tc>
        <w:tc>
          <w:tcPr>
            <w:tcW w:w="1705" w:type="dxa"/>
            <w:tcBorders>
              <w:top w:val="single" w:sz="4" w:space="0" w:color="000000"/>
              <w:left w:val="single" w:sz="4" w:space="0" w:color="000000"/>
              <w:bottom w:val="single" w:sz="4" w:space="0" w:color="000000"/>
              <w:right w:val="single" w:sz="4" w:space="0" w:color="000000"/>
            </w:tcBorders>
          </w:tcPr>
          <w:p>
            <w:pPr>
              <w:pStyle w:val="TAC"/>
              <w:rPr/>
            </w:pPr>
            <w:r>
              <w:rPr/>
              <w:t>dBm/3.84 MHz</w:t>
            </w:r>
          </w:p>
        </w:tc>
        <w:tc>
          <w:tcPr>
            <w:tcW w:w="1089"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trHeight w:val="105" w:hRule="atLeast"/>
          <w:cantSplit w:val="true"/>
        </w:trPr>
        <w:tc>
          <w:tcPr>
            <w:tcW w:w="189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XIX</w:t>
            </w:r>
          </w:p>
        </w:tc>
        <w:tc>
          <w:tcPr>
            <w:tcW w:w="170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dBm/3.84 MHz</w:t>
            </w:r>
          </w:p>
        </w:tc>
        <w:tc>
          <w:tcPr>
            <w:tcW w:w="108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-106.0</w:t>
            </w:r>
          </w:p>
        </w:tc>
      </w:tr>
      <w:tr>
        <w:trPr>
          <w:trHeight w:val="105" w:hRule="atLeast"/>
          <w:cantSplit w:val="true"/>
        </w:trPr>
        <w:tc>
          <w:tcPr>
            <w:tcW w:w="469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Applicable for tablet devices with two antennas.</w:t>
            </w:r>
          </w:p>
        </w:tc>
      </w:tr>
    </w:tbl>
    <w:p>
      <w:pPr>
        <w:pStyle w:val="Normal"/>
        <w:rPr/>
      </w:pPr>
      <w:r>
        <w:rPr/>
      </w:r>
    </w:p>
    <w:p>
      <w:pPr>
        <w:pStyle w:val="Heading3"/>
        <w:rPr/>
      </w:pPr>
      <w:bookmarkStart w:id="607" w:name="__RefHeading___Toc68601500"/>
      <w:bookmarkEnd w:id="607"/>
      <w:r>
        <w:rPr>
          <w:szCs w:val="28"/>
        </w:rPr>
        <w:t>K.3.2</w:t>
        <w:tab/>
        <w:t>UTRA LCR TDD</w:t>
      </w:r>
    </w:p>
    <w:p>
      <w:pPr>
        <w:pStyle w:val="TH"/>
        <w:rPr/>
      </w:pPr>
      <w:r>
        <w:rPr/>
        <w:t>Table K.</w:t>
      </w:r>
      <w:r>
        <w:rPr>
          <w:lang w:eastAsia="zh-CN"/>
        </w:rPr>
        <w:t>3.2-1</w:t>
      </w:r>
      <w:r>
        <w:rPr/>
        <w:t>: Notebook TRS recommended performance for UTRA LCR TDD in the data transfer position</w:t>
      </w:r>
    </w:p>
    <w:tbl>
      <w:tblPr>
        <w:tblW w:w="4939" w:type="dxa"/>
        <w:jc w:val="center"/>
        <w:tblInd w:w="0" w:type="dxa"/>
        <w:tblLayout w:type="fixed"/>
        <w:tblCellMar>
          <w:top w:w="0" w:type="dxa"/>
          <w:left w:w="108" w:type="dxa"/>
          <w:bottom w:w="0" w:type="dxa"/>
          <w:right w:w="108" w:type="dxa"/>
        </w:tblCellMar>
      </w:tblPr>
      <w:tblGrid>
        <w:gridCol w:w="1924"/>
        <w:gridCol w:w="1750"/>
        <w:gridCol w:w="1265"/>
      </w:tblGrid>
      <w:tr>
        <w:trPr>
          <w:trHeight w:val="439" w:hRule="atLeast"/>
        </w:trPr>
        <w:tc>
          <w:tcPr>
            <w:tcW w:w="1924" w:type="dxa"/>
            <w:tcBorders>
              <w:top w:val="single" w:sz="4" w:space="0" w:color="000000"/>
              <w:left w:val="single" w:sz="4" w:space="0" w:color="000000"/>
              <w:right w:val="single" w:sz="4" w:space="0" w:color="000000"/>
            </w:tcBorders>
          </w:tcPr>
          <w:p>
            <w:pPr>
              <w:pStyle w:val="TAH"/>
              <w:rPr/>
            </w:pPr>
            <w:r>
              <w:rPr/>
              <w:t>Operating band</w:t>
            </w:r>
          </w:p>
        </w:tc>
        <w:tc>
          <w:tcPr>
            <w:tcW w:w="1750" w:type="dxa"/>
            <w:tcBorders>
              <w:top w:val="single" w:sz="4" w:space="0" w:color="000000"/>
              <w:left w:val="single" w:sz="4" w:space="0" w:color="000000"/>
              <w:right w:val="single" w:sz="4" w:space="0" w:color="000000"/>
            </w:tcBorders>
          </w:tcPr>
          <w:p>
            <w:pPr>
              <w:pStyle w:val="TAH"/>
              <w:rPr/>
            </w:pPr>
            <w:r>
              <w:rPr/>
              <w:t>Unit</w:t>
            </w:r>
          </w:p>
        </w:tc>
        <w:tc>
          <w:tcPr>
            <w:tcW w:w="1265" w:type="dxa"/>
            <w:tcBorders>
              <w:top w:val="single" w:sz="4" w:space="0" w:color="000000"/>
              <w:left w:val="single" w:sz="4" w:space="0" w:color="000000"/>
              <w:right w:val="single" w:sz="4" w:space="0" w:color="000000"/>
            </w:tcBorders>
          </w:tcPr>
          <w:p>
            <w:pPr>
              <w:pStyle w:val="TAH"/>
              <w:rPr/>
            </w:pPr>
            <w:r>
              <w:rPr/>
              <w:t>&lt;REFÎor&gt;</w:t>
            </w:r>
          </w:p>
          <w:p>
            <w:pPr>
              <w:pStyle w:val="TAH"/>
              <w:rPr/>
            </w:pPr>
            <w:r>
              <w:rPr/>
              <w:t>Average</w:t>
            </w:r>
          </w:p>
        </w:tc>
      </w:tr>
      <w:tr>
        <w:trPr>
          <w:trHeight w:val="218" w:hRule="atLeast"/>
        </w:trPr>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pPr>
            <w:r>
              <w:rPr/>
              <w:t>a</w:t>
            </w:r>
          </w:p>
        </w:tc>
        <w:tc>
          <w:tcPr>
            <w:tcW w:w="1750"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dBm/1.28 MHz </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r>
      <w:tr>
        <w:trPr>
          <w:trHeight w:val="218" w:hRule="atLeast"/>
        </w:trPr>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pPr>
            <w:r>
              <w:rPr/>
              <w:t>b</w:t>
            </w:r>
          </w:p>
        </w:tc>
        <w:tc>
          <w:tcPr>
            <w:tcW w:w="1750" w:type="dxa"/>
            <w:tcBorders>
              <w:top w:val="single" w:sz="4" w:space="0" w:color="000000"/>
              <w:left w:val="single" w:sz="4" w:space="0" w:color="000000"/>
              <w:bottom w:val="single" w:sz="4" w:space="0" w:color="000000"/>
              <w:right w:val="single" w:sz="4" w:space="0" w:color="000000"/>
            </w:tcBorders>
            <w:vAlign w:val="center"/>
          </w:tcPr>
          <w:p>
            <w:pPr>
              <w:pStyle w:val="TAC"/>
              <w:rPr/>
            </w:pPr>
            <w:r>
              <w:rPr/>
              <w:t>dBm/1.28 MHz</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r>
      <w:tr>
        <w:trPr>
          <w:trHeight w:val="218" w:hRule="atLeast"/>
        </w:trPr>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pPr>
            <w:r>
              <w:rPr/>
              <w:t>c</w:t>
            </w:r>
          </w:p>
        </w:tc>
        <w:tc>
          <w:tcPr>
            <w:tcW w:w="1750" w:type="dxa"/>
            <w:tcBorders>
              <w:top w:val="single" w:sz="4" w:space="0" w:color="000000"/>
              <w:left w:val="single" w:sz="4" w:space="0" w:color="000000"/>
              <w:bottom w:val="single" w:sz="4" w:space="0" w:color="000000"/>
              <w:right w:val="single" w:sz="4" w:space="0" w:color="000000"/>
            </w:tcBorders>
            <w:vAlign w:val="center"/>
          </w:tcPr>
          <w:p>
            <w:pPr>
              <w:pStyle w:val="TAC"/>
              <w:rPr/>
            </w:pPr>
            <w:r>
              <w:rPr/>
              <w:t>dBm/1.28 MHz</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r>
      <w:tr>
        <w:trPr>
          <w:trHeight w:val="218" w:hRule="atLeast"/>
        </w:trPr>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pPr>
            <w:r>
              <w:rPr/>
              <w:t>d</w:t>
            </w:r>
          </w:p>
        </w:tc>
        <w:tc>
          <w:tcPr>
            <w:tcW w:w="1750" w:type="dxa"/>
            <w:tcBorders>
              <w:top w:val="single" w:sz="4" w:space="0" w:color="000000"/>
              <w:left w:val="single" w:sz="4" w:space="0" w:color="000000"/>
              <w:bottom w:val="single" w:sz="4" w:space="0" w:color="000000"/>
              <w:right w:val="single" w:sz="4" w:space="0" w:color="000000"/>
            </w:tcBorders>
            <w:vAlign w:val="center"/>
          </w:tcPr>
          <w:p>
            <w:pPr>
              <w:pStyle w:val="TAC"/>
              <w:rPr/>
            </w:pPr>
            <w:r>
              <w:rPr/>
              <w:t>dBm/1.28 MHz</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r>
      <w:tr>
        <w:trPr>
          <w:trHeight w:val="218" w:hRule="atLeast"/>
        </w:trPr>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pPr>
            <w:r>
              <w:rPr/>
              <w:t>e</w:t>
            </w:r>
          </w:p>
        </w:tc>
        <w:tc>
          <w:tcPr>
            <w:tcW w:w="1750" w:type="dxa"/>
            <w:tcBorders>
              <w:top w:val="single" w:sz="4" w:space="0" w:color="000000"/>
              <w:left w:val="single" w:sz="4" w:space="0" w:color="000000"/>
              <w:bottom w:val="single" w:sz="4" w:space="0" w:color="000000"/>
              <w:right w:val="single" w:sz="4" w:space="0" w:color="000000"/>
            </w:tcBorders>
            <w:vAlign w:val="center"/>
          </w:tcPr>
          <w:p>
            <w:pPr>
              <w:pStyle w:val="TAC"/>
              <w:rPr/>
            </w:pPr>
            <w:r>
              <w:rPr/>
              <w:t>dBm/1.28 MHz</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r>
      <w:tr>
        <w:trPr>
          <w:trHeight w:val="218" w:hRule="atLeast"/>
        </w:trPr>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pPr>
            <w:r>
              <w:rPr/>
              <w:t>f</w:t>
            </w:r>
          </w:p>
        </w:tc>
        <w:tc>
          <w:tcPr>
            <w:tcW w:w="1750" w:type="dxa"/>
            <w:tcBorders>
              <w:top w:val="single" w:sz="4" w:space="0" w:color="000000"/>
              <w:left w:val="single" w:sz="4" w:space="0" w:color="000000"/>
              <w:bottom w:val="single" w:sz="4" w:space="0" w:color="000000"/>
              <w:right w:val="single" w:sz="4" w:space="0" w:color="000000"/>
            </w:tcBorders>
            <w:vAlign w:val="center"/>
          </w:tcPr>
          <w:p>
            <w:pPr>
              <w:pStyle w:val="TAC"/>
              <w:rPr/>
            </w:pPr>
            <w:r>
              <w:rPr/>
              <w:t>dBm/1.28 MHz</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r>
      <w:tr>
        <w:trPr>
          <w:trHeight w:val="220" w:hRule="atLeast"/>
        </w:trPr>
        <w:tc>
          <w:tcPr>
            <w:tcW w:w="4939" w:type="dxa"/>
            <w:gridSpan w:val="3"/>
            <w:tcBorders>
              <w:left w:val="single" w:sz="4" w:space="0" w:color="000000"/>
              <w:bottom w:val="single" w:sz="4" w:space="0" w:color="000000"/>
              <w:right w:val="single" w:sz="4" w:space="0" w:color="000000"/>
            </w:tcBorders>
            <w:vAlign w:val="center"/>
          </w:tcPr>
          <w:p>
            <w:pPr>
              <w:pStyle w:val="TAN"/>
              <w:rPr/>
            </w:pPr>
            <w:r>
              <w:rPr/>
              <w:t>NOTE 1:</w:t>
              <w:tab/>
              <w:t>Applicable for dual-mode GSM/UTRA LCR TDD.</w:t>
            </w:r>
          </w:p>
          <w:p>
            <w:pPr>
              <w:pStyle w:val="TAN"/>
              <w:rPr/>
            </w:pPr>
            <w:r>
              <w:rPr/>
              <w:t>NOTE 2:</w:t>
              <w:tab/>
              <w:t>Applicable for notebook devices.</w:t>
            </w:r>
          </w:p>
        </w:tc>
      </w:tr>
    </w:tbl>
    <w:p>
      <w:pPr>
        <w:pStyle w:val="Normal"/>
        <w:rPr/>
      </w:pPr>
      <w:r>
        <w:rPr/>
      </w:r>
    </w:p>
    <w:p>
      <w:pPr>
        <w:pStyle w:val="TH"/>
        <w:rPr/>
      </w:pPr>
      <w:r>
        <w:rPr/>
        <w:t>Table K.</w:t>
      </w:r>
      <w:r>
        <w:rPr>
          <w:lang w:eastAsia="zh-CN"/>
        </w:rPr>
        <w:t>3.2-2</w:t>
      </w:r>
      <w:r>
        <w:rPr/>
        <w:t>: Tablet TRS recommended performance for UTRA LCR TDD in the data transfer position</w:t>
      </w:r>
    </w:p>
    <w:tbl>
      <w:tblPr>
        <w:tblW w:w="4939" w:type="dxa"/>
        <w:jc w:val="center"/>
        <w:tblInd w:w="0" w:type="dxa"/>
        <w:tblLayout w:type="fixed"/>
        <w:tblCellMar>
          <w:top w:w="0" w:type="dxa"/>
          <w:left w:w="108" w:type="dxa"/>
          <w:bottom w:w="0" w:type="dxa"/>
          <w:right w:w="108" w:type="dxa"/>
        </w:tblCellMar>
      </w:tblPr>
      <w:tblGrid>
        <w:gridCol w:w="1924"/>
        <w:gridCol w:w="1750"/>
        <w:gridCol w:w="1265"/>
      </w:tblGrid>
      <w:tr>
        <w:trPr>
          <w:trHeight w:val="439" w:hRule="atLeast"/>
        </w:trPr>
        <w:tc>
          <w:tcPr>
            <w:tcW w:w="1924" w:type="dxa"/>
            <w:tcBorders>
              <w:top w:val="single" w:sz="4" w:space="0" w:color="000000"/>
              <w:left w:val="single" w:sz="4" w:space="0" w:color="000000"/>
              <w:right w:val="single" w:sz="4" w:space="0" w:color="000000"/>
            </w:tcBorders>
          </w:tcPr>
          <w:p>
            <w:pPr>
              <w:pStyle w:val="TAH"/>
              <w:rPr/>
            </w:pPr>
            <w:r>
              <w:rPr/>
              <w:t xml:space="preserve">Operating band </w:t>
            </w:r>
          </w:p>
        </w:tc>
        <w:tc>
          <w:tcPr>
            <w:tcW w:w="1750" w:type="dxa"/>
            <w:tcBorders>
              <w:top w:val="single" w:sz="4" w:space="0" w:color="000000"/>
              <w:left w:val="single" w:sz="4" w:space="0" w:color="000000"/>
              <w:right w:val="single" w:sz="4" w:space="0" w:color="000000"/>
            </w:tcBorders>
          </w:tcPr>
          <w:p>
            <w:pPr>
              <w:pStyle w:val="TAH"/>
              <w:rPr/>
            </w:pPr>
            <w:r>
              <w:rPr/>
              <w:t xml:space="preserve">Unit </w:t>
            </w:r>
          </w:p>
        </w:tc>
        <w:tc>
          <w:tcPr>
            <w:tcW w:w="1265" w:type="dxa"/>
            <w:tcBorders>
              <w:top w:val="single" w:sz="4" w:space="0" w:color="000000"/>
              <w:left w:val="single" w:sz="4" w:space="0" w:color="000000"/>
              <w:right w:val="single" w:sz="4" w:space="0" w:color="000000"/>
            </w:tcBorders>
          </w:tcPr>
          <w:p>
            <w:pPr>
              <w:pStyle w:val="TAH"/>
              <w:rPr/>
            </w:pPr>
            <w:r>
              <w:rPr/>
              <w:t xml:space="preserve">&lt;REFÎor&gt; </w:t>
            </w:r>
          </w:p>
          <w:p>
            <w:pPr>
              <w:pStyle w:val="TAH"/>
              <w:rPr/>
            </w:pPr>
            <w:r>
              <w:rPr/>
              <w:t xml:space="preserve">Average </w:t>
            </w:r>
          </w:p>
        </w:tc>
      </w:tr>
      <w:tr>
        <w:trPr>
          <w:trHeight w:val="218" w:hRule="atLeast"/>
        </w:trPr>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pPr>
            <w:r>
              <w:rPr/>
              <w:t>a</w:t>
            </w:r>
          </w:p>
        </w:tc>
        <w:tc>
          <w:tcPr>
            <w:tcW w:w="1750"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dBm/1.28 MHz </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r>
      <w:tr>
        <w:trPr>
          <w:trHeight w:val="218" w:hRule="atLeast"/>
        </w:trPr>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pPr>
            <w:r>
              <w:rPr/>
              <w:t>b</w:t>
            </w:r>
          </w:p>
        </w:tc>
        <w:tc>
          <w:tcPr>
            <w:tcW w:w="1750" w:type="dxa"/>
            <w:tcBorders>
              <w:top w:val="single" w:sz="4" w:space="0" w:color="000000"/>
              <w:left w:val="single" w:sz="4" w:space="0" w:color="000000"/>
              <w:bottom w:val="single" w:sz="4" w:space="0" w:color="000000"/>
              <w:right w:val="single" w:sz="4" w:space="0" w:color="000000"/>
            </w:tcBorders>
            <w:vAlign w:val="center"/>
          </w:tcPr>
          <w:p>
            <w:pPr>
              <w:pStyle w:val="TAC"/>
              <w:rPr/>
            </w:pPr>
            <w:r>
              <w:rPr/>
              <w:t>dBm/1.28 MHz</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r>
      <w:tr>
        <w:trPr>
          <w:trHeight w:val="218" w:hRule="atLeast"/>
        </w:trPr>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pPr>
            <w:r>
              <w:rPr/>
              <w:t>c</w:t>
            </w:r>
          </w:p>
        </w:tc>
        <w:tc>
          <w:tcPr>
            <w:tcW w:w="1750" w:type="dxa"/>
            <w:tcBorders>
              <w:top w:val="single" w:sz="4" w:space="0" w:color="000000"/>
              <w:left w:val="single" w:sz="4" w:space="0" w:color="000000"/>
              <w:bottom w:val="single" w:sz="4" w:space="0" w:color="000000"/>
              <w:right w:val="single" w:sz="4" w:space="0" w:color="000000"/>
            </w:tcBorders>
            <w:vAlign w:val="center"/>
          </w:tcPr>
          <w:p>
            <w:pPr>
              <w:pStyle w:val="TAC"/>
              <w:rPr/>
            </w:pPr>
            <w:r>
              <w:rPr/>
              <w:t>dBm/1.28 MHz</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r>
      <w:tr>
        <w:trPr>
          <w:trHeight w:val="218" w:hRule="atLeast"/>
        </w:trPr>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pPr>
            <w:r>
              <w:rPr/>
              <w:t>d</w:t>
            </w:r>
          </w:p>
        </w:tc>
        <w:tc>
          <w:tcPr>
            <w:tcW w:w="1750" w:type="dxa"/>
            <w:tcBorders>
              <w:top w:val="single" w:sz="4" w:space="0" w:color="000000"/>
              <w:left w:val="single" w:sz="4" w:space="0" w:color="000000"/>
              <w:bottom w:val="single" w:sz="4" w:space="0" w:color="000000"/>
              <w:right w:val="single" w:sz="4" w:space="0" w:color="000000"/>
            </w:tcBorders>
            <w:vAlign w:val="center"/>
          </w:tcPr>
          <w:p>
            <w:pPr>
              <w:pStyle w:val="TAC"/>
              <w:rPr/>
            </w:pPr>
            <w:r>
              <w:rPr/>
              <w:t>dBm/1.28 MHz</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r>
      <w:tr>
        <w:trPr>
          <w:trHeight w:val="218" w:hRule="atLeast"/>
        </w:trPr>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pPr>
            <w:r>
              <w:rPr/>
              <w:t>e</w:t>
            </w:r>
          </w:p>
        </w:tc>
        <w:tc>
          <w:tcPr>
            <w:tcW w:w="1750" w:type="dxa"/>
            <w:tcBorders>
              <w:top w:val="single" w:sz="4" w:space="0" w:color="000000"/>
              <w:left w:val="single" w:sz="4" w:space="0" w:color="000000"/>
              <w:bottom w:val="single" w:sz="4" w:space="0" w:color="000000"/>
              <w:right w:val="single" w:sz="4" w:space="0" w:color="000000"/>
            </w:tcBorders>
            <w:vAlign w:val="center"/>
          </w:tcPr>
          <w:p>
            <w:pPr>
              <w:pStyle w:val="TAC"/>
              <w:rPr/>
            </w:pPr>
            <w:r>
              <w:rPr/>
              <w:t>dBm/1.28 MHz</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r>
      <w:tr>
        <w:trPr>
          <w:trHeight w:val="218" w:hRule="atLeast"/>
        </w:trPr>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pPr>
            <w:r>
              <w:rPr/>
              <w:t>f</w:t>
            </w:r>
          </w:p>
        </w:tc>
        <w:tc>
          <w:tcPr>
            <w:tcW w:w="1750" w:type="dxa"/>
            <w:tcBorders>
              <w:top w:val="single" w:sz="4" w:space="0" w:color="000000"/>
              <w:left w:val="single" w:sz="4" w:space="0" w:color="000000"/>
              <w:bottom w:val="single" w:sz="4" w:space="0" w:color="000000"/>
              <w:right w:val="single" w:sz="4" w:space="0" w:color="000000"/>
            </w:tcBorders>
            <w:vAlign w:val="center"/>
          </w:tcPr>
          <w:p>
            <w:pPr>
              <w:pStyle w:val="TAC"/>
              <w:rPr/>
            </w:pPr>
            <w:r>
              <w:rPr/>
              <w:t>dBm/1.28 MHz</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TBD</w:t>
            </w:r>
          </w:p>
        </w:tc>
      </w:tr>
      <w:tr>
        <w:trPr>
          <w:trHeight w:val="220" w:hRule="atLeast"/>
        </w:trPr>
        <w:tc>
          <w:tcPr>
            <w:tcW w:w="4939" w:type="dxa"/>
            <w:gridSpan w:val="3"/>
            <w:tcBorders>
              <w:left w:val="single" w:sz="4" w:space="0" w:color="000000"/>
              <w:bottom w:val="single" w:sz="4" w:space="0" w:color="000000"/>
              <w:right w:val="single" w:sz="4" w:space="0" w:color="000000"/>
            </w:tcBorders>
            <w:vAlign w:val="center"/>
          </w:tcPr>
          <w:p>
            <w:pPr>
              <w:pStyle w:val="TAN"/>
              <w:rPr/>
            </w:pPr>
            <w:r>
              <w:rPr/>
              <w:t>NOTE 1:</w:t>
              <w:tab/>
              <w:t xml:space="preserve">Applicable for dual-mode GSM/UTRA LCR TDD. </w:t>
            </w:r>
          </w:p>
          <w:p>
            <w:pPr>
              <w:pStyle w:val="TAN"/>
              <w:rPr/>
            </w:pPr>
            <w:r>
              <w:rPr/>
              <w:t xml:space="preserve">NOTE 2: </w:t>
              <w:tab/>
              <w:t>Applicable for tablet devices.</w:t>
            </w:r>
          </w:p>
        </w:tc>
      </w:tr>
    </w:tbl>
    <w:p>
      <w:pPr>
        <w:pStyle w:val="Normal"/>
        <w:rPr/>
      </w:pPr>
      <w:r>
        <w:rPr/>
      </w:r>
    </w:p>
    <w:p>
      <w:pPr>
        <w:pStyle w:val="Heading3"/>
        <w:rPr>
          <w:szCs w:val="28"/>
        </w:rPr>
      </w:pPr>
      <w:bookmarkStart w:id="608" w:name="__RefHeading___Toc68601501"/>
      <w:bookmarkEnd w:id="608"/>
      <w:r>
        <w:rPr>
          <w:szCs w:val="28"/>
        </w:rPr>
        <w:t>K.3.3</w:t>
        <w:tab/>
        <w:t>E-UTRA FDD</w:t>
      </w:r>
    </w:p>
    <w:p>
      <w:pPr>
        <w:pStyle w:val="Normal"/>
        <w:rPr/>
      </w:pPr>
      <w:r>
        <w:rPr/>
        <w:t>[Table K.3.3-1 and K.3.3-2 TBD]</w:t>
      </w:r>
    </w:p>
    <w:p>
      <w:pPr>
        <w:pStyle w:val="Heading3"/>
        <w:rPr/>
      </w:pPr>
      <w:bookmarkStart w:id="609" w:name="__RefHeading___Toc68601502"/>
      <w:bookmarkEnd w:id="609"/>
      <w:r>
        <w:rPr/>
        <w:t>K.3.4</w:t>
        <w:tab/>
        <w:t>E-UTRA TDD</w:t>
      </w:r>
    </w:p>
    <w:p>
      <w:pPr>
        <w:pStyle w:val="Normal"/>
        <w:rPr/>
      </w:pPr>
      <w:r>
        <w:rPr/>
        <w:t>[Table K.3.4-1 and K.3.4-2 TBD]</w:t>
      </w:r>
      <w:r>
        <w:br w:type="page"/>
      </w:r>
    </w:p>
    <w:p>
      <w:pPr>
        <w:pStyle w:val="Heading8"/>
        <w:ind w:left="0" w:hanging="0"/>
        <w:rPr/>
      </w:pPr>
      <w:bookmarkStart w:id="610" w:name="__RefHeading___Toc68601503"/>
      <w:bookmarkEnd w:id="610"/>
      <w:r>
        <w:rPr/>
        <w:t>Annex L (informative): Multi-Probe Anechoic Chamber Specification and Validation Method</w:t>
      </w:r>
    </w:p>
    <w:p>
      <w:pPr>
        <w:pStyle w:val="Heading2"/>
        <w:rPr/>
      </w:pPr>
      <w:bookmarkStart w:id="611" w:name="__RefHeading___Toc68601504"/>
      <w:bookmarkEnd w:id="611"/>
      <w:r>
        <w:rPr/>
        <w:t>L.1</w:t>
        <w:tab/>
        <w:t>Multi-probe anechoic chamber specifications</w:t>
      </w:r>
    </w:p>
    <w:p>
      <w:pPr>
        <w:pStyle w:val="Normal"/>
        <w:rPr/>
      </w:pPr>
      <w:r>
        <w:rPr/>
        <w:t>The Multi-Probe Anechoic Chamber implementation is based on the full SCME implementation described in TR 37.977 [29] clause 6.3.1.1 and would be evaluated for shielding effectiveness in accordance with Annex G.1 and would follow the recommendations in Annex A.3.5.</w:t>
      </w:r>
    </w:p>
    <w:p>
      <w:pPr>
        <w:pStyle w:val="Heading2"/>
        <w:rPr/>
      </w:pPr>
      <w:bookmarkStart w:id="612" w:name="__RefHeading___Toc68601505"/>
      <w:bookmarkEnd w:id="612"/>
      <w:r>
        <w:rPr/>
        <w:t>L.2</w:t>
        <w:tab/>
        <w:t>Multi-probe anechoic chamber minimum distance between the DUT and the measurement antenna</w:t>
      </w:r>
    </w:p>
    <w:p>
      <w:pPr>
        <w:pStyle w:val="Normal"/>
        <w:rPr/>
      </w:pPr>
      <w:r>
        <w:rPr/>
        <w:t>The multi-probe anechoic chamber minimum distance between the DUT and the measurement antenna would follow the recommendations in Annex A.3.3.</w:t>
      </w:r>
    </w:p>
    <w:p>
      <w:pPr>
        <w:pStyle w:val="Heading2"/>
        <w:rPr/>
      </w:pPr>
      <w:bookmarkStart w:id="613" w:name="__RefHeading___Toc68601506"/>
      <w:bookmarkEnd w:id="613"/>
      <w:r>
        <w:rPr/>
        <w:t>L.3</w:t>
        <w:tab/>
        <w:t>Multi-probe anechoic chamber quiet zone reflectivity level validation</w:t>
      </w:r>
    </w:p>
    <w:p>
      <w:pPr>
        <w:pStyle w:val="Normal"/>
        <w:rPr/>
      </w:pPr>
      <w:r>
        <w:rPr/>
        <w:t>The multi-probe anechoic chamber quiet zone reflectivity level validation is performed in accordance with Annex G.2 and Annex G.3 and would follow the recommendations in Annex A.3.2 and Annex A.3.4.</w:t>
      </w:r>
    </w:p>
    <w:p>
      <w:pPr>
        <w:pStyle w:val="Heading2"/>
        <w:rPr/>
      </w:pPr>
      <w:bookmarkStart w:id="614" w:name="__RefHeading___Toc68601507"/>
      <w:bookmarkEnd w:id="614"/>
      <w:r>
        <w:rPr/>
        <w:t>L.4</w:t>
        <w:tab/>
        <w:t>Multi-probe anechoic chamber channel model verification</w:t>
      </w:r>
    </w:p>
    <w:p>
      <w:pPr>
        <w:pStyle w:val="Normal"/>
        <w:rPr/>
      </w:pPr>
      <w:r>
        <w:rPr/>
        <w:t>The multi-probe anechoic chamber channel model verification is performed in accordance with TR 37.977 [29] clause 8.3 for the channel model defined in clause 7.4.1.2 at the downlink centre frequency of the mid-channel defined in TS 36.508 [10] for the operating bands defined in clause 7.4.1.2. The results are expected to meet the recommended limits in TR 37.977 [29] clause 8.3.3.</w:t>
      </w:r>
      <w:r>
        <w:br w:type="page"/>
      </w:r>
    </w:p>
    <w:p>
      <w:pPr>
        <w:pStyle w:val="Heading8"/>
        <w:ind w:left="0" w:hanging="0"/>
        <w:rPr/>
      </w:pPr>
      <w:bookmarkStart w:id="615" w:name="__RefHeading___Toc68601508"/>
      <w:bookmarkEnd w:id="615"/>
      <w:r>
        <w:rPr/>
        <w:t>Annex M (normative): Channel Model emulation of the Base Station antenna pattern configuration for Radiated Performance of Multiple-antenna Receivers</w:t>
      </w:r>
    </w:p>
    <w:p>
      <w:pPr>
        <w:pStyle w:val="Heading1"/>
        <w:ind w:left="1134" w:hanging="1134"/>
        <w:rPr/>
      </w:pPr>
      <w:bookmarkStart w:id="616" w:name="__RefHeading___Toc68601509"/>
      <w:r>
        <w:rPr/>
        <w:t>M.1</w:t>
        <w:tab/>
        <w:t>Channel Model(s)</w:t>
      </w:r>
      <w:bookmarkEnd w:id="616"/>
      <w:r>
        <w:rPr/>
        <w:t xml:space="preserve"> </w:t>
      </w:r>
    </w:p>
    <w:p>
      <w:pPr>
        <w:pStyle w:val="Normal"/>
        <w:rPr/>
      </w:pPr>
      <w:r>
        <w:rPr/>
        <w:t>The following channel models are used in evaluation of MIMO OTA methodologies.</w:t>
      </w:r>
    </w:p>
    <w:p>
      <w:pPr>
        <w:pStyle w:val="Normal"/>
        <w:rPr/>
      </w:pPr>
      <w:r>
        <w:rPr/>
        <w:t>The generic models are</w:t>
      </w:r>
    </w:p>
    <w:p>
      <w:pPr>
        <w:pStyle w:val="B1"/>
        <w:rPr/>
      </w:pPr>
      <w:r>
        <w:rPr/>
        <w:t>-</w:t>
        <w:tab/>
        <w:t>SCME Urban micro-cell, and</w:t>
      </w:r>
    </w:p>
    <w:p>
      <w:pPr>
        <w:pStyle w:val="Normal"/>
        <w:rPr/>
      </w:pPr>
      <w:r>
        <w:rPr/>
        <w:t>In addition, the BS antenna assumptions defined in Annex M.2 also apply when emulating the channel models.</w:t>
      </w:r>
    </w:p>
    <w:p>
      <w:pPr>
        <w:pStyle w:val="Normal"/>
        <w:rPr/>
      </w:pPr>
      <w:r>
        <w:rPr/>
        <w:t xml:space="preserve">In the following we define the cross polarization power ratio a propagation channel as </w:t>
      </w:r>
      <w:r>
        <w:rPr/>
      </w:r>
      <m:oMath xmlns:m="http://schemas.openxmlformats.org/officeDocument/2006/math">
        <m:r>
          <m:rPr>
            <m:lit/>
            <m:nor/>
          </m:rPr>
          <w:rPr>
            <w:rFonts w:ascii="Cambria Math" w:hAnsi="Cambria Math"/>
          </w:rPr>
          <m:t xml:space="preserve">XPR</m:t>
        </m:r>
        <m:r>
          <w:rPr>
            <w:rFonts w:ascii="Cambria Math" w:hAnsi="Cambria Math"/>
          </w:rPr>
          <m:t xml:space="preserve">=</m:t>
        </m:r>
        <m:sSub>
          <m:e>
            <m:r>
              <m:rPr>
                <m:lit/>
                <m:nor/>
              </m:rPr>
              <w:rPr>
                <w:rFonts w:ascii="Cambria Math" w:hAnsi="Cambria Math"/>
              </w:rPr>
              <m:t xml:space="preserve">XPR</m:t>
            </m:r>
          </m:e>
          <m:sub>
            <m:r>
              <w:rPr>
                <w:rFonts w:ascii="Cambria Math" w:hAnsi="Cambria Math"/>
              </w:rPr>
              <m:t xml:space="preserve">V</m:t>
            </m:r>
          </m:sub>
        </m:sSub>
        <m:r>
          <w:rPr>
            <w:rFonts w:ascii="Cambria Math" w:hAnsi="Cambria Math"/>
          </w:rPr>
          <m:t xml:space="preserve">=</m:t>
        </m:r>
        <m:sSub>
          <m:e>
            <m:r>
              <m:rPr>
                <m:lit/>
                <m:nor/>
              </m:rPr>
              <w:rPr>
                <w:rFonts w:ascii="Cambria Math" w:hAnsi="Cambria Math"/>
              </w:rPr>
              <m:t xml:space="preserve">XPR</m:t>
            </m:r>
          </m:e>
          <m:sub>
            <m:r>
              <w:rPr>
                <w:rFonts w:ascii="Cambria Math" w:hAnsi="Cambria Math"/>
              </w:rPr>
              <m:t xml:space="preserve">H</m:t>
            </m:r>
          </m:sub>
        </m:sSub>
      </m:oMath>
      <w:r>
        <w:rPr/>
        <w:t>, where</w:t>
      </w:r>
    </w:p>
    <w:p>
      <w:pPr>
        <w:pStyle w:val="EQ"/>
        <w:jc w:val="center"/>
        <w:rPr>
          <w:lang w:val="en-GB" w:eastAsia="en-GB"/>
        </w:rPr>
      </w:pPr>
      <w:r>
        <w:rPr>
          <w:lang w:val="en-GB" w:eastAsia="en-GB"/>
        </w:rPr>
      </w:r>
      <m:oMath xmlns:m="http://schemas.openxmlformats.org/officeDocument/2006/math">
        <m:sSub>
          <m:e>
            <m:r>
              <m:rPr>
                <m:lit/>
                <m:nor/>
              </m:rPr>
              <w:rPr>
                <w:rFonts w:ascii="Cambria Math" w:hAnsi="Cambria Math"/>
              </w:rPr>
              <m:t xml:space="preserve">XPR</m:t>
            </m:r>
          </m:e>
          <m:sub>
            <m:r>
              <w:rPr>
                <w:rFonts w:ascii="Cambria Math" w:hAnsi="Cambria Math"/>
              </w:rPr>
              <m:t xml:space="preserve">V</m:t>
            </m:r>
          </m:sub>
        </m:sSub>
        <m:r>
          <w:rPr>
            <w:rFonts w:ascii="Cambria Math" w:hAnsi="Cambria Math"/>
          </w:rPr>
          <m:t xml:space="preserve">=</m:t>
        </m:r>
        <m:f>
          <m:num>
            <m:sSub>
              <m:e>
                <m:r>
                  <w:rPr>
                    <w:rFonts w:ascii="Cambria Math" w:hAnsi="Cambria Math"/>
                  </w:rPr>
                  <m:t xml:space="preserve">S</m:t>
                </m:r>
              </m:e>
              <m:sub>
                <m:r>
                  <m:rPr>
                    <m:lit/>
                    <m:nor/>
                  </m:rPr>
                  <w:rPr>
                    <w:rFonts w:ascii="Cambria Math" w:hAnsi="Cambria Math"/>
                  </w:rPr>
                  <m:t xml:space="preserve">VV</m:t>
                </m:r>
              </m:sub>
            </m:sSub>
          </m:num>
          <m:den>
            <m:sSub>
              <m:e>
                <m:r>
                  <w:rPr>
                    <w:rFonts w:ascii="Cambria Math" w:hAnsi="Cambria Math"/>
                  </w:rPr>
                  <m:t xml:space="preserve">S</m:t>
                </m:r>
              </m:e>
              <m:sub>
                <m:r>
                  <m:rPr>
                    <m:lit/>
                    <m:nor/>
                  </m:rPr>
                  <w:rPr>
                    <w:rFonts w:ascii="Cambria Math" w:hAnsi="Cambria Math"/>
                  </w:rPr>
                  <m:t xml:space="preserve">HV</m:t>
                </m:r>
              </m:sub>
            </m:sSub>
          </m:den>
        </m:f>
      </m:oMath>
      <w:r>
        <w:rPr>
          <w:lang w:val="en-GB" w:eastAsia="en-GB"/>
        </w:rPr>
        <w:t xml:space="preserve"> </w:t>
      </w:r>
      <w:r>
        <w:rPr>
          <w:lang w:val="en-GB" w:eastAsia="en-GB"/>
        </w:rPr>
        <w:t xml:space="preserve">and </w:t>
      </w:r>
      <w:r>
        <w:rPr>
          <w:lang w:val="en-GB" w:eastAsia="en-GB"/>
        </w:rPr>
      </w:r>
      <m:oMath xmlns:m="http://schemas.openxmlformats.org/officeDocument/2006/math">
        <m:sSub>
          <m:e>
            <m:r>
              <m:rPr>
                <m:lit/>
                <m:nor/>
              </m:rPr>
              <w:rPr>
                <w:rFonts w:ascii="Cambria Math" w:hAnsi="Cambria Math"/>
              </w:rPr>
              <m:t xml:space="preserve">XPR</m:t>
            </m:r>
          </m:e>
          <m:sub>
            <m:r>
              <w:rPr>
                <w:rFonts w:ascii="Cambria Math" w:hAnsi="Cambria Math"/>
              </w:rPr>
              <m:t xml:space="preserve">H</m:t>
            </m:r>
          </m:sub>
        </m:sSub>
        <m:r>
          <w:rPr>
            <w:rFonts w:ascii="Cambria Math" w:hAnsi="Cambria Math"/>
          </w:rPr>
          <m:t xml:space="preserve">=</m:t>
        </m:r>
        <m:f>
          <m:num>
            <m:sSub>
              <m:e>
                <m:r>
                  <w:rPr>
                    <w:rFonts w:ascii="Cambria Math" w:hAnsi="Cambria Math"/>
                  </w:rPr>
                  <m:t xml:space="preserve">S</m:t>
                </m:r>
              </m:e>
              <m:sub>
                <m:r>
                  <m:rPr>
                    <m:lit/>
                    <m:nor/>
                  </m:rPr>
                  <w:rPr>
                    <w:rFonts w:ascii="Cambria Math" w:hAnsi="Cambria Math"/>
                  </w:rPr>
                  <m:t xml:space="preserve">HH</m:t>
                </m:r>
              </m:sub>
            </m:sSub>
          </m:num>
          <m:den>
            <m:sSub>
              <m:e>
                <m:r>
                  <w:rPr>
                    <w:rFonts w:ascii="Cambria Math" w:hAnsi="Cambria Math"/>
                  </w:rPr>
                  <m:t xml:space="preserve">S</m:t>
                </m:r>
              </m:e>
              <m:sub>
                <m:r>
                  <m:rPr>
                    <m:lit/>
                    <m:nor/>
                  </m:rPr>
                  <w:rPr>
                    <w:rFonts w:ascii="Cambria Math" w:hAnsi="Cambria Math"/>
                  </w:rPr>
                  <m:t xml:space="preserve">VH</m:t>
                </m:r>
              </m:sub>
            </m:sSub>
          </m:den>
        </m:f>
      </m:oMath>
    </w:p>
    <w:p>
      <w:pPr>
        <w:pStyle w:val="Normal"/>
        <w:rPr/>
      </w:pPr>
      <w:r>
        <w:rPr/>
        <w:t>and</w:t>
      </w:r>
    </w:p>
    <w:p>
      <w:pPr>
        <w:pStyle w:val="B1"/>
        <w:spacing w:before="0" w:after="0"/>
        <w:rPr/>
      </w:pPr>
      <w:r>
        <w:rPr/>
        <w:t>-</w:t>
        <w:tab/>
        <w:t>S</w:t>
      </w:r>
      <w:r>
        <w:rPr>
          <w:vertAlign w:val="subscript"/>
        </w:rPr>
        <w:t>VV</w:t>
      </w:r>
      <w:r>
        <w:rPr/>
        <w:t xml:space="preserve"> is the coefficient for scattered/reflected power on V-polarization and incident power on V-polarization;</w:t>
      </w:r>
    </w:p>
    <w:p>
      <w:pPr>
        <w:pStyle w:val="B1"/>
        <w:spacing w:before="0" w:after="0"/>
        <w:rPr/>
      </w:pPr>
      <w:r>
        <w:rPr/>
        <w:t>-</w:t>
        <w:tab/>
        <w:t>S</w:t>
      </w:r>
      <w:r>
        <w:rPr>
          <w:vertAlign w:val="subscript"/>
        </w:rPr>
        <w:t>VH</w:t>
      </w:r>
      <w:r>
        <w:rPr/>
        <w:t xml:space="preserve"> is the coefficient for scattered/reflected power on V-polarization and incident power on H-polarization;</w:t>
      </w:r>
    </w:p>
    <w:p>
      <w:pPr>
        <w:pStyle w:val="B1"/>
        <w:spacing w:before="0" w:after="0"/>
        <w:rPr/>
      </w:pPr>
      <w:r>
        <w:rPr/>
        <w:t>-</w:t>
        <w:tab/>
        <w:t>S</w:t>
      </w:r>
      <w:r>
        <w:rPr>
          <w:vertAlign w:val="subscript"/>
        </w:rPr>
        <w:t>HV</w:t>
      </w:r>
      <w:r>
        <w:rPr/>
        <w:t xml:space="preserve"> is the coefficient for scattered/reflected power on H-polarization and incident power on V-polarization;</w:t>
      </w:r>
    </w:p>
    <w:p>
      <w:pPr>
        <w:pStyle w:val="B1"/>
        <w:rPr/>
      </w:pPr>
      <w:r>
        <w:rPr/>
        <w:t>-</w:t>
        <w:tab/>
        <w:t>S</w:t>
      </w:r>
      <w:r>
        <w:rPr>
          <w:vertAlign w:val="subscript"/>
        </w:rPr>
        <w:t>HH</w:t>
      </w:r>
      <w:r>
        <w:rPr/>
        <w:t xml:space="preserve"> is the coefficient for scattered/reflected power on H-polarization and incident power on H-polarization.</w:t>
      </w:r>
    </w:p>
    <w:p>
      <w:pPr>
        <w:pStyle w:val="NO"/>
        <w:rPr/>
      </w:pPr>
      <w:r>
        <w:rPr/>
        <w:t>NOTE:</w:t>
        <w:tab/>
        <w:t>For Vertical only measurements, the powers per delay are used without regard to the specified XPR values.</w:t>
      </w:r>
    </w:p>
    <w:p>
      <w:pPr>
        <w:pStyle w:val="Normal"/>
        <w:rPr/>
      </w:pPr>
      <w:r>
        <w:rPr/>
        <w:t>The following SCME Urban Micro-cell is unchanged from the original SCME paper, with added XPR values, Direction of Travel, and Velocity.</w:t>
      </w:r>
    </w:p>
    <w:p>
      <w:pPr>
        <w:pStyle w:val="TH"/>
        <w:rPr/>
      </w:pPr>
      <w:r>
        <w:rPr/>
        <w:t>Table M.1-1: SCME urban micro-cell channel model</w:t>
      </w:r>
    </w:p>
    <w:tbl>
      <w:tblPr>
        <w:tblW w:w="7065" w:type="dxa"/>
        <w:jc w:val="center"/>
        <w:tblInd w:w="0" w:type="dxa"/>
        <w:tblLayout w:type="fixed"/>
        <w:tblCellMar>
          <w:top w:w="0" w:type="dxa"/>
          <w:left w:w="108" w:type="dxa"/>
          <w:bottom w:w="0" w:type="dxa"/>
          <w:right w:w="108" w:type="dxa"/>
        </w:tblCellMar>
      </w:tblPr>
      <w:tblGrid>
        <w:gridCol w:w="987"/>
        <w:gridCol w:w="517"/>
        <w:gridCol w:w="517"/>
        <w:gridCol w:w="517"/>
        <w:gridCol w:w="627"/>
        <w:gridCol w:w="627"/>
        <w:gridCol w:w="627"/>
        <w:gridCol w:w="829"/>
        <w:gridCol w:w="1817"/>
      </w:tblGrid>
      <w:tr>
        <w:trPr/>
        <w:tc>
          <w:tcPr>
            <w:tcW w:w="7065" w:type="dxa"/>
            <w:gridSpan w:val="9"/>
            <w:tcBorders>
              <w:top w:val="single" w:sz="4" w:space="0" w:color="000000"/>
              <w:left w:val="single" w:sz="4" w:space="0" w:color="000000"/>
              <w:bottom w:val="single" w:sz="4" w:space="0" w:color="000000"/>
              <w:right w:val="single" w:sz="4" w:space="0" w:color="000000"/>
            </w:tcBorders>
            <w:shd w:fill="E0E0E0" w:val="clear"/>
          </w:tcPr>
          <w:p>
            <w:pPr>
              <w:pStyle w:val="TAH"/>
              <w:rPr>
                <w:rFonts w:cs="Arial"/>
                <w:lang w:eastAsia="en-US"/>
              </w:rPr>
            </w:pPr>
            <w:r>
              <w:rPr>
                <w:rFonts w:cs="Arial"/>
                <w:lang w:eastAsia="en-US"/>
              </w:rPr>
              <w:t>SCME Urban micro-cell</w:t>
            </w:r>
          </w:p>
        </w:tc>
      </w:tr>
      <w:tr>
        <w:trPr/>
        <w:tc>
          <w:tcPr>
            <w:tcW w:w="987" w:type="dxa"/>
            <w:tcBorders>
              <w:top w:val="single" w:sz="4" w:space="0" w:color="000000"/>
              <w:left w:val="single" w:sz="4" w:space="0" w:color="000000"/>
              <w:bottom w:val="single" w:sz="4" w:space="0" w:color="000000"/>
              <w:right w:val="single" w:sz="4" w:space="0" w:color="000000"/>
            </w:tcBorders>
            <w:shd w:fill="E0E0E0" w:val="clear"/>
          </w:tcPr>
          <w:p>
            <w:pPr>
              <w:pStyle w:val="TAH"/>
              <w:rPr>
                <w:rFonts w:cs="Arial"/>
                <w:lang w:eastAsia="en-US"/>
              </w:rPr>
            </w:pPr>
            <w:r>
              <w:rPr>
                <w:rFonts w:cs="Arial"/>
                <w:lang w:eastAsia="en-US"/>
              </w:rPr>
              <w:t>Cluster #</w:t>
            </w:r>
          </w:p>
        </w:tc>
        <w:tc>
          <w:tcPr>
            <w:tcW w:w="1551" w:type="dxa"/>
            <w:gridSpan w:val="3"/>
            <w:tcBorders>
              <w:top w:val="single" w:sz="4" w:space="0" w:color="000000"/>
              <w:left w:val="single" w:sz="4" w:space="0" w:color="000000"/>
              <w:bottom w:val="single" w:sz="4" w:space="0" w:color="000000"/>
              <w:right w:val="single" w:sz="4" w:space="0" w:color="000000"/>
            </w:tcBorders>
            <w:shd w:fill="E0E0E0" w:val="clear"/>
          </w:tcPr>
          <w:p>
            <w:pPr>
              <w:pStyle w:val="TAH"/>
              <w:rPr>
                <w:rFonts w:cs="Arial"/>
                <w:lang w:eastAsia="en-US"/>
              </w:rPr>
            </w:pPr>
            <w:r>
              <w:rPr>
                <w:rFonts w:cs="Arial"/>
                <w:lang w:eastAsia="en-US"/>
              </w:rPr>
              <w:t>Delay [ns]</w:t>
            </w:r>
          </w:p>
        </w:tc>
        <w:tc>
          <w:tcPr>
            <w:tcW w:w="1881" w:type="dxa"/>
            <w:gridSpan w:val="3"/>
            <w:tcBorders>
              <w:top w:val="single" w:sz="4" w:space="0" w:color="000000"/>
              <w:left w:val="single" w:sz="4" w:space="0" w:color="000000"/>
              <w:bottom w:val="single" w:sz="4" w:space="0" w:color="000000"/>
              <w:right w:val="single" w:sz="4" w:space="0" w:color="000000"/>
            </w:tcBorders>
            <w:shd w:fill="E0E0E0" w:val="clear"/>
          </w:tcPr>
          <w:p>
            <w:pPr>
              <w:pStyle w:val="TAH"/>
              <w:rPr>
                <w:rFonts w:cs="Arial"/>
                <w:lang w:eastAsia="en-US"/>
              </w:rPr>
            </w:pPr>
            <w:r>
              <w:rPr>
                <w:rFonts w:cs="Arial"/>
                <w:lang w:eastAsia="en-US"/>
              </w:rPr>
              <w:t>Power [dB]</w:t>
            </w:r>
          </w:p>
        </w:tc>
        <w:tc>
          <w:tcPr>
            <w:tcW w:w="829"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rFonts w:cs="Arial"/>
                <w:lang w:eastAsia="en-US"/>
              </w:rPr>
              <w:t>AoD [</w:t>
            </w:r>
            <w:r>
              <w:rPr>
                <w:rFonts w:eastAsia="Symbol" w:cs="Symbol" w:ascii="Symbol" w:hAnsi="Symbol"/>
                <w:lang w:eastAsia="en-US"/>
              </w:rPr>
              <w:t></w:t>
            </w:r>
            <w:r>
              <w:rPr>
                <w:rFonts w:cs="Arial"/>
                <w:lang w:eastAsia="en-US"/>
              </w:rPr>
              <w:t>]</w:t>
            </w:r>
          </w:p>
        </w:tc>
        <w:tc>
          <w:tcPr>
            <w:tcW w:w="1817"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rFonts w:cs="Arial"/>
                <w:lang w:eastAsia="en-US"/>
              </w:rPr>
              <w:t>AoA [</w:t>
            </w:r>
            <w:r>
              <w:rPr>
                <w:rFonts w:eastAsia="Symbol" w:cs="Symbol" w:ascii="Symbol" w:hAnsi="Symbol"/>
                <w:lang w:eastAsia="en-US"/>
              </w:rPr>
              <w:t></w:t>
            </w:r>
            <w:r>
              <w:rPr>
                <w:rFonts w:cs="Arial"/>
                <w:lang w:eastAsia="en-US"/>
              </w:rPr>
              <w:t>]</w:t>
            </w:r>
          </w:p>
        </w:tc>
      </w:tr>
      <w:tr>
        <w:trPr/>
        <w:tc>
          <w:tcPr>
            <w:tcW w:w="987" w:type="dxa"/>
            <w:tcBorders>
              <w:top w:val="single" w:sz="4" w:space="0" w:color="000000"/>
              <w:left w:val="single" w:sz="4" w:space="0" w:color="000000"/>
              <w:bottom w:val="single" w:sz="4" w:space="0" w:color="000000"/>
              <w:right w:val="single" w:sz="4" w:space="0" w:color="000000"/>
            </w:tcBorders>
          </w:tcPr>
          <w:p>
            <w:pPr>
              <w:pStyle w:val="TAL1"/>
              <w:rPr>
                <w:rFonts w:cs="Arial"/>
                <w:lang w:eastAsia="en-US"/>
              </w:rPr>
            </w:pPr>
            <w:bookmarkStart w:id="617" w:name="_Hlk261224344"/>
            <w:bookmarkEnd w:id="617"/>
            <w:r>
              <w:rPr>
                <w:rFonts w:cs="Arial"/>
                <w:lang w:eastAsia="en-US"/>
              </w:rPr>
              <w:t>1</w:t>
            </w:r>
          </w:p>
        </w:tc>
        <w:tc>
          <w:tcPr>
            <w:tcW w:w="5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w:t>
            </w:r>
          </w:p>
        </w:tc>
        <w:tc>
          <w:tcPr>
            <w:tcW w:w="517"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5</w:t>
            </w:r>
          </w:p>
        </w:tc>
        <w:tc>
          <w:tcPr>
            <w:tcW w:w="517"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10</w:t>
            </w:r>
          </w:p>
        </w:tc>
        <w:tc>
          <w:tcPr>
            <w:tcW w:w="627"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-3.0</w:t>
            </w:r>
          </w:p>
        </w:tc>
        <w:tc>
          <w:tcPr>
            <w:tcW w:w="627"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-5.2</w:t>
            </w:r>
          </w:p>
        </w:tc>
        <w:tc>
          <w:tcPr>
            <w:tcW w:w="627"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-7.0</w:t>
            </w:r>
          </w:p>
        </w:tc>
        <w:tc>
          <w:tcPr>
            <w:tcW w:w="829"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6.6</w:t>
            </w:r>
          </w:p>
        </w:tc>
        <w:tc>
          <w:tcPr>
            <w:tcW w:w="18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0.7</w:t>
            </w:r>
          </w:p>
        </w:tc>
      </w:tr>
      <w:tr>
        <w:trPr/>
        <w:tc>
          <w:tcPr>
            <w:tcW w:w="987" w:type="dxa"/>
            <w:tcBorders>
              <w:top w:val="single" w:sz="4" w:space="0" w:color="000000"/>
              <w:left w:val="single" w:sz="4" w:space="0" w:color="000000"/>
              <w:bottom w:val="single" w:sz="4" w:space="0" w:color="000000"/>
              <w:right w:val="single" w:sz="4" w:space="0" w:color="000000"/>
            </w:tcBorders>
          </w:tcPr>
          <w:p>
            <w:pPr>
              <w:pStyle w:val="TAL1"/>
              <w:rPr>
                <w:rFonts w:cs="Arial"/>
                <w:lang w:eastAsia="en-US"/>
              </w:rPr>
            </w:pPr>
            <w:r>
              <w:rPr>
                <w:rFonts w:cs="Arial"/>
                <w:lang w:eastAsia="en-US"/>
              </w:rPr>
              <w:t>2</w:t>
            </w:r>
          </w:p>
        </w:tc>
        <w:tc>
          <w:tcPr>
            <w:tcW w:w="5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285</w:t>
            </w:r>
          </w:p>
        </w:tc>
        <w:tc>
          <w:tcPr>
            <w:tcW w:w="517"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290</w:t>
            </w:r>
          </w:p>
        </w:tc>
        <w:tc>
          <w:tcPr>
            <w:tcW w:w="517"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295</w:t>
            </w:r>
          </w:p>
        </w:tc>
        <w:tc>
          <w:tcPr>
            <w:tcW w:w="62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-4.3</w:t>
            </w:r>
          </w:p>
        </w:tc>
        <w:tc>
          <w:tcPr>
            <w:tcW w:w="627"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-6.5</w:t>
            </w:r>
          </w:p>
        </w:tc>
        <w:tc>
          <w:tcPr>
            <w:tcW w:w="627"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-8.3</w:t>
            </w:r>
          </w:p>
        </w:tc>
        <w:tc>
          <w:tcPr>
            <w:tcW w:w="829"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14.1</w:t>
            </w:r>
          </w:p>
        </w:tc>
        <w:tc>
          <w:tcPr>
            <w:tcW w:w="18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-13.2</w:t>
            </w:r>
          </w:p>
        </w:tc>
      </w:tr>
      <w:tr>
        <w:trPr/>
        <w:tc>
          <w:tcPr>
            <w:tcW w:w="987" w:type="dxa"/>
            <w:tcBorders>
              <w:top w:val="single" w:sz="4" w:space="0" w:color="000000"/>
              <w:left w:val="single" w:sz="4" w:space="0" w:color="000000"/>
              <w:bottom w:val="single" w:sz="4" w:space="0" w:color="000000"/>
              <w:right w:val="single" w:sz="4" w:space="0" w:color="000000"/>
            </w:tcBorders>
          </w:tcPr>
          <w:p>
            <w:pPr>
              <w:pStyle w:val="TAL1"/>
              <w:rPr>
                <w:rFonts w:cs="Arial"/>
                <w:lang w:eastAsia="en-US"/>
              </w:rPr>
            </w:pPr>
            <w:r>
              <w:rPr>
                <w:rFonts w:cs="Arial"/>
                <w:lang w:eastAsia="en-US"/>
              </w:rPr>
              <w:t>3</w:t>
            </w:r>
          </w:p>
        </w:tc>
        <w:tc>
          <w:tcPr>
            <w:tcW w:w="5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205</w:t>
            </w:r>
          </w:p>
        </w:tc>
        <w:tc>
          <w:tcPr>
            <w:tcW w:w="517"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210</w:t>
            </w:r>
          </w:p>
        </w:tc>
        <w:tc>
          <w:tcPr>
            <w:tcW w:w="517"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215</w:t>
            </w:r>
          </w:p>
        </w:tc>
        <w:tc>
          <w:tcPr>
            <w:tcW w:w="62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-5.7</w:t>
            </w:r>
          </w:p>
        </w:tc>
        <w:tc>
          <w:tcPr>
            <w:tcW w:w="627"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-7.9</w:t>
            </w:r>
          </w:p>
        </w:tc>
        <w:tc>
          <w:tcPr>
            <w:tcW w:w="627"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-9.7</w:t>
            </w:r>
          </w:p>
        </w:tc>
        <w:tc>
          <w:tcPr>
            <w:tcW w:w="829"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50.8</w:t>
            </w:r>
          </w:p>
        </w:tc>
        <w:tc>
          <w:tcPr>
            <w:tcW w:w="18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146.1</w:t>
            </w:r>
          </w:p>
        </w:tc>
      </w:tr>
      <w:tr>
        <w:trPr/>
        <w:tc>
          <w:tcPr>
            <w:tcW w:w="987" w:type="dxa"/>
            <w:tcBorders>
              <w:top w:val="single" w:sz="4" w:space="0" w:color="000000"/>
              <w:left w:val="single" w:sz="4" w:space="0" w:color="000000"/>
              <w:bottom w:val="single" w:sz="4" w:space="0" w:color="000000"/>
              <w:right w:val="single" w:sz="4" w:space="0" w:color="000000"/>
            </w:tcBorders>
          </w:tcPr>
          <w:p>
            <w:pPr>
              <w:pStyle w:val="TAL1"/>
              <w:rPr>
                <w:rFonts w:cs="Arial"/>
                <w:lang w:eastAsia="en-US"/>
              </w:rPr>
            </w:pPr>
            <w:r>
              <w:rPr>
                <w:rFonts w:cs="Arial"/>
                <w:lang w:eastAsia="en-US"/>
              </w:rPr>
              <w:t>4</w:t>
            </w:r>
          </w:p>
        </w:tc>
        <w:tc>
          <w:tcPr>
            <w:tcW w:w="5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660</w:t>
            </w:r>
          </w:p>
        </w:tc>
        <w:tc>
          <w:tcPr>
            <w:tcW w:w="517"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665</w:t>
            </w:r>
          </w:p>
        </w:tc>
        <w:tc>
          <w:tcPr>
            <w:tcW w:w="517"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670</w:t>
            </w:r>
          </w:p>
        </w:tc>
        <w:tc>
          <w:tcPr>
            <w:tcW w:w="62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-7.3</w:t>
            </w:r>
          </w:p>
        </w:tc>
        <w:tc>
          <w:tcPr>
            <w:tcW w:w="627"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-9.5</w:t>
            </w:r>
          </w:p>
        </w:tc>
        <w:tc>
          <w:tcPr>
            <w:tcW w:w="627"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-11.3</w:t>
            </w:r>
          </w:p>
        </w:tc>
        <w:tc>
          <w:tcPr>
            <w:tcW w:w="829"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38.4</w:t>
            </w:r>
          </w:p>
        </w:tc>
        <w:tc>
          <w:tcPr>
            <w:tcW w:w="18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-30.5</w:t>
            </w:r>
          </w:p>
        </w:tc>
      </w:tr>
      <w:tr>
        <w:trPr/>
        <w:tc>
          <w:tcPr>
            <w:tcW w:w="987" w:type="dxa"/>
            <w:tcBorders>
              <w:top w:val="single" w:sz="4" w:space="0" w:color="000000"/>
              <w:left w:val="single" w:sz="4" w:space="0" w:color="000000"/>
              <w:bottom w:val="single" w:sz="4" w:space="0" w:color="000000"/>
              <w:right w:val="single" w:sz="4" w:space="0" w:color="000000"/>
            </w:tcBorders>
          </w:tcPr>
          <w:p>
            <w:pPr>
              <w:pStyle w:val="TAL1"/>
              <w:rPr>
                <w:rFonts w:cs="Arial"/>
                <w:lang w:eastAsia="en-US"/>
              </w:rPr>
            </w:pPr>
            <w:r>
              <w:rPr>
                <w:rFonts w:cs="Arial"/>
                <w:lang w:eastAsia="en-US"/>
              </w:rPr>
              <w:t>5</w:t>
            </w:r>
          </w:p>
        </w:tc>
        <w:tc>
          <w:tcPr>
            <w:tcW w:w="5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805</w:t>
            </w:r>
          </w:p>
        </w:tc>
        <w:tc>
          <w:tcPr>
            <w:tcW w:w="517"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810</w:t>
            </w:r>
          </w:p>
        </w:tc>
        <w:tc>
          <w:tcPr>
            <w:tcW w:w="517"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815</w:t>
            </w:r>
          </w:p>
        </w:tc>
        <w:tc>
          <w:tcPr>
            <w:tcW w:w="62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-9.0</w:t>
            </w:r>
          </w:p>
        </w:tc>
        <w:tc>
          <w:tcPr>
            <w:tcW w:w="627"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-11.2</w:t>
            </w:r>
          </w:p>
        </w:tc>
        <w:tc>
          <w:tcPr>
            <w:tcW w:w="627"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-13.0</w:t>
            </w:r>
          </w:p>
        </w:tc>
        <w:tc>
          <w:tcPr>
            <w:tcW w:w="829"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6.7</w:t>
            </w:r>
          </w:p>
        </w:tc>
        <w:tc>
          <w:tcPr>
            <w:tcW w:w="18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-11.4</w:t>
            </w:r>
          </w:p>
        </w:tc>
      </w:tr>
      <w:tr>
        <w:trPr/>
        <w:tc>
          <w:tcPr>
            <w:tcW w:w="987" w:type="dxa"/>
            <w:tcBorders>
              <w:top w:val="single" w:sz="4" w:space="0" w:color="000000"/>
              <w:left w:val="single" w:sz="4" w:space="0" w:color="000000"/>
              <w:bottom w:val="single" w:sz="4" w:space="0" w:color="000000"/>
              <w:right w:val="single" w:sz="4" w:space="0" w:color="000000"/>
            </w:tcBorders>
          </w:tcPr>
          <w:p>
            <w:pPr>
              <w:pStyle w:val="TAL1"/>
              <w:rPr>
                <w:rFonts w:cs="Arial"/>
                <w:lang w:eastAsia="en-US"/>
              </w:rPr>
            </w:pPr>
            <w:r>
              <w:rPr>
                <w:rFonts w:cs="Arial"/>
                <w:lang w:eastAsia="en-US"/>
              </w:rPr>
              <w:t>6</w:t>
            </w:r>
          </w:p>
        </w:tc>
        <w:tc>
          <w:tcPr>
            <w:tcW w:w="5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925</w:t>
            </w:r>
          </w:p>
        </w:tc>
        <w:tc>
          <w:tcPr>
            <w:tcW w:w="517"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930</w:t>
            </w:r>
          </w:p>
        </w:tc>
        <w:tc>
          <w:tcPr>
            <w:tcW w:w="517"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935</w:t>
            </w:r>
          </w:p>
        </w:tc>
        <w:tc>
          <w:tcPr>
            <w:tcW w:w="62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-11.4</w:t>
            </w:r>
          </w:p>
        </w:tc>
        <w:tc>
          <w:tcPr>
            <w:tcW w:w="627"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-13.6</w:t>
            </w:r>
          </w:p>
        </w:tc>
        <w:tc>
          <w:tcPr>
            <w:tcW w:w="627"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-15.4</w:t>
            </w:r>
          </w:p>
        </w:tc>
        <w:tc>
          <w:tcPr>
            <w:tcW w:w="829"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40.3</w:t>
            </w:r>
          </w:p>
        </w:tc>
        <w:tc>
          <w:tcPr>
            <w:tcW w:w="18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-1.1</w:t>
            </w:r>
          </w:p>
        </w:tc>
      </w:tr>
      <w:tr>
        <w:trPr/>
        <w:tc>
          <w:tcPr>
            <w:tcW w:w="5248" w:type="dxa"/>
            <w:gridSpan w:val="8"/>
            <w:tcBorders>
              <w:top w:val="single" w:sz="4" w:space="0" w:color="000000"/>
              <w:left w:val="single" w:sz="4" w:space="0" w:color="000000"/>
              <w:bottom w:val="single" w:sz="4" w:space="0" w:color="000000"/>
              <w:right w:val="single" w:sz="4" w:space="0" w:color="000000"/>
            </w:tcBorders>
          </w:tcPr>
          <w:p>
            <w:pPr>
              <w:pStyle w:val="TAL1"/>
              <w:rPr>
                <w:rFonts w:cs="Arial"/>
                <w:lang w:eastAsia="en-US"/>
              </w:rPr>
            </w:pPr>
            <w:r>
              <w:rPr>
                <w:rFonts w:cs="Arial"/>
                <w:lang w:eastAsia="en-US"/>
              </w:rPr>
              <w:t>Delay spread [ns]</w:t>
            </w:r>
          </w:p>
        </w:tc>
        <w:tc>
          <w:tcPr>
            <w:tcW w:w="18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294</w:t>
            </w:r>
          </w:p>
        </w:tc>
      </w:tr>
      <w:tr>
        <w:trPr/>
        <w:tc>
          <w:tcPr>
            <w:tcW w:w="5248" w:type="dxa"/>
            <w:gridSpan w:val="8"/>
            <w:tcBorders>
              <w:top w:val="single" w:sz="4" w:space="0" w:color="000000"/>
              <w:left w:val="single" w:sz="4" w:space="0" w:color="000000"/>
              <w:bottom w:val="single" w:sz="4" w:space="0" w:color="000000"/>
              <w:right w:val="single" w:sz="4" w:space="0" w:color="000000"/>
            </w:tcBorders>
          </w:tcPr>
          <w:p>
            <w:pPr>
              <w:pStyle w:val="TAL1"/>
              <w:rPr/>
            </w:pPr>
            <w:r>
              <w:rPr>
                <w:rFonts w:cs="Arial"/>
                <w:lang w:eastAsia="en-US"/>
              </w:rPr>
              <w:t>Cluster AS AoD / AS AoA [</w:t>
            </w:r>
            <w:r>
              <w:rPr>
                <w:rFonts w:eastAsia="Symbol" w:cs="Symbol" w:ascii="Symbol" w:hAnsi="Symbol"/>
                <w:lang w:eastAsia="en-US"/>
              </w:rPr>
              <w:t></w:t>
            </w:r>
            <w:r>
              <w:rPr>
                <w:rFonts w:cs="Arial"/>
                <w:lang w:eastAsia="en-US"/>
              </w:rPr>
              <w:t>]</w:t>
            </w:r>
          </w:p>
        </w:tc>
        <w:tc>
          <w:tcPr>
            <w:tcW w:w="18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5 / 35</w:t>
            </w:r>
          </w:p>
        </w:tc>
      </w:tr>
      <w:tr>
        <w:trPr/>
        <w:tc>
          <w:tcPr>
            <w:tcW w:w="5248" w:type="dxa"/>
            <w:gridSpan w:val="8"/>
            <w:tcBorders>
              <w:top w:val="single" w:sz="4" w:space="0" w:color="000000"/>
              <w:left w:val="single" w:sz="4" w:space="0" w:color="000000"/>
              <w:bottom w:val="single" w:sz="4" w:space="0" w:color="000000"/>
              <w:right w:val="single" w:sz="4" w:space="0" w:color="000000"/>
            </w:tcBorders>
          </w:tcPr>
          <w:p>
            <w:pPr>
              <w:pStyle w:val="TAL1"/>
              <w:rPr>
                <w:rFonts w:cs="Arial"/>
                <w:lang w:eastAsia="en-US"/>
              </w:rPr>
            </w:pPr>
            <w:r>
              <w:rPr>
                <w:rFonts w:cs="Arial"/>
                <w:lang w:eastAsia="en-US"/>
              </w:rPr>
              <w:t>Cluster PAS shape</w:t>
            </w:r>
          </w:p>
        </w:tc>
        <w:tc>
          <w:tcPr>
            <w:tcW w:w="18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Laplacian</w:t>
            </w:r>
          </w:p>
        </w:tc>
      </w:tr>
      <w:tr>
        <w:trPr/>
        <w:tc>
          <w:tcPr>
            <w:tcW w:w="5248" w:type="dxa"/>
            <w:gridSpan w:val="8"/>
            <w:tcBorders>
              <w:top w:val="single" w:sz="4" w:space="0" w:color="000000"/>
              <w:left w:val="single" w:sz="4" w:space="0" w:color="000000"/>
              <w:bottom w:val="single" w:sz="4" w:space="0" w:color="000000"/>
              <w:right w:val="single" w:sz="4" w:space="0" w:color="000000"/>
            </w:tcBorders>
          </w:tcPr>
          <w:p>
            <w:pPr>
              <w:pStyle w:val="TAL1"/>
              <w:rPr/>
            </w:pPr>
            <w:r>
              <w:rPr>
                <w:rFonts w:cs="Arial"/>
                <w:lang w:eastAsia="en-US"/>
              </w:rPr>
              <w:t>Total AS AoD / AS AoA [</w:t>
            </w:r>
            <w:r>
              <w:rPr>
                <w:rFonts w:eastAsia="Symbol" w:cs="Symbol" w:ascii="Symbol" w:hAnsi="Symbol"/>
                <w:lang w:eastAsia="en-US"/>
              </w:rPr>
              <w:t></w:t>
            </w:r>
            <w:r>
              <w:rPr>
                <w:rFonts w:cs="Arial"/>
                <w:lang w:eastAsia="en-US"/>
              </w:rPr>
              <w:t>]</w:t>
            </w:r>
          </w:p>
        </w:tc>
        <w:tc>
          <w:tcPr>
            <w:tcW w:w="1817" w:type="dxa"/>
            <w:tcBorders>
              <w:top w:val="single" w:sz="4" w:space="0" w:color="000000"/>
              <w:left w:val="single" w:sz="4" w:space="0" w:color="000000"/>
              <w:bottom w:val="single" w:sz="4" w:space="0" w:color="000000"/>
              <w:right w:val="single" w:sz="4" w:space="0" w:color="000000"/>
            </w:tcBorders>
          </w:tcPr>
          <w:p>
            <w:pPr>
              <w:pStyle w:val="TAC"/>
              <w:rPr/>
            </w:pPr>
            <w:r>
              <w:rPr>
                <w:rFonts w:cs="Arial"/>
                <w:lang w:eastAsia="en-US"/>
              </w:rPr>
              <w:t>18.2 / 67.8</w:t>
            </w:r>
          </w:p>
        </w:tc>
      </w:tr>
      <w:tr>
        <w:trPr/>
        <w:tc>
          <w:tcPr>
            <w:tcW w:w="5248" w:type="dxa"/>
            <w:gridSpan w:val="8"/>
            <w:tcBorders>
              <w:top w:val="single" w:sz="4" w:space="0" w:color="000000"/>
              <w:left w:val="single" w:sz="4" w:space="0" w:color="000000"/>
              <w:bottom w:val="single" w:sz="4" w:space="0" w:color="000000"/>
              <w:right w:val="single" w:sz="4" w:space="0" w:color="000000"/>
            </w:tcBorders>
          </w:tcPr>
          <w:p>
            <w:pPr>
              <w:pStyle w:val="TAL1"/>
              <w:rPr/>
            </w:pPr>
            <w:r>
              <w:rPr>
                <w:rFonts w:cs="Arial"/>
                <w:lang w:eastAsia="en-US"/>
              </w:rPr>
              <w:t>Mobile speed [km/h] / Direction of travel [</w:t>
            </w:r>
            <w:r>
              <w:rPr>
                <w:rFonts w:eastAsia="Symbol" w:cs="Symbol" w:ascii="Symbol" w:hAnsi="Symbol"/>
                <w:lang w:eastAsia="en-US"/>
              </w:rPr>
              <w:t></w:t>
            </w:r>
            <w:r>
              <w:rPr>
                <w:rFonts w:cs="Arial"/>
                <w:lang w:eastAsia="en-US"/>
              </w:rPr>
              <w:t>]</w:t>
            </w:r>
          </w:p>
        </w:tc>
        <w:tc>
          <w:tcPr>
            <w:tcW w:w="181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3, 30 / 120</w:t>
            </w:r>
          </w:p>
        </w:tc>
      </w:tr>
      <w:tr>
        <w:trPr/>
        <w:tc>
          <w:tcPr>
            <w:tcW w:w="5248" w:type="dxa"/>
            <w:gridSpan w:val="8"/>
            <w:tcBorders>
              <w:top w:val="single" w:sz="4" w:space="0" w:color="000000"/>
              <w:left w:val="single" w:sz="4" w:space="0" w:color="000000"/>
              <w:bottom w:val="single" w:sz="4" w:space="0" w:color="000000"/>
              <w:right w:val="single" w:sz="4" w:space="0" w:color="000000"/>
            </w:tcBorders>
          </w:tcPr>
          <w:p>
            <w:pPr>
              <w:pStyle w:val="TAL1"/>
              <w:rPr>
                <w:rFonts w:cs="Arial"/>
                <w:lang w:eastAsia="zh-CN"/>
              </w:rPr>
            </w:pPr>
            <w:r>
              <w:rPr>
                <w:rFonts w:cs="Arial"/>
                <w:lang w:eastAsia="zh-CN"/>
              </w:rPr>
              <w:t>XPR</w:t>
            </w:r>
          </w:p>
          <w:p>
            <w:pPr>
              <w:pStyle w:val="TAN"/>
              <w:rPr>
                <w:rFonts w:cs="Arial"/>
                <w:lang w:eastAsia="zh-CN"/>
              </w:rPr>
            </w:pPr>
            <w:r>
              <w:rPr>
                <w:rFonts w:cs="Arial"/>
                <w:lang w:eastAsia="zh-CN"/>
              </w:rPr>
              <w:t>(NOTE: V &amp; H components based on assumed BS antennas)</w:t>
            </w:r>
          </w:p>
        </w:tc>
        <w:tc>
          <w:tcPr>
            <w:tcW w:w="1817"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9 dB</w:t>
            </w:r>
          </w:p>
        </w:tc>
      </w:tr>
      <w:tr>
        <w:trPr/>
        <w:tc>
          <w:tcPr>
            <w:tcW w:w="5248" w:type="dxa"/>
            <w:gridSpan w:val="8"/>
            <w:tcBorders>
              <w:top w:val="single" w:sz="4" w:space="0" w:color="000000"/>
              <w:left w:val="single" w:sz="4" w:space="0" w:color="000000"/>
              <w:bottom w:val="single" w:sz="4" w:space="0" w:color="000000"/>
              <w:right w:val="single" w:sz="4" w:space="0" w:color="000000"/>
            </w:tcBorders>
          </w:tcPr>
          <w:p>
            <w:pPr>
              <w:pStyle w:val="TAL1"/>
              <w:rPr>
                <w:rFonts w:cs="Arial"/>
                <w:lang w:eastAsia="en-US"/>
              </w:rPr>
            </w:pPr>
            <w:r>
              <w:rPr>
                <w:rFonts w:cs="Arial"/>
                <w:lang w:eastAsia="en-US"/>
              </w:rPr>
              <w:t xml:space="preserve">Mid-paths Share Cluster parameter values for: </w:t>
            </w:r>
          </w:p>
        </w:tc>
        <w:tc>
          <w:tcPr>
            <w:tcW w:w="1817" w:type="dxa"/>
            <w:tcBorders>
              <w:top w:val="single" w:sz="4" w:space="0" w:color="000000"/>
              <w:left w:val="single" w:sz="4" w:space="0" w:color="000000"/>
              <w:bottom w:val="single" w:sz="4" w:space="0" w:color="000000"/>
              <w:right w:val="single" w:sz="4" w:space="0" w:color="000000"/>
            </w:tcBorders>
          </w:tcPr>
          <w:p>
            <w:pPr>
              <w:pStyle w:val="TAC"/>
              <w:rPr/>
            </w:pPr>
            <w:r>
              <w:rPr>
                <w:rFonts w:cs="Arial"/>
                <w:lang w:eastAsia="en-US"/>
              </w:rPr>
              <w:t xml:space="preserve">AoD, AoA, AS, </w:t>
            </w:r>
            <w:r>
              <w:rPr>
                <w:rFonts w:cs="Arial"/>
                <w:lang w:eastAsia="zh-CN"/>
              </w:rPr>
              <w:t>XPR</w:t>
            </w:r>
          </w:p>
        </w:tc>
      </w:tr>
    </w:tbl>
    <w:p>
      <w:pPr>
        <w:pStyle w:val="Normal"/>
        <w:rPr/>
      </w:pPr>
      <w:r>
        <w:rPr/>
      </w:r>
    </w:p>
    <w:p>
      <w:pPr>
        <w:pStyle w:val="Normal"/>
        <w:rPr/>
      </w:pPr>
      <w:r>
        <w:rPr/>
        <w:t xml:space="preserve">The parameters of the channel models are the expected parameters for the MIMO OTA channel models. </w:t>
        <w:br/>
        <w:t>However, the final channel model achieved for different methods could be a combined effect of the chamber and the channel emulator.</w:t>
      </w:r>
    </w:p>
    <w:p>
      <w:pPr>
        <w:pStyle w:val="Normal"/>
        <w:rPr/>
      </w:pPr>
      <w:r>
        <w:rPr/>
        <w:t>The Rayleigh fading may be implementation specific. However, the fading can be considered to be appropriate as long as the statistics of the generated Rayleigh fading are within standard requirement on Rayleigh fading statistics.</w:t>
      </w:r>
    </w:p>
    <w:p>
      <w:pPr>
        <w:pStyle w:val="Heading1"/>
        <w:ind w:left="1134" w:hanging="1134"/>
        <w:rPr/>
      </w:pPr>
      <w:bookmarkStart w:id="618" w:name="__RefHeading___Toc68601510"/>
      <w:bookmarkEnd w:id="618"/>
      <w:r>
        <w:rPr/>
        <w:t>M.2</w:t>
        <w:tab/>
        <w:t>Base Station antenna pattern configuration</w:t>
      </w:r>
    </w:p>
    <w:p>
      <w:pPr>
        <w:pStyle w:val="Normal"/>
        <w:rPr/>
      </w:pPr>
      <w:r>
        <w:rPr/>
        <w:t>The emulated BS antennas to be used for all emulation of the channel models defined in Annex M.1 shall be assumed to be dual polarized equal power elements with a fixed 0λ separation, 45 degrees slanted.</w:t>
      </w:r>
    </w:p>
    <w:p>
      <w:pPr>
        <w:pStyle w:val="Normal"/>
        <w:rPr/>
      </w:pPr>
      <w:r>
        <w:rPr/>
        <w:t>The slant 45 degree antenna is an "X" configuration and is modelled as an ideal dipole with isotropic gain and subject to a foreshortening of the slanted radiating element, which is observed to vary as a function of the path angle of departure.  This foreshortening with AoD is a typical slanted dipole behaviour and is a source of power variation in the channel model.  The effective antenna pattern for this antenna is illustrated in Figure M.2-1.</w:t>
      </w:r>
    </w:p>
    <w:p>
      <w:pPr>
        <w:pStyle w:val="TH"/>
        <w:rPr/>
      </w:pPr>
      <w:r>
        <w:rPr/>
        <w:drawing>
          <wp:inline distT="0" distB="0" distL="0" distR="0">
            <wp:extent cx="2703830" cy="2119630"/>
            <wp:effectExtent l="0" t="0" r="0" b="0"/>
            <wp:docPr id="167" name="Image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145" descr=""/>
                    <pic:cNvPicPr>
                      <a:picLocks noChangeAspect="1" noChangeArrowheads="1"/>
                    </pic:cNvPicPr>
                  </pic:nvPicPr>
                  <pic:blipFill>
                    <a:blip r:embed="rId169"/>
                    <a:srcRect l="-7" t="-9" r="4199" b="-9"/>
                    <a:stretch>
                      <a:fillRect/>
                    </a:stretch>
                  </pic:blipFill>
                  <pic:spPr bwMode="auto">
                    <a:xfrm>
                      <a:off x="0" y="0"/>
                      <a:ext cx="2703830" cy="2119630"/>
                    </a:xfrm>
                    <a:prstGeom prst="rect">
                      <a:avLst/>
                    </a:prstGeom>
                  </pic:spPr>
                </pic:pic>
              </a:graphicData>
            </a:graphic>
          </wp:inline>
        </w:drawing>
      </w:r>
      <w:r>
        <w:rPr/>
        <w:drawing>
          <wp:inline distT="0" distB="0" distL="0" distR="0">
            <wp:extent cx="2729865" cy="2107565"/>
            <wp:effectExtent l="0" t="0" r="0" b="0"/>
            <wp:docPr id="168" name="Image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46" descr=""/>
                    <pic:cNvPicPr>
                      <a:picLocks noChangeAspect="1" noChangeArrowheads="1"/>
                    </pic:cNvPicPr>
                  </pic:nvPicPr>
                  <pic:blipFill>
                    <a:blip r:embed="rId170"/>
                    <a:srcRect l="3275" t="-9" r="-7" b="-9"/>
                    <a:stretch>
                      <a:fillRect/>
                    </a:stretch>
                  </pic:blipFill>
                  <pic:spPr bwMode="auto">
                    <a:xfrm>
                      <a:off x="0" y="0"/>
                      <a:ext cx="2729865" cy="2107565"/>
                    </a:xfrm>
                    <a:prstGeom prst="rect">
                      <a:avLst/>
                    </a:prstGeom>
                  </pic:spPr>
                </pic:pic>
              </a:graphicData>
            </a:graphic>
          </wp:inline>
        </w:drawing>
      </w:r>
    </w:p>
    <w:p>
      <w:pPr>
        <w:pStyle w:val="TF"/>
        <w:rPr/>
      </w:pPr>
      <w:r>
        <w:rPr/>
        <w:t>Figure M.2-1: X antenna gain assumption (a) Linear gain (b) dB gain</w:t>
      </w:r>
    </w:p>
    <w:p>
      <w:pPr>
        <w:pStyle w:val="Normal"/>
        <w:rPr/>
      </w:pPr>
      <w:r>
        <w:rPr/>
      </w:r>
    </w:p>
    <w:p>
      <w:pPr>
        <w:pStyle w:val="Heading8"/>
        <w:ind w:left="0" w:hanging="0"/>
        <w:rPr/>
      </w:pPr>
      <w:bookmarkStart w:id="619" w:name="__RefHeading___Toc68601511"/>
      <w:bookmarkEnd w:id="619"/>
      <w:r>
        <w:rPr/>
        <w:t xml:space="preserve">Annex </w:t>
      </w:r>
      <w:r>
        <w:rPr>
          <w:rFonts w:eastAsia="PMingLiU;新細明體"/>
          <w:lang w:eastAsia="zh-TW"/>
        </w:rPr>
        <w:t>N</w:t>
      </w:r>
      <w:r>
        <w:rPr/>
        <w:t xml:space="preserve"> (informative): Estimation of measurement uncertainty for Multiple-antenna receivers</w:t>
      </w:r>
    </w:p>
    <w:p>
      <w:pPr>
        <w:pStyle w:val="Heading1"/>
        <w:ind w:left="1134" w:hanging="1134"/>
        <w:rPr/>
      </w:pPr>
      <w:bookmarkStart w:id="620" w:name="__RefHeading___Toc68601512"/>
      <w:bookmarkEnd w:id="620"/>
      <w:r>
        <w:rPr>
          <w:rFonts w:eastAsia="PMingLiU;新細明體"/>
          <w:lang w:eastAsia="zh-TW"/>
        </w:rPr>
        <w:t>N</w:t>
      </w:r>
      <w:r>
        <w:rPr/>
        <w:t>.1</w:t>
        <w:tab/>
        <w:t>General</w:t>
      </w:r>
    </w:p>
    <w:p>
      <w:pPr>
        <w:pStyle w:val="EditorsNote"/>
        <w:rPr/>
      </w:pPr>
      <w:r>
        <w:rPr/>
        <w:t xml:space="preserve">Editor’s notes: Table </w:t>
      </w:r>
      <w:r>
        <w:rPr>
          <w:rFonts w:eastAsia="PMingLiU;新細明體"/>
          <w:lang w:eastAsia="zh-TW"/>
        </w:rPr>
        <w:t>N</w:t>
      </w:r>
      <w:r>
        <w:rPr/>
        <w:t xml:space="preserve">.1-1 is based on a similar table in RAN4 TR 37.977. There are a number of inconsistencies (examples are listed below) and errors in the source table that are still remaining in Table </w:t>
      </w:r>
      <w:r>
        <w:rPr>
          <w:rFonts w:eastAsia="PMingLiU;新細明體"/>
          <w:lang w:eastAsia="zh-TW"/>
        </w:rPr>
        <w:t>N</w:t>
      </w:r>
      <w:r>
        <w:rPr/>
        <w:t>.1-1. They should be fixed once RAN4 fixes the corresponding table in TR 37.977.</w:t>
      </w:r>
    </w:p>
    <w:p>
      <w:pPr>
        <w:pStyle w:val="EditorsNote"/>
        <w:ind w:left="284" w:hanging="0"/>
        <w:rPr/>
      </w:pPr>
      <w:r>
        <w:rPr/>
        <w:t>-</w:t>
        <w:tab/>
        <w:t>NOTEs 1, 3 &amp; 4 are not relevant to MPAC; the NOTEs should be removed.</w:t>
      </w:r>
    </w:p>
    <w:p>
      <w:pPr>
        <w:pStyle w:val="EditorsNote"/>
        <w:ind w:left="284" w:hanging="0"/>
        <w:rPr/>
      </w:pPr>
      <w:r>
        <w:rPr/>
        <w:t>-</w:t>
        <w:tab/>
        <w:t>Item 19 is not relevant to MPAC and should be removed.</w:t>
      </w:r>
    </w:p>
    <w:p>
      <w:pPr>
        <w:pStyle w:val="EditorsNote"/>
        <w:ind w:left="284" w:hanging="0"/>
        <w:rPr/>
      </w:pPr>
      <w:r>
        <w:rPr/>
        <w:t>-</w:t>
        <w:tab/>
        <w:t>Items 9 and 10 seem to be related to SIR that is out of scope of the WI; these may be removed from the table.</w:t>
      </w:r>
    </w:p>
    <w:p>
      <w:pPr>
        <w:pStyle w:val="Normal"/>
        <w:numPr>
          <w:ilvl w:val="0"/>
          <w:numId w:val="5"/>
        </w:numPr>
        <w:tabs>
          <w:tab w:val="clear" w:pos="284"/>
          <w:tab w:val="left" w:pos="0" w:leader="none"/>
        </w:tabs>
        <w:suppressAutoHyphens w:val="true"/>
        <w:ind w:left="0" w:hanging="0"/>
        <w:rPr/>
      </w:pPr>
      <w:r>
        <w:rPr/>
        <w:t>Individual uncertainty contributions in the TRMS measurements are discussed and evaluated in this Annex. A technique for calculating the total measurement uncertainty is also presented.</w:t>
      </w:r>
    </w:p>
    <w:p>
      <w:pPr>
        <w:pStyle w:val="Normal"/>
        <w:numPr>
          <w:ilvl w:val="0"/>
          <w:numId w:val="5"/>
        </w:numPr>
        <w:tabs>
          <w:tab w:val="clear" w:pos="284"/>
          <w:tab w:val="left" w:pos="0" w:leader="none"/>
        </w:tabs>
        <w:suppressAutoHyphens w:val="true"/>
        <w:ind w:left="0" w:hanging="0"/>
        <w:rPr/>
      </w:pPr>
      <w:r>
        <w:rPr/>
        <w:t>An important part of a standard measurement procedure is the identification of uncertainty sources and the evaluation of the overall measurement uncertainty. There are various individual uncertainty sources in the measurement procedure that introduce a certain uncertainty contribution to the final measurement result. The approach in this standard test procedure is that the test laboratories are not limited to using some specific instruments and antenna positioners, for example. However, a limit is set for the maximum overall measurement uncertainty.</w:t>
      </w:r>
    </w:p>
    <w:p>
      <w:pPr>
        <w:pStyle w:val="Normal"/>
        <w:numPr>
          <w:ilvl w:val="0"/>
          <w:numId w:val="5"/>
        </w:numPr>
        <w:tabs>
          <w:tab w:val="clear" w:pos="284"/>
          <w:tab w:val="left" w:pos="0" w:leader="none"/>
        </w:tabs>
        <w:suppressAutoHyphens w:val="true"/>
        <w:ind w:left="0" w:hanging="0"/>
        <w:rPr/>
      </w:pPr>
      <w:r>
        <w:rPr/>
        <w:t>The TRMS measurement procedure can be considered to include two stages. In Stage 1 the actual measurement of the MIMO OTA throughput of the Device Under Test (DUT) is performed. In Stage 2 the calibration of the absolute level of the DUT measurement results is performed.</w:t>
      </w:r>
    </w:p>
    <w:p>
      <w:pPr>
        <w:pStyle w:val="Normal"/>
        <w:numPr>
          <w:ilvl w:val="0"/>
          <w:numId w:val="5"/>
        </w:numPr>
        <w:tabs>
          <w:tab w:val="clear" w:pos="284"/>
          <w:tab w:val="left" w:pos="0" w:leader="none"/>
        </w:tabs>
        <w:suppressAutoHyphens w:val="true"/>
        <w:ind w:left="0" w:hanging="0"/>
        <w:rPr/>
      </w:pPr>
      <w:r>
        <w:rPr/>
        <w:t xml:space="preserve">The uncertainty contributions related to TRMS are listed in Tables </w:t>
      </w:r>
      <w:r>
        <w:rPr>
          <w:rFonts w:eastAsia="PMingLiU;新細明體"/>
          <w:lang w:eastAsia="zh-TW"/>
        </w:rPr>
        <w:t>N</w:t>
      </w:r>
      <w:r>
        <w:rPr/>
        <w:t>.1-1. The uncertainty contributions are analysed in the following paragraphs.</w:t>
      </w:r>
    </w:p>
    <w:p>
      <w:pPr>
        <w:pStyle w:val="Normal"/>
        <w:numPr>
          <w:ilvl w:val="0"/>
          <w:numId w:val="5"/>
        </w:numPr>
        <w:tabs>
          <w:tab w:val="clear" w:pos="284"/>
          <w:tab w:val="left" w:pos="0" w:leader="none"/>
        </w:tabs>
        <w:suppressAutoHyphens w:val="true"/>
        <w:ind w:left="0" w:hanging="0"/>
        <w:rPr/>
      </w:pPr>
      <w:r>
        <w:rPr/>
        <w:t>The calculation of the uncertainty contribution is based on the ISO Guide to the expression of uncertainty in measurement. Each individual uncertainty is expressed by its Standard Deviation (termed here as ‘standard uncertainty’) and represented by symbol U. The uncertainty contributions can be classified to two categories: Type-A uncertainties, which are statistically determined e.g. by repeated measurements, and Type-B uncertainties, which are derived from existing data e.g. data sheets. Several individual uncertainties are common in Stage 1 and Stage 2 and therefore cancel.</w:t>
      </w:r>
    </w:p>
    <w:p>
      <w:pPr>
        <w:pStyle w:val="Normal"/>
        <w:numPr>
          <w:ilvl w:val="0"/>
          <w:numId w:val="5"/>
        </w:numPr>
        <w:suppressAutoHyphens w:val="true"/>
        <w:rPr/>
      </w:pPr>
      <w:r>
        <w:rPr/>
        <w:t>The procedure of forming the uncertainty budget in measurement is:</w:t>
      </w:r>
    </w:p>
    <w:p>
      <w:pPr>
        <w:pStyle w:val="B1"/>
        <w:numPr>
          <w:ilvl w:val="2"/>
          <w:numId w:val="5"/>
        </w:numPr>
        <w:tabs>
          <w:tab w:val="clear" w:pos="284"/>
          <w:tab w:val="left" w:pos="450" w:leader="none"/>
        </w:tabs>
        <w:suppressAutoHyphens w:val="true"/>
        <w:ind w:left="450" w:hanging="0"/>
        <w:rPr/>
      </w:pPr>
      <w:r>
        <w:rPr/>
        <w:t>1)</w:t>
        <w:tab/>
        <w:t>Compile lists of individual uncertainty contributions for measurements in both Stage 1 and Stage 2.</w:t>
      </w:r>
    </w:p>
    <w:p>
      <w:pPr>
        <w:pStyle w:val="B1"/>
        <w:numPr>
          <w:ilvl w:val="0"/>
          <w:numId w:val="5"/>
        </w:numPr>
        <w:suppressAutoHyphens w:val="true"/>
        <w:ind w:left="432" w:firstLine="18"/>
        <w:rPr/>
      </w:pPr>
      <w:r>
        <w:rPr/>
        <w:t>2)</w:t>
        <w:tab/>
        <w:t>Determine the standard uncertainty of each contribution by</w:t>
      </w:r>
    </w:p>
    <w:p>
      <w:pPr>
        <w:pStyle w:val="B2"/>
        <w:numPr>
          <w:ilvl w:val="0"/>
          <w:numId w:val="5"/>
        </w:numPr>
        <w:tabs>
          <w:tab w:val="clear" w:pos="284"/>
        </w:tabs>
        <w:suppressAutoHyphens w:val="true"/>
        <w:ind w:left="1260" w:hanging="270"/>
        <w:rPr/>
      </w:pPr>
      <w:r>
        <w:rPr/>
        <w:t>a)</w:t>
        <w:tab/>
        <w:t>Determining the distribution of the uncertainty (Gaussian, U-shaped, rectangular, etc.)</w:t>
      </w:r>
    </w:p>
    <w:p>
      <w:pPr>
        <w:pStyle w:val="B2"/>
        <w:numPr>
          <w:ilvl w:val="0"/>
          <w:numId w:val="5"/>
        </w:numPr>
        <w:tabs>
          <w:tab w:val="clear" w:pos="284"/>
          <w:tab w:val="left" w:pos="1260" w:leader="none"/>
        </w:tabs>
        <w:suppressAutoHyphens w:val="true"/>
        <w:ind w:left="990" w:hanging="0"/>
        <w:rPr/>
      </w:pPr>
      <w:r>
        <w:rPr/>
        <w:t>b)</w:t>
        <w:tab/>
        <w:t>Determining the maximum value of each uncertainty (unless the distributions is Gaussian)</w:t>
      </w:r>
    </w:p>
    <w:p>
      <w:pPr>
        <w:pStyle w:val="B2"/>
        <w:numPr>
          <w:ilvl w:val="0"/>
          <w:numId w:val="5"/>
        </w:numPr>
        <w:tabs>
          <w:tab w:val="clear" w:pos="284"/>
        </w:tabs>
        <w:suppressAutoHyphens w:val="true"/>
        <w:ind w:left="1260" w:hanging="270"/>
        <w:rPr>
          <w:szCs w:val="22"/>
        </w:rPr>
      </w:pPr>
      <w:r>
        <w:rPr/>
        <w:t>c)</w:t>
        <w:tab/>
        <w:t xml:space="preserve">Calculating the standard uncertainty by dividing the uncertainty by </w:t>
      </w:r>
      <w:r>
        <w:rPr/>
        <w:drawing>
          <wp:inline distT="0" distB="0" distL="0" distR="0">
            <wp:extent cx="241300" cy="215900"/>
            <wp:effectExtent l="0" t="0" r="0" b="0"/>
            <wp:docPr id="169" name="Image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147" descr=""/>
                    <pic:cNvPicPr>
                      <a:picLocks noChangeAspect="1" noChangeArrowheads="1"/>
                    </pic:cNvPicPr>
                  </pic:nvPicPr>
                  <pic:blipFill>
                    <a:blip r:embed="rId171"/>
                    <a:srcRect l="-149" t="-167" r="-149" b="-167"/>
                    <a:stretch>
                      <a:fillRect/>
                    </a:stretch>
                  </pic:blipFill>
                  <pic:spPr bwMode="auto">
                    <a:xfrm>
                      <a:off x="0" y="0"/>
                      <a:ext cx="241300" cy="215900"/>
                    </a:xfrm>
                    <a:prstGeom prst="rect">
                      <a:avLst/>
                    </a:prstGeom>
                  </pic:spPr>
                </pic:pic>
              </a:graphicData>
            </a:graphic>
          </wp:inline>
        </w:drawing>
      </w:r>
      <w:r>
        <w:rPr/>
        <w:t xml:space="preserve"> if the distribution is U-shaped, and by </w:t>
      </w:r>
      <w:r>
        <w:rPr/>
        <w:drawing>
          <wp:inline distT="0" distB="0" distL="0" distR="0">
            <wp:extent cx="228600" cy="228600"/>
            <wp:effectExtent l="0" t="0" r="0" b="0"/>
            <wp:docPr id="170" name="Image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48" descr=""/>
                    <pic:cNvPicPr>
                      <a:picLocks noChangeAspect="1" noChangeArrowheads="1"/>
                    </pic:cNvPicPr>
                  </pic:nvPicPr>
                  <pic:blipFill>
                    <a:blip r:embed="rId172"/>
                    <a:srcRect l="-157" t="-157" r="-157" b="-157"/>
                    <a:stretch>
                      <a:fillRect/>
                    </a:stretch>
                  </pic:blipFill>
                  <pic:spPr bwMode="auto">
                    <a:xfrm>
                      <a:off x="0" y="0"/>
                      <a:ext cx="228600" cy="228600"/>
                    </a:xfrm>
                    <a:prstGeom prst="rect">
                      <a:avLst/>
                    </a:prstGeom>
                  </pic:spPr>
                </pic:pic>
              </a:graphicData>
            </a:graphic>
          </wp:inline>
        </w:drawing>
      </w:r>
      <w:r>
        <w:rPr/>
        <w:t xml:space="preserve"> if the distribution is rectangular.</w:t>
      </w:r>
    </w:p>
    <w:p>
      <w:pPr>
        <w:pStyle w:val="B1"/>
        <w:numPr>
          <w:ilvl w:val="0"/>
          <w:numId w:val="5"/>
        </w:numPr>
        <w:suppressAutoHyphens w:val="true"/>
        <w:ind w:left="432" w:firstLine="18"/>
        <w:rPr/>
      </w:pPr>
      <w:r>
        <w:rPr/>
        <w:t>3)</w:t>
        <w:tab/>
        <w:t>Convert the units into decibel, if necessary.</w:t>
      </w:r>
    </w:p>
    <w:p>
      <w:pPr>
        <w:pStyle w:val="B1"/>
        <w:numPr>
          <w:ilvl w:val="0"/>
          <w:numId w:val="5"/>
        </w:numPr>
        <w:suppressAutoHyphens w:val="true"/>
        <w:ind w:left="432" w:firstLine="18"/>
        <w:rPr/>
      </w:pPr>
      <w:r>
        <w:rPr/>
        <w:t>4)</w:t>
        <w:tab/>
        <w:t>Combine all the standard uncertainties by the Root of the Sum of the Squares (RSS) method.</w:t>
      </w:r>
    </w:p>
    <w:p>
      <w:pPr>
        <w:pStyle w:val="B1"/>
        <w:numPr>
          <w:ilvl w:val="0"/>
          <w:numId w:val="5"/>
        </w:numPr>
        <w:suppressAutoHyphens w:val="true"/>
        <w:ind w:left="432" w:firstLine="18"/>
        <w:rPr/>
      </w:pPr>
      <w:r>
        <w:rPr/>
        <w:t>5)</w:t>
        <w:tab/>
        <w:t xml:space="preserve">Combine the total uncertainties in Stage 1 and Stage 2 also by the RSS method: </w:t>
      </w:r>
      <w:r>
        <w:rPr/>
        <w:drawing>
          <wp:inline distT="0" distB="0" distL="0" distR="0">
            <wp:extent cx="2362200" cy="266700"/>
            <wp:effectExtent l="0" t="0" r="0" b="0"/>
            <wp:docPr id="171" name="Image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149" descr=""/>
                    <pic:cNvPicPr>
                      <a:picLocks noChangeAspect="1" noChangeArrowheads="1"/>
                    </pic:cNvPicPr>
                  </pic:nvPicPr>
                  <pic:blipFill>
                    <a:blip r:embed="rId173"/>
                    <a:srcRect l="-15" t="-135" r="-15" b="-135"/>
                    <a:stretch>
                      <a:fillRect/>
                    </a:stretch>
                  </pic:blipFill>
                  <pic:spPr bwMode="auto">
                    <a:xfrm>
                      <a:off x="0" y="0"/>
                      <a:ext cx="2362200" cy="266700"/>
                    </a:xfrm>
                    <a:prstGeom prst="rect">
                      <a:avLst/>
                    </a:prstGeom>
                  </pic:spPr>
                </pic:pic>
              </a:graphicData>
            </a:graphic>
          </wp:inline>
        </w:drawing>
      </w:r>
      <w:r>
        <w:rPr/>
        <w:t>.</w:t>
      </w:r>
    </w:p>
    <w:p>
      <w:pPr>
        <w:pStyle w:val="B2"/>
        <w:rPr/>
      </w:pPr>
      <w:r>
        <w:rPr/>
        <w:t>6)</w:t>
        <w:tab/>
        <w:t xml:space="preserve">Multiply the result by an expansion factor of 1.96 to derive expanded uncertainty at 95% confidence level: 1.96 * </w:t>
      </w:r>
      <w:r>
        <w:rPr/>
        <w:drawing>
          <wp:inline distT="0" distB="0" distL="0" distR="0">
            <wp:extent cx="165100" cy="190500"/>
            <wp:effectExtent l="0" t="0" r="0" b="0"/>
            <wp:docPr id="172" name="Image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50" descr=""/>
                    <pic:cNvPicPr>
                      <a:picLocks noChangeAspect="1" noChangeArrowheads="1"/>
                    </pic:cNvPicPr>
                  </pic:nvPicPr>
                  <pic:blipFill>
                    <a:blip r:embed="rId174"/>
                    <a:srcRect l="-218" t="-189" r="-218" b="-189"/>
                    <a:stretch>
                      <a:fillRect/>
                    </a:stretch>
                  </pic:blipFill>
                  <pic:spPr bwMode="auto">
                    <a:xfrm>
                      <a:off x="0" y="0"/>
                      <a:ext cx="165100" cy="190500"/>
                    </a:xfrm>
                    <a:prstGeom prst="rect">
                      <a:avLst/>
                    </a:prstGeom>
                  </pic:spPr>
                </pic:pic>
              </a:graphicData>
            </a:graphic>
          </wp:inline>
        </w:drawing>
      </w:r>
      <w:r>
        <w:rPr/>
        <w:t>.</w:t>
      </w:r>
    </w:p>
    <w:p>
      <w:pPr>
        <w:pStyle w:val="TH"/>
        <w:rPr/>
      </w:pPr>
      <w:r>
        <w:rPr>
          <w:u w:val="single"/>
        </w:rPr>
        <w:t>Table</w:t>
      </w:r>
      <w:r>
        <w:rPr/>
        <w:t xml:space="preserve"> </w:t>
      </w:r>
      <w:r>
        <w:rPr>
          <w:rFonts w:eastAsia="PMingLiU;新細明體"/>
          <w:lang w:eastAsia="zh-TW"/>
        </w:rPr>
        <w:t>N</w:t>
      </w:r>
      <w:r>
        <w:rPr/>
        <w:t>.1-1: Measurement uncertainty budget for Multiprobe Anechoic method</w:t>
      </w:r>
    </w:p>
    <w:tbl>
      <w:tblPr>
        <w:tblW w:w="10480" w:type="dxa"/>
        <w:jc w:val="left"/>
        <w:tblInd w:w="0" w:type="dxa"/>
        <w:tblLayout w:type="fixed"/>
        <w:tblCellMar>
          <w:top w:w="0" w:type="dxa"/>
          <w:left w:w="108" w:type="dxa"/>
          <w:bottom w:w="0" w:type="dxa"/>
          <w:right w:w="108" w:type="dxa"/>
        </w:tblCellMar>
      </w:tblPr>
      <w:tblGrid>
        <w:gridCol w:w="560"/>
        <w:gridCol w:w="4300"/>
        <w:gridCol w:w="1600"/>
        <w:gridCol w:w="1420"/>
        <w:gridCol w:w="1180"/>
        <w:gridCol w:w="1420"/>
      </w:tblGrid>
      <w:tr>
        <w:trPr>
          <w:trHeight w:val="320" w:hRule="atLeast"/>
        </w:trPr>
        <w:tc>
          <w:tcPr>
            <w:tcW w:w="560"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 </w:t>
            </w:r>
          </w:p>
        </w:tc>
        <w:tc>
          <w:tcPr>
            <w:tcW w:w="4300" w:type="dxa"/>
            <w:tcBorders>
              <w:top w:val="single" w:sz="4" w:space="0" w:color="000000"/>
              <w:bottom w:val="single" w:sz="4" w:space="0" w:color="000000"/>
              <w:right w:val="single" w:sz="4" w:space="0" w:color="000000"/>
            </w:tcBorders>
            <w:shd w:fill="E0E0E0" w:val="clear"/>
            <w:vAlign w:val="center"/>
          </w:tcPr>
          <w:p>
            <w:pPr>
              <w:pStyle w:val="TAH"/>
              <w:rPr/>
            </w:pPr>
            <w:r>
              <w:rPr>
                <w:rFonts w:cs="Arial"/>
                <w:lang w:eastAsia="en-US"/>
              </w:rPr>
              <w:t>Description of uncertainty contribution</w:t>
            </w:r>
          </w:p>
        </w:tc>
        <w:tc>
          <w:tcPr>
            <w:tcW w:w="1600" w:type="dxa"/>
            <w:tcBorders>
              <w:top w:val="single" w:sz="4" w:space="0" w:color="000000"/>
              <w:bottom w:val="single" w:sz="4" w:space="0" w:color="000000"/>
              <w:right w:val="single" w:sz="4" w:space="0" w:color="000000"/>
            </w:tcBorders>
            <w:shd w:fill="E0E0E0" w:val="clear"/>
            <w:vAlign w:val="center"/>
          </w:tcPr>
          <w:p>
            <w:pPr>
              <w:pStyle w:val="TAH"/>
              <w:rPr>
                <w:rFonts w:cs="Arial"/>
                <w:lang w:eastAsia="en-US"/>
              </w:rPr>
            </w:pPr>
            <w:r>
              <w:rPr>
                <w:rFonts w:cs="Arial"/>
                <w:lang w:eastAsia="en-US"/>
              </w:rPr>
              <w:t>Details in</w:t>
            </w:r>
          </w:p>
        </w:tc>
        <w:tc>
          <w:tcPr>
            <w:tcW w:w="4020" w:type="dxa"/>
            <w:gridSpan w:val="3"/>
            <w:tcBorders>
              <w:top w:val="single" w:sz="4" w:space="0" w:color="000000"/>
              <w:bottom w:val="single" w:sz="4" w:space="0" w:color="000000"/>
              <w:right w:val="single" w:sz="4" w:space="0" w:color="000000"/>
            </w:tcBorders>
            <w:shd w:fill="000000" w:val="clear"/>
            <w:vAlign w:val="bottom"/>
          </w:tcPr>
          <w:p>
            <w:pPr>
              <w:pStyle w:val="TAH"/>
              <w:rPr>
                <w:rFonts w:cs="Arial"/>
                <w:lang w:eastAsia="en-US"/>
              </w:rPr>
            </w:pPr>
            <w:r>
              <w:rPr>
                <w:rFonts w:cs="Arial"/>
                <w:lang w:eastAsia="en-US"/>
              </w:rPr>
              <w:t>MPAC</w:t>
            </w:r>
          </w:p>
        </w:tc>
      </w:tr>
      <w:tr>
        <w:trPr>
          <w:trHeight w:val="500" w:hRule="atLeast"/>
        </w:trPr>
        <w:tc>
          <w:tcPr>
            <w:tcW w:w="560" w:type="dxa"/>
            <w:tcBorders>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w:t>
            </w:r>
          </w:p>
        </w:tc>
        <w:tc>
          <w:tcPr>
            <w:tcW w:w="4300" w:type="dxa"/>
            <w:tcBorders>
              <w:bottom w:val="single" w:sz="4" w:space="0" w:color="000000"/>
              <w:right w:val="single" w:sz="4" w:space="0" w:color="000000"/>
            </w:tcBorders>
            <w:shd w:fill="FFFF99" w:val="clear"/>
            <w:vAlign w:val="center"/>
          </w:tcPr>
          <w:p>
            <w:pPr>
              <w:pStyle w:val="TAH"/>
              <w:rPr>
                <w:rFonts w:cs="Arial"/>
                <w:lang w:eastAsia="en-US"/>
              </w:rPr>
            </w:pPr>
            <w:r>
              <w:rPr>
                <w:rFonts w:cs="Arial"/>
                <w:lang w:eastAsia="en-US"/>
              </w:rPr>
              <w:t>Stage 1-DUT measurement</w:t>
            </w:r>
          </w:p>
        </w:tc>
        <w:tc>
          <w:tcPr>
            <w:tcW w:w="1600" w:type="dxa"/>
            <w:tcBorders>
              <w:bottom w:val="single" w:sz="4" w:space="0" w:color="000000"/>
              <w:right w:val="single" w:sz="4" w:space="0" w:color="000000"/>
            </w:tcBorders>
            <w:shd w:fill="FFFF99" w:val="clear"/>
            <w:vAlign w:val="center"/>
          </w:tcPr>
          <w:p>
            <w:pPr>
              <w:pStyle w:val="TAH"/>
              <w:rPr>
                <w:rFonts w:cs="Arial"/>
                <w:lang w:eastAsia="en-US"/>
              </w:rPr>
            </w:pPr>
            <w:r>
              <w:rPr>
                <w:rFonts w:cs="Arial"/>
                <w:lang w:eastAsia="en-US"/>
              </w:rPr>
              <w:t> </w:t>
            </w:r>
          </w:p>
        </w:tc>
        <w:tc>
          <w:tcPr>
            <w:tcW w:w="1420" w:type="dxa"/>
            <w:tcBorders>
              <w:bottom w:val="single" w:sz="4" w:space="0" w:color="000000"/>
              <w:right w:val="single" w:sz="4" w:space="0" w:color="000000"/>
            </w:tcBorders>
            <w:vAlign w:val="bottom"/>
          </w:tcPr>
          <w:p>
            <w:pPr>
              <w:pStyle w:val="TAH"/>
              <w:rPr>
                <w:rFonts w:cs="Arial"/>
                <w:lang w:eastAsia="en-US"/>
              </w:rPr>
            </w:pPr>
            <w:r>
              <w:rPr>
                <w:rFonts w:cs="Arial"/>
                <w:lang w:eastAsia="en-US"/>
              </w:rPr>
              <w:t>Example Value [dB]</w:t>
            </w:r>
          </w:p>
        </w:tc>
        <w:tc>
          <w:tcPr>
            <w:tcW w:w="1180" w:type="dxa"/>
            <w:tcBorders>
              <w:bottom w:val="single" w:sz="4" w:space="0" w:color="000000"/>
              <w:right w:val="single" w:sz="4" w:space="0" w:color="000000"/>
            </w:tcBorders>
            <w:vAlign w:val="bottom"/>
          </w:tcPr>
          <w:p>
            <w:pPr>
              <w:pStyle w:val="TAH"/>
              <w:rPr>
                <w:rFonts w:cs="Arial"/>
                <w:lang w:eastAsia="en-US"/>
              </w:rPr>
            </w:pPr>
            <w:r>
              <w:rPr>
                <w:rFonts w:cs="Arial"/>
                <w:lang w:eastAsia="en-US"/>
              </w:rPr>
              <w:t>Prob Distr</w:t>
            </w:r>
          </w:p>
        </w:tc>
        <w:tc>
          <w:tcPr>
            <w:tcW w:w="1420" w:type="dxa"/>
            <w:tcBorders>
              <w:bottom w:val="single" w:sz="4" w:space="0" w:color="000000"/>
              <w:right w:val="single" w:sz="4" w:space="0" w:color="000000"/>
            </w:tcBorders>
            <w:vAlign w:val="bottom"/>
          </w:tcPr>
          <w:p>
            <w:pPr>
              <w:pStyle w:val="TAH"/>
              <w:rPr>
                <w:rFonts w:cs="Arial"/>
                <w:lang w:eastAsia="en-US"/>
              </w:rPr>
            </w:pPr>
            <w:r>
              <w:rPr>
                <w:rFonts w:cs="Arial"/>
                <w:lang w:eastAsia="en-US"/>
              </w:rPr>
              <w:t>Std Uncertainty [dB]</w:t>
            </w:r>
          </w:p>
        </w:tc>
      </w:tr>
      <w:tr>
        <w:trPr>
          <w:trHeight w:val="48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4300" w:type="dxa"/>
            <w:tcBorders>
              <w:bottom w:val="single" w:sz="4" w:space="0" w:color="000000"/>
              <w:right w:val="single" w:sz="4" w:space="0" w:color="000000"/>
            </w:tcBorders>
            <w:vAlign w:val="center"/>
          </w:tcPr>
          <w:p>
            <w:pPr>
              <w:pStyle w:val="TAL1"/>
              <w:rPr>
                <w:rFonts w:cs="Arial"/>
                <w:lang w:eastAsia="en-US"/>
              </w:rPr>
            </w:pPr>
            <w:r>
              <w:rPr>
                <w:rFonts w:cs="Arial"/>
                <w:lang w:eastAsia="en-US"/>
              </w:rPr>
              <w:t xml:space="preserve">Mismatch of transmitter chain (i.e. between fixed measurement antenna and base station simulator) </w:t>
            </w:r>
          </w:p>
        </w:tc>
        <w:tc>
          <w:tcPr>
            <w:tcW w:w="1600" w:type="dxa"/>
            <w:tcBorders>
              <w:bottom w:val="single" w:sz="4" w:space="0" w:color="000000"/>
              <w:right w:val="single" w:sz="4" w:space="0" w:color="000000"/>
            </w:tcBorders>
            <w:vAlign w:val="center"/>
          </w:tcPr>
          <w:p>
            <w:pPr>
              <w:pStyle w:val="TAC"/>
              <w:rPr>
                <w:rFonts w:cs="Arial"/>
                <w:lang w:eastAsia="en-US"/>
              </w:rPr>
            </w:pPr>
            <w:r>
              <w:rPr>
                <w:rFonts w:cs="Arial"/>
                <w:lang w:eastAsia="en-US"/>
              </w:rPr>
              <w:t>TS 34.114, E.1-E.2</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0.00</w:t>
            </w:r>
          </w:p>
        </w:tc>
        <w:tc>
          <w:tcPr>
            <w:tcW w:w="1180" w:type="dxa"/>
            <w:tcBorders>
              <w:bottom w:val="single" w:sz="4" w:space="0" w:color="000000"/>
              <w:right w:val="single" w:sz="4" w:space="0" w:color="000000"/>
            </w:tcBorders>
            <w:vAlign w:val="bottom"/>
          </w:tcPr>
          <w:p>
            <w:pPr>
              <w:pStyle w:val="TAC"/>
              <w:rPr/>
            </w:pPr>
            <w:r>
              <w:rPr>
                <w:rFonts w:cs="Arial"/>
                <w:lang w:eastAsia="en-US"/>
              </w:rPr>
              <w:t>u-shape</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0.00</w:t>
            </w:r>
          </w:p>
        </w:tc>
      </w:tr>
      <w:tr>
        <w:trPr>
          <w:trHeight w:val="48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2</w:t>
            </w:r>
          </w:p>
        </w:tc>
        <w:tc>
          <w:tcPr>
            <w:tcW w:w="4300" w:type="dxa"/>
            <w:tcBorders>
              <w:bottom w:val="single" w:sz="4" w:space="0" w:color="000000"/>
              <w:right w:val="single" w:sz="4" w:space="0" w:color="000000"/>
            </w:tcBorders>
            <w:vAlign w:val="center"/>
          </w:tcPr>
          <w:p>
            <w:pPr>
              <w:pStyle w:val="TAL1"/>
              <w:rPr>
                <w:rFonts w:cs="Arial"/>
                <w:lang w:eastAsia="en-US"/>
              </w:rPr>
            </w:pPr>
            <w:r>
              <w:rPr>
                <w:rFonts w:cs="Arial"/>
                <w:lang w:eastAsia="en-US"/>
              </w:rPr>
              <w:t>Insertion loss of transmitter chain</w:t>
            </w:r>
          </w:p>
        </w:tc>
        <w:tc>
          <w:tcPr>
            <w:tcW w:w="1600" w:type="dxa"/>
            <w:tcBorders>
              <w:bottom w:val="single" w:sz="4" w:space="0" w:color="000000"/>
              <w:right w:val="single" w:sz="4" w:space="0" w:color="000000"/>
            </w:tcBorders>
            <w:vAlign w:val="center"/>
          </w:tcPr>
          <w:p>
            <w:pPr>
              <w:pStyle w:val="TAC"/>
              <w:rPr>
                <w:rFonts w:cs="Arial"/>
                <w:lang w:eastAsia="en-US"/>
              </w:rPr>
            </w:pPr>
            <w:r>
              <w:rPr>
                <w:rFonts w:cs="Arial"/>
                <w:lang w:eastAsia="en-US"/>
              </w:rPr>
              <w:t>TS 34.114, E.3-E.5</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0.00</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rect</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0.00</w:t>
            </w:r>
          </w:p>
        </w:tc>
      </w:tr>
      <w:tr>
        <w:trPr>
          <w:trHeight w:val="32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3</w:t>
            </w:r>
          </w:p>
        </w:tc>
        <w:tc>
          <w:tcPr>
            <w:tcW w:w="4300" w:type="dxa"/>
            <w:tcBorders>
              <w:bottom w:val="single" w:sz="4" w:space="0" w:color="000000"/>
              <w:right w:val="single" w:sz="4" w:space="0" w:color="000000"/>
            </w:tcBorders>
            <w:vAlign w:val="center"/>
          </w:tcPr>
          <w:p>
            <w:pPr>
              <w:pStyle w:val="TAL1"/>
              <w:rPr>
                <w:rFonts w:cs="Arial"/>
                <w:lang w:eastAsia="en-US"/>
              </w:rPr>
            </w:pPr>
            <w:r>
              <w:rPr>
                <w:rFonts w:cs="Arial"/>
                <w:lang w:eastAsia="en-US"/>
              </w:rPr>
              <w:t>Influence of the fixed measurement antenna cable</w:t>
            </w:r>
          </w:p>
        </w:tc>
        <w:tc>
          <w:tcPr>
            <w:tcW w:w="1600" w:type="dxa"/>
            <w:tcBorders>
              <w:bottom w:val="single" w:sz="4" w:space="0" w:color="000000"/>
              <w:right w:val="single" w:sz="4" w:space="0" w:color="000000"/>
            </w:tcBorders>
            <w:vAlign w:val="center"/>
          </w:tcPr>
          <w:p>
            <w:pPr>
              <w:pStyle w:val="TAC"/>
              <w:rPr>
                <w:rFonts w:cs="Arial"/>
                <w:lang w:eastAsia="en-US"/>
              </w:rPr>
            </w:pPr>
            <w:r>
              <w:rPr>
                <w:rFonts w:cs="Arial"/>
                <w:lang w:eastAsia="en-US"/>
              </w:rPr>
              <w:t>TS 34.114, E.6</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0.00</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rect</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0.00</w:t>
            </w:r>
          </w:p>
        </w:tc>
      </w:tr>
      <w:tr>
        <w:trPr>
          <w:trHeight w:val="48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4</w:t>
            </w:r>
          </w:p>
        </w:tc>
        <w:tc>
          <w:tcPr>
            <w:tcW w:w="4300" w:type="dxa"/>
            <w:tcBorders>
              <w:bottom w:val="single" w:sz="4" w:space="0" w:color="000000"/>
              <w:right w:val="single" w:sz="4" w:space="0" w:color="000000"/>
            </w:tcBorders>
            <w:vAlign w:val="center"/>
          </w:tcPr>
          <w:p>
            <w:pPr>
              <w:pStyle w:val="TAL1"/>
              <w:rPr>
                <w:rFonts w:cs="Arial"/>
                <w:lang w:eastAsia="en-US"/>
              </w:rPr>
            </w:pPr>
            <w:r>
              <w:rPr>
                <w:rFonts w:cs="Arial"/>
                <w:lang w:eastAsia="en-US"/>
              </w:rPr>
              <w:t>Uncertainty of the absolute antenna gain of the fixed measurement antenna</w:t>
            </w:r>
          </w:p>
        </w:tc>
        <w:tc>
          <w:tcPr>
            <w:tcW w:w="1600" w:type="dxa"/>
            <w:tcBorders>
              <w:bottom w:val="single" w:sz="4" w:space="0" w:color="000000"/>
              <w:right w:val="single" w:sz="4" w:space="0" w:color="000000"/>
            </w:tcBorders>
            <w:vAlign w:val="center"/>
          </w:tcPr>
          <w:p>
            <w:pPr>
              <w:pStyle w:val="TAC"/>
              <w:rPr/>
            </w:pPr>
            <w:r>
              <w:rPr>
                <w:rFonts w:cs="Arial"/>
                <w:lang w:eastAsia="en-US"/>
              </w:rPr>
              <w:t>TS 34.114, E.7</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0.00</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rect</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0.00</w:t>
            </w:r>
          </w:p>
        </w:tc>
      </w:tr>
      <w:tr>
        <w:trPr>
          <w:trHeight w:val="72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5</w:t>
            </w:r>
          </w:p>
        </w:tc>
        <w:tc>
          <w:tcPr>
            <w:tcW w:w="4300" w:type="dxa"/>
            <w:tcBorders>
              <w:bottom w:val="single" w:sz="4" w:space="0" w:color="000000"/>
              <w:right w:val="single" w:sz="4" w:space="0" w:color="000000"/>
            </w:tcBorders>
            <w:vAlign w:val="center"/>
          </w:tcPr>
          <w:p>
            <w:pPr>
              <w:pStyle w:val="TAL1"/>
              <w:rPr>
                <w:rFonts w:cs="Arial"/>
                <w:lang w:eastAsia="en-US"/>
              </w:rPr>
            </w:pPr>
            <w:r>
              <w:rPr>
                <w:rFonts w:cs="Arial"/>
                <w:lang w:eastAsia="en-US"/>
              </w:rPr>
              <w:t>Base station simulator: uncertainty of the absolute output level</w:t>
            </w:r>
          </w:p>
        </w:tc>
        <w:tc>
          <w:tcPr>
            <w:tcW w:w="1600" w:type="dxa"/>
            <w:tcBorders>
              <w:bottom w:val="single" w:sz="4" w:space="0" w:color="000000"/>
              <w:right w:val="single" w:sz="4" w:space="0" w:color="000000"/>
            </w:tcBorders>
            <w:vAlign w:val="center"/>
          </w:tcPr>
          <w:p>
            <w:pPr>
              <w:pStyle w:val="TAC"/>
              <w:rPr>
                <w:rFonts w:cs="Arial"/>
                <w:lang w:eastAsia="en-US"/>
              </w:rPr>
            </w:pPr>
            <w:r>
              <w:rPr>
                <w:rFonts w:cs="Arial"/>
                <w:lang w:eastAsia="en-US"/>
              </w:rPr>
              <w:t>TS 34.114, E.17</w:t>
              <w:br/>
              <w:t>[TS 36.521-1 F.1.3]</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1.00</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rect</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0.58</w:t>
            </w:r>
          </w:p>
        </w:tc>
      </w:tr>
      <w:tr>
        <w:trPr>
          <w:trHeight w:val="48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6</w:t>
            </w:r>
          </w:p>
        </w:tc>
        <w:tc>
          <w:tcPr>
            <w:tcW w:w="4300" w:type="dxa"/>
            <w:tcBorders>
              <w:bottom w:val="single" w:sz="4" w:space="0" w:color="000000"/>
              <w:right w:val="single" w:sz="4" w:space="0" w:color="000000"/>
            </w:tcBorders>
            <w:vAlign w:val="center"/>
          </w:tcPr>
          <w:p>
            <w:pPr>
              <w:pStyle w:val="TAL1"/>
              <w:rPr>
                <w:rFonts w:cs="Arial"/>
                <w:lang w:eastAsia="en-US"/>
              </w:rPr>
            </w:pPr>
            <w:r>
              <w:rPr>
                <w:rFonts w:cs="Arial"/>
                <w:lang w:eastAsia="en-US"/>
              </w:rPr>
              <w:t>Throughput measurement: output level step resolution</w:t>
            </w:r>
          </w:p>
        </w:tc>
        <w:tc>
          <w:tcPr>
            <w:tcW w:w="1600" w:type="dxa"/>
            <w:tcBorders>
              <w:bottom w:val="single" w:sz="4" w:space="0" w:color="000000"/>
              <w:right w:val="single" w:sz="4" w:space="0" w:color="000000"/>
            </w:tcBorders>
            <w:vAlign w:val="center"/>
          </w:tcPr>
          <w:p>
            <w:pPr>
              <w:pStyle w:val="TAC"/>
              <w:rPr>
                <w:rFonts w:cs="Arial"/>
                <w:lang w:eastAsia="en-US"/>
              </w:rPr>
            </w:pPr>
            <w:r>
              <w:rPr>
                <w:rFonts w:cs="Arial"/>
                <w:lang w:eastAsia="en-US"/>
              </w:rPr>
              <w:t>TS 34.114, E.18</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0.25</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rect</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0.14</w:t>
            </w:r>
          </w:p>
        </w:tc>
      </w:tr>
      <w:tr>
        <w:trPr>
          <w:trHeight w:val="98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7</w:t>
            </w:r>
          </w:p>
        </w:tc>
        <w:tc>
          <w:tcPr>
            <w:tcW w:w="4300" w:type="dxa"/>
            <w:tcBorders>
              <w:bottom w:val="single" w:sz="4" w:space="0" w:color="000000"/>
              <w:right w:val="single" w:sz="4" w:space="0" w:color="000000"/>
            </w:tcBorders>
            <w:vAlign w:val="center"/>
          </w:tcPr>
          <w:p>
            <w:pPr>
              <w:pStyle w:val="TAL1"/>
              <w:rPr/>
            </w:pPr>
            <w:r>
              <w:rPr>
                <w:rFonts w:cs="Arial"/>
                <w:lang w:eastAsia="en-US"/>
              </w:rPr>
              <w:t>Statistical uncertainty of throughput measurement</w:t>
            </w:r>
          </w:p>
        </w:tc>
        <w:tc>
          <w:tcPr>
            <w:tcW w:w="1600" w:type="dxa"/>
            <w:tcBorders>
              <w:bottom w:val="single" w:sz="4" w:space="0" w:color="000000"/>
              <w:right w:val="single" w:sz="4" w:space="0" w:color="000000"/>
            </w:tcBorders>
            <w:vAlign w:val="center"/>
          </w:tcPr>
          <w:p>
            <w:pPr>
              <w:pStyle w:val="TAC"/>
              <w:rPr>
                <w:rFonts w:cs="Arial"/>
                <w:lang w:eastAsia="en-US"/>
              </w:rPr>
            </w:pPr>
            <w:r>
              <w:rPr>
                <w:rFonts w:cs="Arial"/>
                <w:lang w:eastAsia="en-US"/>
              </w:rPr>
              <w:t>TS34.114, E.19</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FFS (negligible and partially included in repeatability)</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 </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 </w:t>
            </w:r>
          </w:p>
        </w:tc>
      </w:tr>
      <w:tr>
        <w:trPr>
          <w:trHeight w:val="122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8</w:t>
            </w:r>
          </w:p>
        </w:tc>
        <w:tc>
          <w:tcPr>
            <w:tcW w:w="4300" w:type="dxa"/>
            <w:tcBorders>
              <w:bottom w:val="single" w:sz="4" w:space="0" w:color="000000"/>
              <w:right w:val="single" w:sz="4" w:space="0" w:color="000000"/>
            </w:tcBorders>
            <w:vAlign w:val="center"/>
          </w:tcPr>
          <w:p>
            <w:pPr>
              <w:pStyle w:val="TAL1"/>
              <w:rPr>
                <w:rFonts w:cs="Arial"/>
                <w:lang w:eastAsia="en-US"/>
              </w:rPr>
            </w:pPr>
            <w:r>
              <w:rPr>
                <w:rFonts w:cs="Arial"/>
                <w:lang w:eastAsia="en-US"/>
              </w:rPr>
              <w:t>Fading channel emulator output uncertainty (if used)</w:t>
              <w:br/>
              <w:t>- absolute output power</w:t>
              <w:br/>
              <w:t>- output signal stability</w:t>
              <w:br/>
              <w:t>- output stability with temperature</w:t>
            </w:r>
          </w:p>
        </w:tc>
        <w:tc>
          <w:tcPr>
            <w:tcW w:w="1600" w:type="dxa"/>
            <w:tcBorders>
              <w:bottom w:val="single" w:sz="4" w:space="0" w:color="000000"/>
              <w:right w:val="single" w:sz="4" w:space="0" w:color="000000"/>
            </w:tcBorders>
            <w:vAlign w:val="center"/>
          </w:tcPr>
          <w:p>
            <w:pPr>
              <w:pStyle w:val="TAC"/>
              <w:rPr>
                <w:rFonts w:eastAsia="PMingLiU;新細明體" w:cs="Arial"/>
                <w:lang w:eastAsia="zh-TW"/>
              </w:rPr>
            </w:pPr>
            <w:r>
              <w:rPr>
                <w:rFonts w:eastAsia="PMingLiU;新細明體" w:cs="Arial"/>
                <w:lang w:eastAsia="zh-TW"/>
              </w:rPr>
              <w:t>N.2</w:t>
            </w:r>
          </w:p>
        </w:tc>
        <w:tc>
          <w:tcPr>
            <w:tcW w:w="1420" w:type="dxa"/>
            <w:tcBorders>
              <w:bottom w:val="single" w:sz="4" w:space="0" w:color="000000"/>
              <w:right w:val="single" w:sz="4" w:space="0" w:color="000000"/>
            </w:tcBorders>
            <w:vAlign w:val="bottom"/>
          </w:tcPr>
          <w:p>
            <w:pPr>
              <w:pStyle w:val="TAC"/>
              <w:rPr/>
            </w:pPr>
            <w:r>
              <w:rPr>
                <w:rFonts w:cs="Arial"/>
                <w:lang w:eastAsia="en-US"/>
              </w:rPr>
              <w:t>1.5dB</w:t>
              <w:br/>
              <w:t>0.5dB</w:t>
              <w:br/>
              <w:t>0.4dB</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normal (output power)</w:t>
              <w:br/>
              <w:t>rect (stability)</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0.84</w:t>
            </w:r>
          </w:p>
        </w:tc>
      </w:tr>
      <w:tr>
        <w:trPr>
          <w:trHeight w:val="32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9</w:t>
            </w:r>
          </w:p>
        </w:tc>
        <w:tc>
          <w:tcPr>
            <w:tcW w:w="4300" w:type="dxa"/>
            <w:tcBorders>
              <w:bottom w:val="single" w:sz="4" w:space="0" w:color="000000"/>
              <w:right w:val="single" w:sz="4" w:space="0" w:color="000000"/>
            </w:tcBorders>
            <w:vAlign w:val="center"/>
          </w:tcPr>
          <w:p>
            <w:pPr>
              <w:pStyle w:val="TAL1"/>
              <w:rPr>
                <w:rFonts w:cs="Arial"/>
                <w:lang w:eastAsia="en-US"/>
              </w:rPr>
            </w:pPr>
            <w:r>
              <w:rPr>
                <w:rFonts w:cs="Arial"/>
                <w:lang w:eastAsia="en-US"/>
              </w:rPr>
              <w:t>AWGN flatness within LTE band</w:t>
            </w:r>
          </w:p>
        </w:tc>
        <w:tc>
          <w:tcPr>
            <w:tcW w:w="1600" w:type="dxa"/>
            <w:tcBorders>
              <w:bottom w:val="single" w:sz="4" w:space="0" w:color="000000"/>
              <w:right w:val="single" w:sz="4" w:space="0" w:color="000000"/>
            </w:tcBorders>
            <w:vAlign w:val="center"/>
          </w:tcPr>
          <w:p>
            <w:pPr>
              <w:pStyle w:val="TAC"/>
              <w:rPr>
                <w:rFonts w:cs="Arial"/>
                <w:lang w:eastAsia="en-US"/>
              </w:rPr>
            </w:pPr>
            <w:r>
              <w:rPr>
                <w:rFonts w:cs="Arial"/>
                <w:lang w:eastAsia="en-US"/>
              </w:rPr>
              <w:t>TBD (NOTE 4)</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 </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 </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FFS</w:t>
            </w:r>
          </w:p>
        </w:tc>
      </w:tr>
      <w:tr>
        <w:trPr>
          <w:trHeight w:val="48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10</w:t>
            </w:r>
          </w:p>
        </w:tc>
        <w:tc>
          <w:tcPr>
            <w:tcW w:w="4300" w:type="dxa"/>
            <w:tcBorders>
              <w:bottom w:val="single" w:sz="4" w:space="0" w:color="000000"/>
              <w:right w:val="single" w:sz="4" w:space="0" w:color="000000"/>
            </w:tcBorders>
            <w:vAlign w:val="center"/>
          </w:tcPr>
          <w:p>
            <w:pPr>
              <w:pStyle w:val="TAL1"/>
              <w:rPr>
                <w:rFonts w:cs="Arial"/>
                <w:lang w:eastAsia="en-US"/>
              </w:rPr>
            </w:pPr>
            <w:r>
              <w:rPr>
                <w:rFonts w:cs="Arial"/>
                <w:lang w:eastAsia="en-US"/>
              </w:rPr>
              <w:t>Signal-to noise ratio uncertainty, averaged over downlink transmission Bandwidth</w:t>
            </w:r>
          </w:p>
        </w:tc>
        <w:tc>
          <w:tcPr>
            <w:tcW w:w="1600" w:type="dxa"/>
            <w:tcBorders>
              <w:bottom w:val="single" w:sz="4" w:space="0" w:color="000000"/>
              <w:right w:val="single" w:sz="4" w:space="0" w:color="000000"/>
            </w:tcBorders>
            <w:vAlign w:val="center"/>
          </w:tcPr>
          <w:p>
            <w:pPr>
              <w:pStyle w:val="TAC"/>
              <w:rPr>
                <w:rFonts w:cs="Arial"/>
                <w:lang w:eastAsia="en-US"/>
              </w:rPr>
            </w:pPr>
            <w:r>
              <w:rPr>
                <w:rFonts w:cs="Arial"/>
                <w:lang w:eastAsia="en-US"/>
              </w:rPr>
              <w:t>TBD (NOTE 4)</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 </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 </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FFS</w:t>
            </w:r>
          </w:p>
        </w:tc>
      </w:tr>
      <w:tr>
        <w:trPr>
          <w:trHeight w:val="32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11</w:t>
            </w:r>
          </w:p>
        </w:tc>
        <w:tc>
          <w:tcPr>
            <w:tcW w:w="4300" w:type="dxa"/>
            <w:tcBorders>
              <w:bottom w:val="single" w:sz="4" w:space="0" w:color="000000"/>
              <w:right w:val="single" w:sz="4" w:space="0" w:color="000000"/>
            </w:tcBorders>
            <w:vAlign w:val="center"/>
          </w:tcPr>
          <w:p>
            <w:pPr>
              <w:pStyle w:val="TAL1"/>
              <w:rPr/>
            </w:pPr>
            <w:r>
              <w:rPr>
                <w:rFonts w:cs="Arial"/>
                <w:lang w:eastAsia="en-US"/>
              </w:rPr>
              <w:t>Channel model implementation</w:t>
            </w:r>
            <w:r>
              <w:rPr>
                <w:rFonts w:cs="Arial"/>
                <w:vertAlign w:val="superscript"/>
                <w:lang w:eastAsia="en-US"/>
              </w:rPr>
              <w:t xml:space="preserve"> </w:t>
            </w:r>
            <w:r>
              <w:rPr>
                <w:rFonts w:cs="Arial"/>
                <w:lang w:eastAsia="en-US"/>
              </w:rPr>
              <w:t>(NOTE 2)</w:t>
            </w:r>
          </w:p>
        </w:tc>
        <w:tc>
          <w:tcPr>
            <w:tcW w:w="1600" w:type="dxa"/>
            <w:tcBorders>
              <w:bottom w:val="single" w:sz="4" w:space="0" w:color="000000"/>
              <w:right w:val="single" w:sz="4" w:space="0" w:color="000000"/>
            </w:tcBorders>
            <w:vAlign w:val="center"/>
          </w:tcPr>
          <w:p>
            <w:pPr>
              <w:pStyle w:val="TAC"/>
              <w:rPr>
                <w:rFonts w:cs="Arial"/>
                <w:lang w:eastAsia="en-US"/>
              </w:rPr>
            </w:pPr>
            <w:r>
              <w:rPr>
                <w:rFonts w:cs="Arial"/>
                <w:lang w:eastAsia="en-US"/>
              </w:rPr>
              <w:t>TBD</w:t>
            </w:r>
          </w:p>
        </w:tc>
        <w:tc>
          <w:tcPr>
            <w:tcW w:w="1420" w:type="dxa"/>
            <w:tcBorders>
              <w:bottom w:val="single" w:sz="4" w:space="0" w:color="000000"/>
              <w:right w:val="single" w:sz="4" w:space="0" w:color="000000"/>
            </w:tcBorders>
            <w:vAlign w:val="bottom"/>
          </w:tcPr>
          <w:p>
            <w:pPr>
              <w:pStyle w:val="TAC"/>
              <w:rPr/>
            </w:pPr>
            <w:r>
              <w:rPr>
                <w:rFonts w:cs="Arial"/>
                <w:lang w:eastAsia="en-US"/>
              </w:rPr>
              <w:t>FFS</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 </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FFS</w:t>
            </w:r>
          </w:p>
        </w:tc>
      </w:tr>
      <w:tr>
        <w:trPr>
          <w:trHeight w:val="32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12</w:t>
            </w:r>
          </w:p>
        </w:tc>
        <w:tc>
          <w:tcPr>
            <w:tcW w:w="4300" w:type="dxa"/>
            <w:tcBorders>
              <w:bottom w:val="single" w:sz="4" w:space="0" w:color="000000"/>
              <w:right w:val="single" w:sz="4" w:space="0" w:color="000000"/>
            </w:tcBorders>
            <w:vAlign w:val="center"/>
          </w:tcPr>
          <w:p>
            <w:pPr>
              <w:pStyle w:val="TAL1"/>
              <w:rPr>
                <w:rFonts w:cs="Arial"/>
                <w:lang w:eastAsia="en-US"/>
              </w:rPr>
            </w:pPr>
            <w:r>
              <w:rPr>
                <w:rFonts w:cs="Arial"/>
                <w:lang w:eastAsia="en-US"/>
              </w:rPr>
              <w:t>Chamber statistical ripple and repeatability</w:t>
            </w:r>
          </w:p>
        </w:tc>
        <w:tc>
          <w:tcPr>
            <w:tcW w:w="1600" w:type="dxa"/>
            <w:tcBorders>
              <w:bottom w:val="single" w:sz="4" w:space="0" w:color="000000"/>
              <w:right w:val="single" w:sz="4" w:space="0" w:color="000000"/>
            </w:tcBorders>
            <w:vAlign w:val="center"/>
          </w:tcPr>
          <w:p>
            <w:pPr>
              <w:pStyle w:val="TAC"/>
              <w:rPr>
                <w:rFonts w:cs="Arial"/>
                <w:lang w:eastAsia="en-US"/>
              </w:rPr>
            </w:pPr>
            <w:r>
              <w:rPr>
                <w:rFonts w:cs="Arial"/>
                <w:lang w:eastAsia="en-US"/>
              </w:rPr>
              <w:t>TS 34.114, E.26.A</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N/A</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 </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0.00</w:t>
            </w:r>
          </w:p>
        </w:tc>
      </w:tr>
      <w:tr>
        <w:trPr>
          <w:trHeight w:val="32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13</w:t>
            </w:r>
          </w:p>
        </w:tc>
        <w:tc>
          <w:tcPr>
            <w:tcW w:w="4300" w:type="dxa"/>
            <w:tcBorders>
              <w:bottom w:val="single" w:sz="4" w:space="0" w:color="000000"/>
              <w:right w:val="single" w:sz="4" w:space="0" w:color="000000"/>
            </w:tcBorders>
            <w:vAlign w:val="center"/>
          </w:tcPr>
          <w:p>
            <w:pPr>
              <w:pStyle w:val="TAL1"/>
              <w:rPr>
                <w:rFonts w:cs="Arial"/>
                <w:lang w:eastAsia="en-US"/>
              </w:rPr>
            </w:pPr>
            <w:r>
              <w:rPr>
                <w:rFonts w:cs="Arial"/>
                <w:lang w:eastAsia="en-US"/>
              </w:rPr>
              <w:t>Additional power loss in EUT chassis</w:t>
            </w:r>
          </w:p>
        </w:tc>
        <w:tc>
          <w:tcPr>
            <w:tcW w:w="1600" w:type="dxa"/>
            <w:tcBorders>
              <w:bottom w:val="single" w:sz="4" w:space="0" w:color="000000"/>
              <w:right w:val="single" w:sz="4" w:space="0" w:color="000000"/>
            </w:tcBorders>
            <w:vAlign w:val="center"/>
          </w:tcPr>
          <w:p>
            <w:pPr>
              <w:pStyle w:val="TAC"/>
              <w:rPr>
                <w:rFonts w:cs="Arial"/>
                <w:lang w:eastAsia="en-US"/>
              </w:rPr>
            </w:pPr>
            <w:r>
              <w:rPr>
                <w:rFonts w:cs="Arial"/>
                <w:lang w:eastAsia="en-US"/>
              </w:rPr>
              <w:t>TS 34.114, E.26.B</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N/A</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 </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0.00</w:t>
            </w:r>
          </w:p>
        </w:tc>
      </w:tr>
      <w:tr>
        <w:trPr>
          <w:trHeight w:val="32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14</w:t>
            </w:r>
          </w:p>
        </w:tc>
        <w:tc>
          <w:tcPr>
            <w:tcW w:w="4300" w:type="dxa"/>
            <w:tcBorders>
              <w:bottom w:val="single" w:sz="4" w:space="0" w:color="000000"/>
              <w:right w:val="single" w:sz="4" w:space="0" w:color="000000"/>
            </w:tcBorders>
            <w:vAlign w:val="center"/>
          </w:tcPr>
          <w:p>
            <w:pPr>
              <w:pStyle w:val="TAL1"/>
              <w:rPr>
                <w:rFonts w:cs="Arial"/>
                <w:lang w:eastAsia="en-US"/>
              </w:rPr>
            </w:pPr>
            <w:r>
              <w:rPr>
                <w:rFonts w:cs="Arial"/>
                <w:lang w:eastAsia="en-US"/>
              </w:rPr>
              <w:t>Quality of the quiet zone</w:t>
            </w:r>
          </w:p>
        </w:tc>
        <w:tc>
          <w:tcPr>
            <w:tcW w:w="1600" w:type="dxa"/>
            <w:tcBorders>
              <w:bottom w:val="single" w:sz="4" w:space="0" w:color="000000"/>
              <w:right w:val="single" w:sz="4" w:space="0" w:color="000000"/>
            </w:tcBorders>
            <w:vAlign w:val="center"/>
          </w:tcPr>
          <w:p>
            <w:pPr>
              <w:pStyle w:val="TAC"/>
              <w:rPr>
                <w:rFonts w:cs="Arial"/>
                <w:lang w:eastAsia="en-US"/>
              </w:rPr>
            </w:pPr>
            <w:r>
              <w:rPr>
                <w:rFonts w:cs="Arial"/>
                <w:lang w:eastAsia="en-US"/>
              </w:rPr>
              <w:t>TS 34.114, E.10</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0.50</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std</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0.50</w:t>
            </w:r>
          </w:p>
        </w:tc>
      </w:tr>
      <w:tr>
        <w:trPr>
          <w:trHeight w:val="72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15</w:t>
            </w:r>
          </w:p>
        </w:tc>
        <w:tc>
          <w:tcPr>
            <w:tcW w:w="4300" w:type="dxa"/>
            <w:tcBorders>
              <w:bottom w:val="single" w:sz="4" w:space="0" w:color="000000"/>
              <w:right w:val="single" w:sz="4" w:space="0" w:color="000000"/>
            </w:tcBorders>
            <w:vAlign w:val="center"/>
          </w:tcPr>
          <w:p>
            <w:pPr>
              <w:pStyle w:val="TAL1"/>
              <w:rPr/>
            </w:pPr>
            <w:r>
              <w:rPr>
                <w:rFonts w:cs="Arial"/>
                <w:lang w:eastAsia="en-US"/>
              </w:rPr>
              <w:t>Measurement Distance</w:t>
              <w:br/>
              <w:t>- VSWR</w:t>
              <w:br/>
              <w:t>- Chamber Standing Wave</w:t>
            </w:r>
          </w:p>
        </w:tc>
        <w:tc>
          <w:tcPr>
            <w:tcW w:w="1600" w:type="dxa"/>
            <w:tcBorders>
              <w:bottom w:val="single" w:sz="4" w:space="0" w:color="000000"/>
              <w:right w:val="single" w:sz="4" w:space="0" w:color="000000"/>
            </w:tcBorders>
            <w:vAlign w:val="center"/>
          </w:tcPr>
          <w:p>
            <w:pPr>
              <w:pStyle w:val="TAC"/>
              <w:rPr>
                <w:rFonts w:cs="Arial"/>
                <w:lang w:eastAsia="en-US"/>
              </w:rPr>
            </w:pPr>
            <w:r>
              <w:rPr>
                <w:rFonts w:cs="Arial"/>
                <w:lang w:eastAsia="en-US"/>
              </w:rPr>
              <w:t>TS 34.114, E.9</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0.00</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 </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0.00</w:t>
            </w:r>
          </w:p>
        </w:tc>
      </w:tr>
      <w:tr>
        <w:trPr>
          <w:trHeight w:val="32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16</w:t>
            </w:r>
          </w:p>
        </w:tc>
        <w:tc>
          <w:tcPr>
            <w:tcW w:w="4300" w:type="dxa"/>
            <w:tcBorders>
              <w:bottom w:val="single" w:sz="4" w:space="0" w:color="000000"/>
              <w:right w:val="single" w:sz="4" w:space="0" w:color="000000"/>
            </w:tcBorders>
            <w:vAlign w:val="center"/>
          </w:tcPr>
          <w:p>
            <w:pPr>
              <w:pStyle w:val="TAL1"/>
              <w:rPr>
                <w:rFonts w:cs="Arial"/>
                <w:lang w:eastAsia="en-US"/>
              </w:rPr>
            </w:pPr>
            <w:r>
              <w:rPr>
                <w:rFonts w:cs="Arial"/>
                <w:lang w:eastAsia="en-US"/>
              </w:rPr>
              <w:t>DUT sensitivity drift</w:t>
            </w:r>
          </w:p>
        </w:tc>
        <w:tc>
          <w:tcPr>
            <w:tcW w:w="1600" w:type="dxa"/>
            <w:tcBorders>
              <w:bottom w:val="single" w:sz="4" w:space="0" w:color="000000"/>
              <w:right w:val="single" w:sz="4" w:space="0" w:color="000000"/>
            </w:tcBorders>
            <w:vAlign w:val="center"/>
          </w:tcPr>
          <w:p>
            <w:pPr>
              <w:pStyle w:val="TAC"/>
              <w:rPr>
                <w:rFonts w:cs="Arial"/>
                <w:lang w:eastAsia="en-US"/>
              </w:rPr>
            </w:pPr>
            <w:r>
              <w:rPr>
                <w:rFonts w:cs="Arial"/>
                <w:lang w:eastAsia="en-US"/>
              </w:rPr>
              <w:t>TS 34.114, E.21</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0.20</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rect</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0.12</w:t>
            </w:r>
          </w:p>
        </w:tc>
      </w:tr>
      <w:tr>
        <w:trPr>
          <w:trHeight w:val="320" w:hRule="atLeast"/>
        </w:trPr>
        <w:tc>
          <w:tcPr>
            <w:tcW w:w="560" w:type="dxa"/>
            <w:vMerge w:val="restart"/>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17</w:t>
            </w:r>
          </w:p>
        </w:tc>
        <w:tc>
          <w:tcPr>
            <w:tcW w:w="4300" w:type="dxa"/>
            <w:tcBorders>
              <w:bottom w:val="single" w:sz="4" w:space="0" w:color="000000"/>
              <w:right w:val="single" w:sz="4" w:space="0" w:color="000000"/>
            </w:tcBorders>
            <w:vAlign w:val="center"/>
          </w:tcPr>
          <w:p>
            <w:pPr>
              <w:pStyle w:val="TAL1"/>
              <w:rPr>
                <w:rFonts w:cs="Arial"/>
                <w:lang w:eastAsia="en-US"/>
              </w:rPr>
            </w:pPr>
            <w:r>
              <w:rPr>
                <w:rFonts w:cs="Arial"/>
                <w:lang w:eastAsia="en-US"/>
              </w:rPr>
              <w:t>Uncertainty related to the use of the phantoms:</w:t>
            </w:r>
          </w:p>
        </w:tc>
        <w:tc>
          <w:tcPr>
            <w:tcW w:w="1600" w:type="dxa"/>
            <w:tcBorders>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 </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 </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0.00</w:t>
            </w:r>
          </w:p>
        </w:tc>
      </w:tr>
      <w:tr>
        <w:trPr>
          <w:trHeight w:val="480" w:hRule="atLeast"/>
        </w:trPr>
        <w:tc>
          <w:tcPr>
            <w:tcW w:w="560" w:type="dxa"/>
            <w:vMerge w:val="continue"/>
            <w:tcBorders>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4300" w:type="dxa"/>
            <w:tcBorders>
              <w:bottom w:val="single" w:sz="4" w:space="0" w:color="000000"/>
              <w:right w:val="single" w:sz="4" w:space="0" w:color="000000"/>
            </w:tcBorders>
            <w:vAlign w:val="center"/>
          </w:tcPr>
          <w:p>
            <w:pPr>
              <w:pStyle w:val="TAL1"/>
              <w:rPr>
                <w:rFonts w:cs="Arial"/>
                <w:lang w:eastAsia="en-US"/>
              </w:rPr>
            </w:pPr>
            <w:r>
              <w:rPr>
                <w:rFonts w:cs="Arial"/>
                <w:lang w:eastAsia="en-US"/>
              </w:rPr>
              <w:t>a) Uncertainty of dielectric properties and shape of the hand phantom</w:t>
            </w:r>
          </w:p>
        </w:tc>
        <w:tc>
          <w:tcPr>
            <w:tcW w:w="1600" w:type="dxa"/>
            <w:tcBorders>
              <w:bottom w:val="single" w:sz="4" w:space="0" w:color="000000"/>
              <w:right w:val="single" w:sz="4" w:space="0" w:color="000000"/>
            </w:tcBorders>
            <w:vAlign w:val="center"/>
          </w:tcPr>
          <w:p>
            <w:pPr>
              <w:pStyle w:val="TAC"/>
              <w:rPr/>
            </w:pPr>
            <w:r>
              <w:rPr>
                <w:rFonts w:cs="Arial"/>
                <w:lang w:eastAsia="en-US"/>
              </w:rPr>
              <w:t>TR 25.914</w:t>
            </w:r>
            <w:r>
              <w:rPr>
                <w:rFonts w:eastAsia="PMingLiU;新細明體" w:cs="Arial"/>
                <w:lang w:eastAsia="zh-TW"/>
              </w:rPr>
              <w:t xml:space="preserve">, </w:t>
            </w:r>
            <w:r>
              <w:rPr>
                <w:rFonts w:cs="Arial"/>
                <w:lang w:eastAsia="en-US"/>
              </w:rPr>
              <w:t>A.12.3</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 </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 </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0.00</w:t>
            </w:r>
          </w:p>
        </w:tc>
      </w:tr>
      <w:tr>
        <w:trPr>
          <w:trHeight w:val="480" w:hRule="atLeast"/>
        </w:trPr>
        <w:tc>
          <w:tcPr>
            <w:tcW w:w="560" w:type="dxa"/>
            <w:vMerge w:val="continue"/>
            <w:tcBorders>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4300" w:type="dxa"/>
            <w:tcBorders>
              <w:bottom w:val="single" w:sz="4" w:space="0" w:color="000000"/>
              <w:right w:val="single" w:sz="4" w:space="0" w:color="000000"/>
            </w:tcBorders>
            <w:vAlign w:val="center"/>
          </w:tcPr>
          <w:p>
            <w:pPr>
              <w:pStyle w:val="TAL1"/>
              <w:rPr>
                <w:rFonts w:cs="Arial"/>
                <w:lang w:eastAsia="en-US"/>
              </w:rPr>
            </w:pPr>
            <w:r>
              <w:rPr>
                <w:rFonts w:cs="Arial"/>
                <w:lang w:eastAsia="en-US"/>
              </w:rPr>
              <w:t>b) Uncertainty related to the use of laptop ground plane phantom</w:t>
            </w:r>
          </w:p>
        </w:tc>
        <w:tc>
          <w:tcPr>
            <w:tcW w:w="1600" w:type="dxa"/>
            <w:tcBorders>
              <w:bottom w:val="single" w:sz="4" w:space="0" w:color="000000"/>
              <w:right w:val="single" w:sz="4" w:space="0" w:color="000000"/>
            </w:tcBorders>
            <w:vAlign w:val="center"/>
          </w:tcPr>
          <w:p>
            <w:pPr>
              <w:pStyle w:val="TAC"/>
              <w:rPr/>
            </w:pPr>
            <w:r>
              <w:rPr>
                <w:rFonts w:cs="Arial"/>
                <w:lang w:eastAsia="en-US"/>
              </w:rPr>
              <w:t>TR 25.914</w:t>
            </w:r>
            <w:r>
              <w:rPr>
                <w:rFonts w:eastAsia="PMingLiU;新細明體" w:cs="Arial"/>
                <w:lang w:eastAsia="zh-TW"/>
              </w:rPr>
              <w:t xml:space="preserve">, </w:t>
            </w:r>
            <w:r>
              <w:rPr>
                <w:rFonts w:cs="Arial"/>
                <w:lang w:eastAsia="en-US"/>
              </w:rPr>
              <w:t>A.12.4</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 </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 </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0.00</w:t>
            </w:r>
          </w:p>
        </w:tc>
      </w:tr>
      <w:tr>
        <w:trPr>
          <w:trHeight w:val="32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18</w:t>
            </w:r>
          </w:p>
        </w:tc>
        <w:tc>
          <w:tcPr>
            <w:tcW w:w="4300" w:type="dxa"/>
            <w:tcBorders>
              <w:bottom w:val="single" w:sz="4" w:space="0" w:color="000000"/>
              <w:right w:val="single" w:sz="4" w:space="0" w:color="000000"/>
            </w:tcBorders>
            <w:vAlign w:val="center"/>
          </w:tcPr>
          <w:p>
            <w:pPr>
              <w:pStyle w:val="TAL1"/>
              <w:rPr>
                <w:rFonts w:cs="Arial"/>
                <w:lang w:eastAsia="en-US"/>
              </w:rPr>
            </w:pPr>
            <w:r>
              <w:rPr>
                <w:rFonts w:cs="Arial"/>
                <w:lang w:eastAsia="en-US"/>
              </w:rPr>
              <w:t>Random uncertainty (repeatability)</w:t>
            </w:r>
          </w:p>
        </w:tc>
        <w:tc>
          <w:tcPr>
            <w:tcW w:w="1600" w:type="dxa"/>
            <w:tcBorders>
              <w:bottom w:val="single" w:sz="4" w:space="0" w:color="000000"/>
              <w:right w:val="single" w:sz="4" w:space="0" w:color="000000"/>
            </w:tcBorders>
            <w:vAlign w:val="center"/>
          </w:tcPr>
          <w:p>
            <w:pPr>
              <w:pStyle w:val="TAC"/>
              <w:rPr>
                <w:rFonts w:cs="Arial"/>
                <w:lang w:eastAsia="en-US"/>
              </w:rPr>
            </w:pPr>
            <w:r>
              <w:rPr>
                <w:rFonts w:cs="Arial"/>
                <w:lang w:eastAsia="en-US"/>
              </w:rPr>
              <w:t>TS 34.114, E.14</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0.20</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rect</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0.12</w:t>
            </w:r>
          </w:p>
        </w:tc>
      </w:tr>
      <w:tr>
        <w:trPr>
          <w:trHeight w:val="50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19</w:t>
            </w:r>
          </w:p>
        </w:tc>
        <w:tc>
          <w:tcPr>
            <w:tcW w:w="4300" w:type="dxa"/>
            <w:tcBorders>
              <w:bottom w:val="single" w:sz="4" w:space="0" w:color="000000"/>
              <w:right w:val="single" w:sz="4" w:space="0" w:color="000000"/>
            </w:tcBorders>
            <w:vAlign w:val="center"/>
          </w:tcPr>
          <w:p>
            <w:pPr>
              <w:pStyle w:val="TAL1"/>
              <w:rPr/>
            </w:pPr>
            <w:r>
              <w:rPr>
                <w:rFonts w:cs="Arial"/>
                <w:lang w:eastAsia="en-US"/>
              </w:rPr>
              <w:t>Uncertainty associated with the stirring method and number of subframes</w:t>
            </w:r>
            <w:r>
              <w:rPr>
                <w:rFonts w:cs="Arial"/>
                <w:vertAlign w:val="superscript"/>
                <w:lang w:eastAsia="en-US"/>
              </w:rPr>
              <w:t xml:space="preserve"> </w:t>
            </w:r>
            <w:r>
              <w:rPr>
                <w:rFonts w:cs="Arial"/>
                <w:lang w:eastAsia="en-US"/>
              </w:rPr>
              <w:t>(NOTE 3)</w:t>
            </w:r>
          </w:p>
        </w:tc>
        <w:tc>
          <w:tcPr>
            <w:tcW w:w="1600" w:type="dxa"/>
            <w:tcBorders>
              <w:bottom w:val="single" w:sz="4" w:space="0" w:color="000000"/>
              <w:right w:val="single" w:sz="4" w:space="0" w:color="000000"/>
            </w:tcBorders>
            <w:vAlign w:val="center"/>
          </w:tcPr>
          <w:p>
            <w:pPr>
              <w:pStyle w:val="TAC"/>
              <w:rPr>
                <w:rFonts w:cs="Arial"/>
                <w:lang w:eastAsia="en-US"/>
              </w:rPr>
            </w:pPr>
            <w:r>
              <w:rPr>
                <w:rFonts w:cs="Arial"/>
                <w:lang w:eastAsia="en-US"/>
              </w:rPr>
              <w:t> </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N/A</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 </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0.00</w:t>
            </w:r>
          </w:p>
        </w:tc>
      </w:tr>
      <w:tr>
        <w:trPr>
          <w:trHeight w:val="32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 </w:t>
            </w:r>
          </w:p>
        </w:tc>
        <w:tc>
          <w:tcPr>
            <w:tcW w:w="4300" w:type="dxa"/>
            <w:tcBorders>
              <w:bottom w:val="single" w:sz="4" w:space="0" w:color="000000"/>
              <w:right w:val="single" w:sz="4" w:space="0" w:color="000000"/>
            </w:tcBorders>
            <w:shd w:fill="FFFF99" w:val="clear"/>
            <w:vAlign w:val="center"/>
          </w:tcPr>
          <w:p>
            <w:pPr>
              <w:pStyle w:val="TAH"/>
              <w:rPr>
                <w:rFonts w:cs="Arial"/>
                <w:lang w:eastAsia="en-US"/>
              </w:rPr>
            </w:pPr>
            <w:r>
              <w:rPr>
                <w:rFonts w:cs="Arial"/>
                <w:lang w:eastAsia="en-US"/>
              </w:rPr>
              <w:t>Stage 2-Calibration measurement</w:t>
            </w:r>
          </w:p>
        </w:tc>
        <w:tc>
          <w:tcPr>
            <w:tcW w:w="1600" w:type="dxa"/>
            <w:tcBorders>
              <w:bottom w:val="single" w:sz="4" w:space="0" w:color="000000"/>
              <w:right w:val="single" w:sz="4" w:space="0" w:color="000000"/>
            </w:tcBorders>
            <w:shd w:fill="FFFF99" w:val="clear"/>
            <w:vAlign w:val="center"/>
          </w:tcPr>
          <w:p>
            <w:pPr>
              <w:pStyle w:val="TAH"/>
              <w:rPr>
                <w:rFonts w:cs="Arial"/>
                <w:lang w:eastAsia="en-US"/>
              </w:rPr>
            </w:pPr>
            <w:r>
              <w:rPr>
                <w:rFonts w:cs="Arial"/>
                <w:lang w:eastAsia="en-US"/>
              </w:rPr>
              <w:t> </w:t>
            </w:r>
          </w:p>
        </w:tc>
        <w:tc>
          <w:tcPr>
            <w:tcW w:w="1420" w:type="dxa"/>
            <w:tcBorders>
              <w:bottom w:val="single" w:sz="4" w:space="0" w:color="000000"/>
              <w:right w:val="single" w:sz="4" w:space="0" w:color="000000"/>
            </w:tcBorders>
            <w:vAlign w:val="bottom"/>
          </w:tcPr>
          <w:p>
            <w:pPr>
              <w:pStyle w:val="TAH"/>
              <w:rPr>
                <w:rFonts w:cs="Arial"/>
                <w:lang w:eastAsia="en-US"/>
              </w:rPr>
            </w:pPr>
            <w:r>
              <w:rPr>
                <w:rFonts w:cs="Arial"/>
                <w:lang w:eastAsia="en-US"/>
              </w:rPr>
              <w:t> </w:t>
            </w:r>
          </w:p>
        </w:tc>
        <w:tc>
          <w:tcPr>
            <w:tcW w:w="1180" w:type="dxa"/>
            <w:tcBorders>
              <w:bottom w:val="single" w:sz="4" w:space="0" w:color="000000"/>
              <w:right w:val="single" w:sz="4" w:space="0" w:color="000000"/>
            </w:tcBorders>
            <w:vAlign w:val="bottom"/>
          </w:tcPr>
          <w:p>
            <w:pPr>
              <w:pStyle w:val="TAH"/>
              <w:rPr>
                <w:rFonts w:cs="Arial"/>
                <w:lang w:eastAsia="en-US"/>
              </w:rPr>
            </w:pPr>
            <w:r>
              <w:rPr>
                <w:rFonts w:cs="Arial"/>
                <w:lang w:eastAsia="en-US"/>
              </w:rPr>
              <w:t> </w:t>
            </w:r>
          </w:p>
        </w:tc>
        <w:tc>
          <w:tcPr>
            <w:tcW w:w="1420" w:type="dxa"/>
            <w:tcBorders>
              <w:bottom w:val="single" w:sz="4" w:space="0" w:color="000000"/>
              <w:right w:val="single" w:sz="4" w:space="0" w:color="000000"/>
            </w:tcBorders>
            <w:vAlign w:val="bottom"/>
          </w:tcPr>
          <w:p>
            <w:pPr>
              <w:pStyle w:val="TAH"/>
              <w:rPr>
                <w:rFonts w:cs="Arial"/>
                <w:lang w:eastAsia="en-US"/>
              </w:rPr>
            </w:pPr>
            <w:r>
              <w:rPr>
                <w:rFonts w:cs="Arial"/>
                <w:lang w:eastAsia="en-US"/>
              </w:rPr>
              <w:t>0.00</w:t>
            </w:r>
          </w:p>
        </w:tc>
      </w:tr>
      <w:tr>
        <w:trPr>
          <w:trHeight w:val="72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20</w:t>
            </w:r>
          </w:p>
        </w:tc>
        <w:tc>
          <w:tcPr>
            <w:tcW w:w="4300" w:type="dxa"/>
            <w:tcBorders>
              <w:bottom w:val="single" w:sz="4" w:space="0" w:color="000000"/>
              <w:right w:val="single" w:sz="4" w:space="0" w:color="000000"/>
            </w:tcBorders>
            <w:vAlign w:val="center"/>
          </w:tcPr>
          <w:p>
            <w:pPr>
              <w:pStyle w:val="TAL1"/>
              <w:rPr>
                <w:rFonts w:cs="Arial"/>
                <w:lang w:eastAsia="en-US"/>
              </w:rPr>
            </w:pPr>
            <w:r>
              <w:rPr>
                <w:rFonts w:cs="Arial"/>
                <w:lang w:eastAsia="en-US"/>
              </w:rPr>
              <w:t>Uncertainty of network analyzer</w:t>
              <w:br/>
              <w:t>- Receiver and Source VNA</w:t>
              <w:br/>
              <w:t>- Receiver VNA Calibration prior to measurement</w:t>
            </w:r>
          </w:p>
        </w:tc>
        <w:tc>
          <w:tcPr>
            <w:tcW w:w="1600" w:type="dxa"/>
            <w:tcBorders>
              <w:bottom w:val="single" w:sz="4" w:space="0" w:color="000000"/>
              <w:right w:val="single" w:sz="4" w:space="0" w:color="000000"/>
            </w:tcBorders>
            <w:vAlign w:val="center"/>
          </w:tcPr>
          <w:p>
            <w:pPr>
              <w:pStyle w:val="TAC"/>
              <w:rPr>
                <w:rFonts w:cs="Arial"/>
                <w:lang w:eastAsia="en-US"/>
              </w:rPr>
            </w:pPr>
            <w:r>
              <w:rPr>
                <w:rFonts w:cs="Arial"/>
                <w:lang w:eastAsia="en-US"/>
              </w:rPr>
              <w:t>TS 34.114, E.15</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0.50</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rect</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0.29</w:t>
            </w:r>
          </w:p>
        </w:tc>
      </w:tr>
      <w:tr>
        <w:trPr>
          <w:trHeight w:val="48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21</w:t>
            </w:r>
          </w:p>
        </w:tc>
        <w:tc>
          <w:tcPr>
            <w:tcW w:w="4300" w:type="dxa"/>
            <w:tcBorders>
              <w:bottom w:val="single" w:sz="4" w:space="0" w:color="000000"/>
              <w:right w:val="single" w:sz="4" w:space="0" w:color="000000"/>
            </w:tcBorders>
            <w:vAlign w:val="center"/>
          </w:tcPr>
          <w:p>
            <w:pPr>
              <w:pStyle w:val="TAL1"/>
              <w:rPr>
                <w:rFonts w:cs="Arial"/>
                <w:lang w:eastAsia="en-US"/>
              </w:rPr>
            </w:pPr>
            <w:r>
              <w:rPr>
                <w:rFonts w:cs="Arial"/>
                <w:lang w:eastAsia="en-US"/>
              </w:rPr>
              <w:t>Mismatch of transmitter chain</w:t>
            </w:r>
          </w:p>
        </w:tc>
        <w:tc>
          <w:tcPr>
            <w:tcW w:w="1600" w:type="dxa"/>
            <w:tcBorders>
              <w:bottom w:val="single" w:sz="4" w:space="0" w:color="000000"/>
              <w:right w:val="single" w:sz="4" w:space="0" w:color="000000"/>
            </w:tcBorders>
            <w:vAlign w:val="center"/>
          </w:tcPr>
          <w:p>
            <w:pPr>
              <w:pStyle w:val="TAC"/>
              <w:rPr>
                <w:rFonts w:cs="Arial"/>
                <w:lang w:eastAsia="en-US"/>
              </w:rPr>
            </w:pPr>
            <w:r>
              <w:rPr>
                <w:rFonts w:cs="Arial"/>
                <w:lang w:eastAsia="en-US"/>
              </w:rPr>
              <w:t>TS 34.114, E.1-E.2</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0.20</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u-shape</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0.14</w:t>
            </w:r>
          </w:p>
        </w:tc>
      </w:tr>
      <w:tr>
        <w:trPr>
          <w:trHeight w:val="48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22</w:t>
            </w:r>
          </w:p>
        </w:tc>
        <w:tc>
          <w:tcPr>
            <w:tcW w:w="4300" w:type="dxa"/>
            <w:tcBorders>
              <w:bottom w:val="single" w:sz="4" w:space="0" w:color="000000"/>
              <w:right w:val="single" w:sz="4" w:space="0" w:color="000000"/>
            </w:tcBorders>
            <w:vAlign w:val="center"/>
          </w:tcPr>
          <w:p>
            <w:pPr>
              <w:pStyle w:val="TAL1"/>
              <w:rPr>
                <w:rFonts w:cs="Arial"/>
                <w:lang w:eastAsia="en-US"/>
              </w:rPr>
            </w:pPr>
            <w:r>
              <w:rPr>
                <w:rFonts w:cs="Arial"/>
                <w:lang w:eastAsia="en-US"/>
              </w:rPr>
              <w:t>Insertion loss of transmitter chain</w:t>
            </w:r>
          </w:p>
        </w:tc>
        <w:tc>
          <w:tcPr>
            <w:tcW w:w="1600" w:type="dxa"/>
            <w:tcBorders>
              <w:bottom w:val="single" w:sz="4" w:space="0" w:color="000000"/>
              <w:right w:val="single" w:sz="4" w:space="0" w:color="000000"/>
            </w:tcBorders>
            <w:vAlign w:val="center"/>
          </w:tcPr>
          <w:p>
            <w:pPr>
              <w:pStyle w:val="TAC"/>
              <w:rPr>
                <w:rFonts w:cs="Arial"/>
                <w:lang w:eastAsia="en-US"/>
              </w:rPr>
            </w:pPr>
            <w:r>
              <w:rPr>
                <w:rFonts w:cs="Arial"/>
                <w:lang w:eastAsia="en-US"/>
              </w:rPr>
              <w:t>TS 34.114, E.3-E.5</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0.00</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 </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0.00</w:t>
            </w:r>
          </w:p>
        </w:tc>
      </w:tr>
      <w:tr>
        <w:trPr>
          <w:trHeight w:val="32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23</w:t>
            </w:r>
          </w:p>
        </w:tc>
        <w:tc>
          <w:tcPr>
            <w:tcW w:w="4300" w:type="dxa"/>
            <w:tcBorders>
              <w:bottom w:val="single" w:sz="4" w:space="0" w:color="000000"/>
              <w:right w:val="single" w:sz="4" w:space="0" w:color="000000"/>
            </w:tcBorders>
            <w:vAlign w:val="center"/>
          </w:tcPr>
          <w:p>
            <w:pPr>
              <w:pStyle w:val="TAL1"/>
              <w:rPr>
                <w:rFonts w:cs="Arial"/>
                <w:lang w:eastAsia="en-US"/>
              </w:rPr>
            </w:pPr>
            <w:r>
              <w:rPr>
                <w:rFonts w:cs="Arial"/>
                <w:lang w:eastAsia="en-US"/>
              </w:rPr>
              <w:t>Mismatch in the connection of calibration antenna</w:t>
            </w:r>
          </w:p>
        </w:tc>
        <w:tc>
          <w:tcPr>
            <w:tcW w:w="1600" w:type="dxa"/>
            <w:tcBorders>
              <w:bottom w:val="single" w:sz="4" w:space="0" w:color="000000"/>
              <w:right w:val="single" w:sz="4" w:space="0" w:color="000000"/>
            </w:tcBorders>
            <w:vAlign w:val="center"/>
          </w:tcPr>
          <w:p>
            <w:pPr>
              <w:pStyle w:val="TAC"/>
              <w:rPr>
                <w:rFonts w:cs="Arial"/>
                <w:lang w:eastAsia="en-US"/>
              </w:rPr>
            </w:pPr>
            <w:r>
              <w:rPr>
                <w:rFonts w:cs="Arial"/>
                <w:lang w:eastAsia="en-US"/>
              </w:rPr>
              <w:t>TS 34.114, E.1</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0.00</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rect</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0.00</w:t>
            </w:r>
          </w:p>
        </w:tc>
      </w:tr>
      <w:tr>
        <w:trPr>
          <w:trHeight w:val="32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24</w:t>
            </w:r>
          </w:p>
        </w:tc>
        <w:tc>
          <w:tcPr>
            <w:tcW w:w="4300" w:type="dxa"/>
            <w:tcBorders>
              <w:bottom w:val="single" w:sz="4" w:space="0" w:color="000000"/>
              <w:right w:val="single" w:sz="4" w:space="0" w:color="000000"/>
            </w:tcBorders>
            <w:vAlign w:val="center"/>
          </w:tcPr>
          <w:p>
            <w:pPr>
              <w:pStyle w:val="TAL1"/>
              <w:rPr>
                <w:rFonts w:cs="Arial"/>
                <w:lang w:eastAsia="en-US"/>
              </w:rPr>
            </w:pPr>
            <w:r>
              <w:rPr>
                <w:rFonts w:cs="Arial"/>
                <w:lang w:eastAsia="en-US"/>
              </w:rPr>
              <w:t>Influence of the calibration antenna feed cable</w:t>
            </w:r>
          </w:p>
        </w:tc>
        <w:tc>
          <w:tcPr>
            <w:tcW w:w="1600" w:type="dxa"/>
            <w:tcBorders>
              <w:bottom w:val="single" w:sz="4" w:space="0" w:color="000000"/>
              <w:right w:val="single" w:sz="4" w:space="0" w:color="000000"/>
            </w:tcBorders>
            <w:vAlign w:val="center"/>
          </w:tcPr>
          <w:p>
            <w:pPr>
              <w:pStyle w:val="TAC"/>
              <w:rPr>
                <w:rFonts w:cs="Arial"/>
                <w:lang w:eastAsia="en-US"/>
              </w:rPr>
            </w:pPr>
            <w:r>
              <w:rPr>
                <w:rFonts w:cs="Arial"/>
                <w:lang w:eastAsia="en-US"/>
              </w:rPr>
              <w:t>TS 34.114, E.6</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 </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 </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0.00</w:t>
            </w:r>
          </w:p>
        </w:tc>
      </w:tr>
      <w:tr>
        <w:trPr>
          <w:trHeight w:val="32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25</w:t>
            </w:r>
          </w:p>
        </w:tc>
        <w:tc>
          <w:tcPr>
            <w:tcW w:w="4300" w:type="dxa"/>
            <w:tcBorders>
              <w:bottom w:val="single" w:sz="4" w:space="0" w:color="000000"/>
              <w:right w:val="single" w:sz="4" w:space="0" w:color="000000"/>
            </w:tcBorders>
            <w:vAlign w:val="center"/>
          </w:tcPr>
          <w:p>
            <w:pPr>
              <w:pStyle w:val="TAL1"/>
              <w:rPr/>
            </w:pPr>
            <w:r>
              <w:rPr>
                <w:rFonts w:cs="Arial"/>
                <w:lang w:eastAsia="en-US"/>
              </w:rPr>
              <w:t>Influence of the transmitter antennas/probes cables</w:t>
            </w:r>
          </w:p>
        </w:tc>
        <w:tc>
          <w:tcPr>
            <w:tcW w:w="1600" w:type="dxa"/>
            <w:tcBorders>
              <w:bottom w:val="single" w:sz="4" w:space="0" w:color="000000"/>
              <w:right w:val="single" w:sz="4" w:space="0" w:color="000000"/>
            </w:tcBorders>
            <w:vAlign w:val="center"/>
          </w:tcPr>
          <w:p>
            <w:pPr>
              <w:pStyle w:val="TAC"/>
              <w:rPr>
                <w:rFonts w:cs="Arial"/>
                <w:lang w:eastAsia="en-US"/>
              </w:rPr>
            </w:pPr>
            <w:r>
              <w:rPr>
                <w:rFonts w:cs="Arial"/>
                <w:lang w:eastAsia="en-US"/>
              </w:rPr>
              <w:t>TS 34.114, E.6</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0.00</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rect</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0.00</w:t>
            </w:r>
          </w:p>
        </w:tc>
      </w:tr>
      <w:tr>
        <w:trPr>
          <w:trHeight w:val="48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26</w:t>
            </w:r>
          </w:p>
        </w:tc>
        <w:tc>
          <w:tcPr>
            <w:tcW w:w="4300" w:type="dxa"/>
            <w:tcBorders>
              <w:bottom w:val="single" w:sz="4" w:space="0" w:color="000000"/>
              <w:right w:val="single" w:sz="4" w:space="0" w:color="000000"/>
            </w:tcBorders>
            <w:vAlign w:val="center"/>
          </w:tcPr>
          <w:p>
            <w:pPr>
              <w:pStyle w:val="TAL1"/>
              <w:rPr>
                <w:rFonts w:cs="Arial"/>
                <w:lang w:eastAsia="en-US"/>
              </w:rPr>
            </w:pPr>
            <w:r>
              <w:rPr>
                <w:rFonts w:cs="Arial"/>
                <w:lang w:eastAsia="en-US"/>
              </w:rPr>
              <w:t xml:space="preserve">Uncertainty of the absolute gain of the transmitter antennas/probes </w:t>
            </w:r>
          </w:p>
        </w:tc>
        <w:tc>
          <w:tcPr>
            <w:tcW w:w="1600" w:type="dxa"/>
            <w:tcBorders>
              <w:bottom w:val="single" w:sz="4" w:space="0" w:color="000000"/>
              <w:right w:val="single" w:sz="4" w:space="0" w:color="000000"/>
            </w:tcBorders>
            <w:vAlign w:val="center"/>
          </w:tcPr>
          <w:p>
            <w:pPr>
              <w:pStyle w:val="TAC"/>
              <w:rPr>
                <w:rFonts w:cs="Arial"/>
                <w:lang w:eastAsia="en-US"/>
              </w:rPr>
            </w:pPr>
            <w:r>
              <w:rPr>
                <w:rFonts w:cs="Arial"/>
                <w:lang w:eastAsia="en-US"/>
              </w:rPr>
              <w:t>TS 34.114, E.7</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0.00</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rect</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0.00</w:t>
            </w:r>
          </w:p>
        </w:tc>
      </w:tr>
      <w:tr>
        <w:trPr>
          <w:trHeight w:val="48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27</w:t>
            </w:r>
          </w:p>
        </w:tc>
        <w:tc>
          <w:tcPr>
            <w:tcW w:w="4300" w:type="dxa"/>
            <w:tcBorders>
              <w:bottom w:val="single" w:sz="4" w:space="0" w:color="000000"/>
              <w:right w:val="single" w:sz="4" w:space="0" w:color="000000"/>
            </w:tcBorders>
            <w:vAlign w:val="center"/>
          </w:tcPr>
          <w:p>
            <w:pPr>
              <w:pStyle w:val="TAL1"/>
              <w:rPr/>
            </w:pPr>
            <w:r>
              <w:rPr>
                <w:rFonts w:cs="Arial"/>
                <w:lang w:eastAsia="en-US"/>
              </w:rPr>
              <w:t>Uncertainty of the absolute gain/radiation efficiency of the calibration antenna</w:t>
            </w:r>
          </w:p>
        </w:tc>
        <w:tc>
          <w:tcPr>
            <w:tcW w:w="1600" w:type="dxa"/>
            <w:tcBorders>
              <w:bottom w:val="single" w:sz="4" w:space="0" w:color="000000"/>
              <w:right w:val="single" w:sz="4" w:space="0" w:color="000000"/>
            </w:tcBorders>
            <w:vAlign w:val="center"/>
          </w:tcPr>
          <w:p>
            <w:pPr>
              <w:pStyle w:val="TAC"/>
              <w:rPr>
                <w:rFonts w:cs="Arial"/>
                <w:lang w:eastAsia="en-US"/>
              </w:rPr>
            </w:pPr>
            <w:r>
              <w:rPr>
                <w:rFonts w:cs="Arial"/>
                <w:lang w:eastAsia="en-US"/>
              </w:rPr>
              <w:t>TS 34.114, E.16</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0.50</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std</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0.50</w:t>
            </w:r>
          </w:p>
        </w:tc>
      </w:tr>
      <w:tr>
        <w:trPr>
          <w:trHeight w:val="32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28</w:t>
            </w:r>
          </w:p>
        </w:tc>
        <w:tc>
          <w:tcPr>
            <w:tcW w:w="4300" w:type="dxa"/>
            <w:tcBorders>
              <w:bottom w:val="single" w:sz="4" w:space="0" w:color="000000"/>
              <w:right w:val="single" w:sz="4" w:space="0" w:color="000000"/>
            </w:tcBorders>
            <w:vAlign w:val="center"/>
          </w:tcPr>
          <w:p>
            <w:pPr>
              <w:pStyle w:val="TAL1"/>
              <w:rPr>
                <w:rFonts w:cs="Arial"/>
                <w:lang w:eastAsia="en-US"/>
              </w:rPr>
            </w:pPr>
            <w:r>
              <w:rPr>
                <w:rFonts w:cs="Arial"/>
                <w:lang w:eastAsia="en-US"/>
              </w:rPr>
              <w:t>Chamber statistical ripple and repeatability</w:t>
            </w:r>
          </w:p>
        </w:tc>
        <w:tc>
          <w:tcPr>
            <w:tcW w:w="1600" w:type="dxa"/>
            <w:tcBorders>
              <w:bottom w:val="single" w:sz="4" w:space="0" w:color="000000"/>
              <w:right w:val="single" w:sz="4" w:space="0" w:color="000000"/>
            </w:tcBorders>
            <w:vAlign w:val="center"/>
          </w:tcPr>
          <w:p>
            <w:pPr>
              <w:pStyle w:val="TAC"/>
              <w:rPr>
                <w:rFonts w:cs="Arial"/>
                <w:lang w:eastAsia="en-US"/>
              </w:rPr>
            </w:pPr>
            <w:r>
              <w:rPr>
                <w:rFonts w:cs="Arial"/>
                <w:lang w:eastAsia="en-US"/>
              </w:rPr>
              <w:t>TS 34.114, E.26.A</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 </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 </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0.00</w:t>
            </w:r>
          </w:p>
        </w:tc>
      </w:tr>
      <w:tr>
        <w:trPr>
          <w:trHeight w:val="32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29</w:t>
            </w:r>
          </w:p>
        </w:tc>
        <w:tc>
          <w:tcPr>
            <w:tcW w:w="4300" w:type="dxa"/>
            <w:tcBorders>
              <w:bottom w:val="single" w:sz="4" w:space="0" w:color="000000"/>
              <w:right w:val="single" w:sz="4" w:space="0" w:color="000000"/>
            </w:tcBorders>
            <w:vAlign w:val="center"/>
          </w:tcPr>
          <w:p>
            <w:pPr>
              <w:pStyle w:val="TAL1"/>
              <w:rPr/>
            </w:pPr>
            <w:r>
              <w:rPr>
                <w:rFonts w:cs="Arial"/>
                <w:lang w:eastAsia="en-US"/>
              </w:rPr>
              <w:t>Phase Centre Offset (when using horn to calibrate)</w:t>
            </w:r>
          </w:p>
        </w:tc>
        <w:tc>
          <w:tcPr>
            <w:tcW w:w="1600" w:type="dxa"/>
            <w:tcBorders>
              <w:bottom w:val="single" w:sz="4" w:space="0" w:color="000000"/>
              <w:right w:val="single" w:sz="4" w:space="0" w:color="000000"/>
            </w:tcBorders>
            <w:vAlign w:val="center"/>
          </w:tcPr>
          <w:p>
            <w:pPr>
              <w:pStyle w:val="TAC"/>
              <w:rPr>
                <w:rFonts w:cs="Arial"/>
                <w:lang w:eastAsia="en-US"/>
              </w:rPr>
            </w:pPr>
            <w:r>
              <w:rPr>
                <w:rFonts w:cs="Arial"/>
                <w:lang w:eastAsia="en-US"/>
              </w:rPr>
              <w:t>TS 34.114, E.9</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0.00</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rect</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0.00</w:t>
            </w:r>
          </w:p>
        </w:tc>
      </w:tr>
      <w:tr>
        <w:trPr>
          <w:trHeight w:val="32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30</w:t>
            </w:r>
          </w:p>
        </w:tc>
        <w:tc>
          <w:tcPr>
            <w:tcW w:w="4300" w:type="dxa"/>
            <w:tcBorders>
              <w:bottom w:val="single" w:sz="4" w:space="0" w:color="000000"/>
              <w:right w:val="single" w:sz="4" w:space="0" w:color="000000"/>
            </w:tcBorders>
            <w:vAlign w:val="center"/>
          </w:tcPr>
          <w:p>
            <w:pPr>
              <w:pStyle w:val="TAL1"/>
              <w:rPr>
                <w:rFonts w:cs="Arial"/>
                <w:lang w:eastAsia="en-US"/>
              </w:rPr>
            </w:pPr>
            <w:r>
              <w:rPr>
                <w:rFonts w:cs="Arial"/>
                <w:lang w:eastAsia="en-US"/>
              </w:rPr>
              <w:t>Quality of the quiet zone (Range Ref. Antenna)</w:t>
            </w:r>
          </w:p>
        </w:tc>
        <w:tc>
          <w:tcPr>
            <w:tcW w:w="1600" w:type="dxa"/>
            <w:tcBorders>
              <w:bottom w:val="single" w:sz="4" w:space="0" w:color="000000"/>
              <w:right w:val="single" w:sz="4" w:space="0" w:color="000000"/>
            </w:tcBorders>
            <w:vAlign w:val="center"/>
          </w:tcPr>
          <w:p>
            <w:pPr>
              <w:pStyle w:val="TAC"/>
              <w:rPr/>
            </w:pPr>
            <w:r>
              <w:rPr>
                <w:rFonts w:cs="Arial"/>
                <w:lang w:eastAsia="en-US"/>
              </w:rPr>
              <w:t>TS 34.114, E.10</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0.50</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rect</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0.29</w:t>
            </w:r>
          </w:p>
        </w:tc>
      </w:tr>
      <w:tr>
        <w:trPr>
          <w:trHeight w:val="32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 </w:t>
            </w:r>
          </w:p>
        </w:tc>
        <w:tc>
          <w:tcPr>
            <w:tcW w:w="4300" w:type="dxa"/>
            <w:tcBorders>
              <w:bottom w:val="single" w:sz="4" w:space="0" w:color="000000"/>
              <w:right w:val="single" w:sz="4" w:space="0" w:color="000000"/>
            </w:tcBorders>
            <w:shd w:fill="FFFF99" w:val="clear"/>
            <w:vAlign w:val="center"/>
          </w:tcPr>
          <w:p>
            <w:pPr>
              <w:pStyle w:val="TAH"/>
              <w:rPr>
                <w:rFonts w:cs="Arial"/>
                <w:lang w:eastAsia="en-US"/>
              </w:rPr>
            </w:pPr>
            <w:r>
              <w:rPr>
                <w:rFonts w:cs="Arial"/>
                <w:lang w:eastAsia="en-US"/>
              </w:rPr>
              <w:t>External Amplifiers</w:t>
            </w:r>
          </w:p>
        </w:tc>
        <w:tc>
          <w:tcPr>
            <w:tcW w:w="1600" w:type="dxa"/>
            <w:tcBorders>
              <w:bottom w:val="single" w:sz="4" w:space="0" w:color="000000"/>
              <w:right w:val="single" w:sz="4" w:space="0" w:color="000000"/>
            </w:tcBorders>
            <w:shd w:fill="FFFF99" w:val="clear"/>
            <w:vAlign w:val="center"/>
          </w:tcPr>
          <w:p>
            <w:pPr>
              <w:pStyle w:val="TAH"/>
              <w:rPr>
                <w:rFonts w:cs="Arial"/>
                <w:lang w:eastAsia="en-US"/>
              </w:rPr>
            </w:pPr>
            <w:r>
              <w:rPr>
                <w:rFonts w:cs="Arial"/>
                <w:lang w:eastAsia="en-US"/>
              </w:rPr>
              <w:t> </w:t>
            </w:r>
          </w:p>
        </w:tc>
        <w:tc>
          <w:tcPr>
            <w:tcW w:w="1420" w:type="dxa"/>
            <w:tcBorders>
              <w:bottom w:val="single" w:sz="4" w:space="0" w:color="000000"/>
              <w:right w:val="single" w:sz="4" w:space="0" w:color="000000"/>
            </w:tcBorders>
            <w:vAlign w:val="bottom"/>
          </w:tcPr>
          <w:p>
            <w:pPr>
              <w:pStyle w:val="TAH"/>
              <w:rPr>
                <w:rFonts w:cs="Arial"/>
                <w:lang w:eastAsia="en-US"/>
              </w:rPr>
            </w:pPr>
            <w:r>
              <w:rPr>
                <w:rFonts w:cs="Arial"/>
                <w:lang w:eastAsia="en-US"/>
              </w:rPr>
              <w:t> </w:t>
            </w:r>
          </w:p>
        </w:tc>
        <w:tc>
          <w:tcPr>
            <w:tcW w:w="1180" w:type="dxa"/>
            <w:tcBorders>
              <w:bottom w:val="single" w:sz="4" w:space="0" w:color="000000"/>
              <w:right w:val="single" w:sz="4" w:space="0" w:color="000000"/>
            </w:tcBorders>
            <w:vAlign w:val="bottom"/>
          </w:tcPr>
          <w:p>
            <w:pPr>
              <w:pStyle w:val="TAH"/>
              <w:rPr>
                <w:rFonts w:cs="Arial"/>
                <w:lang w:eastAsia="en-US"/>
              </w:rPr>
            </w:pPr>
            <w:r>
              <w:rPr>
                <w:rFonts w:cs="Arial"/>
                <w:lang w:eastAsia="en-US"/>
              </w:rPr>
              <w:t> </w:t>
            </w:r>
          </w:p>
        </w:tc>
        <w:tc>
          <w:tcPr>
            <w:tcW w:w="1420" w:type="dxa"/>
            <w:tcBorders>
              <w:bottom w:val="single" w:sz="4" w:space="0" w:color="000000"/>
              <w:right w:val="single" w:sz="4" w:space="0" w:color="000000"/>
            </w:tcBorders>
            <w:vAlign w:val="bottom"/>
          </w:tcPr>
          <w:p>
            <w:pPr>
              <w:pStyle w:val="TAH"/>
              <w:rPr>
                <w:rFonts w:cs="Arial"/>
                <w:lang w:eastAsia="en-US"/>
              </w:rPr>
            </w:pPr>
            <w:r>
              <w:rPr>
                <w:rFonts w:cs="Arial"/>
                <w:lang w:eastAsia="en-US"/>
              </w:rPr>
              <w:t>0.00</w:t>
            </w:r>
          </w:p>
        </w:tc>
      </w:tr>
      <w:tr>
        <w:trPr>
          <w:trHeight w:val="32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31</w:t>
            </w:r>
          </w:p>
        </w:tc>
        <w:tc>
          <w:tcPr>
            <w:tcW w:w="4300" w:type="dxa"/>
            <w:tcBorders>
              <w:bottom w:val="single" w:sz="4" w:space="0" w:color="000000"/>
              <w:right w:val="single" w:sz="4" w:space="0" w:color="000000"/>
            </w:tcBorders>
            <w:vAlign w:val="bottom"/>
          </w:tcPr>
          <w:p>
            <w:pPr>
              <w:pStyle w:val="TAL1"/>
              <w:rPr>
                <w:rFonts w:cs="Arial"/>
                <w:lang w:eastAsia="en-US"/>
              </w:rPr>
            </w:pPr>
            <w:r>
              <w:rPr>
                <w:rFonts w:cs="Arial"/>
                <w:lang w:eastAsia="en-US"/>
              </w:rPr>
              <w:t>Stability</w:t>
            </w:r>
          </w:p>
        </w:tc>
        <w:tc>
          <w:tcPr>
            <w:tcW w:w="1600" w:type="dxa"/>
            <w:tcBorders>
              <w:bottom w:val="single" w:sz="4" w:space="0" w:color="000000"/>
              <w:right w:val="single" w:sz="4" w:space="0" w:color="000000"/>
            </w:tcBorders>
            <w:vAlign w:val="center"/>
          </w:tcPr>
          <w:p>
            <w:pPr>
              <w:pStyle w:val="TAC"/>
              <w:rPr/>
            </w:pPr>
            <w:r>
              <w:rPr>
                <w:rFonts w:eastAsia="PMingLiU;新細明體" w:cs="Arial"/>
                <w:lang w:eastAsia="zh-TW"/>
              </w:rPr>
              <w:t>N</w:t>
            </w:r>
            <w:r>
              <w:rPr>
                <w:rFonts w:cs="Arial"/>
                <w:lang w:eastAsia="en-US"/>
              </w:rPr>
              <w:t>.</w:t>
            </w:r>
            <w:r>
              <w:rPr>
                <w:rFonts w:eastAsia="PMingLiU;新細明體" w:cs="Arial"/>
                <w:lang w:eastAsia="zh-TW"/>
              </w:rPr>
              <w:t>3</w:t>
            </w:r>
            <w:r>
              <w:rPr>
                <w:rFonts w:cs="Arial"/>
                <w:lang w:eastAsia="en-US"/>
              </w:rPr>
              <w:t>.1</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0.30</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rect</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0.17</w:t>
            </w:r>
          </w:p>
        </w:tc>
      </w:tr>
      <w:tr>
        <w:trPr>
          <w:trHeight w:val="32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32</w:t>
            </w:r>
          </w:p>
        </w:tc>
        <w:tc>
          <w:tcPr>
            <w:tcW w:w="4300" w:type="dxa"/>
            <w:tcBorders>
              <w:bottom w:val="single" w:sz="4" w:space="0" w:color="000000"/>
              <w:right w:val="single" w:sz="4" w:space="0" w:color="000000"/>
            </w:tcBorders>
            <w:vAlign w:val="bottom"/>
          </w:tcPr>
          <w:p>
            <w:pPr>
              <w:pStyle w:val="TAL1"/>
              <w:rPr>
                <w:rFonts w:cs="Arial"/>
                <w:lang w:eastAsia="en-US"/>
              </w:rPr>
            </w:pPr>
            <w:r>
              <w:rPr>
                <w:rFonts w:cs="Arial"/>
                <w:lang w:eastAsia="en-US"/>
              </w:rPr>
              <w:t>Linearity</w:t>
            </w:r>
          </w:p>
        </w:tc>
        <w:tc>
          <w:tcPr>
            <w:tcW w:w="1600" w:type="dxa"/>
            <w:tcBorders>
              <w:bottom w:val="single" w:sz="4" w:space="0" w:color="000000"/>
              <w:right w:val="single" w:sz="4" w:space="0" w:color="000000"/>
            </w:tcBorders>
            <w:vAlign w:val="center"/>
          </w:tcPr>
          <w:p>
            <w:pPr>
              <w:pStyle w:val="TAC"/>
              <w:rPr/>
            </w:pPr>
            <w:r>
              <w:rPr>
                <w:rFonts w:eastAsia="PMingLiU;新細明體" w:cs="Arial"/>
                <w:lang w:eastAsia="zh-TW"/>
              </w:rPr>
              <w:t>N</w:t>
            </w:r>
            <w:r>
              <w:rPr>
                <w:rFonts w:cs="Arial"/>
                <w:lang w:eastAsia="en-US"/>
              </w:rPr>
              <w:t>.</w:t>
            </w:r>
            <w:r>
              <w:rPr>
                <w:rFonts w:eastAsia="PMingLiU;新細明體" w:cs="Arial"/>
                <w:lang w:eastAsia="zh-TW"/>
              </w:rPr>
              <w:t>3</w:t>
            </w:r>
            <w:r>
              <w:rPr>
                <w:rFonts w:cs="Arial"/>
                <w:lang w:eastAsia="en-US"/>
              </w:rPr>
              <w:t>.2</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0.10</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rect</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0.06</w:t>
            </w:r>
          </w:p>
        </w:tc>
      </w:tr>
      <w:tr>
        <w:trPr>
          <w:trHeight w:val="32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33</w:t>
            </w:r>
          </w:p>
        </w:tc>
        <w:tc>
          <w:tcPr>
            <w:tcW w:w="4300" w:type="dxa"/>
            <w:tcBorders>
              <w:bottom w:val="single" w:sz="4" w:space="0" w:color="000000"/>
              <w:right w:val="single" w:sz="4" w:space="0" w:color="000000"/>
            </w:tcBorders>
            <w:vAlign w:val="bottom"/>
          </w:tcPr>
          <w:p>
            <w:pPr>
              <w:pStyle w:val="TAL1"/>
              <w:rPr>
                <w:rFonts w:cs="Arial"/>
                <w:lang w:eastAsia="en-US"/>
              </w:rPr>
            </w:pPr>
            <w:r>
              <w:rPr>
                <w:rFonts w:cs="Arial"/>
                <w:lang w:eastAsia="en-US"/>
              </w:rPr>
              <w:t>Noise Figure</w:t>
            </w:r>
          </w:p>
        </w:tc>
        <w:tc>
          <w:tcPr>
            <w:tcW w:w="1600" w:type="dxa"/>
            <w:tcBorders>
              <w:bottom w:val="single" w:sz="4" w:space="0" w:color="000000"/>
              <w:right w:val="single" w:sz="4" w:space="0" w:color="000000"/>
            </w:tcBorders>
            <w:vAlign w:val="center"/>
          </w:tcPr>
          <w:p>
            <w:pPr>
              <w:pStyle w:val="TAC"/>
              <w:rPr/>
            </w:pPr>
            <w:r>
              <w:rPr>
                <w:rFonts w:eastAsia="PMingLiU;新細明體" w:cs="Arial"/>
                <w:lang w:eastAsia="zh-TW"/>
              </w:rPr>
              <w:t>N</w:t>
            </w:r>
            <w:r>
              <w:rPr>
                <w:rFonts w:cs="Arial"/>
                <w:lang w:eastAsia="en-US"/>
              </w:rPr>
              <w:t>.</w:t>
            </w:r>
            <w:r>
              <w:rPr>
                <w:rFonts w:eastAsia="PMingLiU;新細明體" w:cs="Arial"/>
                <w:lang w:eastAsia="zh-TW"/>
              </w:rPr>
              <w:t>3</w:t>
            </w:r>
            <w:r>
              <w:rPr>
                <w:rFonts w:cs="Arial"/>
                <w:lang w:eastAsia="en-US"/>
              </w:rPr>
              <w:t>.3</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0.30</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rect</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0.17</w:t>
            </w:r>
          </w:p>
        </w:tc>
      </w:tr>
      <w:tr>
        <w:trPr>
          <w:trHeight w:val="32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34</w:t>
            </w:r>
          </w:p>
        </w:tc>
        <w:tc>
          <w:tcPr>
            <w:tcW w:w="4300" w:type="dxa"/>
            <w:tcBorders>
              <w:bottom w:val="single" w:sz="4" w:space="0" w:color="000000"/>
              <w:right w:val="single" w:sz="4" w:space="0" w:color="000000"/>
            </w:tcBorders>
            <w:vAlign w:val="bottom"/>
          </w:tcPr>
          <w:p>
            <w:pPr>
              <w:pStyle w:val="TAL1"/>
              <w:rPr>
                <w:rFonts w:cs="Arial"/>
                <w:lang w:eastAsia="en-US"/>
              </w:rPr>
            </w:pPr>
            <w:r>
              <w:rPr>
                <w:rFonts w:cs="Arial"/>
                <w:lang w:eastAsia="en-US"/>
              </w:rPr>
              <w:t>Mismatch</w:t>
            </w:r>
          </w:p>
        </w:tc>
        <w:tc>
          <w:tcPr>
            <w:tcW w:w="1600" w:type="dxa"/>
            <w:tcBorders>
              <w:bottom w:val="single" w:sz="4" w:space="0" w:color="000000"/>
              <w:right w:val="single" w:sz="4" w:space="0" w:color="000000"/>
            </w:tcBorders>
            <w:vAlign w:val="center"/>
          </w:tcPr>
          <w:p>
            <w:pPr>
              <w:pStyle w:val="TAC"/>
              <w:rPr/>
            </w:pPr>
            <w:r>
              <w:rPr>
                <w:rFonts w:eastAsia="PMingLiU;新細明體" w:cs="Arial"/>
                <w:lang w:eastAsia="zh-TW"/>
              </w:rPr>
              <w:t>N</w:t>
            </w:r>
            <w:r>
              <w:rPr>
                <w:rFonts w:cs="Arial"/>
                <w:lang w:eastAsia="en-US"/>
              </w:rPr>
              <w:t>.</w:t>
            </w:r>
            <w:r>
              <w:rPr>
                <w:rFonts w:eastAsia="PMingLiU;新細明體" w:cs="Arial"/>
                <w:lang w:eastAsia="zh-TW"/>
              </w:rPr>
              <w:t>3</w:t>
            </w:r>
            <w:r>
              <w:rPr>
                <w:rFonts w:cs="Arial"/>
                <w:lang w:eastAsia="en-US"/>
              </w:rPr>
              <w:t>.4</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0.00</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rect</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0.00</w:t>
            </w:r>
          </w:p>
        </w:tc>
      </w:tr>
      <w:tr>
        <w:trPr>
          <w:trHeight w:val="320" w:hRule="atLeast"/>
        </w:trPr>
        <w:tc>
          <w:tcPr>
            <w:tcW w:w="560" w:type="dxa"/>
            <w:tcBorders>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35</w:t>
            </w:r>
          </w:p>
        </w:tc>
        <w:tc>
          <w:tcPr>
            <w:tcW w:w="4300" w:type="dxa"/>
            <w:tcBorders>
              <w:bottom w:val="single" w:sz="4" w:space="0" w:color="000000"/>
              <w:right w:val="single" w:sz="4" w:space="0" w:color="000000"/>
            </w:tcBorders>
            <w:vAlign w:val="bottom"/>
          </w:tcPr>
          <w:p>
            <w:pPr>
              <w:pStyle w:val="TAL1"/>
              <w:rPr>
                <w:rFonts w:cs="Arial"/>
                <w:lang w:eastAsia="en-US"/>
              </w:rPr>
            </w:pPr>
            <w:r>
              <w:rPr>
                <w:rFonts w:cs="Arial"/>
                <w:lang w:eastAsia="en-US"/>
              </w:rPr>
              <w:t>Gain</w:t>
            </w:r>
          </w:p>
        </w:tc>
        <w:tc>
          <w:tcPr>
            <w:tcW w:w="1600" w:type="dxa"/>
            <w:tcBorders>
              <w:bottom w:val="single" w:sz="4" w:space="0" w:color="000000"/>
              <w:right w:val="single" w:sz="4" w:space="0" w:color="000000"/>
            </w:tcBorders>
            <w:vAlign w:val="center"/>
          </w:tcPr>
          <w:p>
            <w:pPr>
              <w:pStyle w:val="TAC"/>
              <w:rPr/>
            </w:pPr>
            <w:r>
              <w:rPr>
                <w:rFonts w:eastAsia="PMingLiU;新細明體" w:cs="Arial"/>
                <w:lang w:eastAsia="zh-TW"/>
              </w:rPr>
              <w:t>N</w:t>
            </w:r>
            <w:r>
              <w:rPr>
                <w:rFonts w:cs="Arial"/>
                <w:lang w:eastAsia="en-US"/>
              </w:rPr>
              <w:t>.</w:t>
            </w:r>
            <w:r>
              <w:rPr>
                <w:rFonts w:eastAsia="PMingLiU;新細明體" w:cs="Arial"/>
                <w:lang w:eastAsia="zh-TW"/>
              </w:rPr>
              <w:t>3</w:t>
            </w:r>
            <w:r>
              <w:rPr>
                <w:rFonts w:cs="Arial"/>
                <w:lang w:eastAsia="en-US"/>
              </w:rPr>
              <w:t>.5</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0.00</w:t>
            </w:r>
          </w:p>
        </w:tc>
        <w:tc>
          <w:tcPr>
            <w:tcW w:w="1180" w:type="dxa"/>
            <w:tcBorders>
              <w:bottom w:val="single" w:sz="4" w:space="0" w:color="000000"/>
              <w:right w:val="single" w:sz="4" w:space="0" w:color="000000"/>
            </w:tcBorders>
            <w:vAlign w:val="bottom"/>
          </w:tcPr>
          <w:p>
            <w:pPr>
              <w:pStyle w:val="TAC"/>
              <w:rPr>
                <w:rFonts w:cs="Arial"/>
                <w:lang w:eastAsia="en-US"/>
              </w:rPr>
            </w:pPr>
            <w:r>
              <w:rPr>
                <w:rFonts w:cs="Arial"/>
                <w:lang w:eastAsia="en-US"/>
              </w:rPr>
              <w:t>rect</w:t>
            </w:r>
          </w:p>
        </w:tc>
        <w:tc>
          <w:tcPr>
            <w:tcW w:w="1420" w:type="dxa"/>
            <w:tcBorders>
              <w:bottom w:val="single" w:sz="4" w:space="0" w:color="000000"/>
              <w:right w:val="single" w:sz="4" w:space="0" w:color="000000"/>
            </w:tcBorders>
            <w:vAlign w:val="bottom"/>
          </w:tcPr>
          <w:p>
            <w:pPr>
              <w:pStyle w:val="TAC"/>
              <w:rPr>
                <w:rFonts w:cs="Arial"/>
                <w:lang w:eastAsia="en-US"/>
              </w:rPr>
            </w:pPr>
            <w:r>
              <w:rPr>
                <w:rFonts w:cs="Arial"/>
                <w:lang w:eastAsia="en-US"/>
              </w:rPr>
              <w:t>0.00</w:t>
            </w:r>
          </w:p>
        </w:tc>
      </w:tr>
    </w:tbl>
    <w:p>
      <w:pPr>
        <w:pStyle w:val="Normal"/>
        <w:spacing w:before="0" w:after="0"/>
        <w:rPr/>
      </w:pPr>
      <w:r>
        <w:rPr/>
      </w:r>
    </w:p>
    <w:p>
      <w:pPr>
        <w:pStyle w:val="NO"/>
        <w:rPr/>
      </w:pPr>
      <w:r>
        <w:rPr/>
        <w:t>NOTE 1:</w:t>
        <w:tab/>
        <w:t>0dB if fading for RTS is done in baseband; same as RC&amp;CE and MPAC if fading is not in baseband</w:t>
      </w:r>
    </w:p>
    <w:p>
      <w:pPr>
        <w:pStyle w:val="NO"/>
        <w:rPr/>
      </w:pPr>
      <w:r>
        <w:rPr/>
        <w:t>NOTE 2:</w:t>
        <w:tab/>
        <w:t>assumption is that MU set to 0dB with channel model validation pass/fail limits (FFS) that have negligible impact on TP FOM; MU for channel model validation is FFS</w:t>
      </w:r>
    </w:p>
    <w:p>
      <w:pPr>
        <w:pStyle w:val="NO"/>
        <w:rPr/>
      </w:pPr>
      <w:r>
        <w:rPr/>
        <w:t>NOTE 3:</w:t>
        <w:tab/>
        <w:t>Analysis of the element associated with stirring method and number of subframes is based on existing harmonization test campaign data and can be further augmented by additional measurements. The following combinations of stirring modes and number of subframes have been identified as common use cases with the following standard uncertainties (different combinations require separate validation):</w:t>
      </w:r>
    </w:p>
    <w:p>
      <w:pPr>
        <w:pStyle w:val="NO"/>
        <w:rPr/>
      </w:pPr>
      <w:r>
        <w:rPr/>
        <w:tab/>
        <w:t>A: stepped stirring mode with 20k SF per stirring state: 0dB</w:t>
      </w:r>
    </w:p>
    <w:p>
      <w:pPr>
        <w:pStyle w:val="NO"/>
        <w:rPr/>
      </w:pPr>
      <w:r>
        <w:rPr/>
        <w:tab/>
        <w:t>B: stepped stirring mode with 400 SF per stirring state: 0.22dB</w:t>
      </w:r>
    </w:p>
    <w:p>
      <w:pPr>
        <w:pStyle w:val="NO"/>
        <w:rPr/>
      </w:pPr>
      <w:r>
        <w:rPr/>
        <w:tab/>
        <w:t>C: continuous stirring mode with 20k SF per sample: FFS</w:t>
      </w:r>
    </w:p>
    <w:p>
      <w:pPr>
        <w:pStyle w:val="NO"/>
        <w:rPr/>
      </w:pPr>
      <w:r>
        <w:rPr/>
        <w:tab/>
        <w:t>D: continuous stirring mode with 400 SF per sample: FFS</w:t>
      </w:r>
    </w:p>
    <w:p>
      <w:pPr>
        <w:pStyle w:val="NO"/>
        <w:rPr/>
      </w:pPr>
      <w:r>
        <w:rPr/>
        <w:tab/>
        <w:t>Until MU elements for continuous stirring modes have been defined, the test plan shall only consider stepped stirring approach</w:t>
      </w:r>
    </w:p>
    <w:p>
      <w:pPr>
        <w:pStyle w:val="NO"/>
        <w:rPr/>
      </w:pPr>
      <w:r>
        <w:rPr/>
        <w:t>NOTE 4:</w:t>
        <w:tab/>
        <w:t>As the applicability of SIR to MIMO OTA performance evaluation is FFS, the measurement uncertainty treatment for SIR related items will remain FFS. When the applicability of SIR is confirmed, the measurement uncertainty treatment defined in 3GPP TS 36.521-1 [1</w:t>
      </w:r>
      <w:r>
        <w:rPr>
          <w:rFonts w:eastAsia="PMingLiU;新細明體"/>
          <w:lang w:eastAsia="zh-TW"/>
        </w:rPr>
        <w:t>1</w:t>
      </w:r>
      <w:r>
        <w:rPr/>
        <w:t xml:space="preserve">] Table F.1.4-1 for line item 8.2.1.3.1 should be considered along with the related test system constraints. Any adjustments to the test system limits or uncertainty definitions necessary for MIMO OTA performance testing should be applied. </w:t>
      </w:r>
    </w:p>
    <w:p>
      <w:pPr>
        <w:pStyle w:val="Heading1"/>
        <w:ind w:left="1134" w:hanging="1134"/>
        <w:rPr/>
      </w:pPr>
      <w:bookmarkStart w:id="621" w:name="__RefHeading___Toc68601513"/>
      <w:bookmarkEnd w:id="621"/>
      <w:r>
        <w:rPr>
          <w:rFonts w:eastAsia="PMingLiU;新細明體"/>
          <w:lang w:eastAsia="zh-TW"/>
        </w:rPr>
        <w:t>N</w:t>
      </w:r>
      <w:r>
        <w:rPr/>
        <w:t>.2</w:t>
        <w:tab/>
        <w:t>Fading channel emulator output uncertainty</w:t>
      </w:r>
    </w:p>
    <w:p>
      <w:pPr>
        <w:pStyle w:val="Normal"/>
        <w:rPr/>
      </w:pPr>
      <w:r>
        <w:rPr/>
        <w:t>In the case where a fading channel emulator is used, the outputs of the fading channel emulator are used to drive signals through the amplifiers, if necessary, to the probe antennas in the MIMO OTA tests either as an absolute level or as a relative level. The receiving device used is a UE. Generally, an uncertainty contribution comes from the absolute level accuracy, non-linearity, and output signal stability of the fading channel emulator. All of the contributions should be considered. However, the applicability of each contribution is contingent on the specific measurement implementation and calibration procedure.</w:t>
      </w:r>
    </w:p>
    <w:p>
      <w:pPr>
        <w:pStyle w:val="Normal"/>
        <w:rPr/>
      </w:pPr>
      <w:r>
        <w:rPr/>
        <w:t>This uncertainty should be determined from the manufacturer’s data sheet expressed in dB with a rectangular distribution, unless otherwise informed (see clause 5.1.2 in [33]). Furthermore, the uncertainty of the non-linearity and the output signal stability of the device may be included in the absolute level uncertainty. If not, the non-linearity, output signal stability and output signal stability versus temperature should be determined from the manufacturer’s data sheet. Once determined, the non-linearity uncertainty and the output signal stability uncertainties should be combined with the output uncertainty using the RSS method.</w:t>
      </w:r>
    </w:p>
    <w:p>
      <w:pPr>
        <w:pStyle w:val="Heading1"/>
        <w:ind w:left="1134" w:hanging="1134"/>
        <w:rPr/>
      </w:pPr>
      <w:bookmarkStart w:id="622" w:name="__RefHeading___Toc68601514"/>
      <w:bookmarkEnd w:id="622"/>
      <w:r>
        <w:rPr>
          <w:rFonts w:eastAsia="PMingLiU;新細明體"/>
          <w:lang w:eastAsia="zh-TW"/>
        </w:rPr>
        <w:t>N</w:t>
      </w:r>
      <w:r>
        <w:rPr/>
        <w:t>.3</w:t>
        <w:tab/>
        <w:t>External Amplifiers Uncertainty Terms</w:t>
      </w:r>
    </w:p>
    <w:p>
      <w:pPr>
        <w:pStyle w:val="Normal"/>
        <w:rPr/>
      </w:pPr>
      <w:r>
        <w:rPr/>
        <w:t>Any components in the setup can potentially introduce measurement uncertainty. It is then needed to determine the uncertainty contributors associated with the use of such components. For the case of external amplifiers, the following uncertainties should be considered but the applicability is contingent to the measurement implementation and calibration procedure.</w:t>
      </w:r>
    </w:p>
    <w:p>
      <w:pPr>
        <w:pStyle w:val="Heading2"/>
        <w:rPr/>
      </w:pPr>
      <w:bookmarkStart w:id="623" w:name="__RefHeading___Toc68601515"/>
      <w:bookmarkEnd w:id="623"/>
      <w:r>
        <w:rPr>
          <w:rFonts w:eastAsia="PMingLiU;新細明體"/>
          <w:lang w:eastAsia="zh-TW"/>
        </w:rPr>
        <w:t>N</w:t>
      </w:r>
      <w:r>
        <w:rPr/>
        <w:t>.3.1</w:t>
        <w:tab/>
        <w:t>Stability</w:t>
      </w:r>
    </w:p>
    <w:p>
      <w:pPr>
        <w:pStyle w:val="Normal"/>
        <w:rPr/>
      </w:pPr>
      <w:r>
        <w:rPr/>
        <w:t>An uncertainty contribution comes from the output level stability of the amplifier. Even if the amplifier is part of the system for both measurement and calibration, the uncertainty due to the stability shall be considered. This uncertainty can be either measured or determined by the manufacturers’ data sheet for the operating conditions in which the system will be required to operate.</w:t>
      </w:r>
    </w:p>
    <w:p>
      <w:pPr>
        <w:pStyle w:val="Heading2"/>
        <w:rPr/>
      </w:pPr>
      <w:bookmarkStart w:id="624" w:name="__RefHeading___Toc68601516"/>
      <w:bookmarkEnd w:id="624"/>
      <w:r>
        <w:rPr>
          <w:rFonts w:eastAsia="PMingLiU;新細明體"/>
          <w:lang w:eastAsia="zh-TW"/>
        </w:rPr>
        <w:t>N</w:t>
      </w:r>
      <w:r>
        <w:rPr/>
        <w:t>.3.2</w:t>
        <w:tab/>
        <w:t>Linearity</w:t>
      </w:r>
    </w:p>
    <w:p>
      <w:pPr>
        <w:pStyle w:val="Normal"/>
        <w:rPr/>
      </w:pPr>
      <w:r>
        <w:rPr/>
        <w:t>An uncertainty contribution comes from the linearity of the amplifier since in most cases calibration and measurements are performed at two different input/output power levels. This uncertainty can be either measured or determined by the manufacturers’ data sheet.</w:t>
      </w:r>
    </w:p>
    <w:p>
      <w:pPr>
        <w:pStyle w:val="Heading2"/>
        <w:rPr/>
      </w:pPr>
      <w:bookmarkStart w:id="625" w:name="__RefHeading___Toc68601517"/>
      <w:bookmarkEnd w:id="625"/>
      <w:r>
        <w:rPr>
          <w:rFonts w:eastAsia="PMingLiU;新細明體"/>
          <w:lang w:eastAsia="zh-TW"/>
        </w:rPr>
        <w:t>N</w:t>
      </w:r>
      <w:r>
        <w:rPr/>
        <w:t>.3.3</w:t>
        <w:tab/>
        <w:t>Noise Figure</w:t>
      </w:r>
    </w:p>
    <w:p>
      <w:pPr>
        <w:pStyle w:val="Normal"/>
        <w:rPr/>
      </w:pPr>
      <w:r>
        <w:rPr/>
        <w:t>When the signal goes into an amplifier, noise is added so that the SNR at the output is reduced with regard to the SNR of the signal at the input. This added noise introduces error on the signal which affects the Error Rate of the receiver thus the EVM (Error Vector Magnitude). An uncertainty can be calculated through the following formula:</w:t>
      </w:r>
    </w:p>
    <w:p>
      <w:pPr>
        <w:pStyle w:val="EQ"/>
        <w:jc w:val="center"/>
        <w:rPr>
          <w:lang w:val="en-GB" w:eastAsia="en-GB"/>
        </w:rPr>
      </w:pPr>
      <w:r>
        <w:rPr>
          <w:lang w:val="en-GB" w:eastAsia="en-GB"/>
        </w:rPr>
        <w:drawing>
          <wp:inline distT="0" distB="0" distL="0" distR="0">
            <wp:extent cx="1924050" cy="485775"/>
            <wp:effectExtent l="0" t="0" r="0" b="0"/>
            <wp:docPr id="173" name="Image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151" descr=""/>
                    <pic:cNvPicPr>
                      <a:picLocks noChangeAspect="1" noChangeArrowheads="1"/>
                    </pic:cNvPicPr>
                  </pic:nvPicPr>
                  <pic:blipFill>
                    <a:blip r:embed="rId175"/>
                    <a:srcRect l="-19" t="-74" r="-19" b="-74"/>
                    <a:stretch>
                      <a:fillRect/>
                    </a:stretch>
                  </pic:blipFill>
                  <pic:spPr bwMode="auto">
                    <a:xfrm>
                      <a:off x="0" y="0"/>
                      <a:ext cx="1924050" cy="485775"/>
                    </a:xfrm>
                    <a:prstGeom prst="rect">
                      <a:avLst/>
                    </a:prstGeom>
                  </pic:spPr>
                </pic:pic>
              </a:graphicData>
            </a:graphic>
          </wp:inline>
        </w:drawing>
      </w:r>
    </w:p>
    <w:p>
      <w:pPr>
        <w:pStyle w:val="Normal"/>
        <w:rPr/>
      </w:pPr>
      <w:r>
        <w:rPr/>
        <w:t>where SNR is the signal to noise ratio in dB at the signal level used during the sensitivity measurement.</w:t>
      </w:r>
    </w:p>
    <w:p>
      <w:pPr>
        <w:pStyle w:val="Heading2"/>
        <w:rPr/>
      </w:pPr>
      <w:bookmarkStart w:id="626" w:name="__RefHeading___Toc68601518"/>
      <w:bookmarkEnd w:id="626"/>
      <w:r>
        <w:rPr>
          <w:rFonts w:eastAsia="PMingLiU;新細明體"/>
          <w:lang w:eastAsia="zh-TW"/>
        </w:rPr>
        <w:t>N</w:t>
      </w:r>
      <w:r>
        <w:rPr/>
        <w:t>.3.4</w:t>
        <w:tab/>
        <w:t>Mismatch</w:t>
      </w:r>
    </w:p>
    <w:p>
      <w:pPr>
        <w:pStyle w:val="Normal"/>
        <w:rPr/>
      </w:pPr>
      <w:r>
        <w:rPr/>
        <w:t>If the external amplifier is used for both stages, measurement and calibration the uncertainty contribution associated with it can be considered systematic and constant -&gt; 0dB. If it is not the case, the mismatch uncertainty at its input and output shall be either measured or determined by the method described in [</w:t>
      </w:r>
      <w:r>
        <w:rPr>
          <w:rFonts w:eastAsia="PMingLiU;新細明體"/>
          <w:lang w:eastAsia="zh-TW"/>
        </w:rPr>
        <w:t>3</w:t>
      </w:r>
      <w:r>
        <w:rPr/>
        <w:t>].</w:t>
      </w:r>
    </w:p>
    <w:p>
      <w:pPr>
        <w:pStyle w:val="Heading2"/>
        <w:rPr/>
      </w:pPr>
      <w:bookmarkStart w:id="627" w:name="__RefHeading___Toc68601519"/>
      <w:bookmarkEnd w:id="627"/>
      <w:r>
        <w:rPr>
          <w:rFonts w:eastAsia="PMingLiU;新細明體"/>
          <w:lang w:eastAsia="zh-TW"/>
        </w:rPr>
        <w:t>N</w:t>
      </w:r>
      <w:r>
        <w:rPr/>
        <w:t>.3.5</w:t>
        <w:tab/>
        <w:t>Gain</w:t>
      </w:r>
    </w:p>
    <w:p>
      <w:pPr>
        <w:pStyle w:val="Normal"/>
        <w:rPr>
          <w:rFonts w:eastAsia="PMingLiU;新細明體"/>
          <w:lang w:eastAsia="zh-TW"/>
        </w:rPr>
      </w:pPr>
      <w:r>
        <w:rPr/>
        <w:t>If the external amplifier is used for both stages, measurement and calibration the uncertainty contribution associated with it can be considered systematic and constant -&gt; 0dB. If it is not the case, this uncertainty shall be considered.</w:t>
      </w:r>
    </w:p>
    <w:p>
      <w:pPr>
        <w:pStyle w:val="Heading8"/>
        <w:ind w:left="0" w:hanging="0"/>
        <w:rPr/>
      </w:pPr>
      <w:bookmarkStart w:id="628" w:name="__RefHeading___Toc68601520"/>
      <w:bookmarkEnd w:id="628"/>
      <w:r>
        <w:rPr/>
        <w:t>Annex O (normative): Environmental conditions</w:t>
      </w:r>
    </w:p>
    <w:p>
      <w:pPr>
        <w:pStyle w:val="Heading1"/>
        <w:ind w:left="1134" w:hanging="1134"/>
        <w:rPr/>
      </w:pPr>
      <w:bookmarkStart w:id="629" w:name="__RefHeading___Toc68601521"/>
      <w:bookmarkEnd w:id="629"/>
      <w:r>
        <w:rPr/>
        <w:t>O.1</w:t>
        <w:tab/>
        <w:t>General</w:t>
      </w:r>
    </w:p>
    <w:p>
      <w:pPr>
        <w:pStyle w:val="Normal"/>
        <w:rPr/>
      </w:pPr>
      <w:r>
        <w:rPr>
          <w:rFonts w:cs="v5.0.0;Times New Roman"/>
        </w:rPr>
        <w:t>This normative annex specifies the environmental requirements of the UE. Within these limits the requirements of the present documents shall be fulfilled.</w:t>
      </w:r>
    </w:p>
    <w:p>
      <w:pPr>
        <w:pStyle w:val="Heading1"/>
        <w:ind w:left="1134" w:hanging="1134"/>
        <w:rPr/>
      </w:pPr>
      <w:bookmarkStart w:id="630" w:name="__RefHeading___Toc68601522"/>
      <w:r>
        <w:rPr/>
        <w:t>O.2</w:t>
        <w:tab/>
        <w:t>Environmental requirements</w:t>
      </w:r>
      <w:bookmarkEnd w:id="630"/>
      <w:r>
        <w:rPr/>
        <w:t xml:space="preserve"> </w:t>
      </w:r>
    </w:p>
    <w:p>
      <w:pPr>
        <w:pStyle w:val="Normal"/>
        <w:rPr>
          <w:rFonts w:cs="v5.0.0;Times New Roman"/>
        </w:rPr>
      </w:pPr>
      <w:r>
        <w:rPr>
          <w:rFonts w:cs="v5.0.0;Times New Roman"/>
        </w:rPr>
        <w:t>The requirements in this clause apply to all types of UE(s) and MS(s).</w:t>
      </w:r>
    </w:p>
    <w:p>
      <w:pPr>
        <w:pStyle w:val="Heading2"/>
        <w:rPr/>
      </w:pPr>
      <w:bookmarkStart w:id="631" w:name="__RefHeading___Toc68601523"/>
      <w:bookmarkEnd w:id="631"/>
      <w:r>
        <w:rPr/>
        <w:t>O.2.1</w:t>
        <w:tab/>
        <w:t>Temperature</w:t>
      </w:r>
    </w:p>
    <w:p>
      <w:pPr>
        <w:pStyle w:val="Normal"/>
        <w:rPr/>
      </w:pPr>
      <w:r>
        <w:rPr/>
        <w:t>All the OTA requirements are applicable in room temperature e.g. 25</w:t>
      </w:r>
      <w:r>
        <w:rPr>
          <w:rFonts w:eastAsia="Symbol" w:cs="Symbol" w:ascii="Symbol" w:hAnsi="Symbol"/>
        </w:rPr>
        <w:t></w:t>
      </w:r>
      <w:r>
        <w:rPr/>
        <w:t xml:space="preserve">C. </w:t>
      </w:r>
    </w:p>
    <w:p>
      <w:pPr>
        <w:pStyle w:val="Heading2"/>
        <w:rPr/>
      </w:pPr>
      <w:bookmarkStart w:id="632" w:name="__RefHeading___Toc68601524"/>
      <w:bookmarkEnd w:id="632"/>
      <w:r>
        <w:rPr/>
        <w:t>O.2.2</w:t>
        <w:tab/>
        <w:t>Voltage</w:t>
      </w:r>
    </w:p>
    <w:p>
      <w:pPr>
        <w:pStyle w:val="Normal"/>
        <w:rPr/>
      </w:pPr>
      <w:r>
        <w:rPr/>
        <w:t>The UE or MS shall be equipped with a real battery that is fully charged (in the beginning of the Test).</w:t>
      </w:r>
    </w:p>
    <w:p>
      <w:pPr>
        <w:pStyle w:val="Heading8"/>
        <w:ind w:left="0" w:hanging="0"/>
        <w:rPr/>
      </w:pPr>
      <w:bookmarkStart w:id="633" w:name="__RefHeading___Toc68601525"/>
      <w:bookmarkEnd w:id="633"/>
      <w:r>
        <w:rPr/>
        <w:t>Annex P (normative): Base Station (BS) configuration for Radiated Performance of Multiple-antenna Receivers</w:t>
      </w:r>
    </w:p>
    <w:p>
      <w:pPr>
        <w:pStyle w:val="Heading1"/>
        <w:ind w:left="1134" w:hanging="1134"/>
        <w:rPr/>
      </w:pPr>
      <w:bookmarkStart w:id="634" w:name="__RefHeading___Toc68601526"/>
      <w:bookmarkEnd w:id="634"/>
      <w:r>
        <w:rPr/>
        <w:t>P.1</w:t>
        <w:tab/>
        <w:t>eNodeB emulator settings</w:t>
      </w:r>
    </w:p>
    <w:p>
      <w:pPr>
        <w:pStyle w:val="Normal"/>
        <w:rPr/>
      </w:pPr>
      <w:r>
        <w:rPr/>
        <w:t>The eNodeB emulator parameters shall be set according to Table P.1-1</w:t>
      </w:r>
      <w:r>
        <w:rPr>
          <w:lang w:eastAsia="zh-CN"/>
        </w:rPr>
        <w:t xml:space="preserve"> for FDD and </w:t>
      </w:r>
      <w:r>
        <w:rPr/>
        <w:t>Table P.1-</w:t>
      </w:r>
      <w:r>
        <w:rPr>
          <w:lang w:eastAsia="zh-CN"/>
        </w:rPr>
        <w:t>2 for TDD</w:t>
      </w:r>
      <w:r>
        <w:rPr/>
        <w:t xml:space="preserve">. </w:t>
        <w:br/>
        <w:t>The settings for DL stream 1 and stream 2 are the same.</w:t>
      </w:r>
    </w:p>
    <w:p>
      <w:pPr>
        <w:pStyle w:val="TH"/>
        <w:rPr/>
      </w:pPr>
      <w:r>
        <w:rPr/>
        <w:t>Table P.1-1: Settings for FDD eNodeB emulator</w:t>
      </w:r>
    </w:p>
    <w:tbl>
      <w:tblPr>
        <w:tblW w:w="8621" w:type="dxa"/>
        <w:jc w:val="center"/>
        <w:tblInd w:w="0" w:type="dxa"/>
        <w:tblLayout w:type="fixed"/>
        <w:tblCellMar>
          <w:top w:w="0" w:type="dxa"/>
          <w:left w:w="108" w:type="dxa"/>
          <w:bottom w:w="0" w:type="dxa"/>
          <w:right w:w="108" w:type="dxa"/>
        </w:tblCellMar>
      </w:tblPr>
      <w:tblGrid>
        <w:gridCol w:w="3816"/>
        <w:gridCol w:w="1300"/>
        <w:gridCol w:w="3505"/>
      </w:tblGrid>
      <w:tr>
        <w:trPr>
          <w:cantSplit w:val="true"/>
        </w:trPr>
        <w:tc>
          <w:tcPr>
            <w:tcW w:w="3816" w:type="dxa"/>
            <w:tcBorders>
              <w:top w:val="single" w:sz="4" w:space="0" w:color="000000"/>
              <w:left w:val="single" w:sz="4" w:space="0" w:color="000000"/>
              <w:bottom w:val="single" w:sz="4" w:space="0" w:color="000000"/>
              <w:right w:val="single" w:sz="4" w:space="0" w:color="000000"/>
            </w:tcBorders>
            <w:shd w:fill="FFCC99" w:val="clear"/>
            <w:vAlign w:val="center"/>
          </w:tcPr>
          <w:p>
            <w:pPr>
              <w:pStyle w:val="TAH"/>
              <w:rPr>
                <w:rFonts w:cs="Arial"/>
                <w:lang w:eastAsia="en-US"/>
              </w:rPr>
            </w:pPr>
            <w:r>
              <w:rPr>
                <w:rFonts w:cs="Arial"/>
                <w:lang w:eastAsia="en-US"/>
              </w:rPr>
              <w:t>eNodeB settings (Note 1)</w:t>
            </w:r>
          </w:p>
        </w:tc>
        <w:tc>
          <w:tcPr>
            <w:tcW w:w="1300" w:type="dxa"/>
            <w:tcBorders>
              <w:top w:val="single" w:sz="4" w:space="0" w:color="000000"/>
              <w:left w:val="single" w:sz="4" w:space="0" w:color="000000"/>
              <w:bottom w:val="single" w:sz="4" w:space="0" w:color="000000"/>
              <w:right w:val="single" w:sz="4" w:space="0" w:color="000000"/>
            </w:tcBorders>
            <w:shd w:fill="FFCC99" w:val="clear"/>
            <w:vAlign w:val="center"/>
          </w:tcPr>
          <w:p>
            <w:pPr>
              <w:pStyle w:val="TAH"/>
              <w:rPr/>
            </w:pPr>
            <w:r>
              <w:rPr>
                <w:rFonts w:cs="Arial"/>
                <w:lang w:eastAsia="en-US"/>
              </w:rPr>
              <w:t>Unit</w:t>
            </w:r>
          </w:p>
        </w:tc>
        <w:tc>
          <w:tcPr>
            <w:tcW w:w="3505" w:type="dxa"/>
            <w:tcBorders>
              <w:top w:val="single" w:sz="4" w:space="0" w:color="000000"/>
              <w:left w:val="single" w:sz="4" w:space="0" w:color="000000"/>
              <w:bottom w:val="single" w:sz="4" w:space="0" w:color="000000"/>
              <w:right w:val="single" w:sz="4" w:space="0" w:color="000000"/>
            </w:tcBorders>
            <w:shd w:fill="FFCC99" w:val="clear"/>
            <w:vAlign w:val="center"/>
          </w:tcPr>
          <w:p>
            <w:pPr>
              <w:pStyle w:val="TAH"/>
              <w:rPr>
                <w:rFonts w:cs="Arial"/>
                <w:lang w:eastAsia="en-US"/>
              </w:rPr>
            </w:pPr>
            <w:r>
              <w:rPr>
                <w:rFonts w:cs="Arial"/>
                <w:lang w:eastAsia="en-US"/>
              </w:rPr>
              <w:t>Value </w:t>
            </w:r>
          </w:p>
        </w:tc>
      </w:tr>
      <w:tr>
        <w:trPr>
          <w:cantSplit w:val="true"/>
        </w:trPr>
        <w:tc>
          <w:tcPr>
            <w:tcW w:w="8621" w:type="dxa"/>
            <w:gridSpan w:val="3"/>
            <w:tcBorders>
              <w:top w:val="single" w:sz="4" w:space="0" w:color="000000"/>
              <w:left w:val="single" w:sz="4" w:space="0" w:color="000000"/>
              <w:bottom w:val="single" w:sz="4" w:space="0" w:color="000000"/>
              <w:right w:val="single" w:sz="4" w:space="0" w:color="000000"/>
            </w:tcBorders>
            <w:shd w:fill="99CCFF" w:val="clear"/>
            <w:vAlign w:val="center"/>
          </w:tcPr>
          <w:p>
            <w:pPr>
              <w:pStyle w:val="TAH"/>
              <w:rPr>
                <w:rFonts w:cs="Arial"/>
                <w:lang w:eastAsia="en-US"/>
              </w:rPr>
            </w:pPr>
            <w:r>
              <w:rPr>
                <w:rFonts w:cs="Arial"/>
                <w:lang w:eastAsia="en-US"/>
              </w:rPr>
              <w:t>Physical channel</w:t>
            </w:r>
          </w:p>
        </w:tc>
      </w:tr>
      <w:tr>
        <w:trPr>
          <w:cantSplit w:val="true"/>
        </w:trPr>
        <w:tc>
          <w:tcPr>
            <w:tcW w:w="3816"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Connection mode of UE</w:t>
            </w:r>
          </w:p>
        </w:tc>
        <w:tc>
          <w:tcPr>
            <w:tcW w:w="130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3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Connection established</w:t>
            </w:r>
          </w:p>
        </w:tc>
      </w:tr>
      <w:tr>
        <w:trPr>
          <w:cantSplit w:val="true"/>
        </w:trPr>
        <w:tc>
          <w:tcPr>
            <w:tcW w:w="3816"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DL MIMO mode</w:t>
            </w:r>
          </w:p>
        </w:tc>
        <w:tc>
          <w:tcPr>
            <w:tcW w:w="130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3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2 x 2 open loop spatial multiplexing</w:t>
            </w:r>
          </w:p>
        </w:tc>
      </w:tr>
      <w:tr>
        <w:trPr>
          <w:cantSplit w:val="true"/>
        </w:trPr>
        <w:tc>
          <w:tcPr>
            <w:tcW w:w="3816"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Duplex mode</w:t>
            </w:r>
          </w:p>
        </w:tc>
        <w:tc>
          <w:tcPr>
            <w:tcW w:w="130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3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FDD</w:t>
            </w:r>
          </w:p>
        </w:tc>
      </w:tr>
      <w:tr>
        <w:trPr>
          <w:cantSplit w:val="true"/>
        </w:trPr>
        <w:tc>
          <w:tcPr>
            <w:tcW w:w="3816"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Operating band</w:t>
              <w:br/>
              <w:t xml:space="preserve">(UL channel, </w:t>
              <w:br/>
              <w:t>DL channel)</w:t>
            </w:r>
          </w:p>
        </w:tc>
        <w:tc>
          <w:tcPr>
            <w:tcW w:w="130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3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Band 7 (21100, 3100)</w:t>
              <w:br/>
              <w:t>Band 20 (24300, 6300)</w:t>
            </w:r>
          </w:p>
        </w:tc>
      </w:tr>
      <w:tr>
        <w:trPr>
          <w:cantSplit w:val="true"/>
        </w:trPr>
        <w:tc>
          <w:tcPr>
            <w:tcW w:w="3816"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Schedule type</w:t>
            </w:r>
          </w:p>
        </w:tc>
        <w:tc>
          <w:tcPr>
            <w:tcW w:w="130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350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lang w:eastAsia="en-US"/>
              </w:rPr>
              <w:t>Reference Measurement Channel (RMC)</w:t>
            </w:r>
          </w:p>
        </w:tc>
      </w:tr>
      <w:tr>
        <w:trPr>
          <w:cantSplit w:val="true"/>
        </w:trPr>
        <w:tc>
          <w:tcPr>
            <w:tcW w:w="3816"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Reference Channel</w:t>
            </w:r>
          </w:p>
        </w:tc>
        <w:tc>
          <w:tcPr>
            <w:tcW w:w="130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3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R.35 (Note 2)</w:t>
            </w:r>
          </w:p>
        </w:tc>
      </w:tr>
      <w:tr>
        <w:trPr>
          <w:cantSplit w:val="true"/>
        </w:trPr>
        <w:tc>
          <w:tcPr>
            <w:tcW w:w="3816"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Bandwidth DL</w:t>
            </w:r>
          </w:p>
        </w:tc>
        <w:tc>
          <w:tcPr>
            <w:tcW w:w="130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MHz</w:t>
            </w:r>
          </w:p>
        </w:tc>
        <w:tc>
          <w:tcPr>
            <w:tcW w:w="3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10</w:t>
            </w:r>
          </w:p>
        </w:tc>
      </w:tr>
      <w:tr>
        <w:trPr>
          <w:cantSplit w:val="true"/>
        </w:trPr>
        <w:tc>
          <w:tcPr>
            <w:tcW w:w="3816"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Number of RBs DL</w:t>
            </w:r>
          </w:p>
        </w:tc>
        <w:tc>
          <w:tcPr>
            <w:tcW w:w="130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3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50</w:t>
            </w:r>
          </w:p>
        </w:tc>
      </w:tr>
      <w:tr>
        <w:trPr>
          <w:cantSplit w:val="true"/>
        </w:trPr>
        <w:tc>
          <w:tcPr>
            <w:tcW w:w="3816"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Start RB DL</w:t>
            </w:r>
          </w:p>
        </w:tc>
        <w:tc>
          <w:tcPr>
            <w:tcW w:w="130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3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w:t>
            </w:r>
          </w:p>
        </w:tc>
      </w:tr>
      <w:tr>
        <w:trPr>
          <w:cantSplit w:val="true"/>
        </w:trPr>
        <w:tc>
          <w:tcPr>
            <w:tcW w:w="3816"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Modulation DL</w:t>
            </w:r>
          </w:p>
        </w:tc>
        <w:tc>
          <w:tcPr>
            <w:tcW w:w="130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3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64QAM</w:t>
            </w:r>
          </w:p>
        </w:tc>
      </w:tr>
      <w:tr>
        <w:trPr>
          <w:cantSplit w:val="true"/>
        </w:trPr>
        <w:tc>
          <w:tcPr>
            <w:tcW w:w="3816"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Maximum Theoretical Throughput</w:t>
            </w:r>
          </w:p>
        </w:tc>
        <w:tc>
          <w:tcPr>
            <w:tcW w:w="130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Mbps</w:t>
            </w:r>
          </w:p>
        </w:tc>
        <w:tc>
          <w:tcPr>
            <w:tcW w:w="3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35.424</w:t>
            </w:r>
          </w:p>
        </w:tc>
      </w:tr>
      <w:tr>
        <w:trPr>
          <w:cantSplit w:val="true"/>
        </w:trPr>
        <w:tc>
          <w:tcPr>
            <w:tcW w:w="3816"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TBS Idx DL</w:t>
            </w:r>
          </w:p>
        </w:tc>
        <w:tc>
          <w:tcPr>
            <w:tcW w:w="130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3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18 (RMC defined, Note 2)</w:t>
            </w:r>
          </w:p>
        </w:tc>
      </w:tr>
      <w:tr>
        <w:trPr>
          <w:cantSplit w:val="true"/>
        </w:trPr>
        <w:tc>
          <w:tcPr>
            <w:tcW w:w="3816"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Bandwidth UL</w:t>
            </w:r>
          </w:p>
        </w:tc>
        <w:tc>
          <w:tcPr>
            <w:tcW w:w="130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MHz</w:t>
            </w:r>
          </w:p>
        </w:tc>
        <w:tc>
          <w:tcPr>
            <w:tcW w:w="3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10</w:t>
            </w:r>
          </w:p>
        </w:tc>
      </w:tr>
      <w:tr>
        <w:trPr>
          <w:cantSplit w:val="true"/>
        </w:trPr>
        <w:tc>
          <w:tcPr>
            <w:tcW w:w="3816" w:type="dxa"/>
            <w:tcBorders>
              <w:top w:val="single" w:sz="4" w:space="0" w:color="000000"/>
              <w:left w:val="single" w:sz="4" w:space="0" w:color="000000"/>
              <w:bottom w:val="single" w:sz="4" w:space="0" w:color="000000"/>
              <w:right w:val="single" w:sz="4" w:space="0" w:color="000000"/>
            </w:tcBorders>
            <w:vAlign w:val="center"/>
          </w:tcPr>
          <w:p>
            <w:pPr>
              <w:pStyle w:val="TAL1"/>
              <w:rPr/>
            </w:pPr>
            <w:r>
              <w:rPr>
                <w:rFonts w:cs="Arial"/>
                <w:lang w:eastAsia="en-US"/>
              </w:rPr>
              <w:t>Number of RBs UL</w:t>
            </w:r>
          </w:p>
        </w:tc>
        <w:tc>
          <w:tcPr>
            <w:tcW w:w="130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3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50</w:t>
            </w:r>
          </w:p>
        </w:tc>
      </w:tr>
      <w:tr>
        <w:trPr>
          <w:cantSplit w:val="true"/>
        </w:trPr>
        <w:tc>
          <w:tcPr>
            <w:tcW w:w="3816"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Start RB UL</w:t>
            </w:r>
          </w:p>
        </w:tc>
        <w:tc>
          <w:tcPr>
            <w:tcW w:w="130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3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w:t>
            </w:r>
          </w:p>
        </w:tc>
      </w:tr>
      <w:tr>
        <w:trPr>
          <w:cantSplit w:val="true"/>
        </w:trPr>
        <w:tc>
          <w:tcPr>
            <w:tcW w:w="3816"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Modulation UL</w:t>
            </w:r>
          </w:p>
        </w:tc>
        <w:tc>
          <w:tcPr>
            <w:tcW w:w="130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3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QPSK</w:t>
            </w:r>
          </w:p>
        </w:tc>
      </w:tr>
      <w:tr>
        <w:trPr>
          <w:cantSplit w:val="true"/>
        </w:trPr>
        <w:tc>
          <w:tcPr>
            <w:tcW w:w="3816"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TBS Idx UL</w:t>
            </w:r>
          </w:p>
        </w:tc>
        <w:tc>
          <w:tcPr>
            <w:tcW w:w="130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3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6 (RMC defined)</w:t>
            </w:r>
          </w:p>
        </w:tc>
      </w:tr>
      <w:tr>
        <w:trPr>
          <w:cantSplit w:val="true"/>
        </w:trPr>
        <w:tc>
          <w:tcPr>
            <w:tcW w:w="3816"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Transmit power control</w:t>
            </w:r>
          </w:p>
        </w:tc>
        <w:tc>
          <w:tcPr>
            <w:tcW w:w="130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dBm</w:t>
            </w:r>
          </w:p>
        </w:tc>
        <w:tc>
          <w:tcPr>
            <w:tcW w:w="3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-10/10 MHz, open loop (Note 3)</w:t>
            </w:r>
          </w:p>
        </w:tc>
      </w:tr>
      <w:tr>
        <w:trPr>
          <w:cantSplit w:val="true"/>
        </w:trPr>
        <w:tc>
          <w:tcPr>
            <w:tcW w:w="3816"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PDSCH power offset relative to RS EPRE</w:t>
            </w:r>
          </w:p>
        </w:tc>
        <w:tc>
          <w:tcPr>
            <w:tcW w:w="130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dB</w:t>
            </w:r>
          </w:p>
        </w:tc>
        <w:tc>
          <w:tcPr>
            <w:tcW w:w="350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ascii="Symbol" w:hAnsi="Symbol"/>
                <w:lang w:eastAsia="en-US"/>
              </w:rPr>
              <w:t></w:t>
            </w:r>
            <w:r>
              <w:rPr>
                <w:rFonts w:cs="Arial"/>
                <w:vertAlign w:val="subscript"/>
                <w:lang w:eastAsia="en-US"/>
              </w:rPr>
              <w:t>A</w:t>
            </w:r>
            <w:r>
              <w:rPr>
                <w:rFonts w:cs="Arial"/>
                <w:lang w:eastAsia="en-US"/>
              </w:rPr>
              <w:t xml:space="preserve"> = -3</w:t>
              <w:br/>
            </w:r>
            <w:r>
              <w:rPr>
                <w:rFonts w:cs="Arial" w:ascii="Symbol" w:hAnsi="Symbol"/>
                <w:lang w:eastAsia="en-US"/>
              </w:rPr>
              <w:t></w:t>
            </w:r>
            <w:r>
              <w:rPr>
                <w:rFonts w:cs="Arial"/>
                <w:vertAlign w:val="subscript"/>
                <w:lang w:eastAsia="en-US"/>
              </w:rPr>
              <w:t>B</w:t>
            </w:r>
            <w:r>
              <w:rPr>
                <w:rFonts w:cs="Arial"/>
                <w:lang w:eastAsia="en-US"/>
              </w:rPr>
              <w:t xml:space="preserve"> = -3</w:t>
            </w:r>
          </w:p>
        </w:tc>
      </w:tr>
      <w:tr>
        <w:trPr>
          <w:cantSplit w:val="true"/>
        </w:trPr>
        <w:tc>
          <w:tcPr>
            <w:tcW w:w="3816"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Number of HARQ transmissions</w:t>
            </w:r>
          </w:p>
        </w:tc>
        <w:tc>
          <w:tcPr>
            <w:tcW w:w="130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3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 (no HARQ re-transmissions)</w:t>
            </w:r>
          </w:p>
        </w:tc>
      </w:tr>
      <w:tr>
        <w:trPr>
          <w:cantSplit w:val="true"/>
        </w:trPr>
        <w:tc>
          <w:tcPr>
            <w:tcW w:w="3816"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AWGN</w:t>
            </w:r>
          </w:p>
        </w:tc>
        <w:tc>
          <w:tcPr>
            <w:tcW w:w="130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3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OFF</w:t>
            </w:r>
          </w:p>
        </w:tc>
      </w:tr>
      <w:tr>
        <w:trPr>
          <w:cantSplit w:val="true"/>
        </w:trPr>
        <w:tc>
          <w:tcPr>
            <w:tcW w:w="3816"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 xml:space="preserve">DL power level </w:t>
              <w:br/>
              <w:t>(RS EPRE)</w:t>
            </w:r>
          </w:p>
        </w:tc>
        <w:tc>
          <w:tcPr>
            <w:tcW w:w="130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dBm / 15 kHz</w:t>
            </w:r>
          </w:p>
        </w:tc>
        <w:tc>
          <w:tcPr>
            <w:tcW w:w="350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 xml:space="preserve">Set at eNodeB simulator </w:t>
              <w:br/>
              <w:t>with correction from calibration</w:t>
            </w:r>
          </w:p>
        </w:tc>
      </w:tr>
      <w:tr>
        <w:trPr>
          <w:cantSplit w:val="true"/>
        </w:trPr>
        <w:tc>
          <w:tcPr>
            <w:tcW w:w="3816"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Number of subframes for FOM measurement</w:t>
            </w:r>
          </w:p>
        </w:tc>
        <w:tc>
          <w:tcPr>
            <w:tcW w:w="130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350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lang w:eastAsia="en-US"/>
              </w:rPr>
              <w:t>2000 minimum for static channel</w:t>
            </w:r>
          </w:p>
          <w:p>
            <w:pPr>
              <w:pStyle w:val="TAC"/>
              <w:rPr>
                <w:rFonts w:cs="Arial"/>
                <w:lang w:eastAsia="en-US"/>
              </w:rPr>
            </w:pPr>
            <w:r>
              <w:rPr>
                <w:rFonts w:cs="Arial"/>
                <w:lang w:eastAsia="en-US"/>
              </w:rPr>
              <w:t>20000 minimum for faded channel</w:t>
              <w:br/>
              <w:t>(Note 4)</w:t>
            </w:r>
          </w:p>
        </w:tc>
      </w:tr>
      <w:tr>
        <w:trPr>
          <w:cantSplit w:val="true"/>
        </w:trPr>
        <w:tc>
          <w:tcPr>
            <w:tcW w:w="8621"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cs="Arial"/>
                <w:lang w:eastAsia="en-US"/>
              </w:rPr>
            </w:pPr>
            <w:r>
              <w:rPr>
                <w:rFonts w:cs="Arial"/>
                <w:lang w:eastAsia="en-US"/>
              </w:rPr>
              <w:t>NOTE 1:</w:t>
              <w:tab/>
              <w:t xml:space="preserve">This set of parameters is aligned with R&amp;S CMW500, Anritsu MTC8820C, AT4 S3110B, </w:t>
              <w:br/>
              <w:t>and Agilent E6621A (to be confirmed).</w:t>
            </w:r>
          </w:p>
          <w:p>
            <w:pPr>
              <w:pStyle w:val="TAN"/>
              <w:rPr/>
            </w:pPr>
            <w:r>
              <w:rPr>
                <w:rFonts w:cs="Arial"/>
                <w:lang w:eastAsia="en-US"/>
              </w:rPr>
              <w:t>NOTE 2:</w:t>
              <w:tab/>
              <w:t xml:space="preserve">This RMC is defined in 3GPP TS 36.521-1 [12], Table A.3.3.2.1-1. R.35 subframes 1-4 and 6-9 </w:t>
              <w:br/>
              <w:t xml:space="preserve">utilize DL TBS 18, while R.35 subframe 0 utilizes TBS 17 </w:t>
              <w:br/>
              <w:t>(See Table A.3.3.2.1-1 Fixed Reference Channel two antenna ports in 3GPP TS 36.521-1 [12]).</w:t>
            </w:r>
          </w:p>
          <w:p>
            <w:pPr>
              <w:pStyle w:val="TAN"/>
              <w:rPr>
                <w:rFonts w:cs="Arial"/>
                <w:lang w:eastAsia="en-US"/>
              </w:rPr>
            </w:pPr>
            <w:r>
              <w:rPr>
                <w:rFonts w:cs="Arial"/>
                <w:lang w:eastAsia="en-US"/>
              </w:rPr>
              <w:t>NOTE 3:</w:t>
              <w:tab/>
              <w:t>No uplink power control.</w:t>
            </w:r>
          </w:p>
          <w:p>
            <w:pPr>
              <w:pStyle w:val="TAN"/>
              <w:rPr/>
            </w:pPr>
            <w:r>
              <w:rPr>
                <w:rFonts w:cs="Arial"/>
                <w:lang w:eastAsia="en-US"/>
              </w:rPr>
              <w:t>NOTE 4:</w:t>
              <w:tab/>
              <w:t>These values might need to be increased for frequency and mobile speed reasons.</w:t>
            </w:r>
          </w:p>
        </w:tc>
      </w:tr>
    </w:tbl>
    <w:p>
      <w:pPr>
        <w:pStyle w:val="Normal"/>
        <w:rPr/>
      </w:pPr>
      <w:r>
        <w:rPr/>
      </w:r>
    </w:p>
    <w:p>
      <w:pPr>
        <w:pStyle w:val="TH"/>
        <w:rPr/>
      </w:pPr>
      <w:r>
        <w:rPr/>
        <w:t>Table P.1-</w:t>
      </w:r>
      <w:r>
        <w:rPr>
          <w:lang w:eastAsia="zh-CN"/>
        </w:rPr>
        <w:t>2</w:t>
      </w:r>
      <w:r>
        <w:rPr/>
        <w:t xml:space="preserve">: Settings for </w:t>
      </w:r>
      <w:r>
        <w:rPr>
          <w:lang w:eastAsia="zh-CN"/>
        </w:rPr>
        <w:t xml:space="preserve">TDD </w:t>
      </w:r>
      <w:r>
        <w:rPr/>
        <w:t>eNodeB emulator</w:t>
      </w:r>
    </w:p>
    <w:tbl>
      <w:tblPr>
        <w:tblW w:w="9859" w:type="dxa"/>
        <w:jc w:val="center"/>
        <w:tblInd w:w="0" w:type="dxa"/>
        <w:tblLayout w:type="fixed"/>
        <w:tblCellMar>
          <w:top w:w="0" w:type="dxa"/>
          <w:left w:w="108" w:type="dxa"/>
          <w:bottom w:w="0" w:type="dxa"/>
          <w:right w:w="108" w:type="dxa"/>
        </w:tblCellMar>
      </w:tblPr>
      <w:tblGrid>
        <w:gridCol w:w="4312"/>
        <w:gridCol w:w="1522"/>
        <w:gridCol w:w="4025"/>
      </w:tblGrid>
      <w:tr>
        <w:trPr>
          <w:cantSplit w:val="true"/>
        </w:trPr>
        <w:tc>
          <w:tcPr>
            <w:tcW w:w="4312" w:type="dxa"/>
            <w:tcBorders>
              <w:top w:val="single" w:sz="4" w:space="0" w:color="000000"/>
              <w:left w:val="single" w:sz="4" w:space="0" w:color="000000"/>
              <w:bottom w:val="single" w:sz="4" w:space="0" w:color="000000"/>
              <w:right w:val="single" w:sz="4" w:space="0" w:color="000000"/>
            </w:tcBorders>
            <w:shd w:fill="FFCC99" w:val="clear"/>
            <w:vAlign w:val="center"/>
          </w:tcPr>
          <w:p>
            <w:pPr>
              <w:pStyle w:val="TAH"/>
              <w:rPr>
                <w:rFonts w:cs="Arial"/>
                <w:lang w:eastAsia="en-US"/>
              </w:rPr>
            </w:pPr>
            <w:r>
              <w:rPr>
                <w:rFonts w:cs="Arial"/>
                <w:lang w:eastAsia="en-US"/>
              </w:rPr>
              <w:t xml:space="preserve">eNodeB settings </w:t>
            </w:r>
          </w:p>
        </w:tc>
        <w:tc>
          <w:tcPr>
            <w:tcW w:w="1522" w:type="dxa"/>
            <w:tcBorders>
              <w:top w:val="single" w:sz="4" w:space="0" w:color="000000"/>
              <w:left w:val="single" w:sz="4" w:space="0" w:color="000000"/>
              <w:bottom w:val="single" w:sz="4" w:space="0" w:color="000000"/>
              <w:right w:val="single" w:sz="4" w:space="0" w:color="000000"/>
            </w:tcBorders>
            <w:shd w:fill="FFCC99" w:val="clear"/>
            <w:vAlign w:val="center"/>
          </w:tcPr>
          <w:p>
            <w:pPr>
              <w:pStyle w:val="TAH"/>
              <w:rPr>
                <w:rFonts w:cs="Arial"/>
                <w:lang w:eastAsia="en-US"/>
              </w:rPr>
            </w:pPr>
            <w:r>
              <w:rPr>
                <w:rFonts w:cs="Arial"/>
                <w:lang w:eastAsia="en-US"/>
              </w:rPr>
              <w:t>Unit</w:t>
            </w:r>
          </w:p>
        </w:tc>
        <w:tc>
          <w:tcPr>
            <w:tcW w:w="4025" w:type="dxa"/>
            <w:tcBorders>
              <w:top w:val="single" w:sz="4" w:space="0" w:color="000000"/>
              <w:left w:val="single" w:sz="4" w:space="0" w:color="000000"/>
              <w:bottom w:val="single" w:sz="4" w:space="0" w:color="000000"/>
              <w:right w:val="single" w:sz="4" w:space="0" w:color="000000"/>
            </w:tcBorders>
            <w:shd w:fill="FFCC99" w:val="clear"/>
            <w:vAlign w:val="center"/>
          </w:tcPr>
          <w:p>
            <w:pPr>
              <w:pStyle w:val="TAH"/>
              <w:rPr>
                <w:rFonts w:cs="Arial"/>
                <w:lang w:eastAsia="en-US"/>
              </w:rPr>
            </w:pPr>
            <w:r>
              <w:rPr>
                <w:rFonts w:cs="Arial"/>
                <w:lang w:eastAsia="en-US"/>
              </w:rPr>
              <w:t>Value </w:t>
            </w:r>
          </w:p>
        </w:tc>
      </w:tr>
      <w:tr>
        <w:trPr>
          <w:cantSplit w:val="true"/>
        </w:trPr>
        <w:tc>
          <w:tcPr>
            <w:tcW w:w="9859" w:type="dxa"/>
            <w:gridSpan w:val="3"/>
            <w:tcBorders>
              <w:top w:val="single" w:sz="4" w:space="0" w:color="000000"/>
              <w:left w:val="single" w:sz="4" w:space="0" w:color="000000"/>
              <w:bottom w:val="single" w:sz="4" w:space="0" w:color="000000"/>
              <w:right w:val="single" w:sz="4" w:space="0" w:color="000000"/>
            </w:tcBorders>
            <w:shd w:fill="99CCFF" w:val="clear"/>
            <w:vAlign w:val="center"/>
          </w:tcPr>
          <w:p>
            <w:pPr>
              <w:pStyle w:val="TAH"/>
              <w:rPr>
                <w:rFonts w:cs="Arial"/>
                <w:lang w:eastAsia="en-US"/>
              </w:rPr>
            </w:pPr>
            <w:r>
              <w:rPr>
                <w:rFonts w:cs="Arial"/>
                <w:lang w:eastAsia="en-US"/>
              </w:rPr>
              <w:t>Physical channel</w:t>
            </w:r>
          </w:p>
        </w:tc>
      </w:tr>
      <w:tr>
        <w:trPr>
          <w:cantSplit w:val="true"/>
        </w:trPr>
        <w:tc>
          <w:tcPr>
            <w:tcW w:w="4312"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Connection mode of UE</w:t>
            </w:r>
          </w:p>
        </w:tc>
        <w:tc>
          <w:tcPr>
            <w:tcW w:w="152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402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Connection established</w:t>
            </w:r>
          </w:p>
        </w:tc>
      </w:tr>
      <w:tr>
        <w:trPr>
          <w:cantSplit w:val="true"/>
        </w:trPr>
        <w:tc>
          <w:tcPr>
            <w:tcW w:w="4312"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DL MIMO mode</w:t>
            </w:r>
          </w:p>
        </w:tc>
        <w:tc>
          <w:tcPr>
            <w:tcW w:w="152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402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2 x 2 open loop spatial multiplexing</w:t>
            </w:r>
          </w:p>
        </w:tc>
      </w:tr>
      <w:tr>
        <w:trPr>
          <w:cantSplit w:val="true"/>
        </w:trPr>
        <w:tc>
          <w:tcPr>
            <w:tcW w:w="4312"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Duplex mode</w:t>
            </w:r>
          </w:p>
        </w:tc>
        <w:tc>
          <w:tcPr>
            <w:tcW w:w="152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402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lang w:eastAsia="zh-CN"/>
              </w:rPr>
              <w:t>T</w:t>
            </w:r>
            <w:r>
              <w:rPr>
                <w:rFonts w:cs="Arial"/>
                <w:lang w:eastAsia="en-US"/>
              </w:rPr>
              <w:t>DD</w:t>
            </w:r>
          </w:p>
        </w:tc>
      </w:tr>
      <w:tr>
        <w:trPr>
          <w:cantSplit w:val="true"/>
        </w:trPr>
        <w:tc>
          <w:tcPr>
            <w:tcW w:w="4312" w:type="dxa"/>
            <w:tcBorders>
              <w:top w:val="single" w:sz="4" w:space="0" w:color="000000"/>
              <w:left w:val="single" w:sz="4" w:space="0" w:color="000000"/>
              <w:bottom w:val="single" w:sz="4" w:space="0" w:color="000000"/>
              <w:right w:val="single" w:sz="4" w:space="0" w:color="000000"/>
            </w:tcBorders>
            <w:vAlign w:val="center"/>
          </w:tcPr>
          <w:p>
            <w:pPr>
              <w:pStyle w:val="TAL1"/>
              <w:rPr/>
            </w:pPr>
            <w:r>
              <w:rPr>
                <w:rFonts w:cs="Arial"/>
                <w:lang w:eastAsia="en-US"/>
              </w:rPr>
              <w:t>Operating band</w:t>
              <w:br/>
              <w:t>(UL</w:t>
            </w:r>
            <w:r>
              <w:rPr>
                <w:rFonts w:cs="Arial"/>
                <w:lang w:eastAsia="zh-CN"/>
              </w:rPr>
              <w:t xml:space="preserve"> / </w:t>
            </w:r>
            <w:r>
              <w:rPr>
                <w:rFonts w:cs="Arial"/>
                <w:lang w:eastAsia="en-US"/>
              </w:rPr>
              <w:t>DL channel)</w:t>
            </w:r>
          </w:p>
        </w:tc>
        <w:tc>
          <w:tcPr>
            <w:tcW w:w="152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402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zh-CN"/>
              </w:rPr>
            </w:pPr>
            <w:r>
              <w:rPr>
                <w:rFonts w:cs="Arial"/>
                <w:lang w:eastAsia="en-US"/>
              </w:rPr>
              <w:t xml:space="preserve">Band </w:t>
            </w:r>
            <w:r>
              <w:rPr>
                <w:rFonts w:cs="Arial"/>
                <w:lang w:eastAsia="zh-CN"/>
              </w:rPr>
              <w:t>38</w:t>
            </w:r>
            <w:r>
              <w:rPr>
                <w:rFonts w:cs="Arial"/>
                <w:lang w:eastAsia="en-US"/>
              </w:rPr>
              <w:t xml:space="preserve"> (</w:t>
            </w:r>
            <w:r>
              <w:rPr>
                <w:rFonts w:cs="Arial"/>
                <w:lang w:eastAsia="zh-CN"/>
              </w:rPr>
              <w:t>38000</w:t>
            </w:r>
            <w:r>
              <w:rPr>
                <w:rFonts w:cs="Arial"/>
                <w:lang w:eastAsia="en-US"/>
              </w:rPr>
              <w:t>)</w:t>
            </w:r>
          </w:p>
          <w:p>
            <w:pPr>
              <w:pStyle w:val="TAC"/>
              <w:rPr>
                <w:rFonts w:cs="Arial"/>
                <w:lang w:eastAsia="zh-CN"/>
              </w:rPr>
            </w:pPr>
            <w:r>
              <w:rPr>
                <w:rFonts w:cs="Arial"/>
                <w:lang w:eastAsia="en-US"/>
              </w:rPr>
              <w:t xml:space="preserve">Band </w:t>
            </w:r>
            <w:r>
              <w:rPr>
                <w:rFonts w:cs="Arial"/>
                <w:lang w:eastAsia="zh-CN"/>
              </w:rPr>
              <w:t>39</w:t>
            </w:r>
            <w:r>
              <w:rPr>
                <w:rFonts w:cs="Arial"/>
                <w:lang w:eastAsia="en-US"/>
              </w:rPr>
              <w:t xml:space="preserve"> (</w:t>
            </w:r>
            <w:r>
              <w:rPr>
                <w:rFonts w:cs="Arial"/>
                <w:lang w:eastAsia="zh-CN"/>
              </w:rPr>
              <w:t>38450</w:t>
            </w:r>
            <w:r>
              <w:rPr>
                <w:rFonts w:cs="Arial"/>
                <w:lang w:eastAsia="en-US"/>
              </w:rPr>
              <w:t>)</w:t>
            </w:r>
          </w:p>
          <w:p>
            <w:pPr>
              <w:pStyle w:val="TAC"/>
              <w:rPr>
                <w:rFonts w:cs="Arial"/>
                <w:lang w:eastAsia="zh-CN"/>
              </w:rPr>
            </w:pPr>
            <w:r>
              <w:rPr>
                <w:rFonts w:cs="Arial"/>
                <w:lang w:eastAsia="en-US"/>
              </w:rPr>
              <w:t xml:space="preserve">Band </w:t>
            </w:r>
            <w:r>
              <w:rPr>
                <w:rFonts w:cs="Arial"/>
                <w:lang w:eastAsia="zh-CN"/>
              </w:rPr>
              <w:t>40</w:t>
            </w:r>
            <w:r>
              <w:rPr>
                <w:rFonts w:cs="Arial"/>
                <w:lang w:eastAsia="en-US"/>
              </w:rPr>
              <w:t xml:space="preserve"> (</w:t>
            </w:r>
            <w:r>
              <w:rPr>
                <w:rFonts w:cs="Arial"/>
                <w:lang w:eastAsia="zh-CN"/>
              </w:rPr>
              <w:t>39150</w:t>
            </w:r>
            <w:r>
              <w:rPr>
                <w:rFonts w:cs="Arial"/>
                <w:lang w:eastAsia="en-US"/>
              </w:rPr>
              <w:t>)</w:t>
            </w:r>
          </w:p>
          <w:p>
            <w:pPr>
              <w:pStyle w:val="TAC"/>
              <w:rPr>
                <w:rFonts w:cs="Arial"/>
                <w:lang w:eastAsia="zh-CN"/>
              </w:rPr>
            </w:pPr>
            <w:r>
              <w:rPr>
                <w:rFonts w:cs="Arial"/>
                <w:lang w:eastAsia="en-US"/>
              </w:rPr>
              <w:t xml:space="preserve">Band </w:t>
            </w:r>
            <w:r>
              <w:rPr>
                <w:rFonts w:cs="Arial"/>
                <w:lang w:eastAsia="zh-CN"/>
              </w:rPr>
              <w:t>41</w:t>
            </w:r>
            <w:r>
              <w:rPr>
                <w:rFonts w:cs="Arial"/>
                <w:lang w:eastAsia="en-US"/>
              </w:rPr>
              <w:t xml:space="preserve"> (40620)</w:t>
            </w:r>
          </w:p>
        </w:tc>
      </w:tr>
      <w:tr>
        <w:trPr>
          <w:cantSplit w:val="true"/>
        </w:trPr>
        <w:tc>
          <w:tcPr>
            <w:tcW w:w="4312"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Schedule type</w:t>
            </w:r>
          </w:p>
        </w:tc>
        <w:tc>
          <w:tcPr>
            <w:tcW w:w="152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402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Reference Measurement Channel (RMC)</w:t>
            </w:r>
          </w:p>
        </w:tc>
      </w:tr>
      <w:tr>
        <w:trPr>
          <w:cantSplit w:val="true"/>
        </w:trPr>
        <w:tc>
          <w:tcPr>
            <w:tcW w:w="4312"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Reference Channel</w:t>
            </w:r>
          </w:p>
        </w:tc>
        <w:tc>
          <w:tcPr>
            <w:tcW w:w="152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402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zh-CN"/>
              </w:rPr>
            </w:pPr>
            <w:r>
              <w:rPr>
                <w:rFonts w:cs="Arial"/>
                <w:lang w:eastAsia="zh-CN"/>
              </w:rPr>
              <w:t>Table P.1-3</w:t>
            </w:r>
          </w:p>
        </w:tc>
      </w:tr>
      <w:tr>
        <w:trPr>
          <w:cantSplit w:val="true"/>
        </w:trPr>
        <w:tc>
          <w:tcPr>
            <w:tcW w:w="4312"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Up/Downlink Frame Configuration</w:t>
            </w:r>
          </w:p>
        </w:tc>
        <w:tc>
          <w:tcPr>
            <w:tcW w:w="152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402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zh-CN"/>
              </w:rPr>
            </w:pPr>
            <w:r>
              <w:rPr>
                <w:rFonts w:cs="Arial"/>
                <w:lang w:eastAsia="zh-CN"/>
              </w:rPr>
              <w:t>1</w:t>
            </w:r>
          </w:p>
        </w:tc>
      </w:tr>
      <w:tr>
        <w:trPr>
          <w:cantSplit w:val="true"/>
        </w:trPr>
        <w:tc>
          <w:tcPr>
            <w:tcW w:w="4312" w:type="dxa"/>
            <w:tcBorders>
              <w:top w:val="single" w:sz="4" w:space="0" w:color="000000"/>
              <w:left w:val="single" w:sz="4" w:space="0" w:color="000000"/>
              <w:bottom w:val="single" w:sz="4" w:space="0" w:color="000000"/>
              <w:right w:val="single" w:sz="4" w:space="0" w:color="000000"/>
            </w:tcBorders>
            <w:vAlign w:val="center"/>
          </w:tcPr>
          <w:p>
            <w:pPr>
              <w:pStyle w:val="TAL1"/>
              <w:rPr/>
            </w:pPr>
            <w:r>
              <w:rPr>
                <w:rFonts w:cs="Arial"/>
                <w:lang w:eastAsia="en-US"/>
              </w:rPr>
              <w:t xml:space="preserve">Special Frame </w:t>
            </w:r>
            <w:r>
              <w:rPr>
                <w:rFonts w:cs="Arial"/>
                <w:lang w:eastAsia="zh-CN"/>
              </w:rPr>
              <w:t>c</w:t>
            </w:r>
            <w:r>
              <w:rPr>
                <w:rFonts w:cs="Arial"/>
                <w:lang w:eastAsia="en-US"/>
              </w:rPr>
              <w:t>onfiguration</w:t>
            </w:r>
          </w:p>
        </w:tc>
        <w:tc>
          <w:tcPr>
            <w:tcW w:w="152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402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zh-CN"/>
              </w:rPr>
            </w:pPr>
            <w:r>
              <w:rPr>
                <w:rFonts w:cs="Arial"/>
                <w:lang w:eastAsia="zh-CN"/>
              </w:rPr>
              <w:t>7</w:t>
            </w:r>
          </w:p>
        </w:tc>
      </w:tr>
      <w:tr>
        <w:trPr>
          <w:cantSplit w:val="true"/>
        </w:trPr>
        <w:tc>
          <w:tcPr>
            <w:tcW w:w="4312"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Bandwidth DL</w:t>
            </w:r>
          </w:p>
        </w:tc>
        <w:tc>
          <w:tcPr>
            <w:tcW w:w="1522"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lang w:eastAsia="en-US"/>
              </w:rPr>
              <w:t>MHz</w:t>
            </w:r>
          </w:p>
        </w:tc>
        <w:tc>
          <w:tcPr>
            <w:tcW w:w="402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lang w:eastAsia="zh-CN"/>
              </w:rPr>
              <w:t>2</w:t>
            </w:r>
            <w:r>
              <w:rPr>
                <w:rFonts w:cs="Arial"/>
                <w:lang w:eastAsia="en-US"/>
              </w:rPr>
              <w:t>0</w:t>
            </w:r>
          </w:p>
        </w:tc>
      </w:tr>
      <w:tr>
        <w:trPr>
          <w:cantSplit w:val="true"/>
        </w:trPr>
        <w:tc>
          <w:tcPr>
            <w:tcW w:w="4312"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Number of RBs DL</w:t>
            </w:r>
          </w:p>
        </w:tc>
        <w:tc>
          <w:tcPr>
            <w:tcW w:w="152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402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lang w:eastAsia="zh-CN"/>
              </w:rPr>
              <w:t>10</w:t>
            </w:r>
            <w:r>
              <w:rPr>
                <w:rFonts w:cs="Arial"/>
                <w:lang w:eastAsia="en-US"/>
              </w:rPr>
              <w:t>0</w:t>
            </w:r>
          </w:p>
        </w:tc>
      </w:tr>
      <w:tr>
        <w:trPr>
          <w:cantSplit w:val="true"/>
        </w:trPr>
        <w:tc>
          <w:tcPr>
            <w:tcW w:w="4312"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Start RB DL</w:t>
            </w:r>
          </w:p>
        </w:tc>
        <w:tc>
          <w:tcPr>
            <w:tcW w:w="152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402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w:t>
            </w:r>
          </w:p>
        </w:tc>
      </w:tr>
      <w:tr>
        <w:trPr>
          <w:cantSplit w:val="true"/>
        </w:trPr>
        <w:tc>
          <w:tcPr>
            <w:tcW w:w="4312"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Modulation DL</w:t>
            </w:r>
          </w:p>
        </w:tc>
        <w:tc>
          <w:tcPr>
            <w:tcW w:w="152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402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64QAM</w:t>
            </w:r>
          </w:p>
        </w:tc>
      </w:tr>
      <w:tr>
        <w:trPr>
          <w:cantSplit w:val="true"/>
        </w:trPr>
        <w:tc>
          <w:tcPr>
            <w:tcW w:w="4312"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TBS Idx DL</w:t>
            </w:r>
          </w:p>
        </w:tc>
        <w:tc>
          <w:tcPr>
            <w:tcW w:w="152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402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lang w:eastAsia="zh-CN"/>
              </w:rPr>
              <w:t>16</w:t>
            </w:r>
            <w:r>
              <w:rPr>
                <w:rFonts w:cs="Arial"/>
                <w:lang w:eastAsia="en-US"/>
              </w:rPr>
              <w:t xml:space="preserve"> (RMC defined, NOTE 1)</w:t>
            </w:r>
          </w:p>
        </w:tc>
      </w:tr>
      <w:tr>
        <w:trPr>
          <w:cantSplit w:val="true"/>
        </w:trPr>
        <w:tc>
          <w:tcPr>
            <w:tcW w:w="4312"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Bandwidth UL</w:t>
            </w:r>
          </w:p>
        </w:tc>
        <w:tc>
          <w:tcPr>
            <w:tcW w:w="152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MHz</w:t>
            </w:r>
          </w:p>
        </w:tc>
        <w:tc>
          <w:tcPr>
            <w:tcW w:w="402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lang w:eastAsia="zh-CN"/>
              </w:rPr>
              <w:t>2</w:t>
            </w:r>
            <w:r>
              <w:rPr>
                <w:rFonts w:cs="Arial"/>
                <w:lang w:eastAsia="en-US"/>
              </w:rPr>
              <w:t>0</w:t>
            </w:r>
          </w:p>
        </w:tc>
      </w:tr>
      <w:tr>
        <w:trPr>
          <w:cantSplit w:val="true"/>
        </w:trPr>
        <w:tc>
          <w:tcPr>
            <w:tcW w:w="4312"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Number of RBs UL</w:t>
            </w:r>
          </w:p>
        </w:tc>
        <w:tc>
          <w:tcPr>
            <w:tcW w:w="152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402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lang w:eastAsia="zh-CN"/>
              </w:rPr>
              <w:t>10</w:t>
            </w:r>
            <w:r>
              <w:rPr>
                <w:rFonts w:cs="Arial"/>
                <w:lang w:eastAsia="en-US"/>
              </w:rPr>
              <w:t>0</w:t>
            </w:r>
          </w:p>
        </w:tc>
      </w:tr>
      <w:tr>
        <w:trPr>
          <w:cantSplit w:val="true"/>
        </w:trPr>
        <w:tc>
          <w:tcPr>
            <w:tcW w:w="4312"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Start RB UL</w:t>
            </w:r>
          </w:p>
        </w:tc>
        <w:tc>
          <w:tcPr>
            <w:tcW w:w="152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402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w:t>
            </w:r>
          </w:p>
        </w:tc>
      </w:tr>
      <w:tr>
        <w:trPr>
          <w:cantSplit w:val="true"/>
        </w:trPr>
        <w:tc>
          <w:tcPr>
            <w:tcW w:w="4312"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Modulation UL</w:t>
            </w:r>
          </w:p>
        </w:tc>
        <w:tc>
          <w:tcPr>
            <w:tcW w:w="152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402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QPSK</w:t>
            </w:r>
          </w:p>
        </w:tc>
      </w:tr>
      <w:tr>
        <w:trPr>
          <w:cantSplit w:val="true"/>
        </w:trPr>
        <w:tc>
          <w:tcPr>
            <w:tcW w:w="4312"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TBS Idx UL</w:t>
            </w:r>
          </w:p>
        </w:tc>
        <w:tc>
          <w:tcPr>
            <w:tcW w:w="152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402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6</w:t>
            </w:r>
          </w:p>
        </w:tc>
      </w:tr>
      <w:tr>
        <w:trPr>
          <w:cantSplit w:val="true"/>
        </w:trPr>
        <w:tc>
          <w:tcPr>
            <w:tcW w:w="4312"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Transmit power control</w:t>
            </w:r>
          </w:p>
        </w:tc>
        <w:tc>
          <w:tcPr>
            <w:tcW w:w="152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dBm</w:t>
            </w:r>
          </w:p>
        </w:tc>
        <w:tc>
          <w:tcPr>
            <w:tcW w:w="402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lang w:eastAsia="en-US"/>
              </w:rPr>
              <w:t>-10/</w:t>
            </w:r>
            <w:r>
              <w:rPr>
                <w:rFonts w:cs="Arial"/>
                <w:lang w:eastAsia="zh-CN"/>
              </w:rPr>
              <w:t>2</w:t>
            </w:r>
            <w:r>
              <w:rPr>
                <w:rFonts w:cs="Arial"/>
                <w:lang w:eastAsia="en-US"/>
              </w:rPr>
              <w:t>0 MHz, open loop (NOTE 2)</w:t>
            </w:r>
          </w:p>
        </w:tc>
      </w:tr>
      <w:tr>
        <w:trPr>
          <w:cantSplit w:val="true"/>
        </w:trPr>
        <w:tc>
          <w:tcPr>
            <w:tcW w:w="4312"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PDSCH power offset relative to RS EPRE</w:t>
            </w:r>
          </w:p>
        </w:tc>
        <w:tc>
          <w:tcPr>
            <w:tcW w:w="152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dB</w:t>
            </w:r>
          </w:p>
        </w:tc>
        <w:tc>
          <w:tcPr>
            <w:tcW w:w="402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ascii="Symbol" w:hAnsi="Symbol"/>
                <w:lang w:eastAsia="en-US"/>
              </w:rPr>
              <w:t></w:t>
            </w:r>
            <w:r>
              <w:rPr>
                <w:rFonts w:cs="Arial"/>
                <w:vertAlign w:val="subscript"/>
                <w:lang w:eastAsia="en-US"/>
              </w:rPr>
              <w:t>A</w:t>
            </w:r>
            <w:r>
              <w:rPr>
                <w:rFonts w:cs="Arial"/>
                <w:lang w:eastAsia="en-US"/>
              </w:rPr>
              <w:t xml:space="preserve"> = -3</w:t>
              <w:br/>
            </w:r>
            <w:r>
              <w:rPr>
                <w:rFonts w:cs="Arial" w:ascii="Symbol" w:hAnsi="Symbol"/>
                <w:lang w:eastAsia="en-US"/>
              </w:rPr>
              <w:t></w:t>
            </w:r>
            <w:r>
              <w:rPr>
                <w:rFonts w:cs="Arial"/>
                <w:vertAlign w:val="subscript"/>
                <w:lang w:eastAsia="en-US"/>
              </w:rPr>
              <w:t>B</w:t>
            </w:r>
            <w:r>
              <w:rPr>
                <w:rFonts w:cs="Arial"/>
                <w:lang w:eastAsia="en-US"/>
              </w:rPr>
              <w:t xml:space="preserve"> = -3</w:t>
            </w:r>
          </w:p>
        </w:tc>
      </w:tr>
      <w:tr>
        <w:trPr>
          <w:cantSplit w:val="true"/>
        </w:trPr>
        <w:tc>
          <w:tcPr>
            <w:tcW w:w="4312"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Number of HARQ transmissions</w:t>
            </w:r>
          </w:p>
        </w:tc>
        <w:tc>
          <w:tcPr>
            <w:tcW w:w="152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402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 (no HARQ re-transmissions)</w:t>
            </w:r>
          </w:p>
        </w:tc>
      </w:tr>
      <w:tr>
        <w:trPr>
          <w:cantSplit w:val="true"/>
        </w:trPr>
        <w:tc>
          <w:tcPr>
            <w:tcW w:w="4312"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AWGN</w:t>
            </w:r>
          </w:p>
        </w:tc>
        <w:tc>
          <w:tcPr>
            <w:tcW w:w="152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402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OFF</w:t>
            </w:r>
          </w:p>
        </w:tc>
      </w:tr>
      <w:tr>
        <w:trPr>
          <w:cantSplit w:val="true"/>
        </w:trPr>
        <w:tc>
          <w:tcPr>
            <w:tcW w:w="4312"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 xml:space="preserve">DL power level </w:t>
              <w:br/>
              <w:t>(RS EPRE)</w:t>
            </w:r>
          </w:p>
        </w:tc>
        <w:tc>
          <w:tcPr>
            <w:tcW w:w="152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dBm / 15 kHz</w:t>
            </w:r>
          </w:p>
        </w:tc>
        <w:tc>
          <w:tcPr>
            <w:tcW w:w="402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 xml:space="preserve">Set at eNodeB simulator </w:t>
              <w:br/>
              <w:t>with correction from calibration</w:t>
            </w:r>
          </w:p>
        </w:tc>
      </w:tr>
      <w:tr>
        <w:trPr>
          <w:cantSplit w:val="true"/>
        </w:trPr>
        <w:tc>
          <w:tcPr>
            <w:tcW w:w="4312" w:type="dxa"/>
            <w:tcBorders>
              <w:top w:val="single" w:sz="4" w:space="0" w:color="000000"/>
              <w:left w:val="single" w:sz="4" w:space="0" w:color="000000"/>
              <w:bottom w:val="single" w:sz="4" w:space="0" w:color="000000"/>
              <w:right w:val="single" w:sz="4" w:space="0" w:color="000000"/>
            </w:tcBorders>
            <w:vAlign w:val="center"/>
          </w:tcPr>
          <w:p>
            <w:pPr>
              <w:pStyle w:val="TAL1"/>
              <w:rPr>
                <w:rFonts w:cs="Arial"/>
                <w:lang w:eastAsia="en-US"/>
              </w:rPr>
            </w:pPr>
            <w:r>
              <w:rPr>
                <w:rFonts w:cs="Arial"/>
                <w:lang w:eastAsia="en-US"/>
              </w:rPr>
              <w:t>Number of subframes for FOM measurement</w:t>
            </w:r>
          </w:p>
        </w:tc>
        <w:tc>
          <w:tcPr>
            <w:tcW w:w="152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402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lang w:eastAsia="en-US"/>
              </w:rPr>
              <w:t>2000 minimum for static channel</w:t>
            </w:r>
          </w:p>
          <w:p>
            <w:pPr>
              <w:pStyle w:val="TAC"/>
              <w:rPr>
                <w:rFonts w:cs="Arial"/>
                <w:lang w:eastAsia="en-US"/>
              </w:rPr>
            </w:pPr>
            <w:r>
              <w:rPr>
                <w:rFonts w:cs="Arial"/>
                <w:lang w:eastAsia="en-US"/>
              </w:rPr>
              <w:t>20000 minimum for faded channel</w:t>
              <w:br/>
              <w:t>(NOTE 3)</w:t>
            </w:r>
          </w:p>
        </w:tc>
      </w:tr>
      <w:tr>
        <w:trPr>
          <w:cantSplit w:val="true"/>
        </w:trPr>
        <w:tc>
          <w:tcPr>
            <w:tcW w:w="9859" w:type="dxa"/>
            <w:gridSpan w:val="3"/>
            <w:tcBorders>
              <w:top w:val="single" w:sz="4" w:space="0" w:color="000000"/>
              <w:left w:val="single" w:sz="4" w:space="0" w:color="000000"/>
              <w:bottom w:val="single" w:sz="4" w:space="0" w:color="000000"/>
              <w:right w:val="single" w:sz="4" w:space="0" w:color="000000"/>
            </w:tcBorders>
            <w:vAlign w:val="center"/>
          </w:tcPr>
          <w:p>
            <w:pPr>
              <w:pStyle w:val="TAN"/>
              <w:rPr/>
            </w:pPr>
            <w:r>
              <w:rPr>
                <w:rFonts w:cs="Arial"/>
                <w:lang w:eastAsia="en-US"/>
              </w:rPr>
              <w:t>NOTE 1:</w:t>
              <w:tab/>
              <w:t>This RMC is defined in Table P.1-3. Subframes 0, 1, 4, 6 and 9 utilize DL TBS 16, subframe 5 is unused for DL data transmission and other subframes are for UL.</w:t>
            </w:r>
          </w:p>
          <w:p>
            <w:pPr>
              <w:pStyle w:val="TAN"/>
              <w:rPr/>
            </w:pPr>
            <w:r>
              <w:rPr>
                <w:rFonts w:cs="Arial"/>
                <w:lang w:eastAsia="en-US"/>
              </w:rPr>
              <w:t xml:space="preserve">NOTE </w:t>
            </w:r>
            <w:r>
              <w:rPr>
                <w:rFonts w:cs="Arial"/>
                <w:lang w:eastAsia="zh-CN"/>
              </w:rPr>
              <w:t>2</w:t>
            </w:r>
            <w:r>
              <w:rPr>
                <w:rFonts w:cs="Arial"/>
                <w:lang w:eastAsia="en-US"/>
              </w:rPr>
              <w:t>:</w:t>
              <w:tab/>
              <w:t>No uplink power control.</w:t>
            </w:r>
          </w:p>
          <w:p>
            <w:pPr>
              <w:pStyle w:val="TAN"/>
              <w:rPr/>
            </w:pPr>
            <w:r>
              <w:rPr>
                <w:rFonts w:cs="Arial"/>
                <w:lang w:eastAsia="en-US"/>
              </w:rPr>
              <w:t>NOTE 3:</w:t>
              <w:tab/>
              <w:t>These values might need to be increased for frequency and mobile speed reasons.</w:t>
            </w:r>
          </w:p>
        </w:tc>
      </w:tr>
    </w:tbl>
    <w:p>
      <w:pPr>
        <w:pStyle w:val="Normal"/>
        <w:rPr/>
      </w:pPr>
      <w:r>
        <w:rPr/>
      </w:r>
    </w:p>
    <w:p>
      <w:pPr>
        <w:pStyle w:val="TH"/>
        <w:rPr/>
      </w:pPr>
      <w:r>
        <w:rPr/>
        <w:t>Table P.1-3: Fixed Reference Channel two antenna ports for 20MHz TD-LTE</w:t>
      </w:r>
    </w:p>
    <w:tbl>
      <w:tblPr>
        <w:tblW w:w="6658" w:type="dxa"/>
        <w:jc w:val="center"/>
        <w:tblInd w:w="0" w:type="dxa"/>
        <w:tblLayout w:type="fixed"/>
        <w:tblCellMar>
          <w:top w:w="0" w:type="dxa"/>
          <w:left w:w="108" w:type="dxa"/>
          <w:bottom w:w="0" w:type="dxa"/>
          <w:right w:w="108" w:type="dxa"/>
        </w:tblCellMar>
      </w:tblPr>
      <w:tblGrid>
        <w:gridCol w:w="2547"/>
        <w:gridCol w:w="1276"/>
        <w:gridCol w:w="2835"/>
      </w:tblGrid>
      <w:tr>
        <w:trPr/>
        <w:tc>
          <w:tcPr>
            <w:tcW w:w="2547"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Parameter</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Unit</w:t>
            </w:r>
          </w:p>
        </w:tc>
        <w:tc>
          <w:tcPr>
            <w:tcW w:w="2835" w:type="dxa"/>
            <w:tcBorders>
              <w:top w:val="single" w:sz="4" w:space="0" w:color="000000"/>
              <w:left w:val="single" w:sz="4" w:space="0" w:color="000000"/>
              <w:bottom w:val="single" w:sz="4" w:space="0" w:color="000000"/>
              <w:right w:val="single" w:sz="4" w:space="0" w:color="000000"/>
            </w:tcBorders>
          </w:tcPr>
          <w:p>
            <w:pPr>
              <w:pStyle w:val="TAH"/>
              <w:rPr>
                <w:rFonts w:cs="Arial"/>
                <w:lang w:eastAsia="zh-CN"/>
              </w:rPr>
            </w:pPr>
            <w:r>
              <w:rPr>
                <w:rFonts w:cs="Arial"/>
              </w:rPr>
              <w:t>Value</w:t>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1"/>
              <w:rPr>
                <w:rFonts w:cs="Arial"/>
                <w:lang w:eastAsia="en-US"/>
              </w:rPr>
            </w:pPr>
            <w:r>
              <w:rPr>
                <w:rFonts w:cs="Arial"/>
                <w:lang w:eastAsia="en-US"/>
              </w:rPr>
              <w:t>Channel bandwidth</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MHz</w:t>
            </w:r>
          </w:p>
        </w:tc>
        <w:tc>
          <w:tcPr>
            <w:tcW w:w="2835"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20</w:t>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1"/>
              <w:rPr>
                <w:rFonts w:cs="Arial"/>
                <w:lang w:eastAsia="en-US"/>
              </w:rPr>
            </w:pPr>
            <w:r>
              <w:rPr>
                <w:rFonts w:cs="Arial"/>
                <w:lang w:eastAsia="en-US"/>
              </w:rPr>
              <w:t xml:space="preserve">Allocated resource blocks </w:t>
            </w:r>
            <w:r>
              <w:rPr>
                <w:rFonts w:cs="Arial"/>
                <w:lang w:eastAsia="zh-CN"/>
              </w:rPr>
              <w:t>(</w:t>
            </w:r>
            <w:r>
              <w:rPr>
                <w:rFonts w:cs="Arial"/>
              </w:rPr>
              <w:t>Note 3</w:t>
            </w:r>
            <w:r>
              <w:rPr>
                <w:rFonts w:cs="Arial"/>
                <w:lang w:eastAsia="zh-CN"/>
              </w:rPr>
              <w:t>)</w:t>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2835"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100</w:t>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1"/>
              <w:rPr/>
            </w:pPr>
            <w:r>
              <w:rPr>
                <w:rFonts w:cs="Arial"/>
                <w:lang w:eastAsia="en-US"/>
              </w:rPr>
              <w:t>Uplink-Downlink Configuration (Note 1)</w:t>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2835"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1</w:t>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1"/>
              <w:rPr>
                <w:rFonts w:cs="Arial"/>
                <w:lang w:eastAsia="en-US"/>
              </w:rPr>
            </w:pPr>
            <w:r>
              <w:rPr>
                <w:rFonts w:cs="Arial"/>
                <w:lang w:eastAsia="en-US"/>
              </w:rPr>
              <w:t>Allocated subframes per Radio Frame (D+S)</w:t>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2835"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4+2</w:t>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1"/>
              <w:rPr>
                <w:rFonts w:cs="Arial"/>
                <w:lang w:eastAsia="en-US"/>
              </w:rPr>
            </w:pPr>
            <w:r>
              <w:rPr>
                <w:rFonts w:cs="Arial"/>
                <w:lang w:eastAsia="en-US"/>
              </w:rPr>
              <w:t>Modulation</w:t>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2835"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64QAM</w:t>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1"/>
              <w:rPr>
                <w:rFonts w:cs="Arial"/>
                <w:lang w:eastAsia="en-US"/>
              </w:rPr>
            </w:pPr>
            <w:r>
              <w:rPr>
                <w:rFonts w:cs="Arial"/>
                <w:lang w:eastAsia="en-US"/>
              </w:rPr>
              <w:t>Target Coding Rate</w:t>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2835"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0.4</w:t>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1"/>
              <w:rPr>
                <w:rFonts w:cs="Arial"/>
                <w:lang w:eastAsia="en-US"/>
              </w:rPr>
            </w:pPr>
            <w:r>
              <w:rPr>
                <w:rFonts w:cs="Arial"/>
                <w:lang w:eastAsia="en-US"/>
              </w:rPr>
              <w:t xml:space="preserve">Information Bit Payload </w:t>
            </w:r>
            <w:r>
              <w:rPr>
                <w:rFonts w:cs="Arial"/>
                <w:lang w:eastAsia="zh-CN"/>
              </w:rPr>
              <w:t>(</w:t>
            </w:r>
            <w:r>
              <w:rPr>
                <w:rFonts w:cs="Arial"/>
              </w:rPr>
              <w:t>Note 3</w:t>
            </w:r>
            <w:r>
              <w:rPr>
                <w:rFonts w:cs="Arial"/>
                <w:lang w:eastAsia="zh-CN"/>
              </w:rPr>
              <w:t>)</w:t>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283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1"/>
              <w:rPr>
                <w:rFonts w:cs="Arial"/>
                <w:lang w:eastAsia="en-US"/>
              </w:rPr>
            </w:pPr>
            <w:r>
              <w:rPr>
                <w:rFonts w:eastAsia="Arial" w:cs="Arial"/>
                <w:lang w:eastAsia="en-US"/>
              </w:rPr>
              <w:t xml:space="preserve">  </w:t>
            </w:r>
            <w:r>
              <w:rPr>
                <w:rFonts w:cs="Arial"/>
                <w:lang w:eastAsia="en-US"/>
              </w:rPr>
              <w:t>For Sub-Frames 4,9</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Bits</w:t>
            </w:r>
          </w:p>
        </w:tc>
        <w:tc>
          <w:tcPr>
            <w:tcW w:w="2835"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32856</w:t>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1"/>
              <w:rPr>
                <w:rFonts w:cs="Arial"/>
                <w:lang w:eastAsia="en-US"/>
              </w:rPr>
            </w:pPr>
            <w:r>
              <w:rPr>
                <w:rFonts w:eastAsia="Arial" w:cs="Arial"/>
                <w:lang w:eastAsia="en-US"/>
              </w:rPr>
              <w:t xml:space="preserve">  </w:t>
            </w:r>
            <w:r>
              <w:rPr>
                <w:rFonts w:cs="Arial"/>
                <w:lang w:eastAsia="en-US"/>
              </w:rPr>
              <w:t>For Sub-Frames 1,6</w:t>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2835"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24496</w:t>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1"/>
              <w:rPr>
                <w:rFonts w:cs="Arial"/>
                <w:lang w:eastAsia="en-US"/>
              </w:rPr>
            </w:pPr>
            <w:r>
              <w:rPr>
                <w:rFonts w:eastAsia="Arial" w:cs="Arial"/>
                <w:lang w:eastAsia="en-US"/>
              </w:rPr>
              <w:t xml:space="preserve">  </w:t>
            </w:r>
            <w:r>
              <w:rPr>
                <w:rFonts w:cs="Arial"/>
                <w:lang w:eastAsia="en-US"/>
              </w:rPr>
              <w:t>For Sub-Frame 5</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Bits</w:t>
            </w:r>
          </w:p>
        </w:tc>
        <w:tc>
          <w:tcPr>
            <w:tcW w:w="2835"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N/A</w:t>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1"/>
              <w:rPr/>
            </w:pPr>
            <w:r>
              <w:rPr>
                <w:rFonts w:eastAsia="Arial" w:cs="Arial"/>
                <w:lang w:eastAsia="en-US"/>
              </w:rPr>
              <w:t xml:space="preserve">  </w:t>
            </w:r>
            <w:r>
              <w:rPr>
                <w:rFonts w:cs="Arial"/>
                <w:lang w:eastAsia="en-US"/>
              </w:rPr>
              <w:t>For Sub-Frame 0</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Bits</w:t>
            </w:r>
          </w:p>
        </w:tc>
        <w:tc>
          <w:tcPr>
            <w:tcW w:w="2835"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32856</w:t>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1"/>
              <w:rPr/>
            </w:pPr>
            <w:r>
              <w:rPr>
                <w:rFonts w:cs="Arial"/>
                <w:szCs w:val="22"/>
                <w:lang w:eastAsia="en-US"/>
              </w:rPr>
              <w:t>Number of Code Blocks</w:t>
              <w:br/>
              <w:t>(Note</w:t>
            </w:r>
            <w:r>
              <w:rPr>
                <w:rFonts w:cs="Arial"/>
                <w:szCs w:val="22"/>
                <w:lang w:eastAsia="zh-CN"/>
              </w:rPr>
              <w:t>s</w:t>
            </w:r>
            <w:r>
              <w:rPr>
                <w:rFonts w:cs="Arial"/>
                <w:szCs w:val="22"/>
                <w:lang w:eastAsia="en-US"/>
              </w:rPr>
              <w:t xml:space="preserve"> 2</w:t>
            </w:r>
            <w:r>
              <w:rPr>
                <w:rFonts w:cs="Arial"/>
                <w:szCs w:val="22"/>
                <w:lang w:eastAsia="zh-CN"/>
              </w:rPr>
              <w:t xml:space="preserve"> and 3</w:t>
            </w:r>
            <w:r>
              <w:rPr>
                <w:rFonts w:cs="Arial"/>
                <w:szCs w:val="22"/>
                <w:lang w:eastAsia="en-US"/>
              </w:rPr>
              <w:t>)</w:t>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szCs w:val="22"/>
                <w:lang w:eastAsia="en-US"/>
              </w:rPr>
            </w:pPr>
            <w:r>
              <w:rPr>
                <w:rFonts w:cs="Arial"/>
                <w:szCs w:val="22"/>
                <w:lang w:eastAsia="en-US"/>
              </w:rPr>
            </w:r>
          </w:p>
        </w:tc>
        <w:tc>
          <w:tcPr>
            <w:tcW w:w="283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1"/>
              <w:rPr>
                <w:rFonts w:cs="Arial"/>
                <w:lang w:eastAsia="en-US"/>
              </w:rPr>
            </w:pPr>
            <w:r>
              <w:rPr>
                <w:rFonts w:eastAsia="Arial" w:cs="Arial"/>
                <w:lang w:eastAsia="en-US"/>
              </w:rPr>
              <w:t xml:space="preserve">  </w:t>
            </w:r>
            <w:r>
              <w:rPr>
                <w:rFonts w:cs="Arial"/>
                <w:lang w:eastAsia="en-US"/>
              </w:rPr>
              <w:t xml:space="preserve">For Sub-Frames 4,9 </w:t>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2835"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5</w:t>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1"/>
              <w:rPr>
                <w:rFonts w:cs="Arial"/>
                <w:lang w:eastAsia="en-US"/>
              </w:rPr>
            </w:pPr>
            <w:r>
              <w:rPr>
                <w:rFonts w:eastAsia="Arial" w:cs="Arial"/>
                <w:lang w:eastAsia="en-US"/>
              </w:rPr>
              <w:t xml:space="preserve">  </w:t>
            </w:r>
            <w:r>
              <w:rPr>
                <w:rFonts w:cs="Arial"/>
                <w:lang w:eastAsia="en-US"/>
              </w:rPr>
              <w:t>For Sub-Frames 1,6</w:t>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2835"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4</w:t>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1"/>
              <w:rPr>
                <w:rFonts w:cs="Arial"/>
                <w:lang w:eastAsia="en-US"/>
              </w:rPr>
            </w:pPr>
            <w:r>
              <w:rPr>
                <w:rFonts w:eastAsia="Arial" w:cs="Arial"/>
                <w:lang w:eastAsia="en-US"/>
              </w:rPr>
              <w:t xml:space="preserve">  </w:t>
            </w:r>
            <w:r>
              <w:rPr>
                <w:rFonts w:cs="Arial"/>
                <w:lang w:eastAsia="en-US"/>
              </w:rPr>
              <w:t>For Sub-Frame 5</w:t>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2835"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N/A</w:t>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1"/>
              <w:rPr>
                <w:rFonts w:cs="Arial"/>
                <w:lang w:eastAsia="en-US"/>
              </w:rPr>
            </w:pPr>
            <w:r>
              <w:rPr>
                <w:rFonts w:eastAsia="Arial" w:cs="Arial"/>
                <w:lang w:eastAsia="en-US"/>
              </w:rPr>
              <w:t xml:space="preserve">  </w:t>
            </w:r>
            <w:r>
              <w:rPr>
                <w:rFonts w:cs="Arial"/>
                <w:lang w:eastAsia="en-US"/>
              </w:rPr>
              <w:t>For Sub-Frame 0</w:t>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2835"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5</w:t>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1"/>
              <w:rPr>
                <w:rFonts w:cs="Arial"/>
                <w:lang w:eastAsia="en-US"/>
              </w:rPr>
            </w:pPr>
            <w:r>
              <w:rPr>
                <w:rFonts w:cs="Arial"/>
                <w:lang w:eastAsia="en-US"/>
              </w:rPr>
              <w:t xml:space="preserve">Binary Channel Bits </w:t>
            </w:r>
            <w:r>
              <w:rPr>
                <w:rFonts w:cs="Arial"/>
                <w:lang w:eastAsia="zh-CN"/>
              </w:rPr>
              <w:t>(</w:t>
            </w:r>
            <w:r>
              <w:rPr>
                <w:rFonts w:cs="Arial"/>
              </w:rPr>
              <w:t>Note 3</w:t>
            </w:r>
            <w:r>
              <w:rPr>
                <w:rFonts w:cs="Arial"/>
                <w:lang w:eastAsia="zh-CN"/>
              </w:rPr>
              <w:t>)</w:t>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2835"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1"/>
              <w:rPr>
                <w:rFonts w:cs="Arial"/>
                <w:lang w:eastAsia="en-US"/>
              </w:rPr>
            </w:pPr>
            <w:r>
              <w:rPr>
                <w:rFonts w:eastAsia="Arial" w:cs="Arial"/>
                <w:lang w:eastAsia="en-US"/>
              </w:rPr>
              <w:t xml:space="preserve">  </w:t>
            </w:r>
            <w:r>
              <w:rPr>
                <w:rFonts w:cs="Arial"/>
                <w:lang w:eastAsia="en-US"/>
              </w:rPr>
              <w:t xml:space="preserve">For Sub-Frames 4,9 </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Bits</w:t>
            </w:r>
          </w:p>
        </w:tc>
        <w:tc>
          <w:tcPr>
            <w:tcW w:w="2835"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82800</w:t>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1"/>
              <w:rPr>
                <w:rFonts w:cs="Arial"/>
                <w:lang w:eastAsia="en-US"/>
              </w:rPr>
            </w:pPr>
            <w:r>
              <w:rPr>
                <w:rFonts w:eastAsia="Arial" w:cs="Arial"/>
                <w:lang w:eastAsia="en-US"/>
              </w:rPr>
              <w:t xml:space="preserve">  </w:t>
            </w:r>
            <w:r>
              <w:rPr>
                <w:rFonts w:cs="Arial"/>
                <w:lang w:eastAsia="en-US"/>
              </w:rPr>
              <w:t>For Sub-Frames 1,6</w:t>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2835"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67968</w:t>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1"/>
              <w:rPr/>
            </w:pPr>
            <w:r>
              <w:rPr>
                <w:rFonts w:eastAsia="Arial" w:cs="Arial"/>
                <w:lang w:eastAsia="en-US"/>
              </w:rPr>
              <w:t xml:space="preserve">  </w:t>
            </w:r>
            <w:r>
              <w:rPr>
                <w:rFonts w:cs="Arial"/>
                <w:lang w:eastAsia="en-US"/>
              </w:rPr>
              <w:t>For Sub-Frame 5</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Bits</w:t>
            </w:r>
          </w:p>
        </w:tc>
        <w:tc>
          <w:tcPr>
            <w:tcW w:w="2835"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N/A</w:t>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1"/>
              <w:rPr>
                <w:rFonts w:cs="Arial"/>
                <w:lang w:eastAsia="en-US"/>
              </w:rPr>
            </w:pPr>
            <w:r>
              <w:rPr>
                <w:rFonts w:eastAsia="Arial" w:cs="Arial"/>
                <w:lang w:eastAsia="en-US"/>
              </w:rPr>
              <w:t xml:space="preserve">  </w:t>
            </w:r>
            <w:r>
              <w:rPr>
                <w:rFonts w:cs="Arial"/>
                <w:lang w:eastAsia="en-US"/>
              </w:rPr>
              <w:t>For Sub-Frame 0</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Bits</w:t>
            </w:r>
          </w:p>
        </w:tc>
        <w:tc>
          <w:tcPr>
            <w:tcW w:w="2835"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80712</w:t>
            </w:r>
          </w:p>
        </w:tc>
      </w:tr>
      <w:tr>
        <w:trPr>
          <w:trHeight w:val="70" w:hRule="atLeast"/>
        </w:trPr>
        <w:tc>
          <w:tcPr>
            <w:tcW w:w="2547" w:type="dxa"/>
            <w:tcBorders>
              <w:top w:val="single" w:sz="4" w:space="0" w:color="000000"/>
              <w:left w:val="single" w:sz="4" w:space="0" w:color="000000"/>
              <w:bottom w:val="single" w:sz="4" w:space="0" w:color="000000"/>
              <w:right w:val="single" w:sz="4" w:space="0" w:color="000000"/>
            </w:tcBorders>
          </w:tcPr>
          <w:p>
            <w:pPr>
              <w:pStyle w:val="TAL1"/>
              <w:rPr>
                <w:rFonts w:cs="Arial"/>
                <w:lang w:eastAsia="en-US"/>
              </w:rPr>
            </w:pPr>
            <w:r>
              <w:rPr>
                <w:rFonts w:cs="Arial"/>
                <w:lang w:eastAsia="en-US"/>
              </w:rPr>
              <w:t xml:space="preserve">Max. Throughput averaged over 1 frame </w:t>
            </w:r>
            <w:r>
              <w:rPr>
                <w:rFonts w:cs="Arial"/>
                <w:lang w:eastAsia="zh-CN"/>
              </w:rPr>
              <w:t>(</w:t>
            </w:r>
            <w:r>
              <w:rPr>
                <w:rFonts w:cs="Arial"/>
              </w:rPr>
              <w:t>Note 3</w:t>
            </w:r>
            <w:r>
              <w:rPr>
                <w:rFonts w:cs="Arial"/>
                <w:lang w:eastAsia="zh-CN"/>
              </w:rPr>
              <w:t>)</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Mbps</w:t>
            </w:r>
          </w:p>
        </w:tc>
        <w:tc>
          <w:tcPr>
            <w:tcW w:w="2835"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14.756</w:t>
            </w:r>
          </w:p>
        </w:tc>
      </w:tr>
      <w:tr>
        <w:trPr>
          <w:trHeight w:val="70" w:hRule="atLeast"/>
        </w:trPr>
        <w:tc>
          <w:tcPr>
            <w:tcW w:w="2547" w:type="dxa"/>
            <w:tcBorders>
              <w:top w:val="single" w:sz="4" w:space="0" w:color="000000"/>
              <w:left w:val="single" w:sz="4" w:space="0" w:color="000000"/>
              <w:bottom w:val="single" w:sz="4" w:space="0" w:color="000000"/>
              <w:right w:val="single" w:sz="4" w:space="0" w:color="000000"/>
            </w:tcBorders>
          </w:tcPr>
          <w:p>
            <w:pPr>
              <w:pStyle w:val="TAL1"/>
              <w:rPr>
                <w:rFonts w:cs="Arial"/>
                <w:lang w:eastAsia="en-US"/>
              </w:rPr>
            </w:pPr>
            <w:r>
              <w:rPr>
                <w:rFonts w:cs="Arial"/>
                <w:lang w:eastAsia="en-US"/>
              </w:rPr>
              <w:t>UE Category</w:t>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2835"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en-US"/>
              </w:rPr>
              <w:t>≥</w:t>
            </w:r>
            <w:r>
              <w:rPr>
                <w:rFonts w:eastAsia="Arial" w:cs="Arial"/>
                <w:lang w:eastAsia="en-US"/>
              </w:rPr>
              <w:t xml:space="preserve"> </w:t>
            </w:r>
            <w:r>
              <w:rPr>
                <w:rFonts w:cs="Arial"/>
                <w:lang w:eastAsia="en-US"/>
              </w:rPr>
              <w:t>1</w:t>
            </w:r>
          </w:p>
        </w:tc>
      </w:tr>
      <w:tr>
        <w:trPr>
          <w:trHeight w:val="70" w:hRule="atLeast"/>
        </w:trPr>
        <w:tc>
          <w:tcPr>
            <w:tcW w:w="6658" w:type="dxa"/>
            <w:gridSpan w:val="3"/>
            <w:tcBorders>
              <w:top w:val="single" w:sz="4" w:space="0" w:color="000000"/>
              <w:left w:val="single" w:sz="4" w:space="0" w:color="000000"/>
              <w:bottom w:val="single" w:sz="4" w:space="0" w:color="000000"/>
              <w:right w:val="single" w:sz="4" w:space="0" w:color="000000"/>
            </w:tcBorders>
          </w:tcPr>
          <w:p>
            <w:pPr>
              <w:pStyle w:val="TAN"/>
              <w:rPr>
                <w:rFonts w:cs="Arial"/>
                <w:lang w:eastAsia="en-US"/>
              </w:rPr>
            </w:pPr>
            <w:r>
              <w:rPr>
                <w:rFonts w:cs="Arial"/>
                <w:lang w:eastAsia="en-US"/>
              </w:rPr>
              <w:t>NOTE 1:</w:t>
              <w:tab/>
              <w:t>As per Table 4.2-2 in TS 36.211 [33].</w:t>
            </w:r>
          </w:p>
          <w:p>
            <w:pPr>
              <w:pStyle w:val="TAN"/>
              <w:rPr/>
            </w:pPr>
            <w:r>
              <w:rPr>
                <w:rFonts w:cs="Arial"/>
                <w:lang w:eastAsia="en-US"/>
              </w:rPr>
              <w:t>NOTE 2:</w:t>
              <w:tab/>
              <w:t>If more than one Code Block is present, an additional CRC sequence of L = 24 Bits is attached to each Code Block (otherwise L = 0 Bit).</w:t>
            </w:r>
          </w:p>
          <w:p>
            <w:pPr>
              <w:pStyle w:val="TAC"/>
              <w:jc w:val="left"/>
              <w:rPr>
                <w:rFonts w:cs="Arial"/>
                <w:lang w:eastAsia="en-US"/>
              </w:rPr>
            </w:pPr>
            <w:r>
              <w:rPr>
                <w:rFonts w:cs="Arial"/>
                <w:lang w:eastAsia="zh-CN"/>
              </w:rPr>
              <w:t>NOTE 3:</w:t>
              <w:tab/>
              <w:t>Given per component carrier per codeword</w:t>
            </w:r>
          </w:p>
        </w:tc>
      </w:tr>
    </w:tbl>
    <w:p>
      <w:pPr>
        <w:pStyle w:val="Normal"/>
        <w:rPr/>
      </w:pPr>
      <w:r>
        <w:rPr/>
      </w:r>
    </w:p>
    <w:p>
      <w:pPr>
        <w:pStyle w:val="Heading8"/>
        <w:ind w:left="0" w:hanging="0"/>
        <w:rPr/>
      </w:pPr>
      <w:bookmarkStart w:id="635" w:name="__RefHeading___Toc68601527"/>
      <w:bookmarkEnd w:id="635"/>
      <w:r>
        <w:rPr/>
        <w:t>Annex Q (informative): RTS Anechoic Chamber Specification and Validation Method</w:t>
      </w:r>
    </w:p>
    <w:p>
      <w:pPr>
        <w:pStyle w:val="Heading2"/>
        <w:rPr/>
      </w:pPr>
      <w:bookmarkStart w:id="636" w:name="__RefHeading___Toc68601528"/>
      <w:bookmarkEnd w:id="636"/>
      <w:r>
        <w:rPr/>
        <w:t>Q.1</w:t>
        <w:tab/>
        <w:t>RTS anechoic chamber specifications</w:t>
      </w:r>
    </w:p>
    <w:p>
      <w:pPr>
        <w:pStyle w:val="Normal"/>
        <w:rPr/>
      </w:pPr>
      <w:r>
        <w:rPr/>
        <w:t>The RTS Anechoic Chamber implementation is based on the full SCME implementation described in TR 37.977 [29] clause 6.3.1.3 and would be evaluated for shielding effectiveness in accordance with Annex G.1 and would follow the recommendations in Annex A.3.5.</w:t>
      </w:r>
    </w:p>
    <w:p>
      <w:pPr>
        <w:pStyle w:val="Heading2"/>
        <w:rPr/>
      </w:pPr>
      <w:bookmarkStart w:id="637" w:name="__RefHeading___Toc68601529"/>
      <w:bookmarkEnd w:id="637"/>
      <w:r>
        <w:rPr/>
        <w:t>Q.2</w:t>
        <w:tab/>
        <w:t>RTS anechoic chamber minimum distance between the DUT and the measurement antenna</w:t>
      </w:r>
    </w:p>
    <w:p>
      <w:pPr>
        <w:pStyle w:val="Normal"/>
        <w:rPr/>
      </w:pPr>
      <w:r>
        <w:rPr/>
        <w:t>The RTS anechoic chamber minimum distance between the DUT and the measurement antenna would follow the recommendations in Annex A.3.3.</w:t>
      </w:r>
    </w:p>
    <w:p>
      <w:pPr>
        <w:pStyle w:val="Heading2"/>
        <w:rPr/>
      </w:pPr>
      <w:bookmarkStart w:id="638" w:name="__RefHeading___Toc68601530"/>
      <w:bookmarkEnd w:id="638"/>
      <w:r>
        <w:rPr/>
        <w:t>Q.3</w:t>
        <w:tab/>
        <w:t>RTS anechoic chamber quiet zone reflectivity level validation</w:t>
      </w:r>
    </w:p>
    <w:p>
      <w:pPr>
        <w:pStyle w:val="Normal"/>
        <w:rPr/>
      </w:pPr>
      <w:r>
        <w:rPr/>
        <w:t>The RTS anechoic chamber quiet zone relectivity level validation is performed in accordance with Annex G.2 and Annex G.3 and would follow the recommendations in Annex A.3.2 and Annex A.3.4.</w:t>
      </w:r>
    </w:p>
    <w:p>
      <w:pPr>
        <w:pStyle w:val="Heading2"/>
        <w:rPr/>
      </w:pPr>
      <w:bookmarkStart w:id="639" w:name="__RefHeading___Toc68601531"/>
      <w:bookmarkEnd w:id="639"/>
      <w:r>
        <w:rPr/>
        <w:t>Q.4</w:t>
        <w:tab/>
        <w:t>RTS anechoic chamber channel model verification</w:t>
      </w:r>
    </w:p>
    <w:p>
      <w:pPr>
        <w:pStyle w:val="Normal"/>
        <w:rPr/>
      </w:pPr>
      <w:r>
        <w:rPr/>
        <w:t>The RTS anechoic chamber channel model verification is performed in accordance with TR 37.977 [29] clause 8.3 for the channel model defined in clause 7.4.1.2 at the downlink centre frequency of the mid-channel defined in TS 36.508 [10] for the operating bands defined in clause 7.4.1.2. The results are expected to meet the recommended limits in TR 37.977 [29] clause 8.3.3.</w:t>
      </w:r>
    </w:p>
    <w:p>
      <w:pPr>
        <w:pStyle w:val="Heading8"/>
        <w:ind w:left="0" w:hanging="0"/>
        <w:rPr/>
      </w:pPr>
      <w:bookmarkStart w:id="640" w:name="__RefHeading___Toc68601532"/>
      <w:bookmarkEnd w:id="640"/>
      <w:r>
        <w:rPr/>
        <w:t>Annex R: UE ATF Requirements</w:t>
      </w:r>
    </w:p>
    <w:p>
      <w:pPr>
        <w:pStyle w:val="Normal"/>
        <w:rPr/>
      </w:pPr>
      <w:r>
        <w:rPr/>
        <w:t>This annex defines the accuracy requirements for the RSAP and RSARP measurements, these requirements are normative for devices using the RTS method as defined in section 7.4.</w:t>
      </w:r>
    </w:p>
    <w:p>
      <w:pPr>
        <w:pStyle w:val="Normal"/>
        <w:rPr/>
      </w:pPr>
      <w:r>
        <w:rPr/>
        <w:t>It should be noted that the two-stage test method includes RSAP and RSARP validation and if necessary linearization of the results prior to calibration of the results against known radiated metrology standards, therefore the requirement for RSAP and RSARP is that they are monotonic over a given range and resolution. As a consequence their absolute accuracies are not relevant. However, due to the similarity with RSRP, in order to guide RSAP implementation, an upper bound limit on accuracy is defined for RSAP. Since RSAP is measured in much easier conditions than RSRP, the RSRP absolute requirement will not increase the demands on existing receiver designs.</w:t>
      </w:r>
    </w:p>
    <w:p>
      <w:pPr>
        <w:pStyle w:val="Heading2"/>
        <w:rPr/>
      </w:pPr>
      <w:bookmarkStart w:id="641" w:name="__RefHeading___Toc68601533"/>
      <w:bookmarkEnd w:id="641"/>
      <w:r>
        <w:rPr/>
        <w:t>R.1</w:t>
        <w:tab/>
        <w:t>RSAP</w:t>
      </w:r>
    </w:p>
    <w:p>
      <w:pPr>
        <w:pStyle w:val="Normal"/>
        <w:rPr/>
      </w:pPr>
      <w:r>
        <w:rPr/>
        <w:t>The requirements for RSAP accuracy are given in Table R-1.</w:t>
      </w:r>
    </w:p>
    <w:p>
      <w:pPr>
        <w:pStyle w:val="TH"/>
        <w:rPr/>
      </w:pPr>
      <w:r>
        <w:rPr/>
        <w:t>Table R-1: Reference Signal Antenna Power requirements</w:t>
      </w:r>
    </w:p>
    <w:tbl>
      <w:tblPr>
        <w:tblW w:w="7945" w:type="dxa"/>
        <w:jc w:val="center"/>
        <w:tblInd w:w="0" w:type="dxa"/>
        <w:tblLayout w:type="fixed"/>
        <w:tblCellMar>
          <w:top w:w="57" w:type="dxa"/>
          <w:left w:w="28" w:type="dxa"/>
          <w:bottom w:w="0" w:type="dxa"/>
          <w:right w:w="28" w:type="dxa"/>
        </w:tblCellMar>
      </w:tblPr>
      <w:tblGrid>
        <w:gridCol w:w="2696"/>
        <w:gridCol w:w="5249"/>
      </w:tblGrid>
      <w:tr>
        <w:trPr>
          <w:cantSplit w:val="true"/>
        </w:trPr>
        <w:tc>
          <w:tcPr>
            <w:tcW w:w="269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17" w:hanging="0"/>
              <w:rPr>
                <w:rFonts w:ascii="Arial" w:hAnsi="Arial" w:cs="Arial"/>
                <w:b/>
                <w:b/>
                <w:sz w:val="18"/>
                <w:lang w:eastAsia="ja-JP"/>
              </w:rPr>
            </w:pPr>
            <w:r>
              <w:rPr>
                <w:rFonts w:cs="Arial" w:ascii="Arial" w:hAnsi="Arial"/>
                <w:b/>
                <w:sz w:val="18"/>
              </w:rPr>
              <w:t>Parameter</w:t>
            </w:r>
          </w:p>
        </w:tc>
        <w:tc>
          <w:tcPr>
            <w:tcW w:w="52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14" w:hanging="0"/>
              <w:rPr>
                <w:rFonts w:ascii="Arial" w:hAnsi="Arial" w:cs="Arial"/>
                <w:b/>
                <w:b/>
                <w:sz w:val="18"/>
                <w:lang w:eastAsia="ja-JP"/>
              </w:rPr>
            </w:pPr>
            <w:r>
              <w:rPr>
                <w:rFonts w:cs="Arial" w:ascii="Arial" w:hAnsi="Arial"/>
                <w:b/>
                <w:sz w:val="18"/>
              </w:rPr>
              <w:t>Value</w:t>
            </w:r>
          </w:p>
        </w:tc>
      </w:tr>
      <w:tr>
        <w:trPr>
          <w:cantSplit w:val="true"/>
        </w:trPr>
        <w:tc>
          <w:tcPr>
            <w:tcW w:w="269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17" w:hanging="0"/>
              <w:rPr>
                <w:rFonts w:ascii="Arial" w:hAnsi="Arial" w:cs="Arial"/>
                <w:b/>
                <w:b/>
                <w:sz w:val="18"/>
                <w:lang w:eastAsia="ja-JP"/>
              </w:rPr>
            </w:pPr>
            <w:r>
              <w:rPr>
                <w:rFonts w:cs="Arial" w:ascii="Arial" w:hAnsi="Arial"/>
                <w:b/>
                <w:sz w:val="18"/>
              </w:rPr>
              <w:t>Absolute accuracy</w:t>
            </w:r>
          </w:p>
        </w:tc>
        <w:tc>
          <w:tcPr>
            <w:tcW w:w="52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14" w:hanging="0"/>
              <w:rPr>
                <w:rFonts w:ascii="Arial" w:hAnsi="Arial" w:cs="Arial"/>
                <w:sz w:val="18"/>
                <w:lang w:eastAsia="ja-JP"/>
              </w:rPr>
            </w:pPr>
            <w:r>
              <w:rPr>
                <w:rFonts w:cs="Arial" w:ascii="Arial" w:hAnsi="Arial"/>
                <w:sz w:val="18"/>
              </w:rPr>
              <w:t>± 6 dB</w:t>
            </w:r>
          </w:p>
        </w:tc>
      </w:tr>
      <w:tr>
        <w:trPr>
          <w:cantSplit w:val="true"/>
        </w:trPr>
        <w:tc>
          <w:tcPr>
            <w:tcW w:w="269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17" w:hanging="0"/>
              <w:rPr>
                <w:rFonts w:ascii="Arial" w:hAnsi="Arial" w:cs="Arial"/>
                <w:b/>
                <w:b/>
                <w:sz w:val="18"/>
                <w:lang w:eastAsia="ja-JP"/>
              </w:rPr>
            </w:pPr>
            <w:r>
              <w:rPr>
                <w:rFonts w:cs="Arial" w:ascii="Arial" w:hAnsi="Arial"/>
                <w:b/>
                <w:sz w:val="18"/>
              </w:rPr>
              <w:t>Range</w:t>
            </w:r>
          </w:p>
        </w:tc>
        <w:tc>
          <w:tcPr>
            <w:tcW w:w="52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14" w:hanging="0"/>
              <w:rPr>
                <w:rFonts w:ascii="Arial" w:hAnsi="Arial" w:cs="Arial"/>
                <w:sz w:val="18"/>
                <w:lang w:eastAsia="ja-JP"/>
              </w:rPr>
            </w:pPr>
            <w:r>
              <w:rPr>
                <w:rFonts w:cs="Arial" w:ascii="Arial" w:hAnsi="Arial"/>
                <w:sz w:val="18"/>
              </w:rPr>
              <w:t>RSAP absolute accuracy and monotonicity to be maintained over the range -60 dBm to -80 dBm incident power measured at the orientation of the DUT’s maximum antenna gain.</w:t>
            </w:r>
          </w:p>
        </w:tc>
      </w:tr>
      <w:tr>
        <w:trPr>
          <w:cantSplit w:val="true"/>
        </w:trPr>
        <w:tc>
          <w:tcPr>
            <w:tcW w:w="269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17" w:hanging="0"/>
              <w:rPr>
                <w:rFonts w:ascii="Arial" w:hAnsi="Arial" w:cs="Arial"/>
                <w:b/>
                <w:b/>
                <w:sz w:val="18"/>
                <w:lang w:eastAsia="ja-JP"/>
              </w:rPr>
            </w:pPr>
            <w:r>
              <w:rPr>
                <w:rFonts w:cs="Arial" w:ascii="Arial" w:hAnsi="Arial"/>
                <w:b/>
                <w:sz w:val="18"/>
              </w:rPr>
              <w:t>Monotonicity</w:t>
            </w:r>
          </w:p>
        </w:tc>
        <w:tc>
          <w:tcPr>
            <w:tcW w:w="52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14" w:hanging="0"/>
              <w:rPr>
                <w:rFonts w:ascii="Arial" w:hAnsi="Arial" w:cs="Arial"/>
                <w:sz w:val="18"/>
                <w:lang w:eastAsia="ja-JP"/>
              </w:rPr>
            </w:pPr>
            <w:r>
              <w:rPr>
                <w:rFonts w:cs="Arial" w:ascii="Arial" w:hAnsi="Arial"/>
                <w:sz w:val="18"/>
              </w:rPr>
              <w:t>Monotonicity over a 1 dB interval. This is necessary to enable linearization of the UE RSAP response as part of the accuracy requirements for the derived complex antenna pattern.</w:t>
            </w:r>
          </w:p>
        </w:tc>
      </w:tr>
    </w:tbl>
    <w:p>
      <w:pPr>
        <w:pStyle w:val="Normal"/>
        <w:rPr/>
      </w:pPr>
      <w:r>
        <w:rPr/>
      </w:r>
    </w:p>
    <w:p>
      <w:pPr>
        <w:pStyle w:val="Heading2"/>
        <w:rPr/>
      </w:pPr>
      <w:bookmarkStart w:id="642" w:name="__RefHeading___Toc68601534"/>
      <w:bookmarkEnd w:id="642"/>
      <w:r>
        <w:rPr/>
        <w:t>R.2</w:t>
        <w:tab/>
        <w:t>RSARP</w:t>
      </w:r>
    </w:p>
    <w:p>
      <w:pPr>
        <w:pStyle w:val="Normal"/>
        <w:rPr/>
      </w:pPr>
      <w:r>
        <w:rPr/>
        <w:t>The requirements for RSARP accuracy are given in Table R-2.</w:t>
      </w:r>
    </w:p>
    <w:p>
      <w:pPr>
        <w:pStyle w:val="TH"/>
        <w:rPr/>
      </w:pPr>
      <w:r>
        <w:rPr/>
        <w:t>Table R-2: Reference Signal Antenna Relative Phase requirements</w:t>
      </w:r>
    </w:p>
    <w:tbl>
      <w:tblPr>
        <w:tblW w:w="7945" w:type="dxa"/>
        <w:jc w:val="center"/>
        <w:tblInd w:w="0" w:type="dxa"/>
        <w:tblLayout w:type="fixed"/>
        <w:tblCellMar>
          <w:top w:w="57" w:type="dxa"/>
          <w:left w:w="28" w:type="dxa"/>
          <w:bottom w:w="0" w:type="dxa"/>
          <w:right w:w="28" w:type="dxa"/>
        </w:tblCellMar>
      </w:tblPr>
      <w:tblGrid>
        <w:gridCol w:w="2696"/>
        <w:gridCol w:w="5249"/>
      </w:tblGrid>
      <w:tr>
        <w:trPr>
          <w:cantSplit w:val="true"/>
        </w:trPr>
        <w:tc>
          <w:tcPr>
            <w:tcW w:w="269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17" w:hanging="0"/>
              <w:rPr>
                <w:rFonts w:ascii="Arial" w:hAnsi="Arial" w:cs="Arial"/>
                <w:b/>
                <w:b/>
                <w:sz w:val="18"/>
                <w:lang w:eastAsia="ja-JP"/>
              </w:rPr>
            </w:pPr>
            <w:r>
              <w:rPr>
                <w:rFonts w:cs="Arial" w:ascii="Arial" w:hAnsi="Arial"/>
                <w:b/>
                <w:sz w:val="18"/>
              </w:rPr>
              <w:t>Parameter</w:t>
            </w:r>
          </w:p>
        </w:tc>
        <w:tc>
          <w:tcPr>
            <w:tcW w:w="52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14" w:hanging="0"/>
              <w:rPr>
                <w:rFonts w:ascii="Arial" w:hAnsi="Arial" w:cs="Arial"/>
                <w:b/>
                <w:b/>
                <w:sz w:val="18"/>
                <w:lang w:eastAsia="ja-JP"/>
              </w:rPr>
            </w:pPr>
            <w:r>
              <w:rPr>
                <w:rFonts w:cs="Arial" w:ascii="Arial" w:hAnsi="Arial"/>
                <w:b/>
                <w:sz w:val="18"/>
              </w:rPr>
              <w:t>Value</w:t>
            </w:r>
          </w:p>
        </w:tc>
      </w:tr>
      <w:tr>
        <w:trPr>
          <w:cantSplit w:val="true"/>
        </w:trPr>
        <w:tc>
          <w:tcPr>
            <w:tcW w:w="269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17" w:hanging="0"/>
              <w:rPr>
                <w:rFonts w:ascii="Arial" w:hAnsi="Arial" w:cs="Arial"/>
                <w:b/>
                <w:b/>
                <w:sz w:val="18"/>
                <w:lang w:eastAsia="ja-JP"/>
              </w:rPr>
            </w:pPr>
            <w:r>
              <w:rPr>
                <w:rFonts w:cs="Arial" w:ascii="Arial" w:hAnsi="Arial"/>
                <w:b/>
                <w:sz w:val="18"/>
              </w:rPr>
              <w:t>Range</w:t>
            </w:r>
          </w:p>
        </w:tc>
        <w:tc>
          <w:tcPr>
            <w:tcW w:w="52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14" w:hanging="0"/>
              <w:rPr>
                <w:rFonts w:ascii="Arial" w:hAnsi="Arial" w:cs="Arial"/>
                <w:sz w:val="18"/>
                <w:lang w:eastAsia="ja-JP"/>
              </w:rPr>
            </w:pPr>
            <w:r>
              <w:rPr>
                <w:rFonts w:cs="Arial" w:ascii="Arial" w:hAnsi="Arial"/>
                <w:sz w:val="18"/>
              </w:rPr>
              <w:t>RSARP monotonicity to be maintained over the range -60 dBm to -80 dBm incident power measured at the orientation of the DUT’s maximum antenna gain.</w:t>
            </w:r>
          </w:p>
        </w:tc>
      </w:tr>
      <w:tr>
        <w:trPr>
          <w:cantSplit w:val="true"/>
        </w:trPr>
        <w:tc>
          <w:tcPr>
            <w:tcW w:w="269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17" w:hanging="0"/>
              <w:rPr>
                <w:rFonts w:ascii="Arial" w:hAnsi="Arial" w:cs="Arial"/>
                <w:b/>
                <w:b/>
                <w:sz w:val="18"/>
                <w:lang w:eastAsia="ja-JP"/>
              </w:rPr>
            </w:pPr>
            <w:r>
              <w:rPr>
                <w:rFonts w:cs="Arial" w:ascii="Arial" w:hAnsi="Arial"/>
                <w:b/>
                <w:sz w:val="18"/>
              </w:rPr>
              <w:t>Monotonicity</w:t>
            </w:r>
          </w:p>
        </w:tc>
        <w:tc>
          <w:tcPr>
            <w:tcW w:w="52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14" w:hanging="0"/>
              <w:rPr>
                <w:rFonts w:ascii="Arial" w:hAnsi="Arial" w:cs="Arial"/>
                <w:sz w:val="18"/>
                <w:lang w:eastAsia="ja-JP"/>
              </w:rPr>
            </w:pPr>
            <w:r>
              <w:rPr>
                <w:rFonts w:cs="Arial" w:ascii="Arial" w:hAnsi="Arial"/>
                <w:sz w:val="18"/>
              </w:rPr>
              <w:t>Monotonicity over a 5 degree interval. This is necessary to enable linearization of the UE RSARP response as part of the accuracy requirements for the derived complex antenna pattern.</w:t>
            </w:r>
          </w:p>
        </w:tc>
      </w:tr>
    </w:tbl>
    <w:p>
      <w:pPr>
        <w:pStyle w:val="Normal"/>
        <w:rPr/>
      </w:pPr>
      <w:r>
        <w:rPr/>
      </w:r>
    </w:p>
    <w:p>
      <w:pPr>
        <w:pStyle w:val="Heading8"/>
        <w:ind w:left="0" w:hanging="0"/>
        <w:rPr/>
      </w:pPr>
      <w:bookmarkStart w:id="643" w:name="__RefHeading___Toc68601535"/>
      <w:bookmarkEnd w:id="643"/>
      <w:r>
        <w:rPr>
          <w:rFonts w:eastAsia="SimSun;宋体"/>
        </w:rPr>
        <w:t>Annex S: Change history</w:t>
      </w:r>
    </w:p>
    <w:tbl>
      <w:tblPr>
        <w:tblW w:w="9356" w:type="dxa"/>
        <w:jc w:val="left"/>
        <w:tblInd w:w="-7" w:type="dxa"/>
        <w:tblLayout w:type="fixed"/>
        <w:tblCellMar>
          <w:top w:w="0" w:type="dxa"/>
          <w:left w:w="40" w:type="dxa"/>
          <w:bottom w:w="0" w:type="dxa"/>
          <w:right w:w="40" w:type="dxa"/>
        </w:tblCellMar>
      </w:tblPr>
      <w:tblGrid>
        <w:gridCol w:w="800"/>
        <w:gridCol w:w="760"/>
        <w:gridCol w:w="1140"/>
        <w:gridCol w:w="561"/>
        <w:gridCol w:w="339"/>
        <w:gridCol w:w="4480"/>
        <w:gridCol w:w="567"/>
        <w:gridCol w:w="709"/>
      </w:tblGrid>
      <w:tr>
        <w:trPr>
          <w:cantSplit w:val="true"/>
        </w:trPr>
        <w:tc>
          <w:tcPr>
            <w:tcW w:w="9356" w:type="dxa"/>
            <w:gridSpan w:val="8"/>
            <w:tcBorders>
              <w:top w:val="single" w:sz="6" w:space="0" w:color="000000"/>
              <w:left w:val="single" w:sz="6" w:space="0" w:color="000000"/>
              <w:right w:val="single" w:sz="6" w:space="0" w:color="000000"/>
            </w:tcBorders>
            <w:shd w:fill="FFFFFF" w:val="clear"/>
          </w:tcPr>
          <w:p>
            <w:pPr>
              <w:pStyle w:val="TAL1"/>
              <w:jc w:val="center"/>
              <w:rPr>
                <w:b/>
                <w:b/>
                <w:sz w:val="16"/>
                <w:lang w:eastAsia="en-US"/>
              </w:rPr>
            </w:pPr>
            <w:r>
              <w:rPr>
                <w:b/>
                <w:lang w:eastAsia="en-US"/>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1"/>
              <w:rPr>
                <w:b/>
                <w:b/>
                <w:sz w:val="16"/>
                <w:lang w:eastAsia="en-US"/>
              </w:rPr>
            </w:pPr>
            <w:r>
              <w:rPr>
                <w:b/>
                <w:sz w:val="16"/>
                <w:lang w:eastAsia="en-US"/>
              </w:rPr>
              <w:t>Date</w:t>
            </w:r>
          </w:p>
        </w:tc>
        <w:tc>
          <w:tcPr>
            <w:tcW w:w="760" w:type="dxa"/>
            <w:tcBorders>
              <w:top w:val="single" w:sz="6" w:space="0" w:color="000000"/>
              <w:left w:val="single" w:sz="6" w:space="0" w:color="000000"/>
              <w:bottom w:val="single" w:sz="6" w:space="0" w:color="000000"/>
              <w:right w:val="single" w:sz="6" w:space="0" w:color="000000"/>
            </w:tcBorders>
            <w:shd w:fill="E5E5E5" w:val="clear"/>
          </w:tcPr>
          <w:p>
            <w:pPr>
              <w:pStyle w:val="TAL1"/>
              <w:rPr>
                <w:b/>
                <w:b/>
                <w:sz w:val="16"/>
                <w:lang w:eastAsia="en-US"/>
              </w:rPr>
            </w:pPr>
            <w:r>
              <w:rPr>
                <w:b/>
                <w:sz w:val="16"/>
                <w:lang w:eastAsia="en-US"/>
              </w:rPr>
              <w:t>TSG #</w:t>
            </w:r>
          </w:p>
        </w:tc>
        <w:tc>
          <w:tcPr>
            <w:tcW w:w="1140" w:type="dxa"/>
            <w:tcBorders>
              <w:top w:val="single" w:sz="6" w:space="0" w:color="000000"/>
              <w:left w:val="single" w:sz="6" w:space="0" w:color="000000"/>
              <w:bottom w:val="single" w:sz="6" w:space="0" w:color="000000"/>
              <w:right w:val="single" w:sz="6" w:space="0" w:color="000000"/>
            </w:tcBorders>
            <w:shd w:fill="E5E5E5" w:val="clear"/>
          </w:tcPr>
          <w:p>
            <w:pPr>
              <w:pStyle w:val="TAL1"/>
              <w:rPr>
                <w:b/>
                <w:b/>
                <w:sz w:val="16"/>
                <w:lang w:eastAsia="en-US"/>
              </w:rPr>
            </w:pPr>
            <w:r>
              <w:rPr>
                <w:b/>
                <w:sz w:val="16"/>
                <w:lang w:eastAsia="en-US"/>
              </w:rPr>
              <w:t>TSG Doc.</w:t>
            </w:r>
          </w:p>
        </w:tc>
        <w:tc>
          <w:tcPr>
            <w:tcW w:w="561" w:type="dxa"/>
            <w:tcBorders>
              <w:top w:val="single" w:sz="6" w:space="0" w:color="000000"/>
              <w:left w:val="single" w:sz="6" w:space="0" w:color="000000"/>
              <w:bottom w:val="single" w:sz="6" w:space="0" w:color="000000"/>
              <w:right w:val="single" w:sz="6" w:space="0" w:color="000000"/>
            </w:tcBorders>
            <w:shd w:fill="E5E5E5" w:val="clear"/>
          </w:tcPr>
          <w:p>
            <w:pPr>
              <w:pStyle w:val="TAL1"/>
              <w:rPr>
                <w:b/>
                <w:b/>
                <w:sz w:val="16"/>
                <w:lang w:eastAsia="en-US"/>
              </w:rPr>
            </w:pPr>
            <w:r>
              <w:rPr>
                <w:b/>
                <w:sz w:val="16"/>
                <w:lang w:eastAsia="en-US"/>
              </w:rPr>
              <w:t>CR</w:t>
            </w:r>
          </w:p>
        </w:tc>
        <w:tc>
          <w:tcPr>
            <w:tcW w:w="339" w:type="dxa"/>
            <w:tcBorders>
              <w:top w:val="single" w:sz="6" w:space="0" w:color="000000"/>
              <w:left w:val="single" w:sz="6" w:space="0" w:color="000000"/>
              <w:bottom w:val="single" w:sz="6" w:space="0" w:color="000000"/>
              <w:right w:val="single" w:sz="6" w:space="0" w:color="000000"/>
            </w:tcBorders>
            <w:shd w:fill="E5E5E5" w:val="clear"/>
          </w:tcPr>
          <w:p>
            <w:pPr>
              <w:pStyle w:val="TAL1"/>
              <w:rPr>
                <w:b/>
                <w:b/>
                <w:sz w:val="16"/>
                <w:lang w:eastAsia="en-US"/>
              </w:rPr>
            </w:pPr>
            <w:r>
              <w:rPr>
                <w:b/>
                <w:sz w:val="16"/>
                <w:lang w:eastAsia="en-US"/>
              </w:rPr>
              <w:t>Rev</w:t>
            </w:r>
          </w:p>
        </w:tc>
        <w:tc>
          <w:tcPr>
            <w:tcW w:w="4480" w:type="dxa"/>
            <w:tcBorders>
              <w:top w:val="single" w:sz="6" w:space="0" w:color="000000"/>
              <w:left w:val="single" w:sz="6" w:space="0" w:color="000000"/>
              <w:bottom w:val="single" w:sz="6" w:space="0" w:color="000000"/>
              <w:right w:val="single" w:sz="6" w:space="0" w:color="000000"/>
            </w:tcBorders>
            <w:shd w:fill="E5E5E5" w:val="clear"/>
          </w:tcPr>
          <w:p>
            <w:pPr>
              <w:pStyle w:val="TAL1"/>
              <w:rPr>
                <w:b/>
                <w:b/>
                <w:sz w:val="16"/>
                <w:lang w:eastAsia="en-US"/>
              </w:rPr>
            </w:pPr>
            <w:r>
              <w:rPr>
                <w:b/>
                <w:sz w:val="16"/>
                <w:lang w:eastAsia="en-US"/>
              </w:rPr>
              <w:t>Subject/Comment</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1"/>
              <w:rPr>
                <w:b/>
                <w:b/>
                <w:sz w:val="16"/>
                <w:lang w:eastAsia="en-US"/>
              </w:rPr>
            </w:pPr>
            <w:r>
              <w:rPr>
                <w:b/>
                <w:sz w:val="16"/>
                <w:lang w:eastAsia="en-US"/>
              </w:rPr>
              <w:t>Old</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L1"/>
              <w:rPr>
                <w:b/>
                <w:b/>
                <w:sz w:val="16"/>
                <w:lang w:eastAsia="en-US"/>
              </w:rPr>
            </w:pPr>
            <w:r>
              <w:rPr>
                <w:b/>
                <w:sz w:val="16"/>
                <w:lang w:eastAsia="en-US"/>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2014-08</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RAN5#64</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R5-14xxxx</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TS 37.544 Skeleton proposed for RAN5#64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0.0.1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2014-09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RAN5#64</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R5-144940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TS 37.544 v0.1.0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0.0.1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2014-11</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RAN5#65</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R5-145473</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pPr>
            <w:r>
              <w:rPr>
                <w:sz w:val="16"/>
                <w:szCs w:val="16"/>
                <w:lang w:eastAsia="en-US"/>
              </w:rPr>
              <w:t>TS 37.544 v0.2.0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2015-02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pPr>
            <w:r>
              <w:rPr>
                <w:sz w:val="16"/>
                <w:szCs w:val="16"/>
                <w:lang w:eastAsia="en-US"/>
              </w:rPr>
              <w:t>RAN5#66</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R5150208</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TS 37.544 v0.3.0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0.2.0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2015-05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RAN5#67</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R5-151230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TS 37.544 v0.4.0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0.3.0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2015-08</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RAN5#68</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R5-153129</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TS 37.544 v0.5.0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0.4.0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2015-11</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RAN5#69</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R5-155372</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TS 37.544 v0.6.0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0.5.0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pPr>
            <w:r>
              <w:rPr>
                <w:sz w:val="16"/>
                <w:szCs w:val="16"/>
                <w:lang w:eastAsia="en-US"/>
              </w:rPr>
              <w:t>2015-12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RAN#70</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editorial cleanup by MCC according to 3GPP formatting rules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0.6.0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0.6.1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2016-05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RAN5#71</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R5-162124</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TS 37.544 v0.7.0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0.6.1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2016-08</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pPr>
            <w:r>
              <w:rPr>
                <w:sz w:val="16"/>
                <w:szCs w:val="16"/>
                <w:lang w:eastAsia="en-US"/>
              </w:rPr>
              <w:t>RAN5#72</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R5-162123</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TS 37.544 v1.0.0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0.7.0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2016-09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RAN#73</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TS 37.544 v2.0.0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2016-09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RAN#73</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TS 37.544 v2.1.0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2016-09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RAN#73</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upgraded to v14.0.0 with editorial changes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2017-03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RAN#75</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R5-171303</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0008</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Corrections to Test Requirements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2017-03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RAN#75</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R5-171908</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0001</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pPr>
            <w:r>
              <w:rPr>
                <w:sz w:val="16"/>
                <w:szCs w:val="16"/>
                <w:lang w:eastAsia="en-US"/>
              </w:rPr>
              <w:t>Radiated Performance of Multiple-antenna Receivers - Scope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2017-03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RAN#75</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R5-171909</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0002</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Radiated Performance of Multiple-antenna Receivers - References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2017-03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RAN#75</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R5-171910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0004</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pPr>
            <w:r>
              <w:rPr>
                <w:sz w:val="16"/>
                <w:szCs w:val="16"/>
                <w:lang w:eastAsia="en-US"/>
              </w:rPr>
              <w:t>Radiated Performance of Multiple-antenna Receivers - DUT Positioning for total radiated multi-antenna sensitivity (TRMS)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2017-03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RAN#75</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R5-171911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0003</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Radiated Performance of Multiple-antenna Receivers - E-UTRA FDD and TDD frequencies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2017-03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RAN#75</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R5-171912</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0005</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pPr>
            <w:r>
              <w:rPr>
                <w:sz w:val="16"/>
                <w:szCs w:val="16"/>
                <w:lang w:eastAsia="en-US"/>
              </w:rPr>
              <w:t>Radiated Performance of Multiple-antenna Receivers - Sampling Grid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2017-03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RAN#75</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R5-171913</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0006</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Radiated Performance of Multiple-antenna Receivers - Receiver TRMS for E-UTRA FDD &amp; TDD in Free Space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2017-03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RAN#75</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R5-171914</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0007</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E-UTRA FDD and TDD Frequency Bands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2017-06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RAN#76</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R5-173366</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0009</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Introduction of Multi-Probe Anechoic Chamber Specification and Validation Method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2017-06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RAN#76</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R5-173368</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0010</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pPr>
            <w:r>
              <w:rPr>
                <w:sz w:val="16"/>
                <w:szCs w:val="16"/>
                <w:lang w:eastAsia="en-US"/>
              </w:rPr>
              <w:t>Updated minimum requirements for LTE Tablet and UTRA TRP/TRS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2017-09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RAN#77</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R5-175048</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0011</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 xml:space="preserve">Updates to TRMS Minimum Requirements for TC 7.4.1 &amp; 7.4.2 </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14.2.0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2017-09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RAN#77</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R5-175049</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0012</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Updates on maximum RS-EPRE level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14.2.0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2017-09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RAN#77</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R5-175174</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0013</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pPr>
            <w:r>
              <w:rPr>
                <w:sz w:val="16"/>
                <w:szCs w:val="16"/>
                <w:lang w:eastAsia="en-US"/>
              </w:rPr>
              <w:t>Calibration procedure for Multi-probe Anechoic chamber (MPAC) method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14.2.0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2017-12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RAN#78</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R5-177099</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0017</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MIMO OTA Maximum uncertainty of test system and test tolerance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14.3.0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2017-12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RAN#78</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R5-177100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0018</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pPr>
            <w:r>
              <w:rPr>
                <w:sz w:val="16"/>
                <w:szCs w:val="16"/>
                <w:lang w:eastAsia="en-US"/>
              </w:rPr>
              <w:t>MIMO OTA TRMS requirements for PS1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14.3.0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2017-12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RAN#78</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R5-177101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0023</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Estimation of measurement uncertainty</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14.3.0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2017-12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RAN#78</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R5-177386</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0015</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MIMO OTA Definitions, symbols and abbreviations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14.3.0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2017-12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RAN#78</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R5-177387</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0016</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pPr>
            <w:r>
              <w:rPr>
                <w:sz w:val="16"/>
                <w:szCs w:val="16"/>
                <w:lang w:eastAsia="en-US"/>
              </w:rPr>
              <w:t>MIMO OTA Environmental Requirements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14.3.0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2018-03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RAN#79</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R5-180882</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0025</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Introduction of RTS Anechoic Chamber Specification and Validation Method in TS 37.544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14.4.0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2018-03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RAN#79</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R5-181660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0024</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Addition of Radiated Two-Stage (RTS) in TS 37.544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14.4.0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2018-03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RAN#79</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R5-181661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0026</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Addition of UE ATF requirements in TS 37.544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14.4.0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2018-06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RAN#80</w:t>
            </w:r>
          </w:p>
        </w:tc>
        <w:tc>
          <w:tcPr>
            <w:tcW w:w="114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R5-183852</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0028</w:t>
            </w:r>
          </w:p>
        </w:tc>
        <w:tc>
          <w:tcPr>
            <w:tcW w:w="33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w:t>
            </w:r>
          </w:p>
        </w:tc>
        <w:tc>
          <w:tcPr>
            <w:tcW w:w="448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Addition RTS applicability for FDD bands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14.5.0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14.6.0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2018-09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RAN#81</w:t>
            </w:r>
          </w:p>
        </w:tc>
        <w:tc>
          <w:tcPr>
            <w:tcW w:w="114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1"/>
              <w:rPr>
                <w:sz w:val="16"/>
                <w:szCs w:val="16"/>
                <w:lang w:eastAsia="en-US"/>
              </w:rPr>
            </w:pPr>
            <w:r>
              <w:rPr>
                <w:sz w:val="16"/>
                <w:szCs w:val="16"/>
                <w:lang w:eastAsia="en-US"/>
              </w:rPr>
              <w:t>R5-186894</w:t>
            </w:r>
          </w:p>
        </w:tc>
        <w:tc>
          <w:tcPr>
            <w:tcW w:w="561"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1"/>
              <w:rPr>
                <w:sz w:val="16"/>
                <w:szCs w:val="16"/>
                <w:lang w:eastAsia="en-US"/>
              </w:rPr>
            </w:pPr>
            <w:r>
              <w:rPr>
                <w:sz w:val="16"/>
                <w:szCs w:val="16"/>
                <w:lang w:eastAsia="en-US"/>
              </w:rPr>
              <w:t>0029</w:t>
            </w:r>
          </w:p>
        </w:tc>
        <w:tc>
          <w:tcPr>
            <w:tcW w:w="339"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1"/>
              <w:rPr>
                <w:sz w:val="16"/>
                <w:szCs w:val="16"/>
                <w:lang w:eastAsia="en-US"/>
              </w:rPr>
            </w:pPr>
            <w:r>
              <w:rPr>
                <w:sz w:val="16"/>
                <w:szCs w:val="16"/>
                <w:lang w:eastAsia="en-US"/>
              </w:rPr>
              <w:t>-</w:t>
            </w:r>
          </w:p>
        </w:tc>
        <w:tc>
          <w:tcPr>
            <w:tcW w:w="448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1"/>
              <w:rPr>
                <w:sz w:val="16"/>
                <w:szCs w:val="16"/>
                <w:lang w:eastAsia="en-US"/>
              </w:rPr>
            </w:pPr>
            <w:r>
              <w:rPr>
                <w:sz w:val="16"/>
                <w:szCs w:val="16"/>
                <w:lang w:eastAsia="en-US"/>
              </w:rPr>
              <w:t>Update on RTS Linearization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pPr>
            <w:r>
              <w:rPr>
                <w:sz w:val="16"/>
                <w:szCs w:val="16"/>
                <w:lang w:eastAsia="en-US"/>
              </w:rPr>
              <w:t>14.6.0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pPr>
            <w:r>
              <w:rPr>
                <w:sz w:val="16"/>
                <w:szCs w:val="16"/>
                <w:lang w:eastAsia="en-US"/>
              </w:rPr>
              <w:t>14.7.0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2020-06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SA#88</w:t>
            </w:r>
          </w:p>
        </w:tc>
        <w:tc>
          <w:tcPr>
            <w:tcW w:w="114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1"/>
              <w:rPr>
                <w:sz w:val="16"/>
                <w:szCs w:val="16"/>
                <w:lang w:eastAsia="en-US"/>
              </w:rPr>
            </w:pPr>
            <w:r>
              <w:rPr>
                <w:sz w:val="16"/>
                <w:szCs w:val="16"/>
                <w:lang w:eastAsia="en-US"/>
              </w:rPr>
              <w:t>-</w:t>
            </w:r>
          </w:p>
        </w:tc>
        <w:tc>
          <w:tcPr>
            <w:tcW w:w="561"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1"/>
              <w:rPr>
                <w:sz w:val="16"/>
                <w:szCs w:val="16"/>
                <w:lang w:eastAsia="en-US"/>
              </w:rPr>
            </w:pPr>
            <w:r>
              <w:rPr>
                <w:sz w:val="16"/>
                <w:szCs w:val="16"/>
                <w:lang w:eastAsia="en-US"/>
              </w:rPr>
              <w:t>-</w:t>
            </w:r>
          </w:p>
        </w:tc>
        <w:tc>
          <w:tcPr>
            <w:tcW w:w="339"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1"/>
              <w:rPr>
                <w:sz w:val="16"/>
                <w:szCs w:val="16"/>
                <w:lang w:eastAsia="en-US"/>
              </w:rPr>
            </w:pPr>
            <w:r>
              <w:rPr>
                <w:sz w:val="16"/>
                <w:szCs w:val="16"/>
                <w:lang w:eastAsia="en-US"/>
              </w:rPr>
              <w:t>-</w:t>
            </w:r>
          </w:p>
        </w:tc>
        <w:tc>
          <w:tcPr>
            <w:tcW w:w="448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1"/>
              <w:rPr>
                <w:sz w:val="16"/>
                <w:szCs w:val="16"/>
                <w:lang w:eastAsia="en-US"/>
              </w:rPr>
            </w:pPr>
            <w:r>
              <w:rPr>
                <w:sz w:val="16"/>
                <w:szCs w:val="16"/>
                <w:lang w:eastAsia="en-US"/>
              </w:rPr>
              <w:t>Upgraded to Rel-15 with no change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pPr>
            <w:r>
              <w:rPr>
                <w:sz w:val="16"/>
                <w:szCs w:val="16"/>
                <w:lang w:eastAsia="en-US"/>
              </w:rPr>
              <w:t>14.7.0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pPr>
            <w:r>
              <w:rPr>
                <w:sz w:val="16"/>
                <w:szCs w:val="16"/>
                <w:lang w:eastAsia="en-US"/>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2020-06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SA#88</w:t>
            </w:r>
          </w:p>
        </w:tc>
        <w:tc>
          <w:tcPr>
            <w:tcW w:w="114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1"/>
              <w:rPr>
                <w:sz w:val="16"/>
                <w:szCs w:val="16"/>
                <w:lang w:eastAsia="en-US"/>
              </w:rPr>
            </w:pPr>
            <w:r>
              <w:rPr>
                <w:sz w:val="16"/>
                <w:szCs w:val="16"/>
                <w:lang w:eastAsia="en-US"/>
              </w:rPr>
              <w:t>-</w:t>
            </w:r>
          </w:p>
        </w:tc>
        <w:tc>
          <w:tcPr>
            <w:tcW w:w="561"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1"/>
              <w:rPr>
                <w:sz w:val="16"/>
                <w:szCs w:val="16"/>
                <w:lang w:eastAsia="en-US"/>
              </w:rPr>
            </w:pPr>
            <w:r>
              <w:rPr>
                <w:sz w:val="16"/>
                <w:szCs w:val="16"/>
                <w:lang w:eastAsia="en-US"/>
              </w:rPr>
              <w:t>-</w:t>
            </w:r>
          </w:p>
        </w:tc>
        <w:tc>
          <w:tcPr>
            <w:tcW w:w="339"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1"/>
              <w:rPr>
                <w:sz w:val="16"/>
                <w:szCs w:val="16"/>
                <w:lang w:eastAsia="en-US"/>
              </w:rPr>
            </w:pPr>
            <w:r>
              <w:rPr>
                <w:sz w:val="16"/>
                <w:szCs w:val="16"/>
                <w:lang w:eastAsia="en-US"/>
              </w:rPr>
              <w:t>-</w:t>
            </w:r>
          </w:p>
        </w:tc>
        <w:tc>
          <w:tcPr>
            <w:tcW w:w="448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1"/>
              <w:rPr>
                <w:sz w:val="16"/>
                <w:szCs w:val="16"/>
                <w:lang w:eastAsia="en-US"/>
              </w:rPr>
            </w:pPr>
            <w:r>
              <w:rPr>
                <w:sz w:val="16"/>
                <w:szCs w:val="16"/>
                <w:lang w:eastAsia="en-US"/>
              </w:rPr>
              <w:t>Upgraded to Rel-16 with no change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pPr>
            <w:r>
              <w:rPr>
                <w:sz w:val="16"/>
                <w:szCs w:val="16"/>
                <w:lang w:eastAsia="en-US"/>
              </w:rPr>
              <w:t>15.0.0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pPr>
            <w:r>
              <w:rPr>
                <w:sz w:val="16"/>
                <w:szCs w:val="16"/>
                <w:lang w:eastAsia="en-US"/>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2021-03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RAN#91</w:t>
            </w:r>
          </w:p>
        </w:tc>
        <w:tc>
          <w:tcPr>
            <w:tcW w:w="114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1"/>
              <w:rPr>
                <w:sz w:val="16"/>
                <w:szCs w:val="16"/>
                <w:lang w:eastAsia="en-US"/>
              </w:rPr>
            </w:pPr>
            <w:r>
              <w:rPr>
                <w:sz w:val="16"/>
                <w:szCs w:val="16"/>
                <w:lang w:eastAsia="en-US"/>
              </w:rPr>
              <w:t>R5-210377</w:t>
            </w:r>
          </w:p>
        </w:tc>
        <w:tc>
          <w:tcPr>
            <w:tcW w:w="561"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1"/>
              <w:rPr>
                <w:sz w:val="16"/>
                <w:szCs w:val="16"/>
                <w:lang w:eastAsia="en-US"/>
              </w:rPr>
            </w:pPr>
            <w:r>
              <w:rPr>
                <w:sz w:val="16"/>
                <w:szCs w:val="16"/>
                <w:lang w:eastAsia="en-US"/>
              </w:rPr>
              <w:t>0030</w:t>
            </w:r>
          </w:p>
        </w:tc>
        <w:tc>
          <w:tcPr>
            <w:tcW w:w="339"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1"/>
              <w:rPr>
                <w:sz w:val="16"/>
                <w:szCs w:val="16"/>
                <w:lang w:eastAsia="en-US"/>
              </w:rPr>
            </w:pPr>
            <w:r>
              <w:rPr>
                <w:sz w:val="16"/>
                <w:szCs w:val="16"/>
                <w:lang w:eastAsia="en-US"/>
              </w:rPr>
              <w:t>-</w:t>
            </w:r>
          </w:p>
        </w:tc>
        <w:tc>
          <w:tcPr>
            <w:tcW w:w="448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1"/>
              <w:rPr>
                <w:sz w:val="16"/>
                <w:szCs w:val="16"/>
                <w:lang w:eastAsia="en-US"/>
              </w:rPr>
            </w:pPr>
            <w:r>
              <w:rPr>
                <w:sz w:val="16"/>
                <w:szCs w:val="16"/>
                <w:lang w:eastAsia="en-US"/>
              </w:rPr>
              <w:t>Correction of TRS numeric symbol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pPr>
            <w:r>
              <w:rPr>
                <w:sz w:val="16"/>
                <w:szCs w:val="16"/>
                <w:lang w:eastAsia="en-US"/>
              </w:rPr>
              <w:t>16.0.0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pPr>
            <w:r>
              <w:rPr>
                <w:sz w:val="16"/>
                <w:szCs w:val="16"/>
                <w:lang w:eastAsia="en-US"/>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2021-09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1"/>
              <w:rPr>
                <w:sz w:val="16"/>
                <w:szCs w:val="16"/>
                <w:lang w:eastAsia="en-US"/>
              </w:rPr>
            </w:pPr>
            <w:r>
              <w:rPr>
                <w:sz w:val="16"/>
                <w:szCs w:val="16"/>
                <w:lang w:eastAsia="en-US"/>
              </w:rPr>
              <w:t>RAN#93</w:t>
            </w:r>
          </w:p>
        </w:tc>
        <w:tc>
          <w:tcPr>
            <w:tcW w:w="114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1"/>
              <w:rPr>
                <w:sz w:val="16"/>
                <w:szCs w:val="16"/>
                <w:lang w:eastAsia="en-US"/>
              </w:rPr>
            </w:pPr>
            <w:r>
              <w:rPr>
                <w:sz w:val="16"/>
                <w:szCs w:val="16"/>
                <w:lang w:eastAsia="en-US"/>
              </w:rPr>
              <w:t>R5-215267</w:t>
            </w:r>
          </w:p>
        </w:tc>
        <w:tc>
          <w:tcPr>
            <w:tcW w:w="561"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1"/>
              <w:rPr>
                <w:sz w:val="16"/>
                <w:szCs w:val="16"/>
                <w:lang w:eastAsia="en-US"/>
              </w:rPr>
            </w:pPr>
            <w:r>
              <w:rPr>
                <w:sz w:val="16"/>
                <w:szCs w:val="16"/>
                <w:lang w:eastAsia="en-US"/>
              </w:rPr>
              <w:t>0031</w:t>
            </w:r>
          </w:p>
        </w:tc>
        <w:tc>
          <w:tcPr>
            <w:tcW w:w="339"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1"/>
              <w:rPr>
                <w:sz w:val="16"/>
                <w:szCs w:val="16"/>
                <w:lang w:eastAsia="en-US"/>
              </w:rPr>
            </w:pPr>
            <w:r>
              <w:rPr>
                <w:sz w:val="16"/>
                <w:szCs w:val="16"/>
                <w:lang w:eastAsia="en-US"/>
              </w:rPr>
              <w:t>-</w:t>
            </w:r>
          </w:p>
        </w:tc>
        <w:tc>
          <w:tcPr>
            <w:tcW w:w="448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1"/>
              <w:rPr>
                <w:sz w:val="16"/>
                <w:szCs w:val="16"/>
                <w:lang w:eastAsia="en-US"/>
              </w:rPr>
            </w:pPr>
            <w:r>
              <w:rPr>
                <w:sz w:val="16"/>
                <w:szCs w:val="16"/>
                <w:lang w:eastAsia="en-US"/>
              </w:rPr>
              <w:t>Update of D.2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1"/>
              <w:rPr/>
            </w:pPr>
            <w:r>
              <w:rPr>
                <w:sz w:val="16"/>
                <w:szCs w:val="16"/>
                <w:lang w:eastAsia="en-US"/>
              </w:rPr>
              <w:t>16.1.0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1"/>
              <w:rPr/>
            </w:pPr>
            <w:r>
              <w:rPr>
                <w:sz w:val="16"/>
                <w:szCs w:val="16"/>
                <w:lang w:eastAsia="en-US"/>
              </w:rPr>
              <w:t>16.2.0</w:t>
            </w:r>
          </w:p>
        </w:tc>
      </w:tr>
    </w:tbl>
    <w:p>
      <w:pPr>
        <w:pStyle w:val="Normal"/>
        <w:widowControl/>
        <w:overflowPunct w:val="false"/>
        <w:autoSpaceDE w:val="false"/>
        <w:bidi w:val="0"/>
        <w:spacing w:before="0" w:after="180"/>
        <w:textAlignment w:val="baseline"/>
        <w:rPr/>
      </w:pPr>
      <w:r>
        <w:rPr/>
      </w:r>
    </w:p>
    <w:sectPr>
      <w:headerReference w:type="default" r:id="rId176"/>
      <w:footerReference w:type="default" r:id="rId177"/>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Tahoma">
    <w:charset w:val="00"/>
    <w:family w:val="swiss"/>
    <w:pitch w:val="variable"/>
  </w:font>
  <w:font w:name="ZapfDingbats">
    <w:charset w:val="02"/>
    <w:family w:val="decorative"/>
    <w:pitch w:val="variable"/>
  </w:font>
  <w:font w:name="StarSymbol">
    <w:altName w:val="Arial Unicode MS"/>
    <w:charset w:val="80"/>
    <w:family w:val="auto"/>
    <w:pitch w:val="default"/>
  </w:font>
  <w:font w:name="Nokia Standard Light">
    <w:altName w:val="Verdana"/>
    <w:charset w:val="00"/>
    <w:family w:val="swiss"/>
    <w:pitch w:val="variable"/>
  </w:font>
  <w:font w:name="SimSun">
    <w:altName w:val="宋体"/>
    <w:charset w:val="86"/>
    <w:family w:val="auto"/>
    <w:pitch w:val="variable"/>
  </w:font>
  <w:font w:name="Bookman Old Style">
    <w:charset w:val="00"/>
    <w:family w:val="roman"/>
    <w:pitch w:val="variable"/>
  </w:font>
  <w:font w:name="Malgun Gothic">
    <w:charset w:val="81"/>
    <w:family w:val="swiss"/>
    <w:pitch w:val="variable"/>
  </w:font>
  <w:font w:name="Gulim">
    <w:altName w:val="굴림"/>
    <w:charset w:val="81"/>
    <w:family w:val="roman"/>
    <w:pitch w:val="default"/>
  </w:font>
  <w:font w:name="Helvetica">
    <w:altName w:val="Arial"/>
    <w:charset w:val="00"/>
    <w:family w:val="swiss"/>
    <w:pitch w:val="variable"/>
  </w:font>
  <w:font w:name="TimesNewRoman">
    <w:altName w:val="Times New Roman"/>
    <w:charset w:val="00"/>
    <w:family w:val="roman"/>
    <w:pitch w:val="default"/>
  </w:font>
  <w:font w:name="Calibri">
    <w:charset w:val="00"/>
    <w:family w:val="swiss"/>
    <w:pitch w:val="variable"/>
  </w:font>
  <w:font w:name="Vrinda">
    <w:charset w:val="01"/>
    <w:family w:val="roman"/>
    <w:pitch w:val="variable"/>
  </w:font>
  <w:font w:name="Arial Unicode MS">
    <w:charset w:val="80"/>
    <w:family w:val="swiss"/>
    <w:pitch w:val="variable"/>
  </w:font>
  <w:font w:name="CG Times (WN)">
    <w:altName w:val="Arial"/>
    <w:charset w:val="00"/>
    <w:family w:val="roman"/>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863">
              <wp:simplePos x="0" y="0"/>
              <wp:positionH relativeFrom="margin">
                <wp:align>right</wp:align>
              </wp:positionH>
              <wp:positionV relativeFrom="paragraph">
                <wp:posOffset>635</wp:posOffset>
              </wp:positionV>
              <wp:extent cx="1818640" cy="180340"/>
              <wp:effectExtent l="0" t="0" r="0" b="0"/>
              <wp:wrapSquare wrapText="largest"/>
              <wp:docPr id="174" name="Frame10"/>
              <a:graphic xmlns:a="http://schemas.openxmlformats.org/drawingml/2006/main">
                <a:graphicData uri="http://schemas.microsoft.com/office/word/2010/wordprocessingShape">
                  <wps:wsp>
                    <wps:cNvSpPr txBox="1"/>
                    <wps:spPr>
                      <a:xfrm>
                        <a:off x="0" y="0"/>
                        <a:ext cx="181864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37.544 V16.2.0 (2021-09)</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4.2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37.544 V16.2.0 (2021-09)</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143">
              <wp:simplePos x="0" y="0"/>
              <wp:positionH relativeFrom="margin">
                <wp:align>center</wp:align>
              </wp:positionH>
              <wp:positionV relativeFrom="paragraph">
                <wp:posOffset>4445</wp:posOffset>
              </wp:positionV>
              <wp:extent cx="191770" cy="180340"/>
              <wp:effectExtent l="0" t="0" r="0" b="0"/>
              <wp:wrapSquare wrapText="largest"/>
              <wp:docPr id="175" name="Frame11"/>
              <a:graphic xmlns:a="http://schemas.openxmlformats.org/drawingml/2006/main">
                <a:graphicData uri="http://schemas.microsoft.com/office/word/2010/wordprocessingShape">
                  <wps:wsp>
                    <wps:cNvSpPr txBox="1"/>
                    <wps:spPr>
                      <a:xfrm>
                        <a:off x="0" y="0"/>
                        <a:ext cx="191770"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281</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5.1pt;height:14.2pt;mso-wrap-distance-left:0pt;mso-wrap-distance-right:0pt;mso-wrap-distance-top:0pt;mso-wrap-distance-bottom:0pt;margin-top:0.35pt;mso-position-vertical-relative:text;margin-left:233.45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281</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423">
              <wp:simplePos x="0" y="0"/>
              <wp:positionH relativeFrom="margin">
                <wp:align>left</wp:align>
              </wp:positionH>
              <wp:positionV relativeFrom="paragraph">
                <wp:posOffset>4445</wp:posOffset>
              </wp:positionV>
              <wp:extent cx="591820" cy="180340"/>
              <wp:effectExtent l="0" t="0" r="0" b="0"/>
              <wp:wrapSquare wrapText="largest"/>
              <wp:docPr id="176"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643"/>
        </w:tabs>
        <w:ind w:left="643"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643"/>
        </w:tabs>
        <w:ind w:left="643" w:hanging="360"/>
      </w:pPr>
      <w:rPr>
        <w:rFonts w:ascii="Symbol" w:hAnsi="Symbol" w:cs="Symbol" w:hint="default"/>
      </w:rPr>
    </w:lvl>
  </w:abstractNum>
  <w:abstractNum w:abstractNumId="4">
    <w:lvl w:ilvl="0">
      <w:start w:val="1"/>
      <w:numFmt w:val="decimal"/>
      <w:lvlText w:val="%1."/>
      <w:lvlJc w:val="left"/>
      <w:pPr>
        <w:tabs>
          <w:tab w:val="num" w:pos="360"/>
        </w:tabs>
        <w:ind w:left="360" w:hanging="360"/>
      </w:pPr>
    </w:lvl>
  </w:abstractNum>
  <w:abstractNum w:abstractNumId="5">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6">
    <w:lvl w:ilvl="0">
      <w:start w:val="1"/>
      <w:numFmt w:val="bullet"/>
      <w:lvlText w:val=""/>
      <w:lvlJc w:val="left"/>
      <w:pPr>
        <w:tabs>
          <w:tab w:val="num" w:pos="0"/>
        </w:tabs>
        <w:ind w:left="820" w:hanging="360"/>
      </w:pPr>
      <w:rPr>
        <w:rFonts w:ascii="Symbol" w:hAnsi="Symbol" w:cs="Symbol" w:hint="default"/>
      </w:rPr>
    </w:lvl>
  </w:abstractNum>
  <w:abstractNum w:abstractNumId="7">
    <w:lvl w:ilvl="0">
      <w:start w:val="19"/>
      <w:numFmt w:val="bullet"/>
      <w:lvlText w:val=""/>
      <w:lvlJc w:val="left"/>
      <w:pPr>
        <w:tabs>
          <w:tab w:val="num" w:pos="460"/>
        </w:tabs>
        <w:ind w:left="412" w:hanging="312"/>
      </w:pPr>
      <w:rPr>
        <w:rFonts w:ascii="Symbol" w:hAnsi="Symbol" w:cs="Symbol" w:hint="default"/>
        <w:sz w:val="16"/>
        <w:color w:val="000000"/>
      </w:rPr>
    </w:lvl>
  </w:abstractNum>
  <w:abstractNum w:abstractNumId="8">
    <w:lvl w:ilvl="0">
      <w:start w:val="1"/>
      <w:numFmt w:val="decimal"/>
      <w:lvlText w:val="%1."/>
      <w:lvlJc w:val="left"/>
      <w:pPr>
        <w:tabs>
          <w:tab w:val="num" w:pos="720"/>
        </w:tabs>
        <w:ind w:left="720" w:hanging="360"/>
      </w:pPr>
    </w:lvl>
  </w:abstractNum>
  <w:abstractNum w:abstractNumId="9">
    <w:lvl w:ilvl="0">
      <w:start w:val="1"/>
      <w:numFmt w:val="upperLetter"/>
      <w:lvlText w:val="%1"/>
      <w:lvlJc w:val="left"/>
      <w:pPr>
        <w:tabs>
          <w:tab w:val="num" w:pos="999"/>
        </w:tabs>
        <w:ind w:left="999" w:hanging="432"/>
      </w:pPr>
      <w:rPr/>
    </w:lvl>
    <w:lvl w:ilvl="1">
      <w:start w:val="1"/>
      <w:numFmt w:val="decimal"/>
      <w:lvlText w:val="%1.%2"/>
      <w:lvlJc w:val="left"/>
      <w:pPr>
        <w:tabs>
          <w:tab w:val="num" w:pos="1143"/>
        </w:tabs>
        <w:ind w:left="1143" w:hanging="576"/>
      </w:pPr>
      <w:rPr/>
    </w:lvl>
    <w:lvl w:ilvl="2">
      <w:start w:val="1"/>
      <w:numFmt w:val="decimal"/>
      <w:lvlText w:val="%1.%2.%3"/>
      <w:lvlJc w:val="left"/>
      <w:pPr>
        <w:tabs>
          <w:tab w:val="num" w:pos="1287"/>
        </w:tabs>
        <w:ind w:left="1287" w:hanging="720"/>
      </w:pPr>
      <w:rPr/>
    </w:lvl>
    <w:lvl w:ilvl="3">
      <w:start w:val="1"/>
      <w:numFmt w:val="decimal"/>
      <w:lvlText w:val="%1.%2.%3.%4"/>
      <w:lvlJc w:val="left"/>
      <w:pPr>
        <w:tabs>
          <w:tab w:val="num" w:pos="1431"/>
        </w:tabs>
        <w:ind w:left="1431" w:hanging="864"/>
      </w:pPr>
      <w:rPr/>
    </w:lvl>
    <w:lvl w:ilvl="4">
      <w:start w:val="1"/>
      <w:numFmt w:val="decimal"/>
      <w:lvlText w:val="%1.%2.%3.%4.%5"/>
      <w:lvlJc w:val="left"/>
      <w:pPr>
        <w:tabs>
          <w:tab w:val="num" w:pos="1575"/>
        </w:tabs>
        <w:ind w:left="1575" w:hanging="1008"/>
      </w:pPr>
      <w:rPr/>
    </w:lvl>
    <w:lvl w:ilvl="5">
      <w:start w:val="1"/>
      <w:numFmt w:val="decimal"/>
      <w:lvlText w:val="%1.%2.%3.%4.%5.%6"/>
      <w:lvlJc w:val="left"/>
      <w:pPr>
        <w:tabs>
          <w:tab w:val="num" w:pos="1719"/>
        </w:tabs>
        <w:ind w:left="1719" w:hanging="1152"/>
      </w:pPr>
      <w:rPr/>
    </w:lvl>
    <w:lvl w:ilvl="6">
      <w:start w:val="1"/>
      <w:numFmt w:val="decimal"/>
      <w:lvlText w:val="%1.%2.%3.%4.%5.%6.%7"/>
      <w:lvlJc w:val="left"/>
      <w:pPr>
        <w:tabs>
          <w:tab w:val="num" w:pos="1863"/>
        </w:tabs>
        <w:ind w:left="1863" w:hanging="1296"/>
      </w:pPr>
      <w:rPr/>
    </w:lvl>
    <w:lvl w:ilvl="7">
      <w:start w:val="1"/>
      <w:numFmt w:val="decimal"/>
      <w:lvlText w:val="%1.%2.%3.%4.%5.%6.%7.%8"/>
      <w:lvlJc w:val="left"/>
      <w:pPr>
        <w:tabs>
          <w:tab w:val="num" w:pos="2007"/>
        </w:tabs>
        <w:ind w:left="2007" w:hanging="1440"/>
      </w:pPr>
      <w:rPr/>
    </w:lvl>
    <w:lvl w:ilvl="8">
      <w:start w:val="1"/>
      <w:numFmt w:val="decimal"/>
      <w:lvlText w:val="%1.%2.%3.%4.%5.%6.%7.%8.%9"/>
      <w:lvlJc w:val="left"/>
      <w:pPr>
        <w:tabs>
          <w:tab w:val="num" w:pos="2151"/>
        </w:tabs>
        <w:ind w:left="2151" w:hanging="1584"/>
      </w:pPr>
      <w:rPr/>
    </w:lvl>
  </w:abstractNum>
  <w:abstractNum w:abstractNumId="10">
    <w:lvl w:ilvl="0">
      <w:start w:val="1"/>
      <w:numFmt w:val="decimal"/>
      <w:lvlText w:val="6.2.%1."/>
      <w:lvlJc w:val="left"/>
      <w:pPr>
        <w:tabs>
          <w:tab w:val="num" w:pos="0"/>
        </w:tabs>
        <w:ind w:left="425" w:hanging="425"/>
      </w:pPr>
      <w:rPr/>
    </w:lvl>
    <w:lvl w:ilvl="1">
      <w:start w:val="1"/>
      <w:numFmt w:val="decimal"/>
      <w:lvlText w:val="%1.%2"/>
      <w:lvlJc w:val="left"/>
      <w:pPr>
        <w:tabs>
          <w:tab w:val="num" w:pos="0"/>
        </w:tabs>
        <w:ind w:left="992" w:hanging="567"/>
      </w:pPr>
    </w:lvl>
    <w:lvl w:ilvl="2">
      <w:start w:val="1"/>
      <w:numFmt w:val="decimal"/>
      <w:lvlText w:val="%1.%2.%3"/>
      <w:lvlJc w:val="left"/>
      <w:pPr>
        <w:tabs>
          <w:tab w:val="num" w:pos="0"/>
        </w:tabs>
        <w:ind w:left="1418" w:hanging="567"/>
      </w:pPr>
    </w:lvl>
    <w:lvl w:ilvl="3">
      <w:start w:val="1"/>
      <w:numFmt w:val="decimal"/>
      <w:lvlText w:val="%1.%2.%3.%4"/>
      <w:lvlJc w:val="left"/>
      <w:pPr>
        <w:tabs>
          <w:tab w:val="num" w:pos="0"/>
        </w:tabs>
        <w:ind w:left="1984" w:hanging="708"/>
      </w:pPr>
    </w:lvl>
    <w:lvl w:ilvl="4">
      <w:start w:val="1"/>
      <w:numFmt w:val="decimal"/>
      <w:lvlText w:val="%1.%2.%3.%4.%5"/>
      <w:lvlJc w:val="left"/>
      <w:pPr>
        <w:tabs>
          <w:tab w:val="num" w:pos="0"/>
        </w:tabs>
        <w:ind w:left="2551" w:hanging="850"/>
      </w:pPr>
    </w:lvl>
    <w:lvl w:ilvl="5">
      <w:start w:val="1"/>
      <w:numFmt w:val="decimal"/>
      <w:lvlText w:val="%1.%2.%3.%4.%5.%6"/>
      <w:lvlJc w:val="left"/>
      <w:pPr>
        <w:tabs>
          <w:tab w:val="num" w:pos="0"/>
        </w:tabs>
        <w:ind w:left="3260" w:hanging="1134"/>
      </w:pPr>
    </w:lvl>
    <w:lvl w:ilvl="6">
      <w:start w:val="1"/>
      <w:numFmt w:val="decimal"/>
      <w:lvlText w:val="%1.%2.%3.%4.%5.%6.%7"/>
      <w:lvlJc w:val="left"/>
      <w:pPr>
        <w:tabs>
          <w:tab w:val="num" w:pos="0"/>
        </w:tabs>
        <w:ind w:left="3827" w:hanging="1276"/>
      </w:pPr>
    </w:lvl>
    <w:lvl w:ilvl="7">
      <w:start w:val="1"/>
      <w:numFmt w:val="decimal"/>
      <w:lvlText w:val="%1.%2.%3.%4.%5.%6.%7.%8"/>
      <w:lvlJc w:val="left"/>
      <w:pPr>
        <w:tabs>
          <w:tab w:val="num" w:pos="0"/>
        </w:tabs>
        <w:ind w:left="4394" w:hanging="1418"/>
      </w:pPr>
    </w:lvl>
    <w:lvl w:ilvl="8">
      <w:start w:val="1"/>
      <w:numFmt w:val="decimal"/>
      <w:lvlText w:val="%1.%2.%3.%4.%5.%6.%7.%8.%9"/>
      <w:lvlJc w:val="left"/>
      <w:pPr>
        <w:tabs>
          <w:tab w:val="num" w:pos="0"/>
        </w:tabs>
        <w:ind w:left="5102" w:hanging="1700"/>
      </w:pPr>
    </w:lvl>
  </w:abstractNum>
  <w:abstractNum w:abstractNumId="11">
    <w:lvl w:ilvl="0">
      <w:start w:val="1"/>
      <w:numFmt w:val="bullet"/>
      <w:lvlText w:val=""/>
      <w:lvlJc w:val="left"/>
      <w:pPr>
        <w:tabs>
          <w:tab w:val="num" w:pos="1097"/>
        </w:tabs>
        <w:ind w:left="1097" w:hanging="360"/>
      </w:pPr>
      <w:rPr>
        <w:rFonts w:ascii="Symbol" w:hAnsi="Symbol" w:cs="Symbol" w:hint="default"/>
      </w:rPr>
    </w:lvl>
  </w:abstractNum>
  <w:abstractNum w:abstractNumId="12">
    <w:lvl w:ilvl="0">
      <w:start w:val="1"/>
      <w:numFmt w:val="decimal"/>
      <w:lvlText w:val="%1."/>
      <w:lvlJc w:val="left"/>
      <w:pPr>
        <w:tabs>
          <w:tab w:val="num" w:pos="0"/>
        </w:tabs>
        <w:ind w:left="1004" w:hanging="360"/>
      </w:pPr>
    </w:lvl>
  </w:abstractNum>
  <w:abstractNum w:abstractNumId="13">
    <w:lvl w:ilvl="0">
      <w:start w:val="1"/>
      <w:numFmt w:val="decimal"/>
      <w:lvlText w:val="Table. %1."/>
      <w:lvlJc w:val="center"/>
      <w:pPr>
        <w:tabs>
          <w:tab w:val="num" w:pos="1004"/>
        </w:tabs>
        <w:ind w:left="0" w:firstLine="284"/>
      </w:pPr>
      <w:rPr>
        <w:smallCaps w:val="false"/>
        <w:caps w:val="false"/>
        <w:dstrike w:val="false"/>
        <w:strike w:val="false"/>
        <w:vertAlign w:val="baseline"/>
        <w:position w:val="0"/>
        <w:sz w:val="20"/>
        <w:sz w:val="20"/>
        <w:i w:val="false"/>
        <w:shadow w:val="false"/>
        <w:b/>
        <w:vanish w:val="false"/>
      </w:rPr>
    </w:lvl>
  </w:abstractNum>
  <w:abstractNum w:abstractNumId="14">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lvl w:ilvl="0">
      <w:start w:val="1"/>
      <w:numFmt w:val="bullet"/>
      <w:lvlText w:val=""/>
      <w:lvlJc w:val="left"/>
      <w:pPr>
        <w:tabs>
          <w:tab w:val="num" w:pos="0"/>
        </w:tabs>
        <w:ind w:left="644" w:hanging="360"/>
      </w:pPr>
      <w:rPr>
        <w:rFonts w:ascii="Symbol" w:hAnsi="Symbol" w:cs="Symbol" w:hint="default"/>
      </w:rPr>
    </w:lvl>
  </w:abstractNum>
  <w:abstractNum w:abstractNumId="16">
    <w:lvl w:ilvl="0">
      <w:start w:val="1"/>
      <w:numFmt w:val="decimal"/>
      <w:lvlText w:val="%1."/>
      <w:lvlJc w:val="left"/>
      <w:pPr>
        <w:tabs>
          <w:tab w:val="num" w:pos="0"/>
        </w:tabs>
        <w:ind w:left="1212" w:hanging="360"/>
      </w:pPr>
    </w:lvl>
  </w:abstractNum>
  <w:abstractNum w:abstractNumId="17">
    <w:lvl w:ilvl="0">
      <w:start w:val="1"/>
      <w:numFmt w:val="lowerLetter"/>
      <w:lvlText w:val="%1)"/>
      <w:lvlJc w:val="left"/>
      <w:pPr>
        <w:tabs>
          <w:tab w:val="num" w:pos="283"/>
        </w:tabs>
        <w:ind w:left="567" w:hanging="283"/>
      </w:pPr>
    </w:lvl>
  </w:abstractNum>
  <w:abstractNum w:abstractNumId="18">
    <w:lvl w:ilvl="0">
      <w:start w:val="1"/>
      <w:numFmt w:val="lowerLetter"/>
      <w:lvlText w:val="%1."/>
      <w:lvlJc w:val="left"/>
      <w:pPr>
        <w:tabs>
          <w:tab w:val="num" w:pos="717"/>
        </w:tabs>
        <w:ind w:left="717" w:hanging="360"/>
      </w:pPr>
      <w:rPr/>
    </w:lvl>
  </w:abstractNum>
  <w:abstractNum w:abstractNumId="19">
    <w:lvl w:ilvl="0">
      <w:start w:val="1"/>
      <w:numFmt w:val="decimal"/>
      <w:lvlText w:val="%1."/>
      <w:lvlJc w:val="left"/>
      <w:pPr>
        <w:tabs>
          <w:tab w:val="num" w:pos="0"/>
        </w:tabs>
        <w:ind w:left="460" w:hanging="360"/>
      </w:pPr>
      <w:rPr/>
    </w:lvl>
  </w:abstractNum>
  <w:abstractNum w:abstractNumId="20">
    <w:lvl w:ilvl="0">
      <w:start w:val="1"/>
      <w:numFmt w:val="decimal"/>
      <w:lvlText w:val="%1"/>
      <w:lvlJc w:val="left"/>
      <w:pPr>
        <w:tabs>
          <w:tab w:val="num" w:pos="0"/>
        </w:tabs>
        <w:ind w:left="425" w:hanging="425"/>
      </w:pPr>
    </w:lvl>
    <w:lvl w:ilvl="1">
      <w:start w:val="1"/>
      <w:numFmt w:val="decimal"/>
      <w:lvlText w:val="%1.%2"/>
      <w:lvlJc w:val="left"/>
      <w:pPr>
        <w:tabs>
          <w:tab w:val="num" w:pos="0"/>
        </w:tabs>
        <w:ind w:left="992" w:hanging="567"/>
      </w:pPr>
    </w:lvl>
    <w:lvl w:ilvl="2">
      <w:start w:val="1"/>
      <w:numFmt w:val="decimal"/>
      <w:lvlText w:val="%1.%2.%3"/>
      <w:lvlJc w:val="left"/>
      <w:pPr>
        <w:tabs>
          <w:tab w:val="num" w:pos="0"/>
        </w:tabs>
        <w:ind w:left="1418" w:hanging="567"/>
      </w:pPr>
    </w:lvl>
    <w:lvl w:ilvl="3">
      <w:start w:val="1"/>
      <w:numFmt w:val="decimal"/>
      <w:lvlText w:val="%1.%2.%3.%4"/>
      <w:lvlJc w:val="left"/>
      <w:pPr>
        <w:tabs>
          <w:tab w:val="num" w:pos="0"/>
        </w:tabs>
        <w:ind w:left="1984" w:hanging="708"/>
      </w:pPr>
    </w:lvl>
    <w:lvl w:ilvl="4">
      <w:start w:val="1"/>
      <w:numFmt w:val="decimal"/>
      <w:lvlText w:val="%1.%2.%3.%4.%5"/>
      <w:lvlJc w:val="left"/>
      <w:pPr>
        <w:tabs>
          <w:tab w:val="num" w:pos="0"/>
        </w:tabs>
        <w:ind w:left="2551" w:hanging="850"/>
      </w:pPr>
    </w:lvl>
    <w:lvl w:ilvl="5">
      <w:start w:val="1"/>
      <w:numFmt w:val="decimal"/>
      <w:lvlText w:val="%1.%2.%3.%4.%5.%6"/>
      <w:lvlJc w:val="left"/>
      <w:pPr>
        <w:tabs>
          <w:tab w:val="num" w:pos="0"/>
        </w:tabs>
        <w:ind w:left="3260" w:hanging="1134"/>
      </w:pPr>
    </w:lvl>
    <w:lvl w:ilvl="6">
      <w:start w:val="1"/>
      <w:numFmt w:val="decimal"/>
      <w:lvlText w:val="%1.%2.%3.%4.%5.%6.%7"/>
      <w:lvlJc w:val="left"/>
      <w:pPr>
        <w:tabs>
          <w:tab w:val="num" w:pos="0"/>
        </w:tabs>
        <w:ind w:left="3827" w:hanging="1276"/>
      </w:pPr>
    </w:lvl>
    <w:lvl w:ilvl="7">
      <w:start w:val="1"/>
      <w:numFmt w:val="decimal"/>
      <w:lvlText w:val="%1.%2.%3.%4.%5.%6.%7.%8"/>
      <w:lvlJc w:val="left"/>
      <w:pPr>
        <w:tabs>
          <w:tab w:val="num" w:pos="0"/>
        </w:tabs>
        <w:ind w:left="4394" w:hanging="1418"/>
      </w:pPr>
    </w:lvl>
    <w:lvl w:ilvl="8">
      <w:start w:val="1"/>
      <w:numFmt w:val="decimal"/>
      <w:lvlText w:val="%1.%2.%3.%4.%5.%6.%7.%8.%9"/>
      <w:lvlJc w:val="left"/>
      <w:pPr>
        <w:tabs>
          <w:tab w:val="num" w:pos="0"/>
        </w:tabs>
        <w:ind w:left="5102" w:hanging="1700"/>
      </w:pPr>
    </w:lvl>
  </w:abstractNum>
  <w:abstractNum w:abstractNumId="21">
    <w:lvl w:ilvl="0">
      <w:start w:val="1"/>
      <w:numFmt w:val="decimal"/>
      <w:lvlText w:val="5.3.4.%1"/>
      <w:lvlJc w:val="left"/>
      <w:pPr>
        <w:tabs>
          <w:tab w:val="num" w:pos="0"/>
        </w:tabs>
        <w:ind w:left="1040" w:hanging="420"/>
      </w:pPr>
      <w:rPr/>
    </w:lvl>
    <w:lvl w:ilvl="1">
      <w:start w:val="1"/>
      <w:numFmt w:val="lowerLetter"/>
      <w:lvlText w:val="%2)"/>
      <w:lvlJc w:val="left"/>
      <w:pPr>
        <w:tabs>
          <w:tab w:val="num" w:pos="0"/>
        </w:tabs>
        <w:ind w:left="1460" w:hanging="420"/>
      </w:pPr>
    </w:lvl>
    <w:lvl w:ilvl="2">
      <w:start w:val="1"/>
      <w:numFmt w:val="lowerRoman"/>
      <w:lvlText w:val="%3."/>
      <w:lvlJc w:val="right"/>
      <w:pPr>
        <w:tabs>
          <w:tab w:val="num" w:pos="0"/>
        </w:tabs>
        <w:ind w:left="1880" w:hanging="420"/>
      </w:pPr>
    </w:lvl>
    <w:lvl w:ilvl="3">
      <w:start w:val="1"/>
      <w:numFmt w:val="decimal"/>
      <w:lvlText w:val="%4."/>
      <w:lvlJc w:val="left"/>
      <w:pPr>
        <w:tabs>
          <w:tab w:val="num" w:pos="0"/>
        </w:tabs>
        <w:ind w:left="2300" w:hanging="420"/>
      </w:pPr>
    </w:lvl>
    <w:lvl w:ilvl="4">
      <w:start w:val="1"/>
      <w:numFmt w:val="lowerLetter"/>
      <w:lvlText w:val="%5)"/>
      <w:lvlJc w:val="left"/>
      <w:pPr>
        <w:tabs>
          <w:tab w:val="num" w:pos="0"/>
        </w:tabs>
        <w:ind w:left="2720" w:hanging="420"/>
      </w:pPr>
    </w:lvl>
    <w:lvl w:ilvl="5">
      <w:start w:val="1"/>
      <w:numFmt w:val="lowerRoman"/>
      <w:lvlText w:val="%6."/>
      <w:lvlJc w:val="right"/>
      <w:pPr>
        <w:tabs>
          <w:tab w:val="num" w:pos="0"/>
        </w:tabs>
        <w:ind w:left="3140" w:hanging="420"/>
      </w:pPr>
    </w:lvl>
    <w:lvl w:ilvl="6">
      <w:start w:val="1"/>
      <w:numFmt w:val="decimal"/>
      <w:lvlText w:val="%7."/>
      <w:lvlJc w:val="left"/>
      <w:pPr>
        <w:tabs>
          <w:tab w:val="num" w:pos="0"/>
        </w:tabs>
        <w:ind w:left="3560" w:hanging="420"/>
      </w:pPr>
    </w:lvl>
    <w:lvl w:ilvl="7">
      <w:start w:val="1"/>
      <w:numFmt w:val="lowerLetter"/>
      <w:lvlText w:val="%8)"/>
      <w:lvlJc w:val="left"/>
      <w:pPr>
        <w:tabs>
          <w:tab w:val="num" w:pos="0"/>
        </w:tabs>
        <w:ind w:left="3980" w:hanging="420"/>
      </w:pPr>
    </w:lvl>
    <w:lvl w:ilvl="8">
      <w:start w:val="1"/>
      <w:numFmt w:val="lowerRoman"/>
      <w:lvlText w:val="%9."/>
      <w:lvlJc w:val="right"/>
      <w:pPr>
        <w:tabs>
          <w:tab w:val="num" w:pos="0"/>
        </w:tabs>
        <w:ind w:left="4400" w:hanging="420"/>
      </w:pPr>
    </w:lvl>
  </w:abstractNum>
  <w:abstractNum w:abstractNumId="22">
    <w:lvl w:ilvl="0">
      <w:start w:val="1"/>
      <w:numFmt w:val="decimal"/>
      <w:lvlText w:val="%1."/>
      <w:lvlJc w:val="left"/>
      <w:pPr>
        <w:tabs>
          <w:tab w:val="num" w:pos="0"/>
        </w:tabs>
        <w:ind w:left="1212" w:hanging="360"/>
      </w:pPr>
    </w:lvl>
  </w:abstractNum>
  <w:abstractNum w:abstractNumId="23">
    <w:lvl w:ilvl="0">
      <w:start w:val="1"/>
      <w:numFmt w:val="decimal"/>
      <w:lvlText w:val="[%1]"/>
      <w:lvlJc w:val="left"/>
      <w:pPr>
        <w:tabs>
          <w:tab w:val="num" w:pos="1780"/>
        </w:tabs>
        <w:ind w:left="1760" w:hanging="340"/>
      </w:pPr>
      <w:rPr>
        <w:sz w:val="20"/>
        <w:i w:val="false"/>
        <w:b w:val="false"/>
        <w:rFonts w:ascii="Times New Roman" w:hAnsi="Times New Roman" w:cs="Times New Roman"/>
      </w:rPr>
    </w:lvl>
  </w:abstractNum>
  <w:abstractNum w:abstractNumId="24">
    <w:lvl w:ilvl="0">
      <w:start w:val="1"/>
      <w:numFmt w:val="decimal"/>
      <w:lvlText w:val="%1."/>
      <w:lvlJc w:val="left"/>
      <w:pPr>
        <w:tabs>
          <w:tab w:val="num" w:pos="0"/>
        </w:tabs>
        <w:ind w:left="720" w:hanging="360"/>
      </w:pPr>
    </w:lvl>
  </w:abstractNum>
  <w:abstractNum w:abstractNumId="25">
    <w:lvl w:ilvl="0">
      <w:start w:val="1"/>
      <w:numFmt w:val="decimal"/>
      <w:lvlText w:val="%1."/>
      <w:lvlJc w:val="left"/>
      <w:pPr>
        <w:tabs>
          <w:tab w:val="num" w:pos="0"/>
        </w:tabs>
        <w:ind w:left="1004" w:hanging="360"/>
      </w:pPr>
    </w:lvl>
  </w:abstractNum>
  <w:abstractNum w:abstractNumId="26">
    <w:lvl w:ilvl="0">
      <w:start w:val="1"/>
      <w:numFmt w:val="lowerLetter"/>
      <w:lvlText w:val="%1)"/>
      <w:lvlJc w:val="left"/>
      <w:pPr>
        <w:tabs>
          <w:tab w:val="num" w:pos="283"/>
        </w:tabs>
        <w:ind w:left="567" w:hanging="283"/>
      </w:pPr>
    </w:lvl>
  </w:abstractNum>
  <w:abstractNum w:abstractNumId="27">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lvl w:ilvl="0">
      <w:start w:val="1"/>
      <w:numFmt w:val="decimal"/>
      <w:lvlText w:val="%1."/>
      <w:lvlJc w:val="left"/>
      <w:pPr>
        <w:tabs>
          <w:tab w:val="num" w:pos="1276"/>
        </w:tabs>
        <w:ind w:left="1276" w:hanging="1276"/>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5"/>
    <w:lvlOverride w:ilvl="0"/>
    <w:lvlOverride w:ilvl="1"/>
    <w:lvlOverride w:ilvl="2">
      <w:startOverride w:val="1"/>
    </w:lvlOverride>
  </w:num>
</w:numbering>
</file>

<file path=word/settings.xml><?xml version="1.0" encoding="utf-8"?>
<w:settings xmlns:w="http://schemas.openxmlformats.org/wordprocessingml/2006/main">
  <w:zoom w:percent="10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8z0">
    <w:name w:val="WW8Num8z0"/>
    <w:qFormat/>
    <w:rPr>
      <w:rFonts w:ascii="Symbol" w:hAnsi="Symbol" w:cs="Symbol"/>
    </w:rPr>
  </w:style>
  <w:style w:type="character" w:styleId="WW8Num9z0">
    <w:name w:val="WW8Num9z0"/>
    <w:qFormat/>
    <w:rPr>
      <w:rFonts w:ascii="Symbol" w:hAnsi="Symbol" w:cs="Symbol"/>
    </w:rPr>
  </w:style>
  <w:style w:type="character" w:styleId="WW8Num12z0">
    <w:name w:val="WW8Num12z0"/>
    <w:qFormat/>
    <w:rPr>
      <w:rFonts w:ascii="Symbol" w:hAnsi="Symbol" w:cs="Symbol"/>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3z0">
    <w:name w:val="WW8Num13z0"/>
    <w:qFormat/>
    <w:rPr/>
  </w:style>
  <w:style w:type="character" w:styleId="WW8Num14z0">
    <w:name w:val="WW8Num14z0"/>
    <w:qFormat/>
    <w:rPr>
      <w:rFonts w:ascii="Symbol" w:hAnsi="Symbol" w:cs="Symbo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5z0">
    <w:name w:val="WW8Num15z0"/>
    <w:qFormat/>
    <w:rPr/>
  </w:style>
  <w:style w:type="character" w:styleId="WW8Num16z0">
    <w:name w:val="WW8Num16z0"/>
    <w:qFormat/>
    <w:rPr/>
  </w:style>
  <w:style w:type="character" w:styleId="WW8Num17z0">
    <w:name w:val="WW8Num17z0"/>
    <w:qFormat/>
    <w:rPr>
      <w:rFonts w:ascii="Symbol" w:hAnsi="Symbol" w:cs="Symbol"/>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8z0">
    <w:name w:val="WW8Num18z0"/>
    <w:qFormat/>
    <w:rPr>
      <w:rFonts w:ascii="Symbol" w:hAnsi="Symbol" w:cs="Times New Roman"/>
      <w:color w:val="000000"/>
      <w:sz w:val="16"/>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9z0">
    <w:name w:val="WW8Num19z0"/>
    <w:qFormat/>
    <w:rPr>
      <w:rFonts w:ascii="Symbol" w:hAnsi="Symbol" w:cs="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2z0">
    <w:name w:val="WW8Num22z0"/>
    <w:qFormat/>
    <w:rPr>
      <w:rFonts w:ascii="Wingdings" w:hAnsi="Wingdings" w:cs="Wingdings"/>
    </w:rPr>
  </w:style>
  <w:style w:type="character" w:styleId="WW8Num22z1">
    <w:name w:val="WW8Num22z1"/>
    <w:qFormat/>
    <w:rPr>
      <w:rFonts w:ascii="Courier New" w:hAnsi="Courier New" w:cs="Courier New"/>
    </w:rPr>
  </w:style>
  <w:style w:type="character" w:styleId="WW8Num22z2">
    <w:name w:val="WW8Num22z2"/>
    <w:qFormat/>
    <w:rPr/>
  </w:style>
  <w:style w:type="character" w:styleId="WW8Num22z3">
    <w:name w:val="WW8Num22z3"/>
    <w:qFormat/>
    <w:rPr>
      <w:rFonts w:ascii="Symbol" w:hAnsi="Symbol" w:cs="Symbol"/>
    </w:rPr>
  </w:style>
  <w:style w:type="character" w:styleId="WW8Num23z0">
    <w:name w:val="WW8Num23z0"/>
    <w:qFormat/>
    <w:rPr/>
  </w:style>
  <w:style w:type="character" w:styleId="WW8Num24z0">
    <w:name w:val="WW8Num24z0"/>
    <w:qFormat/>
    <w:rPr/>
  </w:style>
  <w:style w:type="character" w:styleId="WW8Num27z0">
    <w:name w:val="WW8Num27z0"/>
    <w:qFormat/>
    <w:rPr/>
  </w:style>
  <w:style w:type="character" w:styleId="WW8Num28z0">
    <w:name w:val="WW8Num28z0"/>
    <w:qFormat/>
    <w:rPr>
      <w:rFonts w:ascii="Wingdings" w:hAnsi="Wingdings" w:cs="Wingdings"/>
    </w:rPr>
  </w:style>
  <w:style w:type="character" w:styleId="WW8Num28z1">
    <w:name w:val="WW8Num28z1"/>
    <w:qFormat/>
    <w:rPr>
      <w:rFonts w:ascii="Courier New" w:hAnsi="Courier New" w:cs="Courier New"/>
    </w:rPr>
  </w:style>
  <w:style w:type="character" w:styleId="WW8Num28z3">
    <w:name w:val="WW8Num28z3"/>
    <w:qFormat/>
    <w:rPr>
      <w:rFonts w:ascii="Symbol" w:hAnsi="Symbol" w:cs="Symbol"/>
    </w:rPr>
  </w:style>
  <w:style w:type="character" w:styleId="WW8Num29z0">
    <w:name w:val="WW8Num29z0"/>
    <w:qFormat/>
    <w:rPr>
      <w:rFonts w:ascii="Times New Roman" w:hAnsi="Times New Roman" w:eastAsia="SimSun;宋体" w:cs="Times New Roman"/>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29z3">
    <w:name w:val="WW8Num29z3"/>
    <w:qFormat/>
    <w:rPr>
      <w:rFonts w:ascii="Symbol" w:hAnsi="Symbol" w:cs="Symbol"/>
    </w:rPr>
  </w:style>
  <w:style w:type="character" w:styleId="WW8Num30z0">
    <w:name w:val="WW8Num30z0"/>
    <w:qFormat/>
    <w:rPr>
      <w:sz w:val="16"/>
    </w:rPr>
  </w:style>
  <w:style w:type="character" w:styleId="WW8Num31z0">
    <w:name w:val="WW8Num31z0"/>
    <w:qFormat/>
    <w:rPr>
      <w:rFonts w:ascii="Symbol" w:hAnsi="Symbol" w:cs="Symbol"/>
    </w:rPr>
  </w:style>
  <w:style w:type="character" w:styleId="WW8Num31z2">
    <w:name w:val="WW8Num31z2"/>
    <w:qFormat/>
    <w:rPr>
      <w:rFonts w:ascii="Wingdings" w:hAnsi="Wingdings" w:cs="Wingdings"/>
    </w:rPr>
  </w:style>
  <w:style w:type="character" w:styleId="WW8Num31z4">
    <w:name w:val="WW8Num31z4"/>
    <w:qFormat/>
    <w:rPr>
      <w:rFonts w:ascii="Courier New" w:hAnsi="Courier New" w:cs="Courier New"/>
    </w:rPr>
  </w:style>
  <w:style w:type="character" w:styleId="WW8Num32z0">
    <w:name w:val="WW8Num32z0"/>
    <w:qFormat/>
    <w:rPr/>
  </w:style>
  <w:style w:type="character" w:styleId="WW8Num33z0">
    <w:name w:val="WW8Num33z0"/>
    <w:qFormat/>
    <w:rPr>
      <w:rFonts w:ascii="Wingdings" w:hAnsi="Wingdings" w:cs="Wingdings"/>
      <w:color w:val="000000"/>
    </w:rPr>
  </w:style>
  <w:style w:type="character" w:styleId="WW8Num33z1">
    <w:name w:val="WW8Num33z1"/>
    <w:qFormat/>
    <w:rPr>
      <w:rFonts w:ascii="Courier New" w:hAnsi="Courier New" w:cs="Courier New"/>
    </w:rPr>
  </w:style>
  <w:style w:type="character" w:styleId="WW8Num33z2">
    <w:name w:val="WW8Num33z2"/>
    <w:qFormat/>
    <w:rPr>
      <w:rFonts w:ascii="Wingdings" w:hAnsi="Wingdings" w:cs="Wingdings"/>
    </w:rPr>
  </w:style>
  <w:style w:type="character" w:styleId="WW8Num33z3">
    <w:name w:val="WW8Num33z3"/>
    <w:qFormat/>
    <w:rPr>
      <w:rFonts w:ascii="Symbol" w:hAnsi="Symbol" w:cs="Symbol"/>
    </w:rPr>
  </w:style>
  <w:style w:type="character" w:styleId="WW8Num34z0">
    <w:name w:val="WW8Num34z0"/>
    <w:qFormat/>
    <w:rPr/>
  </w:style>
  <w:style w:type="character" w:styleId="WW8Num35z0">
    <w:name w:val="WW8Num35z0"/>
    <w:qFormat/>
    <w:rPr>
      <w:rFonts w:ascii="Times New Roman" w:hAnsi="Times New Roman" w:eastAsia="SimSun;宋体" w:cs="Times New Roman"/>
    </w:rPr>
  </w:style>
  <w:style w:type="character" w:styleId="WW8Num35z1">
    <w:name w:val="WW8Num35z1"/>
    <w:qFormat/>
    <w:rPr>
      <w:rFonts w:ascii="Courier New" w:hAnsi="Courier New" w:cs="Courier New"/>
    </w:rPr>
  </w:style>
  <w:style w:type="character" w:styleId="WW8Num35z2">
    <w:name w:val="WW8Num35z2"/>
    <w:qFormat/>
    <w:rPr>
      <w:rFonts w:ascii="Wingdings" w:hAnsi="Wingdings" w:cs="Wingdings"/>
    </w:rPr>
  </w:style>
  <w:style w:type="character" w:styleId="WW8Num35z3">
    <w:name w:val="WW8Num35z3"/>
    <w:qFormat/>
    <w:rPr>
      <w:rFonts w:ascii="Symbol" w:hAnsi="Symbol" w:cs="Symbol"/>
    </w:rPr>
  </w:style>
  <w:style w:type="character" w:styleId="WW8Num36z0">
    <w:name w:val="WW8Num36z0"/>
    <w:qFormat/>
    <w:rPr>
      <w:b w:val="false"/>
      <w:i w:val="false"/>
    </w:rPr>
  </w:style>
  <w:style w:type="character" w:styleId="WW8Num37z0">
    <w:name w:val="WW8Num37z0"/>
    <w:qFormat/>
    <w:rPr/>
  </w:style>
  <w:style w:type="character" w:styleId="WW8Num39z0">
    <w:name w:val="WW8Num39z0"/>
    <w:qFormat/>
    <w:rPr>
      <w:color w:val="000000"/>
    </w:rPr>
  </w:style>
  <w:style w:type="character" w:styleId="WW8Num41z0">
    <w:name w:val="WW8Num41z0"/>
    <w:qFormat/>
    <w:rPr>
      <w:rFonts w:eastAsia="Arial"/>
    </w:rPr>
  </w:style>
  <w:style w:type="character" w:styleId="WW8Num43z0">
    <w:name w:val="WW8Num43z0"/>
    <w:qFormat/>
    <w:rPr>
      <w:rFonts w:ascii="Wingdings" w:hAnsi="Wingdings" w:cs="Wingdings"/>
      <w:color w:val="000000"/>
    </w:rPr>
  </w:style>
  <w:style w:type="character" w:styleId="WW8Num43z1">
    <w:name w:val="WW8Num43z1"/>
    <w:qFormat/>
    <w:rPr>
      <w:rFonts w:ascii="Courier New" w:hAnsi="Courier New" w:cs="Courier New"/>
    </w:rPr>
  </w:style>
  <w:style w:type="character" w:styleId="WW8Num43z2">
    <w:name w:val="WW8Num43z2"/>
    <w:qFormat/>
    <w:rPr>
      <w:rFonts w:ascii="Wingdings" w:hAnsi="Wingdings" w:cs="Wingdings"/>
    </w:rPr>
  </w:style>
  <w:style w:type="character" w:styleId="WW8Num43z3">
    <w:name w:val="WW8Num43z3"/>
    <w:qFormat/>
    <w:rPr>
      <w:rFonts w:ascii="Symbol" w:hAnsi="Symbol" w:cs="Symbol"/>
    </w:rPr>
  </w:style>
  <w:style w:type="character" w:styleId="WW8Num44z0">
    <w:name w:val="WW8Num44z0"/>
    <w:qFormat/>
    <w:rPr>
      <w:rFonts w:ascii="Symbol" w:hAnsi="Symbol" w:cs="Symbol"/>
    </w:rPr>
  </w:style>
  <w:style w:type="character" w:styleId="WW8Num44z1">
    <w:name w:val="WW8Num44z1"/>
    <w:qFormat/>
    <w:rPr>
      <w:rFonts w:ascii="Courier New" w:hAnsi="Courier New" w:cs="Courier New"/>
    </w:rPr>
  </w:style>
  <w:style w:type="character" w:styleId="WW8Num44z2">
    <w:name w:val="WW8Num44z2"/>
    <w:qFormat/>
    <w:rPr>
      <w:rFonts w:ascii="Wingdings" w:hAnsi="Wingdings" w:cs="Wingdings"/>
    </w:rPr>
  </w:style>
  <w:style w:type="character" w:styleId="WW8Num45z0">
    <w:name w:val="WW8Num45z0"/>
    <w:qFormat/>
    <w:rPr/>
  </w:style>
  <w:style w:type="character" w:styleId="WW8Num46z0">
    <w:name w:val="WW8Num46z0"/>
    <w:qFormat/>
    <w:rPr>
      <w:b/>
      <w:i w:val="false"/>
      <w:caps w:val="false"/>
      <w:smallCaps w:val="false"/>
      <w:strike w:val="false"/>
      <w:dstrike w:val="false"/>
      <w:shadow w:val="false"/>
      <w:vanish w:val="false"/>
      <w:position w:val="0"/>
      <w:sz w:val="20"/>
      <w:sz w:val="20"/>
      <w:vertAlign w:val="baseline"/>
    </w:rPr>
  </w:style>
  <w:style w:type="character" w:styleId="WW8Num47z0">
    <w:name w:val="WW8Num47z0"/>
    <w:qFormat/>
    <w:rPr>
      <w:rFonts w:ascii="Symbol" w:hAnsi="Symbol" w:cs="Symbol"/>
    </w:rPr>
  </w:style>
  <w:style w:type="character" w:styleId="WW8Num48z0">
    <w:name w:val="WW8Num48z0"/>
    <w:qFormat/>
    <w:rPr>
      <w:b/>
      <w:i/>
    </w:rPr>
  </w:style>
  <w:style w:type="character" w:styleId="WW8Num49z0">
    <w:name w:val="WW8Num49z0"/>
    <w:qFormat/>
    <w:rPr>
      <w:rFonts w:ascii="Times New Roman" w:hAnsi="Times New Roman" w:eastAsia="Times New Roman" w:cs="Times New Roman"/>
    </w:rPr>
  </w:style>
  <w:style w:type="character" w:styleId="WW8Num49z1">
    <w:name w:val="WW8Num49z1"/>
    <w:qFormat/>
    <w:rPr>
      <w:rFonts w:ascii="Courier New" w:hAnsi="Courier New" w:cs="Courier New"/>
    </w:rPr>
  </w:style>
  <w:style w:type="character" w:styleId="WW8Num49z2">
    <w:name w:val="WW8Num49z2"/>
    <w:qFormat/>
    <w:rPr>
      <w:rFonts w:ascii="Wingdings" w:hAnsi="Wingdings" w:cs="Wingdings"/>
    </w:rPr>
  </w:style>
  <w:style w:type="character" w:styleId="WW8Num49z3">
    <w:name w:val="WW8Num49z3"/>
    <w:qFormat/>
    <w:rPr>
      <w:rFonts w:ascii="Symbol" w:hAnsi="Symbol" w:cs="Symbol"/>
    </w:rPr>
  </w:style>
  <w:style w:type="character" w:styleId="WW8Num50z0">
    <w:name w:val="WW8Num50z0"/>
    <w:qFormat/>
    <w:rPr>
      <w:rFonts w:ascii="Wingdings" w:hAnsi="Wingdings" w:cs="Wingdings"/>
    </w:rPr>
  </w:style>
  <w:style w:type="character" w:styleId="WW8Num50z1">
    <w:name w:val="WW8Num50z1"/>
    <w:qFormat/>
    <w:rPr>
      <w:rFonts w:ascii="Courier New" w:hAnsi="Courier New" w:cs="Courier New"/>
    </w:rPr>
  </w:style>
  <w:style w:type="character" w:styleId="WW8Num50z3">
    <w:name w:val="WW8Num50z3"/>
    <w:qFormat/>
    <w:rPr>
      <w:rFonts w:ascii="Symbol" w:hAnsi="Symbol" w:cs="Symbol"/>
    </w:rPr>
  </w:style>
  <w:style w:type="character" w:styleId="WW8Num53z0">
    <w:name w:val="WW8Num53z0"/>
    <w:qFormat/>
    <w:rPr>
      <w:sz w:val="16"/>
    </w:rPr>
  </w:style>
  <w:style w:type="character" w:styleId="WW8Num54z0">
    <w:name w:val="WW8Num54z0"/>
    <w:qFormat/>
    <w:rPr>
      <w:rFonts w:ascii="Symbol" w:hAnsi="Symbol" w:cs="Symbol"/>
    </w:rPr>
  </w:style>
  <w:style w:type="character" w:styleId="WW8Num54z1">
    <w:name w:val="WW8Num54z1"/>
    <w:qFormat/>
    <w:rPr>
      <w:rFonts w:ascii="Courier New" w:hAnsi="Courier New" w:cs="Courier New"/>
    </w:rPr>
  </w:style>
  <w:style w:type="character" w:styleId="WW8Num54z2">
    <w:name w:val="WW8Num54z2"/>
    <w:qFormat/>
    <w:rPr>
      <w:rFonts w:ascii="Wingdings" w:hAnsi="Wingdings" w:cs="Wingdings"/>
    </w:rPr>
  </w:style>
  <w:style w:type="character" w:styleId="WW8Num57z0">
    <w:name w:val="WW8Num57z0"/>
    <w:qFormat/>
    <w:rPr>
      <w:rFonts w:ascii="Symbol" w:hAnsi="Symbol" w:cs="Symbol"/>
    </w:rPr>
  </w:style>
  <w:style w:type="character" w:styleId="WW8Num57z1">
    <w:name w:val="WW8Num57z1"/>
    <w:qFormat/>
    <w:rPr>
      <w:rFonts w:ascii="Courier New" w:hAnsi="Courier New" w:cs="Courier New"/>
    </w:rPr>
  </w:style>
  <w:style w:type="character" w:styleId="WW8Num57z2">
    <w:name w:val="WW8Num57z2"/>
    <w:qFormat/>
    <w:rPr>
      <w:rFonts w:ascii="Wingdings" w:hAnsi="Wingdings" w:cs="Wingdings"/>
    </w:rPr>
  </w:style>
  <w:style w:type="character" w:styleId="WW8Num58z0">
    <w:name w:val="WW8Num58z0"/>
    <w:qFormat/>
    <w:rPr>
      <w:rFonts w:ascii="Times New Roman" w:hAnsi="Times New Roman" w:eastAsia="SimSun;宋体" w:cs="Times New Roman"/>
    </w:rPr>
  </w:style>
  <w:style w:type="character" w:styleId="WW8Num58z1">
    <w:name w:val="WW8Num58z1"/>
    <w:qFormat/>
    <w:rPr>
      <w:rFonts w:ascii="Courier New" w:hAnsi="Courier New" w:cs="Courier New"/>
    </w:rPr>
  </w:style>
  <w:style w:type="character" w:styleId="WW8Num58z2">
    <w:name w:val="WW8Num58z2"/>
    <w:qFormat/>
    <w:rPr>
      <w:rFonts w:ascii="Wingdings" w:hAnsi="Wingdings" w:cs="Wingdings"/>
    </w:rPr>
  </w:style>
  <w:style w:type="character" w:styleId="WW8Num58z3">
    <w:name w:val="WW8Num58z3"/>
    <w:qFormat/>
    <w:rPr>
      <w:rFonts w:ascii="Symbol" w:hAnsi="Symbol" w:cs="Symbol"/>
    </w:rPr>
  </w:style>
  <w:style w:type="character" w:styleId="WW8Num60z0">
    <w:name w:val="WW8Num60z0"/>
    <w:qFormat/>
    <w:rPr>
      <w:rFonts w:ascii="Arial" w:hAnsi="Arial" w:cs="Arial"/>
    </w:rPr>
  </w:style>
  <w:style w:type="character" w:styleId="WW8Num62z0">
    <w:name w:val="WW8Num62z0"/>
    <w:qFormat/>
    <w:rPr/>
  </w:style>
  <w:style w:type="character" w:styleId="WW8Num64z0">
    <w:name w:val="WW8Num64z0"/>
    <w:qFormat/>
    <w:rPr/>
  </w:style>
  <w:style w:type="character" w:styleId="WW8Num65z0">
    <w:name w:val="WW8Num65z0"/>
    <w:qFormat/>
    <w:rPr/>
  </w:style>
  <w:style w:type="character" w:styleId="WW8Num68z0">
    <w:name w:val="WW8Num68z0"/>
    <w:qFormat/>
    <w:rPr/>
  </w:style>
  <w:style w:type="character" w:styleId="WW8Num70z0">
    <w:name w:val="WW8Num70z0"/>
    <w:qFormat/>
    <w:rPr/>
  </w:style>
  <w:style w:type="character" w:styleId="WW8Num71z0">
    <w:name w:val="WW8Num71z0"/>
    <w:qFormat/>
    <w:rPr/>
  </w:style>
  <w:style w:type="character" w:styleId="WW8Num74z0">
    <w:name w:val="WW8Num74z0"/>
    <w:qFormat/>
    <w:rPr>
      <w:rFonts w:ascii="Wingdings" w:hAnsi="Wingdings" w:cs="Wingdings"/>
    </w:rPr>
  </w:style>
  <w:style w:type="character" w:styleId="WW8Num74z1">
    <w:name w:val="WW8Num74z1"/>
    <w:qFormat/>
    <w:rPr>
      <w:rFonts w:ascii="Courier New" w:hAnsi="Courier New" w:cs="Courier New"/>
    </w:rPr>
  </w:style>
  <w:style w:type="character" w:styleId="WW8Num74z3">
    <w:name w:val="WW8Num74z3"/>
    <w:qFormat/>
    <w:rPr>
      <w:rFonts w:ascii="Symbol" w:hAnsi="Symbol" w:cs="Symbol"/>
    </w:rPr>
  </w:style>
  <w:style w:type="character" w:styleId="WW8Num76z0">
    <w:name w:val="WW8Num76z0"/>
    <w:qFormat/>
    <w:rPr/>
  </w:style>
  <w:style w:type="character" w:styleId="WW8Num78z0">
    <w:name w:val="WW8Num78z0"/>
    <w:qFormat/>
    <w:rPr>
      <w:rFonts w:ascii="Wingdings" w:hAnsi="Wingdings" w:cs="Wingdings"/>
    </w:rPr>
  </w:style>
  <w:style w:type="character" w:styleId="WW8Num78z1">
    <w:name w:val="WW8Num78z1"/>
    <w:qFormat/>
    <w:rPr>
      <w:rFonts w:ascii="Courier New" w:hAnsi="Courier New" w:cs="Courier New"/>
    </w:rPr>
  </w:style>
  <w:style w:type="character" w:styleId="WW8Num78z3">
    <w:name w:val="WW8Num78z3"/>
    <w:qFormat/>
    <w:rPr>
      <w:rFonts w:ascii="Symbol" w:hAnsi="Symbol" w:cs="Symbol"/>
    </w:rPr>
  </w:style>
  <w:style w:type="character" w:styleId="WW8Num80z0">
    <w:name w:val="WW8Num80z0"/>
    <w:qFormat/>
    <w:rPr/>
  </w:style>
  <w:style w:type="character" w:styleId="WW8Num81z0">
    <w:name w:val="WW8Num81z0"/>
    <w:qFormat/>
    <w:rPr/>
  </w:style>
  <w:style w:type="character" w:styleId="WW8Num82z0">
    <w:name w:val="WW8Num82z0"/>
    <w:qFormat/>
    <w:rPr>
      <w:rFonts w:ascii="Times New Roman" w:hAnsi="Times New Roman" w:cs="Times New Roman"/>
      <w:b w:val="false"/>
      <w:i w:val="false"/>
      <w:sz w:val="20"/>
    </w:rPr>
  </w:style>
  <w:style w:type="character" w:styleId="WW8Num82z1">
    <w:name w:val="WW8Num82z1"/>
    <w:qFormat/>
    <w:rPr>
      <w:rFonts w:ascii="Courier New" w:hAnsi="Courier New" w:cs="Courier New"/>
    </w:rPr>
  </w:style>
  <w:style w:type="character" w:styleId="WW8Num82z2">
    <w:name w:val="WW8Num82z2"/>
    <w:qFormat/>
    <w:rPr>
      <w:rFonts w:ascii="Wingdings" w:hAnsi="Wingdings" w:cs="Wingdings"/>
    </w:rPr>
  </w:style>
  <w:style w:type="character" w:styleId="WW8Num82z3">
    <w:name w:val="WW8Num82z3"/>
    <w:qFormat/>
    <w:rPr>
      <w:rFonts w:ascii="Symbol" w:hAnsi="Symbol" w:cs="Symbol"/>
    </w:rPr>
  </w:style>
  <w:style w:type="character" w:styleId="WW8Num83z0">
    <w:name w:val="WW8Num83z0"/>
    <w:qFormat/>
    <w:rPr>
      <w:rFonts w:ascii="Wingdings" w:hAnsi="Wingdings" w:cs="Wingdings"/>
    </w:rPr>
  </w:style>
  <w:style w:type="character" w:styleId="WW8Num83z1">
    <w:name w:val="WW8Num83z1"/>
    <w:qFormat/>
    <w:rPr>
      <w:rFonts w:ascii="Courier New" w:hAnsi="Courier New" w:cs="Courier New"/>
    </w:rPr>
  </w:style>
  <w:style w:type="character" w:styleId="WW8Num83z3">
    <w:name w:val="WW8Num83z3"/>
    <w:qFormat/>
    <w:rPr>
      <w:rFonts w:ascii="Symbol" w:hAnsi="Symbol" w:cs="Symbol"/>
    </w:rPr>
  </w:style>
  <w:style w:type="character" w:styleId="WW8Num85z0">
    <w:name w:val="WW8Num85z0"/>
    <w:qFormat/>
    <w:rPr/>
  </w:style>
  <w:style w:type="character" w:styleId="WW8Num86z0">
    <w:name w:val="WW8Num86z0"/>
    <w:qFormat/>
    <w:rPr>
      <w:rFonts w:ascii="Times New Roman" w:hAnsi="Times New Roman" w:eastAsia="SimSun;宋体" w:cs="Times New Roman"/>
    </w:rPr>
  </w:style>
  <w:style w:type="character" w:styleId="WW8Num86z1">
    <w:name w:val="WW8Num86z1"/>
    <w:qFormat/>
    <w:rPr>
      <w:rFonts w:ascii="Courier New" w:hAnsi="Courier New" w:cs="Courier New"/>
    </w:rPr>
  </w:style>
  <w:style w:type="character" w:styleId="WW8Num86z2">
    <w:name w:val="WW8Num86z2"/>
    <w:qFormat/>
    <w:rPr>
      <w:rFonts w:ascii="Wingdings" w:hAnsi="Wingdings" w:cs="Wingdings"/>
    </w:rPr>
  </w:style>
  <w:style w:type="character" w:styleId="WW8Num86z3">
    <w:name w:val="WW8Num86z3"/>
    <w:qFormat/>
    <w:rPr>
      <w:rFonts w:ascii="Symbol" w:hAnsi="Symbol" w:cs="Symbol"/>
    </w:rPr>
  </w:style>
  <w:style w:type="character" w:styleId="WW8Num87z0">
    <w:name w:val="WW8Num87z0"/>
    <w:qFormat/>
    <w:rPr/>
  </w:style>
  <w:style w:type="character" w:styleId="WW8Num88z0">
    <w:name w:val="WW8Num88z0"/>
    <w:qFormat/>
    <w:rPr/>
  </w:style>
  <w:style w:type="character" w:styleId="WW8Num93z0">
    <w:name w:val="WW8Num93z0"/>
    <w:qFormat/>
    <w:rPr/>
  </w:style>
  <w:style w:type="character" w:styleId="WW8Num94z0">
    <w:name w:val="WW8Num94z0"/>
    <w:qFormat/>
    <w:rPr>
      <w:rFonts w:ascii="Times New Roman" w:hAnsi="Times New Roman" w:eastAsia="Times New Roman" w:cs="Times New Roman"/>
    </w:rPr>
  </w:style>
  <w:style w:type="character" w:styleId="WW8Num94z1">
    <w:name w:val="WW8Num94z1"/>
    <w:qFormat/>
    <w:rPr>
      <w:rFonts w:ascii="Courier New" w:hAnsi="Courier New" w:cs="Courier New"/>
    </w:rPr>
  </w:style>
  <w:style w:type="character" w:styleId="WW8Num94z2">
    <w:name w:val="WW8Num94z2"/>
    <w:qFormat/>
    <w:rPr>
      <w:rFonts w:ascii="Wingdings" w:hAnsi="Wingdings" w:cs="Wingdings"/>
    </w:rPr>
  </w:style>
  <w:style w:type="character" w:styleId="WW8Num94z3">
    <w:name w:val="WW8Num94z3"/>
    <w:qFormat/>
    <w:rPr>
      <w:rFonts w:ascii="Symbol" w:hAnsi="Symbol" w:cs="Symbol"/>
    </w:rPr>
  </w:style>
  <w:style w:type="character" w:styleId="WW8Num95z0">
    <w:name w:val="WW8Num95z0"/>
    <w:qFormat/>
    <w:rPr>
      <w:rFonts w:ascii="Courier New" w:hAnsi="Courier New" w:cs="Courier New"/>
    </w:rPr>
  </w:style>
  <w:style w:type="character" w:styleId="WW8Num95z2">
    <w:name w:val="WW8Num95z2"/>
    <w:qFormat/>
    <w:rPr>
      <w:rFonts w:ascii="Wingdings" w:hAnsi="Wingdings" w:cs="Wingdings"/>
    </w:rPr>
  </w:style>
  <w:style w:type="character" w:styleId="WW8Num95z3">
    <w:name w:val="WW8Num95z3"/>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THChar">
    <w:name w:val="TH Char"/>
    <w:qFormat/>
    <w:rPr>
      <w:rFonts w:ascii="Arial" w:hAnsi="Arial" w:eastAsia="Times New Roman" w:cs="Arial"/>
      <w:b/>
    </w:rPr>
  </w:style>
  <w:style w:type="character" w:styleId="Heading1Char">
    <w:name w:val="Heading 1 Char"/>
    <w:qFormat/>
    <w:rPr>
      <w:rFonts w:ascii="Arial" w:hAnsi="Arial" w:eastAsia="Times New Roman" w:cs="Arial"/>
      <w:sz w:val="36"/>
    </w:rPr>
  </w:style>
  <w:style w:type="character" w:styleId="Heading4Char">
    <w:name w:val="Heading 4 Char"/>
    <w:qFormat/>
    <w:rPr>
      <w:rFonts w:ascii="Arial" w:hAnsi="Arial" w:eastAsia="Times New Roman" w:cs="Arial"/>
      <w:sz w:val="24"/>
    </w:rPr>
  </w:style>
  <w:style w:type="character" w:styleId="InternetLink">
    <w:name w:val="Hyperlink"/>
    <w:rPr>
      <w:color w:val="0000FF"/>
      <w:u w:val="single"/>
    </w:rPr>
  </w:style>
  <w:style w:type="character" w:styleId="BalloonTextChar">
    <w:name w:val="Balloon Text Char"/>
    <w:qFormat/>
    <w:rPr>
      <w:rFonts w:ascii="Tahoma" w:hAnsi="Tahoma" w:cs="Tahoma"/>
      <w:sz w:val="16"/>
      <w:szCs w:val="16"/>
      <w:lang w:val="en-GB"/>
    </w:rPr>
  </w:style>
  <w:style w:type="character" w:styleId="CommentReference">
    <w:name w:val="Comment Reference"/>
    <w:qFormat/>
    <w:rPr>
      <w:sz w:val="16"/>
      <w:szCs w:val="16"/>
    </w:rPr>
  </w:style>
  <w:style w:type="character" w:styleId="CommentTextChar">
    <w:name w:val="Comment Text Char"/>
    <w:qFormat/>
    <w:rPr>
      <w:lang w:val="en-GB"/>
    </w:rPr>
  </w:style>
  <w:style w:type="character" w:styleId="CommentSubjectChar">
    <w:name w:val="Comment Subject Char"/>
    <w:qFormat/>
    <w:rPr>
      <w:b/>
      <w:bCs/>
      <w:lang w:val="en-GB"/>
    </w:rPr>
  </w:style>
  <w:style w:type="character" w:styleId="TACChar">
    <w:name w:val="TAC Char"/>
    <w:qFormat/>
    <w:rPr>
      <w:rFonts w:ascii="Arial" w:hAnsi="Arial" w:eastAsia="Times New Roman" w:cs="Arial"/>
      <w:sz w:val="18"/>
    </w:rPr>
  </w:style>
  <w:style w:type="character" w:styleId="TAHCar">
    <w:name w:val="TAH Car"/>
    <w:qFormat/>
    <w:rPr>
      <w:rFonts w:ascii="Arial" w:hAnsi="Arial" w:eastAsia="Times New Roman" w:cs="Arial"/>
      <w:b/>
      <w:sz w:val="18"/>
    </w:rPr>
  </w:style>
  <w:style w:type="character" w:styleId="B1Char1">
    <w:name w:val="B1 Char1"/>
    <w:qFormat/>
    <w:rPr>
      <w:rFonts w:eastAsia="Times New Roman"/>
    </w:rPr>
  </w:style>
  <w:style w:type="character" w:styleId="TFChar">
    <w:name w:val="TF Char"/>
    <w:qFormat/>
    <w:rPr>
      <w:rFonts w:ascii="Arial" w:hAnsi="Arial" w:eastAsia="Times New Roman" w:cs="Arial"/>
      <w:b/>
    </w:rPr>
  </w:style>
  <w:style w:type="character" w:styleId="NOChar1">
    <w:name w:val="NO Char1"/>
    <w:qFormat/>
    <w:rPr>
      <w:rFonts w:eastAsia="Times New Roman"/>
    </w:rPr>
  </w:style>
  <w:style w:type="character" w:styleId="B1Char">
    <w:name w:val="B1 Char"/>
    <w:qFormat/>
    <w:rPr>
      <w:lang w:val="en-GB"/>
    </w:rPr>
  </w:style>
  <w:style w:type="character" w:styleId="EXCar">
    <w:name w:val="EX Car"/>
    <w:qFormat/>
    <w:rPr>
      <w:rFonts w:eastAsia="Times New Roman"/>
    </w:rPr>
  </w:style>
  <w:style w:type="character" w:styleId="EXChar">
    <w:name w:val="EX Char"/>
    <w:qFormat/>
    <w:rPr>
      <w:rFonts w:ascii="Times New Roman" w:hAnsi="Times New Roman" w:cs="Times New Roman"/>
      <w:lang w:val="en-GB"/>
    </w:rPr>
  </w:style>
  <w:style w:type="character" w:styleId="FootnoteCharacters">
    <w:name w:val="Footnote Characters"/>
    <w:qFormat/>
    <w:rPr>
      <w:b/>
      <w:sz w:val="16"/>
      <w:vertAlign w:val="superscript"/>
    </w:rPr>
  </w:style>
  <w:style w:type="character" w:styleId="FootnoteTextChar">
    <w:name w:val="Footnote Text Char"/>
    <w:qFormat/>
    <w:rPr>
      <w:rFonts w:eastAsia="Times New Roman"/>
      <w:sz w:val="16"/>
    </w:rPr>
  </w:style>
  <w:style w:type="character" w:styleId="VisitedInternetLink">
    <w:name w:val="FollowedHyperlink"/>
    <w:rPr>
      <w:color w:val="800080"/>
      <w:u w:val="single"/>
    </w:rPr>
  </w:style>
  <w:style w:type="character" w:styleId="DocumentMapChar">
    <w:name w:val="Document Map Char"/>
    <w:qFormat/>
    <w:rPr>
      <w:rFonts w:ascii="Tahoma" w:hAnsi="Tahoma" w:eastAsia="Times New Roman" w:cs="Tahoma"/>
      <w:shd w:fill="000080" w:val="clear"/>
      <w:lang w:val="en-GB"/>
    </w:rPr>
  </w:style>
  <w:style w:type="character" w:styleId="TALCharCharChar">
    <w:name w:val="TAL Char Char Char"/>
    <w:qFormat/>
    <w:rPr>
      <w:rFonts w:ascii="Arial" w:hAnsi="Arial" w:eastAsia="Times New Roman" w:cs="Arial"/>
      <w:sz w:val="18"/>
      <w:lang w:val="en-GB" w:eastAsia="ja-JP"/>
    </w:rPr>
  </w:style>
  <w:style w:type="character" w:styleId="B2Char1">
    <w:name w:val="B2 Char1"/>
    <w:qFormat/>
    <w:rPr>
      <w:rFonts w:eastAsia="Times New Roman"/>
    </w:rPr>
  </w:style>
  <w:style w:type="character" w:styleId="B3Char2">
    <w:name w:val="B3 Char2"/>
    <w:qFormat/>
    <w:rPr>
      <w:rFonts w:eastAsia="Times New Roman"/>
    </w:rPr>
  </w:style>
  <w:style w:type="character" w:styleId="B5Char">
    <w:name w:val="B5 Char"/>
    <w:qFormat/>
    <w:rPr>
      <w:rFonts w:eastAsia="Times New Roman"/>
    </w:rPr>
  </w:style>
  <w:style w:type="character" w:styleId="B4Char">
    <w:name w:val="B4 Char"/>
    <w:qFormat/>
    <w:rPr>
      <w:rFonts w:eastAsia="Times New Roman"/>
    </w:rPr>
  </w:style>
  <w:style w:type="character" w:styleId="BodyTextChar">
    <w:name w:val="Body Text Char"/>
    <w:qFormat/>
    <w:rPr>
      <w:rFonts w:ascii="Arial" w:hAnsi="Arial" w:eastAsia="MS Mincho;ＭＳ 明朝" w:cs="Arial"/>
      <w:lang w:val="en-GB"/>
    </w:rPr>
  </w:style>
  <w:style w:type="character" w:styleId="B6Char">
    <w:name w:val="B6 Char"/>
    <w:qFormat/>
    <w:rPr>
      <w:rFonts w:eastAsia="Times New Roman"/>
      <w:lang w:val="en-GB" w:eastAsia="ja-JP"/>
    </w:rPr>
  </w:style>
  <w:style w:type="character" w:styleId="TALCar">
    <w:name w:val="TAL Car"/>
    <w:qFormat/>
    <w:rPr>
      <w:rFonts w:ascii="Arial" w:hAnsi="Arial" w:eastAsia="Times New Roman" w:cs="Arial"/>
      <w:sz w:val="18"/>
    </w:rPr>
  </w:style>
  <w:style w:type="character" w:styleId="NOChar">
    <w:name w:val="NO Char"/>
    <w:qFormat/>
    <w:rPr>
      <w:lang w:val="en-GB" w:eastAsia="ja-JP" w:bidi="ar-SA"/>
    </w:rPr>
  </w:style>
  <w:style w:type="character" w:styleId="H6Char">
    <w:name w:val="H6 Char"/>
    <w:qFormat/>
    <w:rPr>
      <w:rFonts w:ascii="Arial" w:hAnsi="Arial" w:eastAsia="Times New Roman" w:cs="Arial"/>
    </w:rPr>
  </w:style>
  <w:style w:type="character" w:styleId="PLChar">
    <w:name w:val="PL Char"/>
    <w:qFormat/>
    <w:rPr>
      <w:rFonts w:ascii="Courier New" w:hAnsi="Courier New" w:eastAsia="Times New Roman" w:cs="Courier New"/>
      <w:sz w:val="16"/>
      <w:lang w:val="en-US" w:eastAsia="en-US"/>
    </w:rPr>
  </w:style>
  <w:style w:type="character" w:styleId="TALChar">
    <w:name w:val="TAL Char"/>
    <w:qFormat/>
    <w:rPr>
      <w:rFonts w:ascii="Arial" w:hAnsi="Arial" w:cs="Arial"/>
      <w:sz w:val="18"/>
      <w:lang w:val="en-GB" w:eastAsia="ja-JP" w:bidi="ar-SA"/>
    </w:rPr>
  </w:style>
  <w:style w:type="character" w:styleId="TACCar">
    <w:name w:val="TAC Car"/>
    <w:basedOn w:val="TALChar"/>
    <w:qFormat/>
    <w:rPr/>
  </w:style>
  <w:style w:type="character" w:styleId="TANChar">
    <w:name w:val="TAN Char"/>
    <w:qFormat/>
    <w:rPr>
      <w:rFonts w:ascii="Arial" w:hAnsi="Arial" w:eastAsia="Times New Roman" w:cs="Arial"/>
      <w:sz w:val="18"/>
    </w:rPr>
  </w:style>
  <w:style w:type="character" w:styleId="Heading2Char">
    <w:name w:val="Heading 2 Char"/>
    <w:qFormat/>
    <w:rPr>
      <w:rFonts w:ascii="Arial" w:hAnsi="Arial" w:eastAsia="Times New Roman" w:cs="Arial"/>
      <w:sz w:val="32"/>
    </w:rPr>
  </w:style>
  <w:style w:type="character" w:styleId="HeaderChar">
    <w:name w:val="Header Char"/>
    <w:qFormat/>
    <w:rPr>
      <w:rFonts w:ascii="Arial" w:hAnsi="Arial" w:eastAsia="Times New Roman" w:cs="Arial"/>
      <w:b/>
      <w:sz w:val="18"/>
      <w:lang w:val="en-US" w:eastAsia="en-US"/>
    </w:rPr>
  </w:style>
  <w:style w:type="character" w:styleId="TAL">
    <w:name w:val="TAL (文字)"/>
    <w:qFormat/>
    <w:rPr>
      <w:rFonts w:ascii="Arial" w:hAnsi="Arial" w:cs="Arial"/>
      <w:sz w:val="18"/>
    </w:rPr>
  </w:style>
  <w:style w:type="character" w:styleId="PlainTextChar">
    <w:name w:val="Plain Text Char"/>
    <w:qFormat/>
    <w:rPr>
      <w:rFonts w:ascii="Courier New" w:hAnsi="Courier New" w:eastAsia="Times New Roman" w:cs="Courier New"/>
      <w:lang w:val="nb-NO"/>
    </w:rPr>
  </w:style>
  <w:style w:type="character" w:styleId="PageNumber">
    <w:name w:val="Page Number"/>
    <w:basedOn w:val="DefaultParagraphFont"/>
    <w:rPr/>
  </w:style>
  <w:style w:type="character" w:styleId="Head2AChar">
    <w:name w:val="Head2A Char"/>
    <w:qFormat/>
    <w:rPr>
      <w:rFonts w:ascii="Arial" w:hAnsi="Arial" w:cs="Arial"/>
      <w:sz w:val="32"/>
      <w:lang w:val="en-GB" w:eastAsia="ja-JP" w:bidi="ar-SA"/>
    </w:rPr>
  </w:style>
  <w:style w:type="character" w:styleId="Heading3Char">
    <w:name w:val="Heading 3 Char"/>
    <w:qFormat/>
    <w:rPr>
      <w:rFonts w:ascii="Arial" w:hAnsi="Arial" w:eastAsia="Times New Roman" w:cs="Arial"/>
      <w:sz w:val="28"/>
    </w:rPr>
  </w:style>
  <w:style w:type="character" w:styleId="Heading5Char">
    <w:name w:val="Heading 5 Char"/>
    <w:qFormat/>
    <w:rPr>
      <w:rFonts w:ascii="Arial" w:hAnsi="Arial" w:eastAsia="Times New Roman" w:cs="Arial"/>
      <w:sz w:val="22"/>
    </w:rPr>
  </w:style>
  <w:style w:type="character" w:styleId="Heading6Char">
    <w:name w:val="Heading 6 Char"/>
    <w:qFormat/>
    <w:rPr>
      <w:rFonts w:ascii="Arial" w:hAnsi="Arial" w:eastAsia="Times New Roman" w:cs="Arial"/>
    </w:rPr>
  </w:style>
  <w:style w:type="character" w:styleId="Heading7Char">
    <w:name w:val="Heading 7 Char"/>
    <w:qFormat/>
    <w:rPr>
      <w:rFonts w:ascii="Arial" w:hAnsi="Arial" w:eastAsia="Times New Roman" w:cs="Arial"/>
    </w:rPr>
  </w:style>
  <w:style w:type="character" w:styleId="Heading8Char">
    <w:name w:val="Heading 8 Char"/>
    <w:qFormat/>
    <w:rPr>
      <w:rFonts w:ascii="Arial" w:hAnsi="Arial" w:eastAsia="Times New Roman" w:cs="Arial"/>
      <w:sz w:val="36"/>
    </w:rPr>
  </w:style>
  <w:style w:type="character" w:styleId="HeaderoddChar">
    <w:name w:val="header odd Char"/>
    <w:qFormat/>
    <w:rPr>
      <w:rFonts w:ascii="Arial" w:hAnsi="Arial" w:cs="Arial"/>
      <w:b/>
      <w:sz w:val="18"/>
      <w:lang w:val="en-GB" w:eastAsia="en-US"/>
    </w:rPr>
  </w:style>
  <w:style w:type="character" w:styleId="EditorsNoteCarCar">
    <w:name w:val="Editor's Note Car Car"/>
    <w:qFormat/>
    <w:rPr>
      <w:rFonts w:eastAsia="Times New Roman"/>
      <w:color w:val="FF0000"/>
    </w:rPr>
  </w:style>
  <w:style w:type="character" w:styleId="B2Char">
    <w:name w:val="B2 Char"/>
    <w:qFormat/>
    <w:rPr>
      <w:lang w:val="en-GB" w:bidi="ar-SA"/>
    </w:rPr>
  </w:style>
  <w:style w:type="character" w:styleId="B3Char">
    <w:name w:val="B3 Char"/>
    <w:qFormat/>
    <w:rPr>
      <w:lang w:val="en-GB" w:bidi="ar-SA"/>
    </w:rPr>
  </w:style>
  <w:style w:type="character" w:styleId="CaptionChar1">
    <w:name w:val="Caption Char1"/>
    <w:qFormat/>
    <w:rPr>
      <w:rFonts w:eastAsia="Malgun Gothic"/>
      <w:b/>
      <w:lang w:val="en-US"/>
    </w:rPr>
  </w:style>
  <w:style w:type="character" w:styleId="CharChar19">
    <w:name w:val=" Char Char19"/>
    <w:qFormat/>
    <w:rPr>
      <w:rFonts w:ascii="Times New Roman" w:hAnsi="Times New Roman" w:cs="Times New Roman"/>
      <w:lang w:val="en-GB"/>
    </w:rPr>
  </w:style>
  <w:style w:type="character" w:styleId="BodyTextIndentChar">
    <w:name w:val="Body Text Indent Char"/>
    <w:qFormat/>
    <w:rPr>
      <w:rFonts w:eastAsia="Malgun Gothic"/>
      <w:lang w:val="en-US"/>
    </w:rPr>
  </w:style>
  <w:style w:type="character" w:styleId="Msoins">
    <w:name w:val="msoins"/>
    <w:basedOn w:val="DefaultParagraphFont"/>
    <w:qFormat/>
    <w:rPr/>
  </w:style>
  <w:style w:type="character" w:styleId="BodyText2Char">
    <w:name w:val="Body Text 2 Char"/>
    <w:qFormat/>
    <w:rPr>
      <w:rFonts w:eastAsia="Malgun Gothic"/>
      <w:i/>
      <w:lang w:val="en-US" w:eastAsia="ko-KR"/>
    </w:rPr>
  </w:style>
  <w:style w:type="character" w:styleId="BodyText3Char">
    <w:name w:val="Body Text 3 Char"/>
    <w:qFormat/>
    <w:rPr>
      <w:rFonts w:eastAsia="Osaka;MS Mincho"/>
      <w:color w:val="000000"/>
      <w:lang w:val="en-US" w:eastAsia="ko-KR"/>
    </w:rPr>
  </w:style>
  <w:style w:type="character" w:styleId="NMPHeading1Char">
    <w:name w:val="NMP Heading 1 Char"/>
    <w:qFormat/>
    <w:rPr>
      <w:rFonts w:ascii="Arial" w:hAnsi="Arial" w:cs="Arial"/>
      <w:sz w:val="36"/>
      <w:lang w:val="en-GB" w:bidi="ar-SA"/>
    </w:rPr>
  </w:style>
  <w:style w:type="character" w:styleId="Underrubrik2Char">
    <w:name w:val="Underrubrik2 Char"/>
    <w:qFormat/>
    <w:rPr>
      <w:rFonts w:ascii="Arial" w:hAnsi="Arial" w:cs="Arial"/>
      <w:sz w:val="28"/>
      <w:lang w:val="en-GB"/>
    </w:rPr>
  </w:style>
  <w:style w:type="character" w:styleId="H4Char">
    <w:name w:val="h4 Char"/>
    <w:qFormat/>
    <w:rPr>
      <w:rFonts w:ascii="Arial" w:hAnsi="Arial" w:cs="Arial"/>
      <w:sz w:val="24"/>
      <w:szCs w:val="28"/>
      <w:lang w:val="en-GB" w:bidi="en-US"/>
    </w:rPr>
  </w:style>
  <w:style w:type="character" w:styleId="M5Char">
    <w:name w:val="M5 Char"/>
    <w:qFormat/>
    <w:rPr>
      <w:rFonts w:ascii="Arial" w:hAnsi="Arial" w:cs="Arial"/>
      <w:sz w:val="22"/>
      <w:lang w:val="en-GB"/>
    </w:rPr>
  </w:style>
  <w:style w:type="character" w:styleId="CharChar8">
    <w:name w:val=" Char Char8"/>
    <w:qFormat/>
    <w:rPr>
      <w:rFonts w:ascii="Times New Roman" w:hAnsi="Times New Roman" w:cs="Times New Roman"/>
      <w:b/>
      <w:bCs/>
      <w:lang w:val="en-GB"/>
    </w:rPr>
  </w:style>
  <w:style w:type="character" w:styleId="CRCoverPageChar">
    <w:name w:val="CR Cover Page Char"/>
    <w:qFormat/>
    <w:rPr>
      <w:rFonts w:ascii="Arial" w:hAnsi="Arial" w:eastAsia="Times New Roman" w:cs="Arial"/>
      <w:lang w:val="en-GB" w:bidi="ar-SA"/>
    </w:rPr>
  </w:style>
  <w:style w:type="character" w:styleId="BtChar">
    <w:name w:val="bt Char"/>
    <w:qFormat/>
    <w:rPr>
      <w:rFonts w:ascii="Times New Roman" w:hAnsi="Times New Roman" w:eastAsia="SimSun;宋体" w:cs="Times New Roman"/>
      <w:lang w:val="en-GB"/>
    </w:rPr>
  </w:style>
  <w:style w:type="character" w:styleId="T1Char">
    <w:name w:val="T1 Char"/>
    <w:qFormat/>
    <w:rPr>
      <w:rFonts w:ascii="Arial" w:hAnsi="Arial" w:cs="Arial"/>
      <w:lang w:val="en-GB"/>
    </w:rPr>
  </w:style>
  <w:style w:type="character" w:styleId="CapChar6">
    <w:name w:val="cap Char6"/>
    <w:qFormat/>
    <w:rPr>
      <w:b/>
      <w:lang w:val="en-GB" w:bidi="ar-SA"/>
    </w:rPr>
  </w:style>
  <w:style w:type="character" w:styleId="DATextZchn">
    <w:name w:val="DA_Text Zchn"/>
    <w:qFormat/>
    <w:rPr>
      <w:rFonts w:eastAsia="Malgun Gothic"/>
      <w:szCs w:val="24"/>
      <w:lang w:val="de-DE"/>
    </w:rPr>
  </w:style>
  <w:style w:type="character" w:styleId="HeadingChar">
    <w:name w:val="Heading Char"/>
    <w:qFormat/>
    <w:rPr>
      <w:rFonts w:ascii="Arial" w:hAnsi="Arial" w:cs="Arial"/>
      <w:b/>
      <w:sz w:val="22"/>
      <w:lang w:bidi="ar-SA"/>
    </w:rPr>
  </w:style>
  <w:style w:type="character" w:styleId="NormalLatinItaliqueCar">
    <w:name w:val="Normal + (Latin) Italique Car"/>
    <w:qFormat/>
    <w:rPr>
      <w:rFonts w:eastAsia="SimSun;宋体"/>
      <w:lang w:val="en-US"/>
    </w:rPr>
  </w:style>
  <w:style w:type="character" w:styleId="B1LatinItaliqueCar">
    <w:name w:val="B1 + (Latin) Italique Car"/>
    <w:qFormat/>
    <w:rPr>
      <w:rFonts w:eastAsia="SimSun;宋体"/>
      <w:i/>
      <w:iCs/>
      <w:lang w:val="en-US"/>
    </w:rPr>
  </w:style>
  <w:style w:type="character" w:styleId="CharChar13">
    <w:name w:val=" Char Char13"/>
    <w:qFormat/>
    <w:rPr>
      <w:rFonts w:eastAsia="SimSun;宋体"/>
      <w:lang w:val="en-GB" w:bidi="ar-SA"/>
    </w:rPr>
  </w:style>
  <w:style w:type="character" w:styleId="CharChar7">
    <w:name w:val=" Char Char7"/>
    <w:qFormat/>
    <w:rPr>
      <w:rFonts w:ascii="Arial" w:hAnsi="Arial" w:eastAsia="SimSun;宋体" w:cs="Arial"/>
      <w:sz w:val="36"/>
      <w:lang w:val="en-GB" w:bidi="ar-SA"/>
    </w:rPr>
  </w:style>
  <w:style w:type="character" w:styleId="CharChar6">
    <w:name w:val=" Char Char6"/>
    <w:qFormat/>
    <w:rPr>
      <w:rFonts w:ascii="Arial" w:hAnsi="Arial" w:eastAsia="SimSun;宋体" w:cs="Arial"/>
      <w:sz w:val="32"/>
      <w:lang w:val="en-GB" w:bidi="ar-SA"/>
    </w:rPr>
  </w:style>
  <w:style w:type="character" w:styleId="CharChar5">
    <w:name w:val=" Char Char5"/>
    <w:qFormat/>
    <w:rPr>
      <w:rFonts w:ascii="Arial" w:hAnsi="Arial" w:eastAsia="SimSun;宋体" w:cs="Arial"/>
      <w:sz w:val="28"/>
      <w:lang w:val="en-GB" w:bidi="ar-SA"/>
    </w:rPr>
  </w:style>
  <w:style w:type="character" w:styleId="CharChar16">
    <w:name w:val=" Char Char16"/>
    <w:qFormat/>
    <w:rPr>
      <w:rFonts w:ascii="Arial" w:hAnsi="Arial" w:eastAsia="SimSun;宋体" w:cs="Arial"/>
      <w:lang w:val="en-GB" w:bidi="ar-SA"/>
    </w:rPr>
  </w:style>
  <w:style w:type="character" w:styleId="CharChar14">
    <w:name w:val=" Char Char14"/>
    <w:qFormat/>
    <w:rPr>
      <w:rFonts w:ascii="Arial" w:hAnsi="Arial" w:eastAsia="SimSun;宋体" w:cs="Arial"/>
      <w:sz w:val="36"/>
      <w:lang w:val="en-GB" w:bidi="ar-SA"/>
    </w:rPr>
  </w:style>
  <w:style w:type="character" w:styleId="CharChar11">
    <w:name w:val=" Char Char11"/>
    <w:qFormat/>
    <w:rPr>
      <w:rFonts w:ascii="Tahoma" w:hAnsi="Tahoma" w:eastAsia="SimSun;宋体" w:cs="Tahoma"/>
      <w:lang w:val="en-GB" w:bidi="ar-SA"/>
    </w:rPr>
  </w:style>
  <w:style w:type="character" w:styleId="BodyTextIndent2Char">
    <w:name w:val="Body Text Indent 2 Char"/>
    <w:qFormat/>
    <w:rPr>
      <w:rFonts w:eastAsia="MS Mincho;ＭＳ 明朝"/>
      <w:lang w:val="en-US" w:eastAsia="ja-JP"/>
    </w:rPr>
  </w:style>
  <w:style w:type="character" w:styleId="EndnoteTextChar">
    <w:name w:val="Endnote Text Char"/>
    <w:qFormat/>
    <w:rPr>
      <w:rFonts w:eastAsia="SimSun;宋体"/>
      <w:lang w:val="en-US"/>
    </w:rPr>
  </w:style>
  <w:style w:type="character" w:styleId="NoteHeadingChar">
    <w:name w:val="Note Heading Char"/>
    <w:qFormat/>
    <w:rPr>
      <w:rFonts w:eastAsia="MS Mincho;ＭＳ 明朝"/>
      <w:lang w:val="en-US"/>
    </w:rPr>
  </w:style>
  <w:style w:type="character" w:styleId="HTMLPreformattedChar">
    <w:name w:val="HTML Preformatted Char"/>
    <w:qFormat/>
    <w:rPr>
      <w:rFonts w:ascii="Courier New" w:hAnsi="Courier New" w:eastAsia="MS Mincho;ＭＳ 明朝" w:cs="Courier New"/>
      <w:lang w:val="en-US"/>
    </w:rPr>
  </w:style>
  <w:style w:type="character" w:styleId="EditorsNoteChar">
    <w:name w:val="Editor's Note Char"/>
    <w:qFormat/>
    <w:rPr>
      <w:rFonts w:ascii="Times New Roman" w:hAnsi="Times New Roman" w:cs="Times New Roman"/>
      <w:color w:val="FF0000"/>
      <w:lang w:val="en-GB"/>
    </w:rPr>
  </w:style>
  <w:style w:type="character" w:styleId="Heading9Char">
    <w:name w:val="Heading 9 Char"/>
    <w:qFormat/>
    <w:rPr>
      <w:rFonts w:ascii="Arial" w:hAnsi="Arial" w:eastAsia="Times New Roman" w:cs="Arial"/>
      <w:sz w:val="36"/>
    </w:rPr>
  </w:style>
  <w:style w:type="character" w:styleId="FooterChar">
    <w:name w:val="Footer Char"/>
    <w:qFormat/>
    <w:rPr>
      <w:rFonts w:ascii="Arial" w:hAnsi="Arial" w:eastAsia="Times New Roman" w:cs="Arial"/>
      <w:b/>
      <w:i/>
      <w:sz w:val="18"/>
      <w:lang w:val="en-US" w:eastAsia="en-US"/>
    </w:rPr>
  </w:style>
  <w:style w:type="character" w:styleId="CommentSubjectChar1">
    <w:name w:val="Comment Subject Char1"/>
    <w:qFormat/>
    <w:rPr>
      <w:b/>
      <w:bCs/>
      <w:lang w:val="en-GB" w:bidi="ar-SA"/>
    </w:rPr>
  </w:style>
  <w:style w:type="character" w:styleId="T1Char3">
    <w:name w:val="T1 Char3"/>
    <w:qFormat/>
    <w:rPr>
      <w:rFonts w:ascii="Arial" w:hAnsi="Arial" w:eastAsia="Times New Roman" w:cs="Times New Roman"/>
      <w:sz w:val="20"/>
      <w:szCs w:val="20"/>
      <w:lang w:val="en-GB" w:eastAsia="ja-JP"/>
    </w:rPr>
  </w:style>
  <w:style w:type="character" w:styleId="WW8Num11z0">
    <w:name w:val="WW8Num11z0"/>
    <w:qFormat/>
    <w:rPr>
      <w:rFonts w:ascii="Symbol" w:hAnsi="Symbol" w:cs="Symbol"/>
    </w:rPr>
  </w:style>
  <w:style w:type="character" w:styleId="WW8Num6z1">
    <w:name w:val="WW8Num6z1"/>
    <w:qFormat/>
    <w:rPr>
      <w:rFonts w:ascii="Courier New" w:hAnsi="Courier New" w:cs="Courier New"/>
    </w:rPr>
  </w:style>
  <w:style w:type="character" w:styleId="WW8Num6z0">
    <w:name w:val="WW8Num6z0"/>
    <w:qFormat/>
    <w:rPr>
      <w:rFonts w:ascii="ZapfDingbats" w:hAnsi="ZapfDingbats" w:cs="ZapfDingbats"/>
      <w:b/>
      <w:i w:val="false"/>
      <w:color w:val="70CEF5"/>
      <w:sz w:val="20"/>
      <w:szCs w:val="20"/>
    </w:rPr>
  </w:style>
  <w:style w:type="character" w:styleId="CharChar">
    <w:name w:val=" Char Char"/>
    <w:qFormat/>
    <w:rPr>
      <w:rFonts w:ascii="Arial" w:hAnsi="Arial" w:cs="Arial"/>
      <w:sz w:val="28"/>
      <w:lang w:val="en-GB"/>
    </w:rPr>
  </w:style>
  <w:style w:type="character" w:styleId="CharChar9">
    <w:name w:val=" Char Char9"/>
    <w:qFormat/>
    <w:rPr>
      <w:rFonts w:ascii="Arial" w:hAnsi="Arial" w:eastAsia="MS Mincho;ＭＳ 明朝" w:cs="CG Times (WN);Arial"/>
      <w:kern w:val="0"/>
      <w:sz w:val="22"/>
      <w:szCs w:val="20"/>
      <w:lang w:val="en-GB"/>
    </w:rPr>
  </w:style>
  <w:style w:type="character" w:styleId="CharChar3">
    <w:name w:val=" Char Char3"/>
    <w:qFormat/>
    <w:rPr>
      <w:rFonts w:ascii="Arial" w:hAnsi="Arial" w:cs="Arial"/>
      <w:sz w:val="22"/>
      <w:lang w:val="en-GB" w:bidi="ar-SA"/>
    </w:rPr>
  </w:style>
  <w:style w:type="character" w:styleId="Char">
    <w:name w:val="样式 页眉 Char"/>
    <w:qFormat/>
    <w:rPr>
      <w:rFonts w:ascii="Arial" w:hAnsi="Arial" w:eastAsia="Arial" w:cs="Arial"/>
      <w:b/>
      <w:bCs/>
      <w:sz w:val="22"/>
      <w:lang w:val="en-GB" w:eastAsia="en-US"/>
    </w:rPr>
  </w:style>
  <w:style w:type="character" w:styleId="GuidanceChar">
    <w:name w:val="Guidance Char"/>
    <w:qFormat/>
    <w:rPr>
      <w:i/>
      <w:color w:val="0000FF"/>
      <w:lang w:val="en-GB"/>
    </w:rPr>
  </w:style>
  <w:style w:type="character" w:styleId="DateChar">
    <w:name w:val="Date Char"/>
    <w:qFormat/>
    <w:rPr>
      <w:rFonts w:eastAsia="Times New Roman"/>
      <w:lang w:val="en-GB"/>
    </w:rPr>
  </w:style>
  <w:style w:type="character" w:styleId="8Char">
    <w:name w:val="标题 8 Char"/>
    <w:qFormat/>
    <w:rPr>
      <w:rFonts w:ascii="Arial" w:hAnsi="Arial" w:cs="Arial"/>
      <w:sz w:val="36"/>
      <w:lang w:val="en-GB"/>
    </w:rPr>
  </w:style>
  <w:style w:type="character" w:styleId="WW8Num2z1">
    <w:name w:val="WW8Num2z1"/>
    <w:qFormat/>
    <w:rPr>
      <w:rFonts w:ascii="StarSymbol;Arial Unicode MS" w:hAnsi="StarSymbol;Arial Unicode MS" w:cs="StarSymbol;Arial Unicode MS"/>
    </w:rPr>
  </w:style>
  <w:style w:type="character" w:styleId="WW8Num2z2">
    <w:name w:val="WW8Num2z2"/>
    <w:qFormat/>
    <w:rPr>
      <w:rFonts w:ascii="Wingdings" w:hAnsi="Wingdings" w:cs="Wingdings"/>
    </w:rPr>
  </w:style>
  <w:style w:type="character" w:styleId="WW8Num2z4">
    <w:name w:val="WW8Num2z4"/>
    <w:qFormat/>
    <w:rPr>
      <w:rFonts w:ascii="Courier New" w:hAnsi="Courier New" w:cs="Courier New"/>
    </w:rPr>
  </w:style>
  <w:style w:type="character" w:styleId="WW8Num7z0">
    <w:name w:val="WW8Num7z0"/>
    <w:qFormat/>
    <w:rPr>
      <w:rFonts w:ascii="Symbol" w:hAnsi="Symbol" w:cs="Symbo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EndnoteCharacters">
    <w:name w:val="Endnote Characters"/>
    <w:qFormat/>
    <w:rPr>
      <w:vertAlign w:val="superscript"/>
    </w:rPr>
  </w:style>
  <w:style w:type="character" w:styleId="WWFootnoteCharacters">
    <w:name w:val="WW-Footnote Characters"/>
    <w:qFormat/>
    <w:rPr>
      <w:b/>
      <w:bCs/>
      <w:sz w:val="16"/>
      <w:szCs w:val="16"/>
      <w:vertAlign w:val="superscript"/>
    </w:rPr>
  </w:style>
  <w:style w:type="character" w:styleId="TdocheaderChar">
    <w:name w:val="tdoc-header Char"/>
    <w:qFormat/>
    <w:rPr>
      <w:rFonts w:ascii="Arial" w:hAnsi="Arial" w:eastAsia="Batang;바탕" w:cs="Arial"/>
      <w:sz w:val="24"/>
      <w:lang w:val="en-GB" w:bidi="ar-SA"/>
    </w:rPr>
  </w:style>
  <w:style w:type="character" w:styleId="11BodyTextChar">
    <w:name w:val="11 BodyText Char"/>
    <w:qFormat/>
    <w:rPr>
      <w:rFonts w:ascii="Arial" w:hAnsi="Arial" w:eastAsia="Times New Roman" w:cs="Arial"/>
      <w:sz w:val="22"/>
      <w:lang w:val="en-US"/>
    </w:rPr>
  </w:style>
  <w:style w:type="character" w:styleId="BodyTextIndent3Char">
    <w:name w:val="Body Text Indent 3 Char"/>
    <w:qFormat/>
    <w:rPr>
      <w:rFonts w:eastAsia="Times New Roman"/>
      <w:sz w:val="24"/>
    </w:rPr>
  </w:style>
  <w:style w:type="character" w:styleId="WWAbsatzStandardschriftart">
    <w:name w:val="WW-Absatz-Standardschriftart"/>
    <w:qFormat/>
    <w:rPr>
      <w:sz w:val="24"/>
      <w:szCs w:val="24"/>
    </w:rPr>
  </w:style>
  <w:style w:type="character" w:styleId="Style11BodyTextNokiaStandardLightChar">
    <w:name w:val="Style 11 BodyText + Nokia Standard Light Char"/>
    <w:qFormat/>
    <w:rPr>
      <w:rFonts w:ascii="Nokia Standard Light;Verdana" w:hAnsi="Nokia Standard Light;Verdana" w:eastAsia="Times New Roman" w:cs="Nokia Standard Light;Verdana"/>
      <w:sz w:val="22"/>
      <w:lang w:val="en-US"/>
    </w:rPr>
  </w:style>
  <w:style w:type="character" w:styleId="MTDisplayEquationChar">
    <w:name w:val="MTDisplayEquation Char"/>
    <w:qFormat/>
    <w:rPr>
      <w:rFonts w:eastAsia="MS Mincho;ＭＳ 明朝"/>
      <w:lang w:val="en-GB" w:eastAsia="ja-JP"/>
    </w:rPr>
  </w:style>
  <w:style w:type="character" w:styleId="EQChar">
    <w:name w:val="EQ Char"/>
    <w:qFormat/>
    <w:rPr>
      <w:rFonts w:eastAsia="Times New Roman"/>
      <w:lang w:val="en-US" w:eastAsia="en-US"/>
    </w:rPr>
  </w:style>
  <w:style w:type="character" w:styleId="1e9ptCar">
    <w:name w:val="1e) 9 pt Car"/>
    <w:qFormat/>
    <w:rPr>
      <w:szCs w:val="18"/>
      <w:lang w:val="en-GB" w:eastAsia="en-US"/>
    </w:rPr>
  </w:style>
  <w:style w:type="character" w:styleId="IndexLink">
    <w:name w:val="Index Link"/>
    <w:qFormat/>
    <w:rPr/>
  </w:style>
  <w:style w:type="paragraph" w:styleId="Heading">
    <w:name w:val="Heading"/>
    <w:next w:val="TextBody"/>
    <w:qFormat/>
    <w:pPr>
      <w:widowControl/>
      <w:bidi w:val="0"/>
      <w:spacing w:before="360" w:after="0"/>
      <w:ind w:left="2552" w:hanging="0"/>
    </w:pPr>
    <w:rPr>
      <w:rFonts w:ascii="Arial" w:hAnsi="Arial" w:eastAsia="SimSun;宋体" w:cs="Arial"/>
      <w:b/>
      <w:color w:val="auto"/>
      <w:sz w:val="22"/>
      <w:szCs w:val="20"/>
      <w:lang w:val="en-GB" w:bidi="ar-SA" w:eastAsia="zh-CN"/>
    </w:rPr>
  </w:style>
  <w:style w:type="paragraph" w:styleId="TextBody">
    <w:name w:val="Body Text"/>
    <w:basedOn w:val="Normal"/>
    <w:pPr/>
    <w:rPr>
      <w:rFonts w:ascii="Arial" w:hAnsi="Arial" w:eastAsia="MS Mincho;ＭＳ 明朝" w:cs="Arial"/>
    </w:rPr>
  </w:style>
  <w:style w:type="paragraph" w:styleId="List">
    <w:name w:val="List"/>
    <w:basedOn w:val="Normal"/>
    <w:pPr>
      <w:ind w:lef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suppressAutoHyphens w:val="true"/>
      <w:overflowPunct w:val="false"/>
      <w:autoSpaceDE w:val="false"/>
      <w:textAlignment w:val="baseline"/>
    </w:pPr>
    <w:rPr>
      <w:rFonts w:eastAsia="Times New Roman" w:cs="Mangal"/>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1">
    <w:name w:val="TAL"/>
    <w:basedOn w:val="Normal"/>
    <w:qFormat/>
    <w:pPr>
      <w:keepNext w:val="true"/>
      <w:keepLines/>
      <w:spacing w:before="0" w:after="0"/>
    </w:pPr>
    <w:rPr>
      <w:rFonts w:ascii="Arial" w:hAnsi="Arial" w:cs="Arial"/>
      <w:sz w:val="18"/>
    </w:rPr>
  </w:style>
  <w:style w:type="paragraph" w:styleId="TAR">
    <w:name w:val="TAR"/>
    <w:basedOn w:val="TAL1"/>
    <w:qFormat/>
    <w:pPr>
      <w:jc w:val="right"/>
    </w:pPr>
    <w:rPr/>
  </w:style>
  <w:style w:type="paragraph" w:styleId="TAC">
    <w:name w:val="TAC"/>
    <w:basedOn w:val="TAL1"/>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1"/>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2">
    <w:name w:val="List Bullet 3"/>
    <w:basedOn w:val="List"/>
    <w:pPr>
      <w:ind w:left="851" w:hanging="284"/>
    </w:pPr>
    <w:rPr/>
  </w:style>
  <w:style w:type="paragraph" w:styleId="B2">
    <w:name w:val="B2"/>
    <w:basedOn w:val="List2"/>
    <w:qFormat/>
    <w:pPr/>
    <w:rPr/>
  </w:style>
  <w:style w:type="paragraph" w:styleId="List3">
    <w:name w:val="List Bullet 4"/>
    <w:basedOn w:val="List2"/>
    <w:pPr>
      <w:ind w:left="1135" w:hanging="284"/>
    </w:pPr>
    <w:rPr/>
  </w:style>
  <w:style w:type="paragraph" w:styleId="B3">
    <w:name w:val="B3"/>
    <w:basedOn w:val="List3"/>
    <w:qFormat/>
    <w:pPr/>
    <w:rPr/>
  </w:style>
  <w:style w:type="paragraph" w:styleId="List4">
    <w:name w:val="List Bullet 5"/>
    <w:basedOn w:val="List3"/>
    <w:pPr>
      <w:ind w:left="1418" w:hanging="284"/>
    </w:pPr>
    <w:rPr/>
  </w:style>
  <w:style w:type="paragraph" w:styleId="B4">
    <w:name w:val="B4"/>
    <w:basedOn w:val="List4"/>
    <w:qFormat/>
    <w:pPr/>
    <w:rPr/>
  </w:style>
  <w:style w:type="paragraph" w:styleId="List5">
    <w:name w:val="List Number"/>
    <w:basedOn w:val="List4"/>
    <w:pPr>
      <w:ind w:left="1702" w:hanging="284"/>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rFonts w:eastAsia="SimSun;宋体"/>
      <w:i/>
      <w:color w:val="0000FF"/>
    </w:rPr>
  </w:style>
  <w:style w:type="paragraph" w:styleId="BalloonText">
    <w:name w:val="Balloon Text"/>
    <w:basedOn w:val="Normal"/>
    <w:qFormat/>
    <w:pPr>
      <w:spacing w:before="0" w:after="0"/>
    </w:pPr>
    <w:rPr>
      <w:rFonts w:ascii="Tahoma" w:hAnsi="Tahoma" w:eastAsia="SimSun;宋体" w:cs="Tahoma"/>
      <w:sz w:val="16"/>
      <w:szCs w:val="16"/>
    </w:rPr>
  </w:style>
  <w:style w:type="paragraph" w:styleId="CommentText">
    <w:name w:val="Comment Text"/>
    <w:basedOn w:val="Normal"/>
    <w:qFormat/>
    <w:pPr/>
    <w:rPr>
      <w:rFonts w:eastAsia="SimSun;宋体"/>
    </w:rPr>
  </w:style>
  <w:style w:type="paragraph" w:styleId="CommentSubject">
    <w:name w:val="Comment Subject"/>
    <w:basedOn w:val="CommentText"/>
    <w:next w:val="CommentText"/>
    <w:qFormat/>
    <w:pPr/>
    <w:rPr>
      <w:b/>
      <w:bCs/>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ListNumber">
    <w:name w:val="List Number"/>
    <w:basedOn w:val="List"/>
    <w:qFormat/>
    <w:pPr>
      <w:numPr>
        <w:ilvl w:val="0"/>
        <w:numId w:val="27"/>
      </w:numPr>
    </w:pPr>
    <w:rPr/>
  </w:style>
  <w:style w:type="paragraph" w:styleId="ListNumber2">
    <w:name w:val="List Number 2"/>
    <w:basedOn w:val="ListNumber"/>
    <w:qFormat/>
    <w:pPr>
      <w:numPr>
        <w:ilvl w:val="0"/>
        <w:numId w:val="28"/>
      </w:numPr>
      <w:ind w:left="851" w:hanging="284"/>
    </w:pPr>
    <w:rPr/>
  </w:style>
  <w:style w:type="paragraph" w:styleId="Footnote">
    <w:name w:val="Footnote Text"/>
    <w:basedOn w:val="Normal"/>
    <w:pPr>
      <w:keepLines/>
      <w:spacing w:before="0" w:after="0"/>
      <w:ind w:left="454" w:hanging="454"/>
    </w:pPr>
    <w:rPr>
      <w:sz w:val="16"/>
    </w:rPr>
  </w:style>
  <w:style w:type="paragraph" w:styleId="ListBullet">
    <w:name w:val="List Bullet"/>
    <w:basedOn w:val="List"/>
    <w:qFormat/>
    <w:pPr>
      <w:numPr>
        <w:ilvl w:val="0"/>
        <w:numId w:val="29"/>
      </w:numPr>
    </w:pPr>
    <w:rPr/>
  </w:style>
  <w:style w:type="paragraph" w:styleId="ListBullet2">
    <w:name w:val="List Bullet 2"/>
    <w:basedOn w:val="ListBullet"/>
    <w:qFormat/>
    <w:pPr>
      <w:numPr>
        <w:ilvl w:val="0"/>
        <w:numId w:val="30"/>
      </w:numPr>
      <w:ind w:left="851" w:hanging="284"/>
    </w:pPr>
    <w:rPr/>
  </w:style>
  <w:style w:type="paragraph" w:styleId="ListBullet3">
    <w:name w:val="List Bullet 3"/>
    <w:basedOn w:val="ListBullet2"/>
    <w:qFormat/>
    <w:pPr>
      <w:ind w:left="1135"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CRCoverPage">
    <w:name w:val="CR Cover Page"/>
    <w:qFormat/>
    <w:pPr>
      <w:widowControl/>
      <w:bidi w:val="0"/>
      <w:spacing w:before="0" w:after="120"/>
    </w:pPr>
    <w:rPr>
      <w:rFonts w:ascii="Arial" w:hAnsi="Arial" w:eastAsia="Times New Roman" w:cs="Arial"/>
      <w:color w:val="auto"/>
      <w:sz w:val="20"/>
      <w:szCs w:val="20"/>
      <w:lang w:val="en-GB" w:bidi="ar-SA" w:eastAsia="zh-CN"/>
    </w:rPr>
  </w:style>
  <w:style w:type="paragraph" w:styleId="Tdocheader">
    <w:name w:val="tdoc-header"/>
    <w:qFormat/>
    <w:pPr>
      <w:widowControl/>
      <w:bidi w:val="0"/>
    </w:pPr>
    <w:rPr>
      <w:rFonts w:ascii="Arial" w:hAnsi="Arial" w:eastAsia="Times New Roman" w:cs="Arial"/>
      <w:color w:val="auto"/>
      <w:sz w:val="24"/>
      <w:szCs w:val="20"/>
      <w:lang w:val="en-GB" w:eastAsia="en-US" w:bidi="ar-SA"/>
    </w:rPr>
  </w:style>
  <w:style w:type="paragraph" w:styleId="DocumentMap">
    <w:name w:val="Document Map"/>
    <w:basedOn w:val="Normal"/>
    <w:qFormat/>
    <w:pPr>
      <w:shd w:fill="000080" w:val="clear"/>
    </w:pPr>
    <w:rPr>
      <w:rFonts w:ascii="Tahoma" w:hAnsi="Tahoma" w:cs="Tahoma"/>
    </w:rPr>
  </w:style>
  <w:style w:type="paragraph" w:styleId="TALCharChar">
    <w:name w:val="TAL Char Char"/>
    <w:basedOn w:val="Normal"/>
    <w:qFormat/>
    <w:pPr>
      <w:keepNext w:val="true"/>
      <w:keepLines/>
      <w:overflowPunct w:val="false"/>
      <w:autoSpaceDE w:val="false"/>
      <w:spacing w:before="0" w:after="0"/>
      <w:textAlignment w:val="baseline"/>
    </w:pPr>
    <w:rPr>
      <w:rFonts w:ascii="Arial" w:hAnsi="Arial" w:cs="Arial"/>
      <w:sz w:val="18"/>
      <w:lang w:eastAsia="ja-JP"/>
    </w:rPr>
  </w:style>
  <w:style w:type="paragraph" w:styleId="B6">
    <w:name w:val="B6"/>
    <w:basedOn w:val="B5"/>
    <w:qFormat/>
    <w:pPr>
      <w:overflowPunct w:val="false"/>
      <w:autoSpaceDE w:val="false"/>
      <w:ind w:left="1985" w:hanging="284"/>
      <w:textAlignment w:val="baseline"/>
    </w:pPr>
    <w:rPr>
      <w:lang w:eastAsia="ja-JP"/>
    </w:rPr>
  </w:style>
  <w:style w:type="paragraph" w:styleId="ListParagraph">
    <w:name w:val="List Paragraph"/>
    <w:basedOn w:val="Normal"/>
    <w:qFormat/>
    <w:pPr>
      <w:overflowPunct w:val="false"/>
      <w:autoSpaceDE w:val="false"/>
      <w:ind w:left="720" w:hanging="0"/>
    </w:pPr>
    <w:rPr>
      <w:rFonts w:eastAsia="Calibri"/>
      <w:lang w:val="de-DE"/>
    </w:rPr>
  </w:style>
  <w:style w:type="paragraph" w:styleId="IndexHeading">
    <w:name w:val="Index Heading"/>
    <w:basedOn w:val="Normal"/>
    <w:next w:val="Normal"/>
    <w:pPr>
      <w:pBdr>
        <w:top w:val="single" w:sz="12" w:space="0" w:color="000000"/>
      </w:pBdr>
      <w:overflowPunct w:val="false"/>
      <w:autoSpaceDE w:val="false"/>
      <w:spacing w:before="360" w:after="240"/>
      <w:textAlignment w:val="baseline"/>
    </w:pPr>
    <w:rPr>
      <w:rFonts w:eastAsia="Times New Roman"/>
      <w:b/>
      <w:i/>
      <w:sz w:val="26"/>
    </w:rPr>
  </w:style>
  <w:style w:type="paragraph" w:styleId="PlainText">
    <w:name w:val="Plain Text"/>
    <w:basedOn w:val="Normal"/>
    <w:qFormat/>
    <w:pPr>
      <w:overflowPunct w:val="false"/>
      <w:autoSpaceDE w:val="false"/>
      <w:textAlignment w:val="baseline"/>
    </w:pPr>
    <w:rPr>
      <w:rFonts w:ascii="Courier New" w:hAnsi="Courier New" w:cs="Courier New"/>
      <w:lang w:val="nb-NO"/>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FL">
    <w:name w:val="FL"/>
    <w:basedOn w:val="Normal"/>
    <w:qFormat/>
    <w:pPr>
      <w:keepNext w:val="true"/>
      <w:keepLines/>
      <w:overflowPunct w:val="false"/>
      <w:autoSpaceDE w:val="false"/>
      <w:spacing w:before="60" w:after="180"/>
      <w:jc w:val="center"/>
      <w:textAlignment w:val="baseline"/>
    </w:pPr>
    <w:rPr>
      <w:rFonts w:ascii="Arial" w:hAnsi="Arial" w:eastAsia="Times New Roman" w:cs="Arial"/>
      <w:b/>
    </w:rPr>
  </w:style>
  <w:style w:type="paragraph" w:styleId="Separation">
    <w:name w:val="Separation"/>
    <w:basedOn w:val="Heading1"/>
    <w:next w:val="Normal"/>
    <w:qFormat/>
    <w:pPr>
      <w:numPr>
        <w:ilvl w:val="0"/>
        <w:numId w:val="0"/>
      </w:numPr>
      <w:pBdr>
        <w:top w:val="nil"/>
      </w:pBdr>
      <w:ind w:left="1134" w:hanging="1134"/>
      <w:outlineLvl w:val="9"/>
    </w:pPr>
    <w:rPr>
      <w:rFonts w:eastAsia="Malgun Gothic"/>
      <w:b/>
      <w:color w:val="0000FF"/>
      <w:lang w:val="en-US"/>
    </w:rPr>
  </w:style>
  <w:style w:type="paragraph" w:styleId="ZchnZchn">
    <w:name w:val=" Zchn Zchn"/>
    <w:qFormat/>
    <w:pPr>
      <w:keepNext w:val="true"/>
      <w:widowControl/>
      <w:numPr>
        <w:ilvl w:val="0"/>
        <w:numId w:val="19"/>
      </w:numPr>
      <w:autoSpaceDE w:val="false"/>
      <w:bidi w:val="0"/>
      <w:spacing w:before="60" w:after="60"/>
      <w:jc w:val="both"/>
    </w:pPr>
    <w:rPr>
      <w:rFonts w:ascii="Arial" w:hAnsi="Arial" w:eastAsia="SimSun;宋体" w:cs="Arial"/>
      <w:color w:val="0000FF"/>
      <w:kern w:val="2"/>
      <w:sz w:val="20"/>
      <w:szCs w:val="20"/>
      <w:lang w:val="en-US" w:eastAsia="zh-CN" w:bidi="ar-SA"/>
    </w:rPr>
  </w:style>
  <w:style w:type="paragraph" w:styleId="WWCaption">
    <w:name w:val="WW-Caption"/>
    <w:basedOn w:val="Normal"/>
    <w:next w:val="Normal"/>
    <w:qFormat/>
    <w:pPr>
      <w:overflowPunct w:val="false"/>
      <w:autoSpaceDE w:val="false"/>
      <w:spacing w:before="120" w:after="120"/>
      <w:textAlignment w:val="baseline"/>
    </w:pPr>
    <w:rPr>
      <w:rFonts w:eastAsia="Malgun Gothic"/>
      <w:b/>
      <w:lang w:val="en-US"/>
    </w:rPr>
  </w:style>
  <w:style w:type="paragraph" w:styleId="TextBodyIndent">
    <w:name w:val="Body Text Indent"/>
    <w:basedOn w:val="Normal"/>
    <w:pPr>
      <w:overflowPunct w:val="false"/>
      <w:autoSpaceDE w:val="false"/>
      <w:spacing w:before="0" w:after="120"/>
      <w:ind w:left="360" w:hanging="0"/>
      <w:textAlignment w:val="baseline"/>
    </w:pPr>
    <w:rPr>
      <w:rFonts w:eastAsia="Malgun Gothic"/>
      <w:lang w:val="en-US"/>
    </w:rPr>
  </w:style>
  <w:style w:type="paragraph" w:styleId="BodyText2">
    <w:name w:val="Body Text 2"/>
    <w:basedOn w:val="Normal"/>
    <w:qFormat/>
    <w:pPr>
      <w:overflowPunct w:val="false"/>
      <w:autoSpaceDE w:val="false"/>
      <w:textAlignment w:val="baseline"/>
    </w:pPr>
    <w:rPr>
      <w:rFonts w:eastAsia="Malgun Gothic"/>
      <w:i/>
      <w:lang w:val="en-US" w:eastAsia="ko-KR"/>
    </w:rPr>
  </w:style>
  <w:style w:type="paragraph" w:styleId="BodyText3">
    <w:name w:val="Body Text 3"/>
    <w:basedOn w:val="Normal"/>
    <w:qFormat/>
    <w:pPr>
      <w:keepNext w:val="true"/>
      <w:keepLines/>
      <w:overflowPunct w:val="false"/>
      <w:autoSpaceDE w:val="false"/>
      <w:textAlignment w:val="baseline"/>
    </w:pPr>
    <w:rPr>
      <w:rFonts w:eastAsia="Osaka;MS Mincho"/>
      <w:color w:val="000000"/>
      <w:lang w:val="en-US" w:eastAsia="ko-KR"/>
    </w:rPr>
  </w:style>
  <w:style w:type="paragraph" w:styleId="CarCar">
    <w:name w:val=" Car Car"/>
    <w:qFormat/>
    <w:pPr>
      <w:keepNext w:val="true"/>
      <w:widowControl/>
      <w:tabs>
        <w:tab w:val="clear" w:pos="284"/>
        <w:tab w:val="left" w:pos="851" w:leader="none"/>
      </w:tabs>
      <w:autoSpaceDE w:val="false"/>
      <w:bidi w:val="0"/>
      <w:spacing w:before="60" w:after="60"/>
      <w:ind w:left="851" w:hanging="851"/>
      <w:jc w:val="both"/>
    </w:pPr>
    <w:rPr>
      <w:rFonts w:ascii="Arial" w:hAnsi="Arial" w:eastAsia="SimSun;宋体" w:cs="Arial"/>
      <w:color w:val="0000FF"/>
      <w:kern w:val="2"/>
      <w:sz w:val="20"/>
      <w:szCs w:val="20"/>
      <w:lang w:val="en-US" w:eastAsia="zh-CN" w:bidi="ar-SA"/>
    </w:rPr>
  </w:style>
  <w:style w:type="paragraph" w:styleId="Reference">
    <w:name w:val="Reference"/>
    <w:qFormat/>
    <w:pPr>
      <w:widowControl/>
      <w:bidi w:val="0"/>
      <w:spacing w:before="100" w:after="100"/>
    </w:pPr>
    <w:rPr>
      <w:rFonts w:ascii="Times New Roman" w:hAnsi="Times New Roman" w:eastAsia="MS Mincho;ＭＳ 明朝" w:cs="Times New Roman"/>
      <w:color w:val="auto"/>
      <w:sz w:val="20"/>
      <w:szCs w:val="20"/>
      <w:lang w:val="de-DE" w:bidi="ar-SA" w:eastAsia="zh-CN"/>
    </w:rPr>
  </w:style>
  <w:style w:type="paragraph" w:styleId="DAText">
    <w:name w:val="DA_Text"/>
    <w:basedOn w:val="Normal"/>
    <w:qFormat/>
    <w:pPr>
      <w:spacing w:before="0" w:after="0"/>
      <w:jc w:val="both"/>
    </w:pPr>
    <w:rPr>
      <w:rFonts w:eastAsia="Malgun Gothic"/>
      <w:szCs w:val="24"/>
      <w:lang w:val="de-DE"/>
    </w:rPr>
  </w:style>
  <w:style w:type="paragraph" w:styleId="JKtextsimpledoc">
    <w:name w:val="JK - text - simple doc"/>
    <w:basedOn w:val="TextBody"/>
    <w:qFormat/>
    <w:pPr>
      <w:numPr>
        <w:ilvl w:val="0"/>
        <w:numId w:val="3"/>
      </w:numPr>
      <w:tabs>
        <w:tab w:val="clear" w:pos="284"/>
        <w:tab w:val="left" w:pos="1097" w:leader="none"/>
      </w:tabs>
      <w:spacing w:lineRule="auto" w:line="288" w:before="0" w:after="120"/>
      <w:ind w:left="1097" w:hanging="0"/>
    </w:pPr>
    <w:rPr>
      <w:rFonts w:eastAsia="SimSun;宋体" w:cs="Arial"/>
      <w:lang w:val="en-US"/>
    </w:rPr>
  </w:style>
  <w:style w:type="paragraph" w:styleId="NormalLatinItalique">
    <w:name w:val="Normal + (Latin) Italique"/>
    <w:basedOn w:val="Normal"/>
    <w:qFormat/>
    <w:pPr/>
    <w:rPr>
      <w:rFonts w:eastAsia="SimSun;宋体"/>
      <w:lang w:val="en-US"/>
    </w:rPr>
  </w:style>
  <w:style w:type="paragraph" w:styleId="B1LatinItalique">
    <w:name w:val="B1 + (Latin) Italique"/>
    <w:basedOn w:val="B1"/>
    <w:qFormat/>
    <w:pPr/>
    <w:rPr>
      <w:rFonts w:eastAsia="SimSun;宋体"/>
      <w:i/>
      <w:iCs/>
      <w:lang w:val="en-US"/>
    </w:rPr>
  </w:style>
  <w:style w:type="paragraph" w:styleId="B11">
    <w:name w:val="B1+"/>
    <w:basedOn w:val="B1"/>
    <w:qFormat/>
    <w:pPr>
      <w:numPr>
        <w:ilvl w:val="0"/>
        <w:numId w:val="4"/>
      </w:numPr>
      <w:overflowPunct w:val="false"/>
      <w:autoSpaceDE w:val="false"/>
      <w:textAlignment w:val="baseline"/>
    </w:pPr>
    <w:rPr>
      <w:rFonts w:eastAsia="Malgun Gothic"/>
    </w:rPr>
  </w:style>
  <w:style w:type="paragraph" w:styleId="B21">
    <w:name w:val="B2+"/>
    <w:basedOn w:val="B2"/>
    <w:qFormat/>
    <w:pPr>
      <w:numPr>
        <w:ilvl w:val="0"/>
        <w:numId w:val="2"/>
      </w:numPr>
      <w:overflowPunct w:val="false"/>
      <w:autoSpaceDE w:val="false"/>
      <w:textAlignment w:val="baseline"/>
    </w:pPr>
    <w:rPr>
      <w:rFonts w:eastAsia="Malgun Gothic"/>
    </w:rPr>
  </w:style>
  <w:style w:type="paragraph" w:styleId="B31">
    <w:name w:val="B3+"/>
    <w:basedOn w:val="B3"/>
    <w:qFormat/>
    <w:pPr>
      <w:numPr>
        <w:ilvl w:val="0"/>
        <w:numId w:val="11"/>
      </w:numPr>
      <w:tabs>
        <w:tab w:val="clear" w:pos="284"/>
        <w:tab w:val="left" w:pos="1134" w:leader="none"/>
      </w:tabs>
      <w:overflowPunct w:val="false"/>
      <w:autoSpaceDE w:val="false"/>
      <w:textAlignment w:val="baseline"/>
    </w:pPr>
    <w:rPr>
      <w:rFonts w:eastAsia="Malgun Gothic"/>
    </w:rPr>
  </w:style>
  <w:style w:type="paragraph" w:styleId="BL">
    <w:name w:val="BL"/>
    <w:basedOn w:val="Normal"/>
    <w:qFormat/>
    <w:pPr>
      <w:numPr>
        <w:ilvl w:val="0"/>
        <w:numId w:val="17"/>
      </w:numPr>
      <w:tabs>
        <w:tab w:val="clear" w:pos="284"/>
        <w:tab w:val="left" w:pos="851" w:leader="none"/>
      </w:tabs>
      <w:overflowPunct w:val="false"/>
      <w:autoSpaceDE w:val="false"/>
      <w:textAlignment w:val="baseline"/>
    </w:pPr>
    <w:rPr>
      <w:rFonts w:eastAsia="Malgun Gothic"/>
    </w:rPr>
  </w:style>
  <w:style w:type="paragraph" w:styleId="BN">
    <w:name w:val="BN"/>
    <w:basedOn w:val="Normal"/>
    <w:qFormat/>
    <w:pPr>
      <w:numPr>
        <w:ilvl w:val="0"/>
        <w:numId w:val="26"/>
      </w:numPr>
      <w:overflowPunct w:val="false"/>
      <w:autoSpaceDE w:val="false"/>
      <w:textAlignment w:val="baseline"/>
    </w:pPr>
    <w:rPr>
      <w:rFonts w:eastAsia="Malgun Gothic"/>
    </w:rPr>
  </w:style>
  <w:style w:type="paragraph" w:styleId="Char1">
    <w:name w:val=" Char"/>
    <w:qFormat/>
    <w:pPr>
      <w:keepNext w:val="true"/>
      <w:widowControl/>
      <w:autoSpaceDE w:val="false"/>
      <w:bidi w:val="0"/>
      <w:spacing w:before="60" w:after="60"/>
      <w:ind w:left="567" w:hanging="283"/>
      <w:jc w:val="both"/>
    </w:pPr>
    <w:rPr>
      <w:rFonts w:ascii="Arial" w:hAnsi="Arial" w:eastAsia="SimSun;宋体" w:cs="Arial"/>
      <w:color w:val="0000FF"/>
      <w:kern w:val="2"/>
      <w:sz w:val="20"/>
      <w:szCs w:val="20"/>
      <w:lang w:val="en-US" w:eastAsia="zh-CN" w:bidi="ar-SA"/>
    </w:rPr>
  </w:style>
  <w:style w:type="paragraph" w:styleId="BodyTextIndent2">
    <w:name w:val="Body Text Indent 2"/>
    <w:basedOn w:val="Normal"/>
    <w:qFormat/>
    <w:pPr>
      <w:overflowPunct w:val="false"/>
      <w:autoSpaceDE w:val="false"/>
      <w:ind w:left="400" w:hanging="200"/>
      <w:textAlignment w:val="baseline"/>
    </w:pPr>
    <w:rPr>
      <w:rFonts w:eastAsia="MS Mincho;ＭＳ 明朝"/>
      <w:lang w:val="en-US" w:eastAsia="ja-JP"/>
    </w:rPr>
  </w:style>
  <w:style w:type="paragraph" w:styleId="NormalIndent">
    <w:name w:val="Normal Indent"/>
    <w:basedOn w:val="Normal"/>
    <w:qFormat/>
    <w:pPr>
      <w:spacing w:before="0" w:after="0"/>
      <w:ind w:left="851" w:hanging="0"/>
    </w:pPr>
    <w:rPr>
      <w:rFonts w:eastAsia="MS Mincho;ＭＳ 明朝"/>
      <w:lang w:val="it-IT" w:eastAsia="ja-JP"/>
    </w:rPr>
  </w:style>
  <w:style w:type="paragraph" w:styleId="Note">
    <w:name w:val="Note"/>
    <w:basedOn w:val="B1"/>
    <w:qFormat/>
    <w:pPr>
      <w:overflowPunct w:val="false"/>
      <w:autoSpaceDE w:val="false"/>
      <w:textAlignment w:val="baseline"/>
    </w:pPr>
    <w:rPr>
      <w:rFonts w:eastAsia="MS Mincho;ＭＳ 明朝"/>
      <w:lang w:eastAsia="ja-JP"/>
    </w:rPr>
  </w:style>
  <w:style w:type="paragraph" w:styleId="Tabletext">
    <w:name w:val="table text"/>
    <w:basedOn w:val="Normal"/>
    <w:next w:val="Normal"/>
    <w:qFormat/>
    <w:pPr>
      <w:overflowPunct w:val="false"/>
      <w:autoSpaceDE w:val="false"/>
      <w:textAlignment w:val="baseline"/>
    </w:pPr>
    <w:rPr>
      <w:rFonts w:eastAsia="MS Mincho;ＭＳ 明朝"/>
      <w:i/>
      <w:lang w:eastAsia="ja-JP"/>
    </w:rPr>
  </w:style>
  <w:style w:type="paragraph" w:styleId="ListNumber5">
    <w:name w:val="List Number 5"/>
    <w:basedOn w:val="Normal"/>
    <w:qFormat/>
    <w:pPr>
      <w:tabs>
        <w:tab w:val="clear" w:pos="284"/>
        <w:tab w:val="left" w:pos="851" w:leader="none"/>
        <w:tab w:val="left" w:pos="1800" w:leader="none"/>
      </w:tabs>
      <w:overflowPunct w:val="false"/>
      <w:autoSpaceDE w:val="false"/>
      <w:ind w:left="1800" w:hanging="851"/>
      <w:textAlignment w:val="baseline"/>
    </w:pPr>
    <w:rPr>
      <w:rFonts w:eastAsia="MS Mincho;ＭＳ 明朝"/>
      <w:lang w:eastAsia="ja-JP"/>
    </w:rPr>
  </w:style>
  <w:style w:type="paragraph" w:styleId="ListNumber3">
    <w:name w:val="List Number 3"/>
    <w:basedOn w:val="Normal"/>
    <w:qFormat/>
    <w:pPr>
      <w:tabs>
        <w:tab w:val="clear" w:pos="284"/>
        <w:tab w:val="left" w:pos="926" w:leader="none"/>
      </w:tabs>
      <w:overflowPunct w:val="false"/>
      <w:autoSpaceDE w:val="false"/>
      <w:ind w:left="926" w:hanging="283"/>
      <w:textAlignment w:val="baseline"/>
    </w:pPr>
    <w:rPr>
      <w:rFonts w:eastAsia="MS Mincho;ＭＳ 明朝"/>
      <w:lang w:eastAsia="ja-JP"/>
    </w:rPr>
  </w:style>
  <w:style w:type="paragraph" w:styleId="ListNumber4">
    <w:name w:val="List Number 4"/>
    <w:basedOn w:val="Normal"/>
    <w:qFormat/>
    <w:pPr>
      <w:tabs>
        <w:tab w:val="clear" w:pos="284"/>
        <w:tab w:val="left" w:pos="1209" w:leader="none"/>
      </w:tabs>
      <w:overflowPunct w:val="false"/>
      <w:autoSpaceDE w:val="false"/>
      <w:ind w:left="1209" w:hanging="283"/>
      <w:textAlignment w:val="baseline"/>
    </w:pPr>
    <w:rPr>
      <w:rFonts w:eastAsia="MS Mincho;ＭＳ 明朝"/>
      <w:lang w:eastAsia="ja-JP"/>
    </w:rPr>
  </w:style>
  <w:style w:type="paragraph" w:styleId="Normal1">
    <w:name w:val="Normal 1"/>
    <w:qFormat/>
    <w:pPr>
      <w:keepNext w:val="true"/>
      <w:widowControl/>
      <w:tabs>
        <w:tab w:val="clear" w:pos="284"/>
        <w:tab w:val="left" w:pos="851" w:leader="none"/>
      </w:tabs>
      <w:autoSpaceDE w:val="false"/>
      <w:bidi w:val="0"/>
      <w:spacing w:before="60" w:after="60"/>
      <w:ind w:left="851" w:hanging="851"/>
      <w:jc w:val="both"/>
    </w:pPr>
    <w:rPr>
      <w:rFonts w:ascii="Arial" w:hAnsi="Arial" w:eastAsia="SimSun;宋体" w:cs="Arial"/>
      <w:color w:val="0000FF"/>
      <w:kern w:val="2"/>
      <w:sz w:val="20"/>
      <w:szCs w:val="20"/>
      <w:lang w:val="en-US" w:eastAsia="zh-CN" w:bidi="ar-SA"/>
    </w:rPr>
  </w:style>
  <w:style w:type="paragraph" w:styleId="Bullet">
    <w:name w:val="Bullet"/>
    <w:basedOn w:val="Normal"/>
    <w:qFormat/>
    <w:pPr>
      <w:tabs>
        <w:tab w:val="clear" w:pos="284"/>
        <w:tab w:val="left" w:pos="926" w:leader="none"/>
      </w:tabs>
      <w:ind w:left="926" w:hanging="360"/>
    </w:pPr>
    <w:rPr>
      <w:rFonts w:eastAsia="MS Mincho;ＭＳ 明朝"/>
      <w:lang w:eastAsia="ja-JP"/>
    </w:rPr>
  </w:style>
  <w:style w:type="paragraph" w:styleId="INDENT1">
    <w:name w:val="INDENT1"/>
    <w:basedOn w:val="Normal"/>
    <w:qFormat/>
    <w:pPr>
      <w:overflowPunct w:val="false"/>
      <w:autoSpaceDE w:val="false"/>
      <w:ind w:left="851" w:hanging="0"/>
      <w:textAlignment w:val="baseline"/>
    </w:pPr>
    <w:rPr>
      <w:rFonts w:eastAsia="MS Mincho;ＭＳ 明朝"/>
      <w:lang w:eastAsia="ja-JP"/>
    </w:rPr>
  </w:style>
  <w:style w:type="paragraph" w:styleId="INDENT2">
    <w:name w:val="INDENT2"/>
    <w:basedOn w:val="Normal"/>
    <w:qFormat/>
    <w:pPr>
      <w:numPr>
        <w:ilvl w:val="0"/>
        <w:numId w:val="31"/>
      </w:numPr>
      <w:overflowPunct w:val="false"/>
      <w:autoSpaceDE w:val="false"/>
      <w:ind w:left="1135" w:hanging="284"/>
      <w:textAlignment w:val="baseline"/>
    </w:pPr>
    <w:rPr>
      <w:rFonts w:eastAsia="MS Mincho;ＭＳ 明朝"/>
      <w:lang w:eastAsia="ja-JP"/>
    </w:rPr>
  </w:style>
  <w:style w:type="paragraph" w:styleId="INDENT3">
    <w:name w:val="INDENT3"/>
    <w:basedOn w:val="Normal"/>
    <w:qFormat/>
    <w:pPr>
      <w:overflowPunct w:val="false"/>
      <w:autoSpaceDE w:val="false"/>
      <w:ind w:left="1701" w:hanging="567"/>
      <w:textAlignment w:val="baseline"/>
    </w:pPr>
    <w:rPr>
      <w:rFonts w:eastAsia="MS Mincho;ＭＳ 明朝"/>
      <w:lang w:eastAsia="ja-JP"/>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overflowPunct w:val="false"/>
      <w:autoSpaceDE w:val="false"/>
      <w:spacing w:before="120" w:after="480"/>
      <w:jc w:val="center"/>
      <w:textAlignment w:val="baseline"/>
    </w:pPr>
    <w:rPr>
      <w:rFonts w:eastAsia="MS Mincho;ＭＳ 明朝"/>
      <w:b/>
      <w:sz w:val="24"/>
      <w:lang w:eastAsia="ja-JP"/>
    </w:rPr>
  </w:style>
  <w:style w:type="paragraph" w:styleId="RecCCITT">
    <w:name w:val="Rec_CCITT_#"/>
    <w:basedOn w:val="Normal"/>
    <w:qFormat/>
    <w:pPr>
      <w:keepNext w:val="true"/>
      <w:keepLines/>
      <w:overflowPunct w:val="false"/>
      <w:autoSpaceDE w:val="false"/>
      <w:textAlignment w:val="baseline"/>
    </w:pPr>
    <w:rPr>
      <w:rFonts w:eastAsia="MS Mincho;ＭＳ 明朝"/>
      <w:b/>
      <w:lang w:eastAsia="ja-JP"/>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overflowPunct w:val="false"/>
      <w:autoSpaceDE w:val="false"/>
      <w:spacing w:before="86" w:after="180"/>
      <w:ind w:left="1588" w:hanging="397"/>
      <w:jc w:val="both"/>
      <w:textAlignment w:val="baseline"/>
    </w:pPr>
    <w:rPr>
      <w:rFonts w:eastAsia="MS Mincho;ＭＳ 明朝"/>
      <w:lang w:val="en-US" w:eastAsia="ja-JP"/>
    </w:rPr>
  </w:style>
  <w:style w:type="paragraph" w:styleId="CouvRecTitle">
    <w:name w:val="Couv Rec Title"/>
    <w:basedOn w:val="Normal"/>
    <w:qFormat/>
    <w:pPr>
      <w:keepNext w:val="true"/>
      <w:keepLines/>
      <w:overflowPunct w:val="false"/>
      <w:autoSpaceDE w:val="false"/>
      <w:spacing w:before="240" w:after="180"/>
      <w:ind w:left="1418" w:hanging="0"/>
      <w:textAlignment w:val="baseline"/>
    </w:pPr>
    <w:rPr>
      <w:rFonts w:ascii="Arial" w:hAnsi="Arial" w:eastAsia="MS Mincho;ＭＳ 明朝" w:cs="Arial"/>
      <w:b/>
      <w:sz w:val="36"/>
      <w:lang w:val="en-US" w:eastAsia="ja-JP"/>
    </w:rPr>
  </w:style>
  <w:style w:type="paragraph" w:styleId="TableText1">
    <w:name w:val="TableText"/>
    <w:basedOn w:val="BodyText2"/>
    <w:qFormat/>
    <w:pPr>
      <w:keepNext w:val="true"/>
      <w:keepLines/>
      <w:spacing w:before="0" w:after="0"/>
      <w:jc w:val="center"/>
    </w:pPr>
    <w:rPr>
      <w:rFonts w:eastAsia="MS Mincho;ＭＳ 明朝"/>
      <w:i w:val="false"/>
      <w:lang w:val="en-US" w:eastAsia="ja-JP"/>
    </w:rPr>
  </w:style>
  <w:style w:type="paragraph" w:styleId="Toc9">
    <w:name w:val="toc 9"/>
    <w:basedOn w:val="Contents8"/>
    <w:qFormat/>
    <w:pPr>
      <w:overflowPunct w:val="false"/>
      <w:autoSpaceDE w:val="false"/>
      <w:ind w:left="1418" w:right="425" w:hanging="1418"/>
      <w:textAlignment w:val="baseline"/>
    </w:pPr>
    <w:rPr>
      <w:rFonts w:eastAsia="MS Mincho;ＭＳ 明朝"/>
      <w:lang w:val="en-US"/>
    </w:rPr>
  </w:style>
  <w:style w:type="paragraph" w:styleId="Caption1">
    <w:name w:val="caption"/>
    <w:basedOn w:val="Normal"/>
    <w:next w:val="Normal"/>
    <w:qFormat/>
    <w:pPr>
      <w:overflowPunct w:val="false"/>
      <w:autoSpaceDE w:val="false"/>
      <w:spacing w:before="120" w:after="120"/>
      <w:textAlignment w:val="baseline"/>
    </w:pPr>
    <w:rPr>
      <w:rFonts w:eastAsia="MS Mincho;ＭＳ 明朝"/>
      <w:b/>
      <w:lang w:eastAsia="ja-JP"/>
    </w:rPr>
  </w:style>
  <w:style w:type="paragraph" w:styleId="HE">
    <w:name w:val="HE"/>
    <w:basedOn w:val="Normal"/>
    <w:qFormat/>
    <w:pPr>
      <w:overflowPunct w:val="false"/>
      <w:autoSpaceDE w:val="false"/>
      <w:spacing w:before="0" w:after="0"/>
      <w:textAlignment w:val="baseline"/>
    </w:pPr>
    <w:rPr>
      <w:rFonts w:eastAsia="MS Mincho;ＭＳ 明朝"/>
      <w:b/>
      <w:lang w:eastAsia="ja-JP"/>
    </w:rPr>
  </w:style>
  <w:style w:type="paragraph" w:styleId="HO">
    <w:name w:val="HO"/>
    <w:basedOn w:val="Normal"/>
    <w:qFormat/>
    <w:pPr>
      <w:overflowPunct w:val="false"/>
      <w:autoSpaceDE w:val="false"/>
      <w:spacing w:before="0" w:after="0"/>
      <w:jc w:val="right"/>
      <w:textAlignment w:val="baseline"/>
    </w:pPr>
    <w:rPr>
      <w:rFonts w:eastAsia="MS Mincho;ＭＳ 明朝"/>
      <w:b/>
      <w:lang w:eastAsia="ja-JP"/>
    </w:rPr>
  </w:style>
  <w:style w:type="paragraph" w:styleId="WP">
    <w:name w:val="WP"/>
    <w:basedOn w:val="Normal"/>
    <w:qFormat/>
    <w:pPr>
      <w:overflowPunct w:val="false"/>
      <w:autoSpaceDE w:val="false"/>
      <w:spacing w:before="0" w:after="0"/>
      <w:jc w:val="both"/>
      <w:textAlignment w:val="baseline"/>
    </w:pPr>
    <w:rPr>
      <w:rFonts w:eastAsia="MS Mincho;ＭＳ 明朝"/>
      <w:lang w:eastAsia="ja-JP"/>
    </w:rPr>
  </w:style>
  <w:style w:type="paragraph" w:styleId="ZK">
    <w:name w:val="ZK"/>
    <w:qFormat/>
    <w:pPr>
      <w:widowControl/>
      <w:bidi w:val="0"/>
      <w:spacing w:lineRule="atLeast" w:line="240" w:before="0" w:after="240"/>
      <w:ind w:left="1191" w:right="113" w:hanging="1191"/>
    </w:pPr>
    <w:rPr>
      <w:rFonts w:ascii="Times New Roman" w:hAnsi="Times New Roman" w:eastAsia="MS Mincho;ＭＳ 明朝" w:cs="Times New Roman"/>
      <w:color w:val="auto"/>
      <w:sz w:val="20"/>
      <w:szCs w:val="20"/>
      <w:lang w:val="en-GB" w:bidi="ar-SA" w:eastAsia="zh-CN"/>
    </w:rPr>
  </w:style>
  <w:style w:type="paragraph" w:styleId="ZC">
    <w:name w:val="ZC"/>
    <w:qFormat/>
    <w:pPr>
      <w:widowControl/>
      <w:bidi w:val="0"/>
      <w:spacing w:lineRule="atLeast" w:line="360"/>
      <w:jc w:val="center"/>
    </w:pPr>
    <w:rPr>
      <w:rFonts w:ascii="Times New Roman" w:hAnsi="Times New Roman" w:eastAsia="MS Mincho;ＭＳ 明朝" w:cs="Times New Roman"/>
      <w:color w:val="auto"/>
      <w:sz w:val="20"/>
      <w:szCs w:val="20"/>
      <w:lang w:val="en-GB" w:bidi="ar-SA" w:eastAsia="zh-CN"/>
    </w:rPr>
  </w:style>
  <w:style w:type="paragraph" w:styleId="FooterCentred">
    <w:name w:val="FooterCentred"/>
    <w:basedOn w:val="Footer"/>
    <w:qFormat/>
    <w:pPr>
      <w:tabs>
        <w:tab w:val="clear" w:pos="284"/>
        <w:tab w:val="center" w:pos="4678" w:leader="none"/>
        <w:tab w:val="right" w:pos="9356" w:leader="none"/>
      </w:tabs>
      <w:jc w:val="both"/>
    </w:pPr>
    <w:rPr>
      <w:rFonts w:ascii="Times New Roman" w:hAnsi="Times New Roman" w:eastAsia="MS Mincho;ＭＳ 明朝" w:cs="Times New Roman"/>
      <w:b w:val="false"/>
      <w:i w:val="false"/>
      <w:sz w:val="20"/>
      <w:lang w:val="en-US"/>
    </w:rPr>
  </w:style>
  <w:style w:type="paragraph" w:styleId="CRfront">
    <w:name w:val="CR_front"/>
    <w:basedOn w:val="Normal"/>
    <w:qFormat/>
    <w:pPr>
      <w:overflowPunct w:val="false"/>
      <w:autoSpaceDE w:val="false"/>
      <w:textAlignment w:val="baseline"/>
    </w:pPr>
    <w:rPr>
      <w:rFonts w:eastAsia="MS Mincho;ＭＳ 明朝"/>
      <w:lang w:eastAsia="ja-JP"/>
    </w:rPr>
  </w:style>
  <w:style w:type="paragraph" w:styleId="Para1">
    <w:name w:val="Para1"/>
    <w:basedOn w:val="Normal"/>
    <w:qFormat/>
    <w:pPr>
      <w:overflowPunct w:val="false"/>
      <w:autoSpaceDE w:val="false"/>
      <w:spacing w:before="120" w:after="120"/>
      <w:textAlignment w:val="baseline"/>
    </w:pPr>
    <w:rPr>
      <w:rFonts w:eastAsia="MS Mincho;ＭＳ 明朝"/>
      <w:lang w:val="en-US" w:eastAsia="ja-JP"/>
    </w:rPr>
  </w:style>
  <w:style w:type="paragraph" w:styleId="NumberedList">
    <w:name w:val="Numbered List"/>
    <w:basedOn w:val="Para1"/>
    <w:qFormat/>
    <w:pPr>
      <w:tabs>
        <w:tab w:val="clear" w:pos="284"/>
        <w:tab w:val="left" w:pos="360" w:leader="none"/>
      </w:tabs>
      <w:ind w:left="360" w:hanging="360"/>
    </w:pPr>
    <w:rPr/>
  </w:style>
  <w:style w:type="paragraph" w:styleId="Teststep">
    <w:name w:val="Test step"/>
    <w:basedOn w:val="Normal"/>
    <w:qFormat/>
    <w:pPr>
      <w:tabs>
        <w:tab w:val="clear" w:pos="284"/>
        <w:tab w:val="left" w:pos="720" w:leader="none"/>
      </w:tabs>
      <w:overflowPunct w:val="false"/>
      <w:autoSpaceDE w:val="false"/>
      <w:spacing w:before="0" w:after="0"/>
      <w:ind w:left="720" w:hanging="720"/>
      <w:textAlignment w:val="baseline"/>
    </w:pPr>
    <w:rPr>
      <w:rFonts w:eastAsia="MS Mincho;ＭＳ 明朝"/>
      <w:lang w:eastAsia="ja-JP"/>
    </w:rPr>
  </w:style>
  <w:style w:type="paragraph" w:styleId="TableTitle">
    <w:name w:val="TableTitle"/>
    <w:basedOn w:val="BodyText2"/>
    <w:next w:val="BodyText2"/>
    <w:qFormat/>
    <w:pPr>
      <w:keepNext w:val="true"/>
      <w:keepLines/>
      <w:spacing w:before="0" w:after="60"/>
      <w:ind w:left="210" w:hanging="0"/>
      <w:jc w:val="center"/>
    </w:pPr>
    <w:rPr>
      <w:rFonts w:eastAsia="MS Mincho;ＭＳ 明朝"/>
      <w:b/>
      <w:i w:val="false"/>
      <w:lang w:eastAsia="ja-JP"/>
    </w:rPr>
  </w:style>
  <w:style w:type="paragraph" w:styleId="Tableoffigures">
    <w:name w:val="table of figures"/>
    <w:basedOn w:val="Normal"/>
    <w:next w:val="Normal"/>
    <w:qFormat/>
    <w:pPr>
      <w:overflowPunct w:val="false"/>
      <w:autoSpaceDE w:val="false"/>
      <w:ind w:left="400" w:hanging="400"/>
      <w:jc w:val="center"/>
      <w:textAlignment w:val="baseline"/>
    </w:pPr>
    <w:rPr>
      <w:rFonts w:eastAsia="MS Mincho;ＭＳ 明朝"/>
      <w:b/>
      <w:lang w:eastAsia="ja-JP"/>
    </w:rPr>
  </w:style>
  <w:style w:type="paragraph" w:styleId="Table">
    <w:name w:val="table"/>
    <w:basedOn w:val="Normal"/>
    <w:next w:val="Normal"/>
    <w:qFormat/>
    <w:pPr>
      <w:overflowPunct w:val="false"/>
      <w:autoSpaceDE w:val="false"/>
      <w:spacing w:before="0" w:after="0"/>
      <w:jc w:val="center"/>
      <w:textAlignment w:val="baseline"/>
    </w:pPr>
    <w:rPr>
      <w:rFonts w:eastAsia="MS Mincho;ＭＳ 明朝"/>
      <w:lang w:val="en-US" w:eastAsia="ja-JP"/>
    </w:rPr>
  </w:style>
  <w:style w:type="paragraph" w:styleId="T2">
    <w:name w:val="t2"/>
    <w:basedOn w:val="Normal"/>
    <w:qFormat/>
    <w:pPr>
      <w:overflowPunct w:val="false"/>
      <w:autoSpaceDE w:val="false"/>
      <w:spacing w:before="0" w:after="0"/>
      <w:textAlignment w:val="baseline"/>
    </w:pPr>
    <w:rPr>
      <w:rFonts w:eastAsia="MS Mincho;ＭＳ 明朝"/>
      <w:lang w:eastAsia="ja-JP"/>
    </w:rPr>
  </w:style>
  <w:style w:type="paragraph" w:styleId="Copyright">
    <w:name w:val="Copyright"/>
    <w:basedOn w:val="Normal"/>
    <w:qFormat/>
    <w:pPr>
      <w:overflowPunct w:val="false"/>
      <w:autoSpaceDE w:val="false"/>
      <w:spacing w:before="0" w:after="0"/>
      <w:jc w:val="center"/>
      <w:textAlignment w:val="baseline"/>
    </w:pPr>
    <w:rPr>
      <w:rFonts w:ascii="Arial" w:hAnsi="Arial" w:eastAsia="MS Mincho;ＭＳ 明朝" w:cs="Arial"/>
      <w:b/>
      <w:sz w:val="16"/>
      <w:lang w:eastAsia="ja-JP"/>
    </w:rPr>
  </w:style>
  <w:style w:type="paragraph" w:styleId="Tdoctable">
    <w:name w:val="Tdoc_table"/>
    <w:qFormat/>
    <w:pPr>
      <w:widowControl/>
      <w:bidi w:val="0"/>
      <w:ind w:left="244" w:hanging="244"/>
    </w:pPr>
    <w:rPr>
      <w:rFonts w:ascii="Arial" w:hAnsi="Arial" w:eastAsia="MS Mincho;ＭＳ 明朝" w:cs="Arial"/>
      <w:color w:val="000000"/>
      <w:sz w:val="20"/>
      <w:szCs w:val="20"/>
      <w:lang w:val="en-GB" w:eastAsia="en-US" w:bidi="ar-SA"/>
    </w:rPr>
  </w:style>
  <w:style w:type="paragraph" w:styleId="Heading2Head2A2">
    <w:name w:val="Heading 2.Head2A.2"/>
    <w:basedOn w:val="Heading1"/>
    <w:next w:val="Normal"/>
    <w:qFormat/>
    <w:pPr>
      <w:numPr>
        <w:ilvl w:val="0"/>
        <w:numId w:val="0"/>
      </w:numPr>
      <w:pBdr>
        <w:top w:val="nil"/>
      </w:pBdr>
      <w:overflowPunct w:val="false"/>
      <w:autoSpaceDE w:val="false"/>
      <w:spacing w:before="180" w:after="180"/>
      <w:ind w:left="1134" w:hanging="1134"/>
      <w:textAlignment w:val="baseline"/>
      <w:outlineLvl w:val="1"/>
    </w:pPr>
    <w:rPr>
      <w:rFonts w:eastAsia="MS Mincho;ＭＳ 明朝"/>
      <w:sz w:val="32"/>
      <w:lang w:val="en-US"/>
    </w:rPr>
  </w:style>
  <w:style w:type="paragraph" w:styleId="Heading3Underrubrik2H3">
    <w:name w:val="Heading 3.Underrubrik2.H3"/>
    <w:basedOn w:val="Heading2Head2A2"/>
    <w:next w:val="Normal"/>
    <w:qFormat/>
    <w:pPr>
      <w:spacing w:before="120" w:after="180"/>
      <w:outlineLvl w:val="2"/>
    </w:pPr>
    <w:rPr>
      <w:sz w:val="28"/>
    </w:rPr>
  </w:style>
  <w:style w:type="paragraph" w:styleId="TitleText">
    <w:name w:val="Title Text"/>
    <w:basedOn w:val="Normal"/>
    <w:next w:val="Normal"/>
    <w:qFormat/>
    <w:pPr>
      <w:overflowPunct w:val="false"/>
      <w:autoSpaceDE w:val="false"/>
      <w:spacing w:before="0" w:after="220"/>
      <w:textAlignment w:val="baseline"/>
    </w:pPr>
    <w:rPr>
      <w:rFonts w:eastAsia="MS Mincho;ＭＳ 明朝"/>
      <w:b/>
      <w:lang w:val="en-US" w:eastAsia="ja-JP"/>
    </w:rPr>
  </w:style>
  <w:style w:type="paragraph" w:styleId="Berschrift2Head2A2">
    <w:name w:val="Überschrift 2.Head2A.2"/>
    <w:basedOn w:val="Heading1"/>
    <w:next w:val="Normal"/>
    <w:qFormat/>
    <w:pPr>
      <w:numPr>
        <w:ilvl w:val="0"/>
        <w:numId w:val="0"/>
      </w:numPr>
      <w:pBdr>
        <w:top w:val="nil"/>
      </w:pBdr>
      <w:spacing w:before="180" w:after="180"/>
      <w:ind w:left="1134" w:hanging="1134"/>
      <w:outlineLvl w:val="1"/>
    </w:pPr>
    <w:rPr>
      <w:rFonts w:eastAsia="MS Mincho;ＭＳ 明朝"/>
      <w:sz w:val="32"/>
      <w:lang w:val="en-US"/>
    </w:rPr>
  </w:style>
  <w:style w:type="paragraph" w:styleId="Berschrift3h3H3Underrubrik2">
    <w:name w:val="Überschrift 3.h3.H3.Underrubrik2"/>
    <w:basedOn w:val="Heading2"/>
    <w:next w:val="Normal"/>
    <w:qFormat/>
    <w:pPr>
      <w:numPr>
        <w:ilvl w:val="0"/>
        <w:numId w:val="0"/>
      </w:numPr>
      <w:spacing w:before="120" w:after="180"/>
      <w:ind w:left="1134" w:hanging="1134"/>
      <w:outlineLvl w:val="2"/>
    </w:pPr>
    <w:rPr>
      <w:rFonts w:eastAsia="MS Mincho;ＭＳ 明朝"/>
      <w:sz w:val="28"/>
      <w:lang w:val="en-US"/>
    </w:rPr>
  </w:style>
  <w:style w:type="paragraph" w:styleId="Bullets">
    <w:name w:val="Bullets"/>
    <w:basedOn w:val="TextBody"/>
    <w:qFormat/>
    <w:pPr>
      <w:widowControl w:val="false"/>
      <w:numPr>
        <w:ilvl w:val="0"/>
        <w:numId w:val="32"/>
      </w:numPr>
      <w:overflowPunct w:val="false"/>
      <w:autoSpaceDE w:val="false"/>
      <w:spacing w:before="0" w:after="120"/>
      <w:ind w:left="283" w:hanging="283"/>
      <w:textAlignment w:val="baseline"/>
    </w:pPr>
    <w:rPr>
      <w:rFonts w:ascii="Times New Roman" w:hAnsi="Times New Roman" w:cs="Times New Roman"/>
    </w:rPr>
  </w:style>
  <w:style w:type="paragraph" w:styleId="B12">
    <w:name w:val="b1"/>
    <w:basedOn w:val="Normal"/>
    <w:qFormat/>
    <w:pPr>
      <w:spacing w:before="100" w:after="100"/>
    </w:pPr>
    <w:rPr>
      <w:rFonts w:eastAsia="Arial Unicode MS"/>
      <w:sz w:val="24"/>
      <w:szCs w:val="24"/>
      <w:lang w:eastAsia="ja-JP"/>
    </w:rPr>
  </w:style>
  <w:style w:type="paragraph" w:styleId="Tal2">
    <w:name w:val="tal"/>
    <w:basedOn w:val="Normal"/>
    <w:qFormat/>
    <w:pPr>
      <w:spacing w:before="100" w:after="100"/>
    </w:pPr>
    <w:rPr>
      <w:rFonts w:ascii="SimSun;宋体" w:hAnsi="SimSun;宋体" w:eastAsia="SimSun;宋体" w:cs="SimSun;宋体"/>
      <w:sz w:val="24"/>
      <w:szCs w:val="24"/>
      <w:lang w:val="en-US" w:eastAsia="zh-CN"/>
    </w:rPr>
  </w:style>
  <w:style w:type="paragraph" w:styleId="CharCharCharCharCharChar">
    <w:name w:val=" Char Char Char Char Char Char"/>
    <w:qFormat/>
    <w:pPr>
      <w:keepNext w:val="true"/>
      <w:widowControl/>
      <w:autoSpaceDE w:val="false"/>
      <w:bidi w:val="0"/>
      <w:spacing w:before="60" w:after="60"/>
      <w:ind w:left="567" w:hanging="283"/>
      <w:jc w:val="both"/>
    </w:pPr>
    <w:rPr>
      <w:rFonts w:ascii="Arial" w:hAnsi="Arial" w:eastAsia="SimSun;宋体" w:cs="Arial"/>
      <w:color w:val="0000FF"/>
      <w:kern w:val="2"/>
      <w:sz w:val="20"/>
      <w:szCs w:val="20"/>
      <w:lang w:val="en-US" w:eastAsia="zh-CN" w:bidi="ar-SA"/>
    </w:rPr>
  </w:style>
  <w:style w:type="paragraph" w:styleId="MTDisplayEquation">
    <w:name w:val="MTDisplayEquation"/>
    <w:basedOn w:val="Normal"/>
    <w:qFormat/>
    <w:pPr>
      <w:tabs>
        <w:tab w:val="clear" w:pos="284"/>
        <w:tab w:val="center" w:pos="4820" w:leader="none"/>
        <w:tab w:val="right" w:pos="9640" w:leader="none"/>
      </w:tabs>
    </w:pPr>
    <w:rPr>
      <w:rFonts w:eastAsia="MS Mincho;ＭＳ 明朝"/>
      <w:lang w:eastAsia="ja-JP"/>
    </w:rPr>
  </w:style>
  <w:style w:type="paragraph" w:styleId="StyleHeading6Left0cmHanging349cmAfter9pt">
    <w:name w:val="Style Heading 6 + Left:  0 cm Hanging:  3.49 cm After:  9 pt"/>
    <w:basedOn w:val="Heading6"/>
    <w:qFormat/>
    <w:pPr>
      <w:keepNext w:val="false"/>
      <w:keepLines w:val="false"/>
      <w:numPr>
        <w:ilvl w:val="0"/>
        <w:numId w:val="0"/>
      </w:numPr>
      <w:spacing w:before="240" w:after="180"/>
      <w:ind w:left="1980" w:hanging="1980"/>
      <w:outlineLvl w:val="9"/>
    </w:pPr>
    <w:rPr>
      <w:rFonts w:eastAsia="MS Mincho;ＭＳ 明朝"/>
      <w:bCs/>
    </w:rPr>
  </w:style>
  <w:style w:type="paragraph" w:styleId="StyleHeading6After9pt">
    <w:name w:val="Style Heading 6 + After:  9 pt"/>
    <w:basedOn w:val="Heading6"/>
    <w:qFormat/>
    <w:pPr>
      <w:keepNext w:val="false"/>
      <w:keepLines w:val="false"/>
      <w:numPr>
        <w:ilvl w:val="0"/>
        <w:numId w:val="0"/>
      </w:numPr>
      <w:spacing w:before="240" w:after="180"/>
      <w:ind w:left="0" w:hanging="0"/>
      <w:outlineLvl w:val="9"/>
    </w:pPr>
    <w:rPr>
      <w:rFonts w:eastAsia="MS Mincho;ＭＳ 明朝"/>
      <w:bCs/>
    </w:rPr>
  </w:style>
  <w:style w:type="paragraph" w:styleId="Style5">
    <w:name w:val="수정"/>
    <w:qFormat/>
    <w:pPr>
      <w:widowControl/>
      <w:bidi w:val="0"/>
    </w:pPr>
    <w:rPr>
      <w:rFonts w:ascii="Times New Roman" w:hAnsi="Times New Roman" w:eastAsia="Batang;바탕" w:cs="Times New Roman"/>
      <w:color w:val="auto"/>
      <w:sz w:val="20"/>
      <w:szCs w:val="20"/>
      <w:lang w:val="en-GB" w:bidi="ar-SA" w:eastAsia="zh-CN"/>
    </w:rPr>
  </w:style>
  <w:style w:type="paragraph" w:styleId="CharCharCharChar1">
    <w:name w:val=" Char Char Char Char1"/>
    <w:qFormat/>
    <w:pPr>
      <w:keepNext w:val="true"/>
      <w:widowControl/>
      <w:tabs>
        <w:tab w:val="clear" w:pos="284"/>
        <w:tab w:val="left" w:pos="851" w:leader="none"/>
      </w:tabs>
      <w:autoSpaceDE w:val="false"/>
      <w:bidi w:val="0"/>
      <w:spacing w:before="60" w:after="60"/>
      <w:ind w:left="851" w:hanging="851"/>
      <w:jc w:val="both"/>
    </w:pPr>
    <w:rPr>
      <w:rFonts w:ascii="Arial" w:hAnsi="Arial" w:eastAsia="SimSun;宋体" w:cs="Arial"/>
      <w:color w:val="0000FF"/>
      <w:kern w:val="2"/>
      <w:sz w:val="20"/>
      <w:szCs w:val="20"/>
      <w:lang w:val="en-US" w:eastAsia="zh-CN" w:bidi="ar-SA"/>
    </w:rPr>
  </w:style>
  <w:style w:type="paragraph" w:styleId="Style6">
    <w:name w:val="修订"/>
    <w:qFormat/>
    <w:pPr>
      <w:widowControl/>
      <w:bidi w:val="0"/>
    </w:pPr>
    <w:rPr>
      <w:rFonts w:ascii="Times New Roman" w:hAnsi="Times New Roman" w:eastAsia="Batang;바탕" w:cs="Times New Roman"/>
      <w:color w:val="auto"/>
      <w:sz w:val="20"/>
      <w:szCs w:val="20"/>
      <w:lang w:val="en-GB" w:bidi="ar-SA" w:eastAsia="zh-CN"/>
    </w:rPr>
  </w:style>
  <w:style w:type="paragraph" w:styleId="Endnote">
    <w:name w:val="Endnote Text"/>
    <w:basedOn w:val="Normal"/>
    <w:pPr>
      <w:snapToGrid w:val="false"/>
    </w:pPr>
    <w:rPr>
      <w:rFonts w:eastAsia="SimSun;宋体"/>
      <w:lang w:val="en-US"/>
    </w:rPr>
  </w:style>
  <w:style w:type="paragraph" w:styleId="Style7">
    <w:name w:val="変更箇所"/>
    <w:qFormat/>
    <w:pPr>
      <w:widowControl/>
      <w:bidi w:val="0"/>
    </w:pPr>
    <w:rPr>
      <w:rFonts w:ascii="Times New Roman" w:hAnsi="Times New Roman" w:eastAsia="MS Mincho;ＭＳ 明朝" w:cs="Times New Roman"/>
      <w:color w:val="auto"/>
      <w:sz w:val="20"/>
      <w:szCs w:val="20"/>
      <w:lang w:val="en-GB" w:bidi="ar-SA" w:eastAsia="zh-CN"/>
    </w:rPr>
  </w:style>
  <w:style w:type="paragraph" w:styleId="NB2">
    <w:name w:val="NB2"/>
    <w:basedOn w:val="ZG"/>
    <w:qFormat/>
    <w:pPr/>
    <w:rPr>
      <w:rFonts w:eastAsia="SimSun;宋体"/>
    </w:rPr>
  </w:style>
  <w:style w:type="paragraph" w:styleId="Tableentry">
    <w:name w:val="table entry"/>
    <w:basedOn w:val="Normal"/>
    <w:qFormat/>
    <w:pPr>
      <w:keepNext w:val="true"/>
      <w:spacing w:before="60" w:after="60"/>
    </w:pPr>
    <w:rPr>
      <w:rFonts w:ascii="Bookman Old Style" w:hAnsi="Bookman Old Style" w:eastAsia="SimSun;宋体" w:cs="Bookman Old Style"/>
      <w:lang w:val="en-US"/>
    </w:rPr>
  </w:style>
  <w:style w:type="paragraph" w:styleId="CarCar1CharCharCarCar">
    <w:name w:val=" Car Car1 Char Char Car Car"/>
    <w:qFormat/>
    <w:pPr>
      <w:keepNext w:val="true"/>
      <w:widowControl/>
      <w:autoSpaceDE w:val="false"/>
      <w:bidi w:val="0"/>
      <w:spacing w:before="60" w:after="60"/>
      <w:ind w:left="567" w:hanging="283"/>
      <w:jc w:val="both"/>
    </w:pPr>
    <w:rPr>
      <w:rFonts w:ascii="Arial" w:hAnsi="Arial" w:eastAsia="SimSun;宋体" w:cs="Arial"/>
      <w:color w:val="0000FF"/>
      <w:kern w:val="2"/>
      <w:sz w:val="20"/>
      <w:szCs w:val="20"/>
      <w:lang w:val="en-US" w:eastAsia="zh-CN" w:bidi="ar-SA"/>
    </w:rPr>
  </w:style>
  <w:style w:type="paragraph" w:styleId="NoteHeading">
    <w:name w:val="Note Heading"/>
    <w:basedOn w:val="Normal"/>
    <w:next w:val="Normal"/>
    <w:qFormat/>
    <w:pPr>
      <w:overflowPunct w:val="false"/>
      <w:autoSpaceDE w:val="false"/>
      <w:textAlignment w:val="baseline"/>
    </w:pPr>
    <w:rPr>
      <w:rFonts w:eastAsia="MS Mincho;ＭＳ 明朝"/>
      <w:lang w:val="en-US"/>
    </w:rPr>
  </w:style>
  <w:style w:type="paragraph" w:styleId="HTMLPreformatted">
    <w:name w:val="HTML Preformatted"/>
    <w:basedOn w:val="Normal"/>
    <w:qFormat/>
    <w:pPr>
      <w:overflowPunct w:val="false"/>
      <w:autoSpaceDE w:val="false"/>
      <w:textAlignment w:val="baseline"/>
    </w:pPr>
    <w:rPr>
      <w:rFonts w:ascii="Courier New" w:hAnsi="Courier New" w:eastAsia="MS Mincho;ＭＳ 明朝" w:cs="Courier New"/>
      <w:lang w:val="en-US"/>
    </w:rPr>
  </w:style>
  <w:style w:type="paragraph" w:styleId="CharCharCharCharCharCharCharCharCharCharCharCharCharChar1CharCharCharCharCharCharCharCharCharCharCharChar">
    <w:name w:val=" Char Char Char Char Char Char Char Char Char Char Char Char Char Char1 Char Char Char Char Char Char Char Char Char Char Char Char"/>
    <w:qFormat/>
    <w:pPr>
      <w:keepNext w:val="true"/>
      <w:widowControl/>
      <w:tabs>
        <w:tab w:val="clear" w:pos="284"/>
        <w:tab w:val="left" w:pos="851" w:leader="none"/>
      </w:tabs>
      <w:autoSpaceDE w:val="false"/>
      <w:bidi w:val="0"/>
      <w:spacing w:before="60" w:after="60"/>
      <w:ind w:left="851" w:hanging="851"/>
      <w:jc w:val="both"/>
    </w:pPr>
    <w:rPr>
      <w:rFonts w:ascii="Arial" w:hAnsi="Arial" w:eastAsia="SimSun;宋体" w:cs="Arial"/>
      <w:color w:val="0000FF"/>
      <w:kern w:val="2"/>
      <w:sz w:val="20"/>
      <w:szCs w:val="20"/>
      <w:lang w:val="en-US" w:eastAsia="zh-CN" w:bidi="ar-SA"/>
    </w:rPr>
  </w:style>
  <w:style w:type="paragraph" w:styleId="ZchnZchn1">
    <w:name w:val="Zchn Zchn"/>
    <w:qFormat/>
    <w:pPr>
      <w:keepNext w:val="true"/>
      <w:widowControl/>
      <w:tabs>
        <w:tab w:val="clear" w:pos="284"/>
        <w:tab w:val="left" w:pos="1097" w:leader="none"/>
      </w:tabs>
      <w:autoSpaceDE w:val="false"/>
      <w:bidi w:val="0"/>
      <w:spacing w:before="60" w:after="60"/>
      <w:ind w:left="1097" w:hanging="360"/>
      <w:jc w:val="both"/>
    </w:pPr>
    <w:rPr>
      <w:rFonts w:ascii="Arial" w:hAnsi="Arial" w:eastAsia="SimSun;宋体" w:cs="Arial"/>
      <w:color w:val="0000FF"/>
      <w:kern w:val="2"/>
      <w:sz w:val="20"/>
      <w:szCs w:val="20"/>
      <w:lang w:val="en-US" w:eastAsia="zh-CN" w:bidi="ar-SA"/>
    </w:rPr>
  </w:style>
  <w:style w:type="paragraph" w:styleId="Font5">
    <w:name w:val="font5"/>
    <w:basedOn w:val="Normal"/>
    <w:qFormat/>
    <w:pPr>
      <w:spacing w:before="100" w:after="100"/>
    </w:pPr>
    <w:rPr>
      <w:rFonts w:ascii="Arial" w:hAnsi="Arial" w:eastAsia="Gulim;굴림" w:cs="Arial"/>
      <w:b/>
      <w:bCs/>
      <w:color w:val="000000"/>
      <w:sz w:val="18"/>
      <w:szCs w:val="18"/>
      <w:lang w:val="en-US" w:eastAsia="ko-KR"/>
    </w:rPr>
  </w:style>
  <w:style w:type="paragraph" w:styleId="Font6">
    <w:name w:val="font6"/>
    <w:basedOn w:val="Normal"/>
    <w:qFormat/>
    <w:pPr>
      <w:spacing w:before="100" w:after="100"/>
    </w:pPr>
    <w:rPr>
      <w:rFonts w:ascii="Arial" w:hAnsi="Arial" w:eastAsia="Gulim;굴림" w:cs="Arial"/>
      <w:color w:val="000000"/>
      <w:sz w:val="18"/>
      <w:szCs w:val="18"/>
      <w:lang w:val="en-US" w:eastAsia="ko-KR"/>
    </w:rPr>
  </w:style>
  <w:style w:type="paragraph" w:styleId="Font7">
    <w:name w:val="font7"/>
    <w:basedOn w:val="Normal"/>
    <w:qFormat/>
    <w:pPr>
      <w:spacing w:before="100" w:after="100"/>
    </w:pPr>
    <w:rPr>
      <w:rFonts w:ascii="Arial" w:hAnsi="Arial" w:eastAsia="Gulim;굴림" w:cs="Arial"/>
      <w:color w:val="000000"/>
      <w:sz w:val="16"/>
      <w:szCs w:val="16"/>
      <w:lang w:val="en-US" w:eastAsia="ko-KR"/>
    </w:rPr>
  </w:style>
  <w:style w:type="paragraph" w:styleId="Font8">
    <w:name w:val="font8"/>
    <w:basedOn w:val="Normal"/>
    <w:qFormat/>
    <w:pPr>
      <w:spacing w:before="100" w:after="100"/>
    </w:pPr>
    <w:rPr>
      <w:rFonts w:ascii="Malgun Gothic" w:hAnsi="Malgun Gothic" w:eastAsia="Malgun Gothic" w:cs="Gulim;굴림"/>
      <w:sz w:val="16"/>
      <w:szCs w:val="16"/>
      <w:lang w:val="en-US" w:eastAsia="ko-KR"/>
    </w:rPr>
  </w:style>
  <w:style w:type="paragraph" w:styleId="Xl65">
    <w:name w:val="xl65"/>
    <w:basedOn w:val="Normal"/>
    <w:qFormat/>
    <w:pPr>
      <w:pBdr>
        <w:right w:val="single" w:sz="8" w:space="0" w:color="000000"/>
      </w:pBdr>
      <w:spacing w:before="100" w:after="100"/>
      <w:jc w:val="center"/>
      <w:textAlignment w:val="center"/>
    </w:pPr>
    <w:rPr>
      <w:rFonts w:ascii="Arial" w:hAnsi="Arial" w:eastAsia="Gulim;굴림" w:cs="Arial"/>
      <w:color w:val="0000FF"/>
      <w:sz w:val="16"/>
      <w:szCs w:val="16"/>
      <w:lang w:val="en-US" w:eastAsia="ko-KR"/>
    </w:rPr>
  </w:style>
  <w:style w:type="paragraph" w:styleId="Xl66">
    <w:name w:val="xl66"/>
    <w:basedOn w:val="Normal"/>
    <w:qFormat/>
    <w:pPr>
      <w:pBdr>
        <w:right w:val="single" w:sz="8" w:space="0" w:color="000000"/>
      </w:pBdr>
      <w:spacing w:before="100" w:after="100"/>
      <w:textAlignment w:val="center"/>
    </w:pPr>
    <w:rPr>
      <w:rFonts w:ascii="Arial" w:hAnsi="Arial" w:eastAsia="Gulim;굴림" w:cs="Arial"/>
      <w:sz w:val="16"/>
      <w:szCs w:val="16"/>
      <w:lang w:val="en-US" w:eastAsia="ko-KR"/>
    </w:rPr>
  </w:style>
  <w:style w:type="paragraph" w:styleId="Xl67">
    <w:name w:val="xl67"/>
    <w:basedOn w:val="Normal"/>
    <w:qFormat/>
    <w:pPr>
      <w:pBdr>
        <w:bottom w:val="single" w:sz="8" w:space="0" w:color="000000"/>
        <w:right w:val="single" w:sz="8" w:space="0" w:color="000000"/>
      </w:pBdr>
      <w:spacing w:before="100" w:after="100"/>
      <w:textAlignment w:val="center"/>
    </w:pPr>
    <w:rPr>
      <w:rFonts w:ascii="Arial" w:hAnsi="Arial" w:eastAsia="Gulim;굴림" w:cs="Arial"/>
      <w:sz w:val="16"/>
      <w:szCs w:val="16"/>
      <w:lang w:val="en-US" w:eastAsia="ko-KR"/>
    </w:rPr>
  </w:style>
  <w:style w:type="paragraph" w:styleId="Xl68">
    <w:name w:val="xl68"/>
    <w:basedOn w:val="Normal"/>
    <w:qFormat/>
    <w:pPr>
      <w:pBdr>
        <w:left w:val="single" w:sz="8" w:space="0" w:color="000000"/>
        <w:bottom w:val="single" w:sz="8" w:space="0" w:color="000000"/>
      </w:pBdr>
      <w:spacing w:before="100" w:after="100"/>
      <w:textAlignment w:val="center"/>
    </w:pPr>
    <w:rPr>
      <w:rFonts w:ascii="Arial" w:hAnsi="Arial" w:eastAsia="Gulim;굴림" w:cs="Arial"/>
      <w:sz w:val="16"/>
      <w:szCs w:val="16"/>
      <w:lang w:val="en-US" w:eastAsia="ko-KR"/>
    </w:rPr>
  </w:style>
  <w:style w:type="paragraph" w:styleId="Xl69">
    <w:name w:val="xl69"/>
    <w:basedOn w:val="Normal"/>
    <w:qFormat/>
    <w:pPr>
      <w:pBdr>
        <w:bottom w:val="single" w:sz="8" w:space="0" w:color="000000"/>
      </w:pBdr>
      <w:spacing w:before="100" w:after="100"/>
      <w:textAlignment w:val="center"/>
    </w:pPr>
    <w:rPr>
      <w:rFonts w:ascii="Arial" w:hAnsi="Arial" w:eastAsia="Gulim;굴림" w:cs="Arial"/>
      <w:sz w:val="16"/>
      <w:szCs w:val="16"/>
      <w:lang w:val="en-US" w:eastAsia="ko-KR"/>
    </w:rPr>
  </w:style>
  <w:style w:type="paragraph" w:styleId="Xl70">
    <w:name w:val="xl70"/>
    <w:basedOn w:val="Normal"/>
    <w:qFormat/>
    <w:pPr>
      <w:pBdr>
        <w:bottom w:val="single" w:sz="8" w:space="0" w:color="000000"/>
        <w:right w:val="single" w:sz="8" w:space="0" w:color="000000"/>
      </w:pBdr>
      <w:spacing w:before="100" w:after="100"/>
      <w:jc w:val="center"/>
      <w:textAlignment w:val="center"/>
    </w:pPr>
    <w:rPr>
      <w:rFonts w:ascii="Arial" w:hAnsi="Arial" w:eastAsia="Gulim;굴림" w:cs="Arial"/>
      <w:color w:val="0000FF"/>
      <w:sz w:val="16"/>
      <w:szCs w:val="16"/>
      <w:lang w:val="en-US" w:eastAsia="ko-KR"/>
    </w:rPr>
  </w:style>
  <w:style w:type="paragraph" w:styleId="Xl71">
    <w:name w:val="xl71"/>
    <w:basedOn w:val="Normal"/>
    <w:qFormat/>
    <w:pPr>
      <w:pBdr>
        <w:right w:val="single" w:sz="8" w:space="0" w:color="000000"/>
      </w:pBdr>
      <w:spacing w:before="100" w:after="100"/>
      <w:textAlignment w:val="center"/>
    </w:pPr>
    <w:rPr>
      <w:rFonts w:ascii="Arial" w:hAnsi="Arial" w:eastAsia="Gulim;굴림" w:cs="Arial"/>
      <w:sz w:val="18"/>
      <w:szCs w:val="18"/>
      <w:lang w:val="en-US" w:eastAsia="ko-KR"/>
    </w:rPr>
  </w:style>
  <w:style w:type="paragraph" w:styleId="Xl72">
    <w:name w:val="xl72"/>
    <w:basedOn w:val="Normal"/>
    <w:qFormat/>
    <w:pPr>
      <w:pBdr>
        <w:top w:val="single" w:sz="8" w:space="0" w:color="000000"/>
        <w:left w:val="single" w:sz="8" w:space="0" w:color="000000"/>
      </w:pBdr>
      <w:spacing w:before="100" w:after="100"/>
      <w:textAlignment w:val="center"/>
    </w:pPr>
    <w:rPr>
      <w:rFonts w:ascii="Arial" w:hAnsi="Arial" w:eastAsia="Gulim;굴림" w:cs="Arial"/>
      <w:sz w:val="16"/>
      <w:szCs w:val="16"/>
      <w:lang w:val="en-US" w:eastAsia="ko-KR"/>
    </w:rPr>
  </w:style>
  <w:style w:type="paragraph" w:styleId="Xl73">
    <w:name w:val="xl73"/>
    <w:basedOn w:val="Normal"/>
    <w:qFormat/>
    <w:pPr>
      <w:pBdr>
        <w:left w:val="single" w:sz="8" w:space="0" w:color="000000"/>
        <w:right w:val="single" w:sz="8" w:space="0" w:color="000000"/>
      </w:pBdr>
      <w:spacing w:before="100" w:after="100"/>
      <w:textAlignment w:val="center"/>
    </w:pPr>
    <w:rPr>
      <w:rFonts w:ascii="Arial" w:hAnsi="Arial" w:eastAsia="Gulim;굴림" w:cs="Arial"/>
      <w:sz w:val="16"/>
      <w:szCs w:val="16"/>
      <w:lang w:val="en-US" w:eastAsia="ko-KR"/>
    </w:rPr>
  </w:style>
  <w:style w:type="paragraph" w:styleId="Xl74">
    <w:name w:val="xl74"/>
    <w:basedOn w:val="Normal"/>
    <w:qFormat/>
    <w:pPr>
      <w:pBdr>
        <w:left w:val="single" w:sz="8" w:space="0" w:color="000000"/>
        <w:bottom w:val="single" w:sz="8" w:space="0" w:color="000000"/>
        <w:right w:val="single" w:sz="8" w:space="0" w:color="000000"/>
      </w:pBdr>
      <w:spacing w:before="100" w:after="100"/>
      <w:textAlignment w:val="center"/>
    </w:pPr>
    <w:rPr>
      <w:rFonts w:ascii="Arial" w:hAnsi="Arial" w:eastAsia="Gulim;굴림" w:cs="Arial"/>
      <w:sz w:val="16"/>
      <w:szCs w:val="16"/>
      <w:lang w:val="en-US" w:eastAsia="ko-KR"/>
    </w:rPr>
  </w:style>
  <w:style w:type="paragraph" w:styleId="Xl75">
    <w:name w:val="xl75"/>
    <w:basedOn w:val="Normal"/>
    <w:qFormat/>
    <w:pPr>
      <w:pBdr>
        <w:top w:val="single" w:sz="8" w:space="0" w:color="000000"/>
        <w:left w:val="single" w:sz="8" w:space="0" w:color="000000"/>
        <w:bottom w:val="single" w:sz="8" w:space="0" w:color="000000"/>
      </w:pBdr>
      <w:shd w:fill="C8C8C8" w:val="clear"/>
      <w:spacing w:before="100" w:after="100"/>
      <w:textAlignment w:val="center"/>
    </w:pPr>
    <w:rPr>
      <w:rFonts w:ascii="Arial" w:hAnsi="Arial" w:eastAsia="Gulim;굴림" w:cs="Arial"/>
      <w:b/>
      <w:bCs/>
      <w:sz w:val="16"/>
      <w:szCs w:val="16"/>
      <w:lang w:val="en-US" w:eastAsia="ko-KR"/>
    </w:rPr>
  </w:style>
  <w:style w:type="paragraph" w:styleId="Xl76">
    <w:name w:val="xl76"/>
    <w:basedOn w:val="Normal"/>
    <w:qFormat/>
    <w:pPr>
      <w:pBdr>
        <w:top w:val="single" w:sz="8" w:space="0" w:color="000000"/>
        <w:bottom w:val="single" w:sz="8" w:space="0" w:color="000000"/>
      </w:pBdr>
      <w:shd w:fill="C8C8C8" w:val="clear"/>
      <w:spacing w:before="100" w:after="100"/>
      <w:textAlignment w:val="center"/>
    </w:pPr>
    <w:rPr>
      <w:rFonts w:ascii="Arial" w:hAnsi="Arial" w:eastAsia="Gulim;굴림" w:cs="Arial"/>
      <w:b/>
      <w:bCs/>
      <w:sz w:val="16"/>
      <w:szCs w:val="16"/>
      <w:lang w:val="en-US" w:eastAsia="ko-KR"/>
    </w:rPr>
  </w:style>
  <w:style w:type="paragraph" w:styleId="Xl77">
    <w:name w:val="xl77"/>
    <w:basedOn w:val="Normal"/>
    <w:qFormat/>
    <w:pPr>
      <w:pBdr>
        <w:top w:val="single" w:sz="8" w:space="0" w:color="000000"/>
        <w:bottom w:val="single" w:sz="8" w:space="0" w:color="000000"/>
        <w:right w:val="single" w:sz="8" w:space="0" w:color="000000"/>
      </w:pBdr>
      <w:shd w:fill="C8C8C8" w:val="clear"/>
      <w:spacing w:before="100" w:after="100"/>
      <w:textAlignment w:val="center"/>
    </w:pPr>
    <w:rPr>
      <w:rFonts w:ascii="Arial" w:hAnsi="Arial" w:eastAsia="Gulim;굴림" w:cs="Arial"/>
      <w:b/>
      <w:bCs/>
      <w:sz w:val="16"/>
      <w:szCs w:val="16"/>
      <w:lang w:val="en-US" w:eastAsia="ko-KR"/>
    </w:rPr>
  </w:style>
  <w:style w:type="paragraph" w:styleId="Xl78">
    <w:name w:val="xl78"/>
    <w:basedOn w:val="Normal"/>
    <w:qFormat/>
    <w:pPr>
      <w:pBdr>
        <w:top w:val="single" w:sz="8" w:space="0" w:color="000000"/>
        <w:left w:val="single" w:sz="8" w:space="0" w:color="000000"/>
      </w:pBdr>
      <w:spacing w:before="100" w:after="100"/>
      <w:textAlignment w:val="center"/>
    </w:pPr>
    <w:rPr>
      <w:rFonts w:ascii="Arial" w:hAnsi="Arial" w:eastAsia="Gulim;굴림" w:cs="Arial"/>
      <w:color w:val="0000FF"/>
      <w:sz w:val="16"/>
      <w:szCs w:val="16"/>
      <w:lang w:val="en-US" w:eastAsia="ko-KR"/>
    </w:rPr>
  </w:style>
  <w:style w:type="paragraph" w:styleId="Xl79">
    <w:name w:val="xl79"/>
    <w:basedOn w:val="Normal"/>
    <w:qFormat/>
    <w:pPr>
      <w:pBdr>
        <w:left w:val="single" w:sz="8" w:space="0" w:color="000000"/>
        <w:bottom w:val="single" w:sz="8" w:space="0" w:color="000000"/>
      </w:pBdr>
      <w:spacing w:before="100" w:after="100"/>
      <w:textAlignment w:val="center"/>
    </w:pPr>
    <w:rPr>
      <w:rFonts w:ascii="Arial" w:hAnsi="Arial" w:eastAsia="Gulim;굴림" w:cs="Arial"/>
      <w:color w:val="0000FF"/>
      <w:sz w:val="16"/>
      <w:szCs w:val="16"/>
      <w:lang w:val="en-US" w:eastAsia="ko-KR"/>
    </w:rPr>
  </w:style>
  <w:style w:type="paragraph" w:styleId="Xl80">
    <w:name w:val="xl80"/>
    <w:basedOn w:val="Normal"/>
    <w:qFormat/>
    <w:pPr>
      <w:pBdr>
        <w:top w:val="single" w:sz="8" w:space="0" w:color="000000"/>
        <w:bottom w:val="single" w:sz="8" w:space="0" w:color="000000"/>
        <w:right w:val="single" w:sz="8" w:space="0" w:color="000000"/>
      </w:pBdr>
      <w:spacing w:before="100" w:after="100"/>
      <w:jc w:val="center"/>
      <w:textAlignment w:val="center"/>
    </w:pPr>
    <w:rPr>
      <w:rFonts w:ascii="Arial" w:hAnsi="Arial" w:eastAsia="Gulim;굴림" w:cs="Arial"/>
      <w:b/>
      <w:bCs/>
      <w:sz w:val="16"/>
      <w:szCs w:val="16"/>
      <w:lang w:val="en-US" w:eastAsia="ko-KR"/>
    </w:rPr>
  </w:style>
  <w:style w:type="paragraph" w:styleId="Xl81">
    <w:name w:val="xl81"/>
    <w:basedOn w:val="Normal"/>
    <w:qFormat/>
    <w:pPr>
      <w:pBdr>
        <w:bottom w:val="single" w:sz="8" w:space="0" w:color="000000"/>
        <w:right w:val="single" w:sz="8" w:space="0" w:color="000000"/>
      </w:pBdr>
      <w:spacing w:before="100" w:after="100"/>
      <w:jc w:val="center"/>
      <w:textAlignment w:val="center"/>
    </w:pPr>
    <w:rPr>
      <w:rFonts w:ascii="Arial" w:hAnsi="Arial" w:eastAsia="Gulim;굴림" w:cs="Arial"/>
      <w:b/>
      <w:bCs/>
      <w:sz w:val="16"/>
      <w:szCs w:val="16"/>
      <w:lang w:val="en-US" w:eastAsia="ko-KR"/>
    </w:rPr>
  </w:style>
  <w:style w:type="paragraph" w:styleId="Xl82">
    <w:name w:val="xl82"/>
    <w:basedOn w:val="Normal"/>
    <w:qFormat/>
    <w:pPr>
      <w:pBdr>
        <w:bottom w:val="single" w:sz="8" w:space="0" w:color="000000"/>
        <w:right w:val="single" w:sz="8" w:space="0" w:color="000000"/>
      </w:pBdr>
      <w:spacing w:before="100" w:after="100"/>
      <w:jc w:val="both"/>
      <w:textAlignment w:val="center"/>
    </w:pPr>
    <w:rPr>
      <w:rFonts w:ascii="Gulim;굴림" w:hAnsi="Gulim;굴림" w:eastAsia="Gulim;굴림" w:cs="Gulim;굴림"/>
      <w:lang w:val="en-US" w:eastAsia="ko-KR"/>
    </w:rPr>
  </w:style>
  <w:style w:type="paragraph" w:styleId="Xl83">
    <w:name w:val="xl83"/>
    <w:basedOn w:val="Normal"/>
    <w:qFormat/>
    <w:pPr>
      <w:pBdr>
        <w:bottom w:val="single" w:sz="8" w:space="0" w:color="000000"/>
        <w:right w:val="single" w:sz="8" w:space="0" w:color="000000"/>
      </w:pBdr>
      <w:spacing w:before="100" w:after="100"/>
      <w:jc w:val="both"/>
      <w:textAlignment w:val="center"/>
    </w:pPr>
    <w:rPr>
      <w:rFonts w:ascii="Gulim;굴림" w:hAnsi="Gulim;굴림" w:eastAsia="Gulim;굴림" w:cs="Gulim;굴림"/>
      <w:b/>
      <w:bCs/>
      <w:lang w:val="en-US" w:eastAsia="ko-KR"/>
    </w:rPr>
  </w:style>
  <w:style w:type="paragraph" w:styleId="Xl84">
    <w:name w:val="xl84"/>
    <w:basedOn w:val="Normal"/>
    <w:qFormat/>
    <w:pPr>
      <w:pBdr>
        <w:left w:val="single" w:sz="8" w:space="0" w:color="000000"/>
        <w:right w:val="single" w:sz="8" w:space="0" w:color="000000"/>
      </w:pBdr>
      <w:spacing w:before="100" w:after="100"/>
      <w:textAlignment w:val="center"/>
    </w:pPr>
    <w:rPr>
      <w:rFonts w:ascii="Arial" w:hAnsi="Arial" w:eastAsia="Gulim;굴림" w:cs="Arial"/>
      <w:sz w:val="18"/>
      <w:szCs w:val="18"/>
      <w:lang w:val="en-US" w:eastAsia="ko-KR"/>
    </w:rPr>
  </w:style>
  <w:style w:type="paragraph" w:styleId="Xl85">
    <w:name w:val="xl85"/>
    <w:basedOn w:val="Normal"/>
    <w:qFormat/>
    <w:pPr>
      <w:pBdr>
        <w:left w:val="single" w:sz="8" w:space="0" w:color="000000"/>
        <w:bottom w:val="single" w:sz="8" w:space="0" w:color="000000"/>
        <w:right w:val="single" w:sz="8" w:space="0" w:color="000000"/>
      </w:pBdr>
      <w:spacing w:before="100" w:after="100"/>
      <w:textAlignment w:val="center"/>
    </w:pPr>
    <w:rPr>
      <w:rFonts w:ascii="Gulim;굴림" w:hAnsi="Gulim;굴림" w:eastAsia="Gulim;굴림" w:cs="Gulim;굴림"/>
      <w:sz w:val="16"/>
      <w:szCs w:val="16"/>
      <w:lang w:val="en-US" w:eastAsia="ko-KR"/>
    </w:rPr>
  </w:style>
  <w:style w:type="paragraph" w:styleId="Xl86">
    <w:name w:val="xl86"/>
    <w:basedOn w:val="Normal"/>
    <w:qFormat/>
    <w:pPr>
      <w:pBdr>
        <w:bottom w:val="single" w:sz="8" w:space="0" w:color="000000"/>
        <w:right w:val="single" w:sz="8" w:space="0" w:color="000000"/>
      </w:pBdr>
      <w:spacing w:before="100" w:after="100"/>
      <w:textAlignment w:val="center"/>
    </w:pPr>
    <w:rPr>
      <w:rFonts w:ascii="Gulim;굴림" w:hAnsi="Gulim;굴림" w:eastAsia="Gulim;굴림" w:cs="Gulim;굴림"/>
      <w:sz w:val="16"/>
      <w:szCs w:val="16"/>
      <w:lang w:val="en-US" w:eastAsia="ko-KR"/>
    </w:rPr>
  </w:style>
  <w:style w:type="paragraph" w:styleId="Xl87">
    <w:name w:val="xl87"/>
    <w:basedOn w:val="Normal"/>
    <w:qFormat/>
    <w:pPr>
      <w:pBdr>
        <w:left w:val="single" w:sz="8" w:space="0" w:color="000000"/>
        <w:bottom w:val="single" w:sz="8" w:space="0" w:color="000000"/>
        <w:right w:val="single" w:sz="8" w:space="0" w:color="000000"/>
      </w:pBdr>
      <w:spacing w:before="100" w:after="100"/>
      <w:jc w:val="both"/>
      <w:textAlignment w:val="center"/>
    </w:pPr>
    <w:rPr>
      <w:rFonts w:ascii="Gulim;굴림" w:hAnsi="Gulim;굴림" w:eastAsia="Gulim;굴림" w:cs="Gulim;굴림"/>
      <w:lang w:val="en-US" w:eastAsia="ko-KR"/>
    </w:rPr>
  </w:style>
  <w:style w:type="paragraph" w:styleId="Xl88">
    <w:name w:val="xl88"/>
    <w:basedOn w:val="Normal"/>
    <w:qFormat/>
    <w:pPr>
      <w:pBdr>
        <w:left w:val="single" w:sz="8" w:space="0" w:color="000000"/>
        <w:bottom w:val="single" w:sz="8" w:space="0" w:color="000000"/>
        <w:right w:val="single" w:sz="8" w:space="0" w:color="000000"/>
      </w:pBdr>
      <w:spacing w:before="100" w:after="100"/>
      <w:textAlignment w:val="center"/>
    </w:pPr>
    <w:rPr>
      <w:rFonts w:ascii="Gulim;굴림" w:hAnsi="Gulim;굴림" w:eastAsia="Gulim;굴림" w:cs="Gulim;굴림"/>
      <w:sz w:val="18"/>
      <w:szCs w:val="18"/>
      <w:lang w:val="en-US" w:eastAsia="ko-KR"/>
    </w:rPr>
  </w:style>
  <w:style w:type="paragraph" w:styleId="Xl89">
    <w:name w:val="xl89"/>
    <w:basedOn w:val="Normal"/>
    <w:qFormat/>
    <w:pPr>
      <w:pBdr>
        <w:right w:val="single" w:sz="8" w:space="0" w:color="000000"/>
      </w:pBdr>
      <w:spacing w:before="100" w:after="100"/>
      <w:jc w:val="both"/>
      <w:textAlignment w:val="center"/>
    </w:pPr>
    <w:rPr>
      <w:rFonts w:ascii="Arial" w:hAnsi="Arial" w:eastAsia="Gulim;굴림" w:cs="Arial"/>
      <w:sz w:val="16"/>
      <w:szCs w:val="16"/>
      <w:lang w:val="en-US" w:eastAsia="ko-KR"/>
    </w:rPr>
  </w:style>
  <w:style w:type="paragraph" w:styleId="Xl90">
    <w:name w:val="xl90"/>
    <w:basedOn w:val="Normal"/>
    <w:qFormat/>
    <w:pPr>
      <w:pBdr>
        <w:bottom w:val="single" w:sz="8" w:space="0" w:color="000000"/>
        <w:right w:val="single" w:sz="8" w:space="0" w:color="000000"/>
      </w:pBdr>
      <w:spacing w:before="100" w:after="100"/>
      <w:textAlignment w:val="top"/>
    </w:pPr>
    <w:rPr>
      <w:rFonts w:ascii="Gulim;굴림" w:hAnsi="Gulim;굴림" w:eastAsia="Gulim;굴림" w:cs="Gulim;굴림"/>
      <w:sz w:val="24"/>
      <w:szCs w:val="24"/>
      <w:lang w:val="en-US" w:eastAsia="ko-KR"/>
    </w:rPr>
  </w:style>
  <w:style w:type="paragraph" w:styleId="Xl91">
    <w:name w:val="xl91"/>
    <w:basedOn w:val="Normal"/>
    <w:qFormat/>
    <w:pPr>
      <w:pBdr>
        <w:left w:val="single" w:sz="8" w:space="0" w:color="000000"/>
        <w:right w:val="single" w:sz="8" w:space="0" w:color="000000"/>
      </w:pBdr>
      <w:spacing w:before="100" w:after="100"/>
      <w:textAlignment w:val="center"/>
    </w:pPr>
    <w:rPr>
      <w:rFonts w:ascii="Arial" w:hAnsi="Arial" w:eastAsia="Gulim;굴림" w:cs="Arial"/>
      <w:sz w:val="16"/>
      <w:szCs w:val="16"/>
      <w:lang w:val="en-US" w:eastAsia="ko-KR"/>
    </w:rPr>
  </w:style>
  <w:style w:type="paragraph" w:styleId="Xl92">
    <w:name w:val="xl92"/>
    <w:basedOn w:val="Normal"/>
    <w:qFormat/>
    <w:pPr>
      <w:pBdr>
        <w:top w:val="single" w:sz="4" w:space="0" w:color="000000"/>
        <w:left w:val="single" w:sz="4" w:space="0" w:color="000000"/>
        <w:bottom w:val="single" w:sz="4" w:space="0" w:color="000000"/>
        <w:right w:val="single" w:sz="4" w:space="0" w:color="000000"/>
      </w:pBdr>
      <w:shd w:fill="C8C8C8" w:val="clear"/>
      <w:spacing w:before="100" w:after="100"/>
      <w:textAlignment w:val="center"/>
    </w:pPr>
    <w:rPr>
      <w:rFonts w:ascii="Arial" w:hAnsi="Arial" w:eastAsia="Gulim;굴림" w:cs="Arial"/>
      <w:b/>
      <w:bCs/>
      <w:sz w:val="16"/>
      <w:szCs w:val="16"/>
      <w:lang w:val="en-US" w:eastAsia="ko-KR"/>
    </w:rPr>
  </w:style>
  <w:style w:type="paragraph" w:styleId="Xl93">
    <w:name w:val="xl93"/>
    <w:basedOn w:val="Normal"/>
    <w:qFormat/>
    <w:pPr>
      <w:pBdr>
        <w:top w:val="single" w:sz="4" w:space="0" w:color="000000"/>
        <w:left w:val="single" w:sz="4" w:space="0" w:color="000000"/>
        <w:bottom w:val="single" w:sz="4" w:space="0" w:color="000000"/>
        <w:right w:val="single" w:sz="4" w:space="0" w:color="000000"/>
      </w:pBdr>
      <w:spacing w:before="100" w:after="100"/>
      <w:jc w:val="center"/>
      <w:textAlignment w:val="center"/>
    </w:pPr>
    <w:rPr>
      <w:rFonts w:ascii="Arial" w:hAnsi="Arial" w:eastAsia="Gulim;굴림" w:cs="Arial"/>
      <w:sz w:val="16"/>
      <w:szCs w:val="16"/>
      <w:lang w:val="en-US" w:eastAsia="ko-KR"/>
    </w:rPr>
  </w:style>
  <w:style w:type="paragraph" w:styleId="Xl94">
    <w:name w:val="xl94"/>
    <w:basedOn w:val="Normal"/>
    <w:qFormat/>
    <w:pPr>
      <w:pBdr>
        <w:top w:val="single" w:sz="4" w:space="0" w:color="000000"/>
        <w:left w:val="single" w:sz="4" w:space="0" w:color="000000"/>
        <w:bottom w:val="single" w:sz="4" w:space="0" w:color="000000"/>
        <w:right w:val="single" w:sz="4" w:space="0" w:color="000000"/>
      </w:pBdr>
      <w:spacing w:before="100" w:after="100"/>
      <w:jc w:val="center"/>
      <w:textAlignment w:val="center"/>
    </w:pPr>
    <w:rPr>
      <w:rFonts w:ascii="Arial" w:hAnsi="Arial" w:eastAsia="Gulim;굴림" w:cs="Arial"/>
      <w:color w:val="0000FF"/>
      <w:sz w:val="16"/>
      <w:szCs w:val="16"/>
      <w:lang w:val="en-US" w:eastAsia="ko-KR"/>
    </w:rPr>
  </w:style>
  <w:style w:type="paragraph" w:styleId="Xl95">
    <w:name w:val="xl95"/>
    <w:basedOn w:val="Normal"/>
    <w:qFormat/>
    <w:pPr>
      <w:pBdr>
        <w:top w:val="single" w:sz="4" w:space="0" w:color="000000"/>
        <w:left w:val="single" w:sz="4" w:space="0" w:color="000000"/>
        <w:bottom w:val="single" w:sz="4" w:space="0" w:color="000000"/>
        <w:right w:val="single" w:sz="4" w:space="0" w:color="000000"/>
      </w:pBdr>
      <w:spacing w:before="100" w:after="100"/>
      <w:textAlignment w:val="center"/>
    </w:pPr>
    <w:rPr>
      <w:rFonts w:ascii="Arial" w:hAnsi="Arial" w:eastAsia="Gulim;굴림" w:cs="Arial"/>
      <w:sz w:val="16"/>
      <w:szCs w:val="16"/>
      <w:lang w:val="en-US" w:eastAsia="ko-KR"/>
    </w:rPr>
  </w:style>
  <w:style w:type="paragraph" w:styleId="Xl96">
    <w:name w:val="xl96"/>
    <w:basedOn w:val="Normal"/>
    <w:qFormat/>
    <w:pPr>
      <w:pBdr>
        <w:top w:val="single" w:sz="4" w:space="0" w:color="000000"/>
        <w:left w:val="single" w:sz="4" w:space="0" w:color="000000"/>
        <w:bottom w:val="single" w:sz="4" w:space="0" w:color="000000"/>
        <w:right w:val="single" w:sz="4" w:space="0" w:color="000000"/>
      </w:pBdr>
      <w:spacing w:before="100" w:after="100"/>
      <w:textAlignment w:val="center"/>
    </w:pPr>
    <w:rPr>
      <w:rFonts w:ascii="Arial" w:hAnsi="Arial" w:eastAsia="Gulim;굴림" w:cs="Arial"/>
      <w:color w:val="0000FF"/>
      <w:sz w:val="16"/>
      <w:szCs w:val="16"/>
      <w:lang w:val="en-US" w:eastAsia="ko-KR"/>
    </w:rPr>
  </w:style>
  <w:style w:type="paragraph" w:styleId="Xl97">
    <w:name w:val="xl97"/>
    <w:basedOn w:val="Normal"/>
    <w:qFormat/>
    <w:pPr>
      <w:pBdr>
        <w:top w:val="single" w:sz="4" w:space="0" w:color="000000"/>
        <w:left w:val="single" w:sz="4" w:space="0" w:color="000000"/>
        <w:bottom w:val="single" w:sz="4" w:space="0" w:color="000000"/>
        <w:right w:val="single" w:sz="4" w:space="0" w:color="000000"/>
      </w:pBdr>
      <w:shd w:fill="D9D9D9" w:val="clear"/>
      <w:spacing w:before="100" w:after="100"/>
      <w:textAlignment w:val="center"/>
    </w:pPr>
    <w:rPr>
      <w:rFonts w:ascii="Arial" w:hAnsi="Arial" w:eastAsia="Gulim;굴림" w:cs="Arial"/>
      <w:b/>
      <w:bCs/>
      <w:sz w:val="16"/>
      <w:szCs w:val="16"/>
      <w:lang w:val="en-US" w:eastAsia="ko-KR"/>
    </w:rPr>
  </w:style>
  <w:style w:type="paragraph" w:styleId="Xl98">
    <w:name w:val="xl98"/>
    <w:basedOn w:val="Normal"/>
    <w:qFormat/>
    <w:pPr>
      <w:pBdr>
        <w:top w:val="single" w:sz="4" w:space="0" w:color="000000"/>
        <w:left w:val="single" w:sz="4" w:space="0" w:color="000000"/>
        <w:bottom w:val="single" w:sz="4" w:space="0" w:color="000000"/>
        <w:right w:val="single" w:sz="4" w:space="0" w:color="000000"/>
      </w:pBdr>
      <w:spacing w:before="100" w:after="100"/>
      <w:textAlignment w:val="center"/>
    </w:pPr>
    <w:rPr>
      <w:rFonts w:ascii="Arial" w:hAnsi="Arial" w:eastAsia="Gulim;굴림" w:cs="Arial"/>
      <w:sz w:val="16"/>
      <w:szCs w:val="16"/>
      <w:lang w:val="en-US" w:eastAsia="ko-KR"/>
    </w:rPr>
  </w:style>
  <w:style w:type="paragraph" w:styleId="Xl99">
    <w:name w:val="xl99"/>
    <w:basedOn w:val="Normal"/>
    <w:qFormat/>
    <w:pPr>
      <w:pBdr>
        <w:top w:val="single" w:sz="8" w:space="0" w:color="000000"/>
        <w:left w:val="single" w:sz="8" w:space="0" w:color="000000"/>
        <w:bottom w:val="single" w:sz="8" w:space="0" w:color="000000"/>
      </w:pBdr>
      <w:spacing w:before="100" w:after="100"/>
      <w:jc w:val="center"/>
      <w:textAlignment w:val="center"/>
    </w:pPr>
    <w:rPr>
      <w:rFonts w:ascii="Arial" w:hAnsi="Arial" w:eastAsia="Gulim;굴림" w:cs="Arial"/>
      <w:b/>
      <w:bCs/>
      <w:sz w:val="16"/>
      <w:szCs w:val="16"/>
      <w:lang w:val="en-US" w:eastAsia="ko-KR"/>
    </w:rPr>
  </w:style>
  <w:style w:type="paragraph" w:styleId="Xl100">
    <w:name w:val="xl100"/>
    <w:basedOn w:val="Normal"/>
    <w:qFormat/>
    <w:pPr>
      <w:pBdr>
        <w:top w:val="single" w:sz="8" w:space="0" w:color="000000"/>
        <w:left w:val="single" w:sz="8" w:space="0" w:color="000000"/>
        <w:right w:val="single" w:sz="8" w:space="0" w:color="000000"/>
      </w:pBdr>
      <w:spacing w:before="100" w:after="100"/>
      <w:jc w:val="center"/>
      <w:textAlignment w:val="center"/>
    </w:pPr>
    <w:rPr>
      <w:rFonts w:ascii="Arial" w:hAnsi="Arial" w:eastAsia="Gulim;굴림" w:cs="Arial"/>
      <w:b/>
      <w:bCs/>
      <w:sz w:val="18"/>
      <w:szCs w:val="18"/>
      <w:lang w:val="en-US" w:eastAsia="ko-KR"/>
    </w:rPr>
  </w:style>
  <w:style w:type="paragraph" w:styleId="Xl101">
    <w:name w:val="xl101"/>
    <w:basedOn w:val="Normal"/>
    <w:qFormat/>
    <w:pPr>
      <w:pBdr>
        <w:left w:val="single" w:sz="8" w:space="0" w:color="000000"/>
        <w:bottom w:val="single" w:sz="8" w:space="0" w:color="000000"/>
        <w:right w:val="single" w:sz="8" w:space="0" w:color="000000"/>
      </w:pBdr>
      <w:spacing w:before="100" w:after="100"/>
      <w:jc w:val="center"/>
      <w:textAlignment w:val="center"/>
    </w:pPr>
    <w:rPr>
      <w:rFonts w:ascii="Arial" w:hAnsi="Arial" w:eastAsia="Gulim;굴림" w:cs="Arial"/>
      <w:b/>
      <w:bCs/>
      <w:sz w:val="18"/>
      <w:szCs w:val="18"/>
      <w:lang w:val="en-US" w:eastAsia="ko-KR"/>
    </w:rPr>
  </w:style>
  <w:style w:type="paragraph" w:styleId="Xl102">
    <w:name w:val="xl102"/>
    <w:basedOn w:val="Normal"/>
    <w:qFormat/>
    <w:pPr>
      <w:pBdr>
        <w:top w:val="single" w:sz="8" w:space="0" w:color="000000"/>
        <w:left w:val="single" w:sz="8" w:space="0" w:color="000000"/>
        <w:right w:val="single" w:sz="8" w:space="0" w:color="000000"/>
      </w:pBdr>
      <w:spacing w:before="100" w:after="100"/>
      <w:jc w:val="center"/>
      <w:textAlignment w:val="center"/>
    </w:pPr>
    <w:rPr>
      <w:rFonts w:ascii="Arial" w:hAnsi="Arial" w:eastAsia="Gulim;굴림" w:cs="Arial"/>
      <w:b/>
      <w:bCs/>
      <w:sz w:val="16"/>
      <w:szCs w:val="16"/>
      <w:lang w:val="en-US" w:eastAsia="ko-KR"/>
    </w:rPr>
  </w:style>
  <w:style w:type="paragraph" w:styleId="Xl103">
    <w:name w:val="xl103"/>
    <w:basedOn w:val="Normal"/>
    <w:qFormat/>
    <w:pPr>
      <w:pBdr>
        <w:left w:val="single" w:sz="8" w:space="0" w:color="000000"/>
        <w:bottom w:val="single" w:sz="8" w:space="0" w:color="000000"/>
        <w:right w:val="single" w:sz="8" w:space="0" w:color="000000"/>
      </w:pBdr>
      <w:spacing w:before="100" w:after="100"/>
      <w:jc w:val="center"/>
      <w:textAlignment w:val="center"/>
    </w:pPr>
    <w:rPr>
      <w:rFonts w:ascii="Arial" w:hAnsi="Arial" w:eastAsia="Gulim;굴림" w:cs="Arial"/>
      <w:b/>
      <w:bCs/>
      <w:sz w:val="16"/>
      <w:szCs w:val="16"/>
      <w:lang w:val="en-US" w:eastAsia="ko-KR"/>
    </w:rPr>
  </w:style>
  <w:style w:type="paragraph" w:styleId="Xl104">
    <w:name w:val="xl104"/>
    <w:basedOn w:val="Normal"/>
    <w:qFormat/>
    <w:pPr>
      <w:pBdr>
        <w:top w:val="single" w:sz="8" w:space="0" w:color="000000"/>
        <w:left w:val="single" w:sz="8" w:space="0" w:color="000000"/>
        <w:bottom w:val="single" w:sz="8" w:space="0" w:color="000000"/>
      </w:pBdr>
      <w:spacing w:before="100" w:after="100"/>
      <w:textAlignment w:val="center"/>
    </w:pPr>
    <w:rPr>
      <w:rFonts w:ascii="Arial" w:hAnsi="Arial" w:eastAsia="Gulim;굴림" w:cs="Arial"/>
      <w:b/>
      <w:bCs/>
      <w:sz w:val="16"/>
      <w:szCs w:val="16"/>
      <w:lang w:val="en-US" w:eastAsia="ko-KR"/>
    </w:rPr>
  </w:style>
  <w:style w:type="paragraph" w:styleId="Xl105">
    <w:name w:val="xl105"/>
    <w:basedOn w:val="Normal"/>
    <w:qFormat/>
    <w:pPr>
      <w:pBdr>
        <w:top w:val="single" w:sz="8" w:space="0" w:color="000000"/>
        <w:bottom w:val="single" w:sz="8" w:space="0" w:color="000000"/>
      </w:pBdr>
      <w:spacing w:before="100" w:after="100"/>
      <w:textAlignment w:val="center"/>
    </w:pPr>
    <w:rPr>
      <w:rFonts w:ascii="Arial" w:hAnsi="Arial" w:eastAsia="Gulim;굴림" w:cs="Arial"/>
      <w:b/>
      <w:bCs/>
      <w:sz w:val="16"/>
      <w:szCs w:val="16"/>
      <w:lang w:val="en-US" w:eastAsia="ko-KR"/>
    </w:rPr>
  </w:style>
  <w:style w:type="paragraph" w:styleId="Xl106">
    <w:name w:val="xl106"/>
    <w:basedOn w:val="Normal"/>
    <w:qFormat/>
    <w:pPr>
      <w:pBdr>
        <w:top w:val="single" w:sz="8" w:space="0" w:color="000000"/>
        <w:bottom w:val="single" w:sz="8" w:space="0" w:color="000000"/>
        <w:right w:val="single" w:sz="8" w:space="0" w:color="000000"/>
      </w:pBdr>
      <w:spacing w:before="100" w:after="100"/>
      <w:textAlignment w:val="center"/>
    </w:pPr>
    <w:rPr>
      <w:rFonts w:ascii="Arial" w:hAnsi="Arial" w:eastAsia="Gulim;굴림" w:cs="Arial"/>
      <w:b/>
      <w:bCs/>
      <w:sz w:val="16"/>
      <w:szCs w:val="16"/>
      <w:lang w:val="en-US" w:eastAsia="ko-KR"/>
    </w:rPr>
  </w:style>
  <w:style w:type="paragraph" w:styleId="NormalWeb">
    <w:name w:val="Normal (Web)"/>
    <w:basedOn w:val="Normal"/>
    <w:qFormat/>
    <w:pPr>
      <w:spacing w:before="100" w:after="100"/>
    </w:pPr>
    <w:rPr>
      <w:rFonts w:eastAsia="Calibri"/>
      <w:sz w:val="24"/>
      <w:szCs w:val="24"/>
      <w:lang w:val="en-US"/>
    </w:rPr>
  </w:style>
  <w:style w:type="paragraph" w:styleId="Revision1">
    <w:name w:val="Revision1"/>
    <w:qFormat/>
    <w:pPr>
      <w:widowControl/>
      <w:bidi w:val="0"/>
    </w:pPr>
    <w:rPr>
      <w:rFonts w:ascii="Times New Roman" w:hAnsi="Times New Roman" w:eastAsia="Batang;바탕" w:cs="Times New Roman"/>
      <w:color w:val="auto"/>
      <w:sz w:val="20"/>
      <w:szCs w:val="20"/>
      <w:lang w:val="en-GB" w:bidi="ar-SA" w:eastAsia="zh-CN"/>
    </w:rPr>
  </w:style>
  <w:style w:type="paragraph" w:styleId="Style8">
    <w:name w:val="无间隔"/>
    <w:qFormat/>
    <w:pPr>
      <w:widowControl/>
      <w:bidi w:val="0"/>
    </w:pPr>
    <w:rPr>
      <w:rFonts w:ascii="Times New Roman" w:hAnsi="Times New Roman" w:eastAsia="SimSun;宋体" w:cs="Times New Roman"/>
      <w:color w:val="auto"/>
      <w:sz w:val="20"/>
      <w:szCs w:val="20"/>
      <w:lang w:val="en-GB" w:bidi="ar-SA" w:eastAsia="zh-CN"/>
    </w:rPr>
  </w:style>
  <w:style w:type="paragraph" w:styleId="Tac1">
    <w:name w:val="tac"/>
    <w:basedOn w:val="Normal"/>
    <w:qFormat/>
    <w:pPr>
      <w:spacing w:before="100" w:after="100"/>
    </w:pPr>
    <w:rPr>
      <w:rFonts w:eastAsia="Calibri"/>
      <w:sz w:val="24"/>
      <w:szCs w:val="24"/>
      <w:lang w:val="en-US"/>
    </w:rPr>
  </w:style>
  <w:style w:type="paragraph" w:styleId="Style9">
    <w:name w:val="样式 页眉"/>
    <w:basedOn w:val="Header"/>
    <w:qFormat/>
    <w:pPr/>
    <w:rPr>
      <w:rFonts w:eastAsia="Arial"/>
      <w:bCs/>
      <w:sz w:val="22"/>
      <w:lang w:val="en-GB"/>
    </w:rPr>
  </w:style>
  <w:style w:type="paragraph" w:styleId="Style10">
    <w:name w:val="列出段落"/>
    <w:basedOn w:val="Normal"/>
    <w:qFormat/>
    <w:pPr>
      <w:overflowPunct w:val="false"/>
      <w:autoSpaceDE w:val="false"/>
      <w:ind w:firstLine="420"/>
      <w:textAlignment w:val="baseline"/>
    </w:pPr>
    <w:rPr>
      <w:rFonts w:eastAsia="Times New Roman"/>
    </w:rPr>
  </w:style>
  <w:style w:type="paragraph" w:styleId="Date">
    <w:name w:val="Date"/>
    <w:basedOn w:val="Normal"/>
    <w:next w:val="Normal"/>
    <w:qFormat/>
    <w:pPr>
      <w:overflowPunct w:val="false"/>
      <w:autoSpaceDE w:val="false"/>
      <w:ind w:left="100" w:hanging="0"/>
      <w:textAlignment w:val="baseline"/>
    </w:pPr>
    <w:rPr/>
  </w:style>
  <w:style w:type="paragraph" w:styleId="Tah1">
    <w:name w:val="tah"/>
    <w:basedOn w:val="Normal"/>
    <w:qFormat/>
    <w:pPr>
      <w:keepNext w:val="true"/>
      <w:spacing w:before="0" w:after="0"/>
      <w:jc w:val="center"/>
    </w:pPr>
    <w:rPr>
      <w:rFonts w:ascii="Arial" w:hAnsi="Arial" w:eastAsia="PMingLiU;新細明體" w:cs="Arial"/>
      <w:b/>
      <w:bCs/>
      <w:sz w:val="18"/>
      <w:szCs w:val="18"/>
      <w:lang w:val="sv-SE"/>
    </w:rPr>
  </w:style>
  <w:style w:type="paragraph" w:styleId="Fp1">
    <w:name w:val="fp"/>
    <w:basedOn w:val="Normal"/>
    <w:qFormat/>
    <w:pPr>
      <w:spacing w:before="0" w:after="0"/>
    </w:pPr>
    <w:rPr>
      <w:rFonts w:eastAsia="PMingLiU;新細明體"/>
      <w:lang w:val="sv-SE"/>
    </w:rPr>
  </w:style>
  <w:style w:type="paragraph" w:styleId="TableContents">
    <w:name w:val="Table Contents"/>
    <w:basedOn w:val="Normal"/>
    <w:qFormat/>
    <w:pPr>
      <w:suppressLineNumbers/>
      <w:suppressAutoHyphens w:val="true"/>
      <w:overflowPunct w:val="false"/>
      <w:autoSpaceDE w:val="false"/>
      <w:textAlignment w:val="baseline"/>
    </w:pPr>
    <w:rPr>
      <w:rFonts w:eastAsia="Times New Roman"/>
    </w:rPr>
  </w:style>
  <w:style w:type="paragraph" w:styleId="TableHeading">
    <w:name w:val="Table Heading"/>
    <w:basedOn w:val="TableContents"/>
    <w:qFormat/>
    <w:pPr>
      <w:jc w:val="center"/>
    </w:pPr>
    <w:rPr>
      <w:b/>
      <w:bCs/>
    </w:rPr>
  </w:style>
  <w:style w:type="paragraph" w:styleId="History">
    <w:name w:val="History"/>
    <w:qFormat/>
    <w:pPr>
      <w:widowControl/>
      <w:bidi w:val="0"/>
    </w:pPr>
    <w:rPr>
      <w:rFonts w:ascii="Arial" w:hAnsi="Arial" w:eastAsia="MS Mincho;ＭＳ 明朝" w:cs="Arial"/>
      <w:color w:val="auto"/>
      <w:sz w:val="36"/>
      <w:szCs w:val="20"/>
      <w:lang w:val="en-GB" w:eastAsia="en-US" w:bidi="ar-SA"/>
    </w:rPr>
  </w:style>
  <w:style w:type="paragraph" w:styleId="11BodyText">
    <w:name w:val="11 BodyText"/>
    <w:basedOn w:val="Normal"/>
    <w:qFormat/>
    <w:pPr>
      <w:spacing w:before="0" w:after="220"/>
      <w:ind w:left="1298" w:hanging="0"/>
    </w:pPr>
    <w:rPr>
      <w:rFonts w:ascii="Arial" w:hAnsi="Arial" w:cs="Arial"/>
      <w:sz w:val="22"/>
      <w:lang w:val="en-US"/>
    </w:rPr>
  </w:style>
  <w:style w:type="paragraph" w:styleId="NumberedList0">
    <w:name w:val="Numbered List 0"/>
    <w:basedOn w:val="Normal"/>
    <w:qFormat/>
    <w:pPr>
      <w:numPr>
        <w:ilvl w:val="0"/>
        <w:numId w:val="33"/>
      </w:numPr>
      <w:spacing w:before="0" w:after="220"/>
      <w:ind w:left="1298" w:hanging="1298"/>
    </w:pPr>
    <w:rPr>
      <w:rFonts w:ascii="Arial" w:hAnsi="Arial" w:eastAsia="Times New Roman" w:cs="Arial"/>
      <w:sz w:val="22"/>
      <w:lang w:val="en-US"/>
    </w:rPr>
  </w:style>
  <w:style w:type="paragraph" w:styleId="Bull1">
    <w:name w:val="bull1"/>
    <w:qFormat/>
    <w:pPr>
      <w:widowControl/>
      <w:numPr>
        <w:ilvl w:val="0"/>
        <w:numId w:val="20"/>
      </w:numPr>
      <w:bidi w:val="0"/>
      <w:spacing w:before="60" w:after="60"/>
    </w:pPr>
    <w:rPr>
      <w:rFonts w:ascii="Arial" w:hAnsi="Arial" w:eastAsia="Times New Roman" w:cs="Arial"/>
      <w:color w:val="auto"/>
      <w:sz w:val="22"/>
      <w:szCs w:val="20"/>
      <w:lang w:val="en-GB" w:bidi="ar-SA" w:eastAsia="zh-CN"/>
    </w:rPr>
  </w:style>
  <w:style w:type="paragraph" w:styleId="Bull2">
    <w:name w:val="bull2"/>
    <w:qFormat/>
    <w:pPr>
      <w:widowControl/>
      <w:numPr>
        <w:ilvl w:val="0"/>
        <w:numId w:val="8"/>
      </w:numPr>
      <w:tabs>
        <w:tab w:val="clear" w:pos="284"/>
        <w:tab w:val="left" w:pos="717" w:leader="none"/>
      </w:tabs>
      <w:bidi w:val="0"/>
      <w:ind w:left="717" w:hanging="0"/>
      <w:jc w:val="both"/>
    </w:pPr>
    <w:rPr>
      <w:rFonts w:ascii="Arial" w:hAnsi="Arial" w:eastAsia="Times New Roman" w:cs="Arial"/>
      <w:color w:val="auto"/>
      <w:sz w:val="22"/>
      <w:szCs w:val="20"/>
      <w:lang w:val="en-GB" w:bidi="ar-SA" w:eastAsia="zh-CN"/>
    </w:rPr>
  </w:style>
  <w:style w:type="paragraph" w:styleId="Text">
    <w:name w:val="text"/>
    <w:qFormat/>
    <w:pPr>
      <w:widowControl/>
      <w:numPr>
        <w:ilvl w:val="0"/>
        <w:numId w:val="18"/>
      </w:numPr>
      <w:tabs>
        <w:tab w:val="clear" w:pos="284"/>
      </w:tabs>
      <w:bidi w:val="0"/>
      <w:spacing w:before="0" w:after="120"/>
      <w:ind w:left="0" w:hanging="0"/>
      <w:jc w:val="both"/>
    </w:pPr>
    <w:rPr>
      <w:rFonts w:ascii="Arial" w:hAnsi="Arial" w:eastAsia="Times New Roman" w:cs="Arial"/>
      <w:color w:val="auto"/>
      <w:sz w:val="22"/>
      <w:szCs w:val="22"/>
      <w:lang w:val="en-GB" w:bidi="ar-SA" w:eastAsia="zh-CN"/>
    </w:rPr>
  </w:style>
  <w:style w:type="paragraph" w:styleId="Equqtion">
    <w:name w:val="equqtion"/>
    <w:qFormat/>
    <w:pPr>
      <w:widowControl w:val="false"/>
      <w:autoSpaceDE w:val="false"/>
      <w:bidi w:val="0"/>
      <w:spacing w:before="240" w:after="240"/>
      <w:jc w:val="both"/>
    </w:pPr>
    <w:rPr>
      <w:rFonts w:ascii="Arial" w:hAnsi="Arial" w:eastAsia="Times New Roman" w:cs="Arial"/>
      <w:color w:val="auto"/>
      <w:sz w:val="22"/>
      <w:szCs w:val="20"/>
      <w:lang w:val="en-US" w:bidi="ar-SA" w:eastAsia="zh-CN"/>
    </w:rPr>
  </w:style>
  <w:style w:type="paragraph" w:styleId="Subtopic">
    <w:name w:val="Subtopic"/>
    <w:qFormat/>
    <w:pPr>
      <w:widowControl/>
      <w:bidi w:val="0"/>
      <w:spacing w:before="0" w:after="120"/>
    </w:pPr>
    <w:rPr>
      <w:rFonts w:ascii="Arial" w:hAnsi="Arial" w:eastAsia="Times New Roman" w:cs="Arial"/>
      <w:b/>
      <w:bCs/>
      <w:color w:val="auto"/>
      <w:sz w:val="22"/>
      <w:szCs w:val="20"/>
      <w:lang w:val="en-GB" w:bidi="ar-SA" w:eastAsia="zh-CN"/>
    </w:rPr>
  </w:style>
  <w:style w:type="paragraph" w:styleId="Figura">
    <w:name w:val="Figura"/>
    <w:qFormat/>
    <w:pPr>
      <w:widowControl/>
      <w:bidi w:val="0"/>
      <w:spacing w:before="120" w:after="120"/>
      <w:ind w:left="1418" w:right="1418" w:hanging="0"/>
      <w:jc w:val="both"/>
    </w:pPr>
    <w:rPr>
      <w:rFonts w:ascii="Arial" w:hAnsi="Arial" w:eastAsia="Times New Roman" w:cs="Arial"/>
      <w:b/>
      <w:bCs/>
      <w:color w:val="auto"/>
      <w:sz w:val="20"/>
      <w:szCs w:val="20"/>
      <w:lang w:val="en-GB" w:bidi="ar-SA" w:eastAsia="zh-CN"/>
    </w:rPr>
  </w:style>
  <w:style w:type="paragraph" w:styleId="Tabla">
    <w:name w:val="Tabla"/>
    <w:qFormat/>
    <w:pPr>
      <w:widowControl/>
      <w:bidi w:val="0"/>
      <w:spacing w:before="120" w:after="120"/>
      <w:ind w:left="567" w:right="567" w:hanging="0"/>
      <w:jc w:val="center"/>
    </w:pPr>
    <w:rPr>
      <w:rFonts w:ascii="Arial" w:hAnsi="Arial" w:eastAsia="Times New Roman" w:cs="Arial"/>
      <w:b/>
      <w:bCs/>
      <w:color w:val="auto"/>
      <w:sz w:val="20"/>
      <w:szCs w:val="20"/>
      <w:lang w:val="en-US" w:bidi="ar-SA" w:eastAsia="zh-CN"/>
    </w:rPr>
  </w:style>
  <w:style w:type="paragraph" w:styleId="Figure">
    <w:name w:val="Figure"/>
    <w:next w:val="Text"/>
    <w:qFormat/>
    <w:pPr>
      <w:keepNext w:val="true"/>
      <w:widowControl/>
      <w:numPr>
        <w:ilvl w:val="0"/>
        <w:numId w:val="24"/>
      </w:numPr>
      <w:bidi w:val="0"/>
      <w:spacing w:before="0" w:after="120"/>
    </w:pPr>
    <w:rPr>
      <w:rFonts w:ascii="Times New Roman" w:hAnsi="Times New Roman" w:eastAsia="Times New Roman" w:cs="Times New Roman"/>
      <w:color w:val="auto"/>
      <w:sz w:val="18"/>
      <w:szCs w:val="20"/>
      <w:lang w:val="en-US" w:bidi="ar-SA" w:eastAsia="zh-CN"/>
    </w:rPr>
  </w:style>
  <w:style w:type="paragraph" w:styleId="Bullet1">
    <w:name w:val="bullet1"/>
    <w:next w:val="Normal"/>
    <w:qFormat/>
    <w:pPr>
      <w:widowControl/>
      <w:tabs>
        <w:tab w:val="clear" w:pos="284"/>
        <w:tab w:val="left" w:pos="360" w:leader="none"/>
      </w:tabs>
      <w:bidi w:val="0"/>
      <w:ind w:left="360" w:hanging="360"/>
      <w:jc w:val="both"/>
      <w:outlineLvl w:val="0"/>
    </w:pPr>
    <w:rPr>
      <w:rFonts w:ascii="Times New Roman" w:hAnsi="Times New Roman" w:eastAsia="Times New Roman" w:cs="Times New Roman"/>
      <w:color w:val="auto"/>
      <w:sz w:val="20"/>
      <w:szCs w:val="20"/>
      <w:lang w:val="en-GB" w:bidi="ar-SA" w:eastAsia="zh-CN"/>
    </w:rPr>
  </w:style>
  <w:style w:type="paragraph" w:styleId="Abstract">
    <w:name w:val="Abstract"/>
    <w:qFormat/>
    <w:pPr>
      <w:widowControl/>
      <w:bidi w:val="0"/>
      <w:ind w:left="567" w:right="567" w:hanging="0"/>
    </w:pPr>
    <w:rPr>
      <w:rFonts w:ascii="Times New Roman" w:hAnsi="Times New Roman" w:eastAsia="Times New Roman" w:cs="Times New Roman"/>
      <w:color w:val="auto"/>
      <w:sz w:val="20"/>
      <w:szCs w:val="20"/>
      <w:lang w:val="en-GB" w:bidi="ar-SA" w:eastAsia="zh-CN"/>
    </w:rPr>
  </w:style>
  <w:style w:type="paragraph" w:styleId="Equation">
    <w:name w:val="equation"/>
    <w:next w:val="Normal"/>
    <w:qFormat/>
    <w:pPr>
      <w:widowControl/>
      <w:bidi w:val="0"/>
      <w:spacing w:before="120" w:after="0"/>
      <w:jc w:val="center"/>
    </w:pPr>
    <w:rPr>
      <w:rFonts w:ascii="Times New Roman" w:hAnsi="Times New Roman" w:eastAsia="Times New Roman" w:cs="Times New Roman"/>
      <w:color w:val="auto"/>
      <w:sz w:val="20"/>
      <w:szCs w:val="20"/>
      <w:lang w:val="en-GB" w:bidi="ar-SA" w:eastAsia="zh-CN"/>
    </w:rPr>
  </w:style>
  <w:style w:type="paragraph" w:styleId="Appendix">
    <w:name w:val="Closing"/>
    <w:next w:val="Text"/>
    <w:pPr>
      <w:widowControl/>
      <w:numPr>
        <w:ilvl w:val="0"/>
        <w:numId w:val="21"/>
      </w:numPr>
      <w:tabs>
        <w:tab w:val="clear" w:pos="284"/>
        <w:tab w:val="left" w:pos="432" w:leader="none"/>
      </w:tabs>
      <w:bidi w:val="0"/>
      <w:spacing w:before="120" w:after="120"/>
      <w:ind w:left="431" w:hanging="431"/>
    </w:pPr>
    <w:rPr>
      <w:rFonts w:ascii="Arial" w:hAnsi="Arial" w:eastAsia="Times New Roman" w:cs="Arial"/>
      <w:b/>
      <w:caps/>
      <w:color w:val="auto"/>
      <w:sz w:val="28"/>
      <w:szCs w:val="20"/>
      <w:lang w:val="en-GB" w:bidi="ar-SA" w:eastAsia="zh-CN"/>
    </w:rPr>
  </w:style>
  <w:style w:type="paragraph" w:styleId="Appendix1">
    <w:name w:val="Appendix 1"/>
    <w:basedOn w:val="Normal"/>
    <w:qFormat/>
    <w:pPr>
      <w:numPr>
        <w:ilvl w:val="0"/>
        <w:numId w:val="9"/>
      </w:numPr>
      <w:tabs>
        <w:tab w:val="clear" w:pos="284"/>
        <w:tab w:val="left" w:pos="1080" w:leader="none"/>
      </w:tabs>
      <w:spacing w:before="0" w:after="120"/>
      <w:ind w:left="1080" w:hanging="360"/>
    </w:pPr>
    <w:rPr>
      <w:rFonts w:ascii="Arial" w:hAnsi="Arial" w:eastAsia="Times New Roman" w:cs="Arial"/>
      <w:b/>
      <w:sz w:val="24"/>
      <w:szCs w:val="24"/>
    </w:rPr>
  </w:style>
  <w:style w:type="paragraph" w:styleId="00BodyText">
    <w:name w:val="00 BodyText"/>
    <w:basedOn w:val="Normal"/>
    <w:qFormat/>
    <w:pPr>
      <w:spacing w:before="0" w:after="220"/>
      <w:jc w:val="both"/>
    </w:pPr>
    <w:rPr>
      <w:rFonts w:ascii="Arial" w:hAnsi="Arial" w:eastAsia="Times New Roman" w:cs="Arial"/>
      <w:b/>
      <w:sz w:val="22"/>
      <w:lang w:val="en-US"/>
    </w:rPr>
  </w:style>
  <w:style w:type="paragraph" w:styleId="Paragraphe">
    <w:name w:val="Paragraphe"/>
    <w:basedOn w:val="Normal"/>
    <w:qFormat/>
    <w:pPr>
      <w:spacing w:before="0" w:after="120"/>
      <w:jc w:val="both"/>
    </w:pPr>
    <w:rPr>
      <w:rFonts w:eastAsia="Times New Roman"/>
      <w:sz w:val="22"/>
      <w:lang w:val="fr-FR"/>
    </w:rPr>
  </w:style>
  <w:style w:type="paragraph" w:styleId="BodyTextIndent3">
    <w:name w:val="Body Text Indent 3"/>
    <w:basedOn w:val="Normal"/>
    <w:qFormat/>
    <w:pPr>
      <w:autoSpaceDE w:val="false"/>
      <w:spacing w:before="0" w:after="0"/>
      <w:ind w:left="1440" w:hanging="1440"/>
      <w:jc w:val="both"/>
    </w:pPr>
    <w:rPr>
      <w:sz w:val="24"/>
      <w:lang w:val="en-US"/>
    </w:rPr>
  </w:style>
  <w:style w:type="paragraph" w:styleId="Style11BodyTextTimesNewRoman12ptLeft0cm">
    <w:name w:val="Style 11 BodyText + Times New Roman 12 pt Left:  0 cm"/>
    <w:basedOn w:val="11BodyText"/>
    <w:qFormat/>
    <w:pPr>
      <w:ind w:left="0" w:hanging="0"/>
      <w:jc w:val="both"/>
    </w:pPr>
    <w:rPr>
      <w:rFonts w:ascii="Times New Roman" w:hAnsi="Times New Roman" w:cs="Times New Roman"/>
      <w:sz w:val="24"/>
    </w:rPr>
  </w:style>
  <w:style w:type="paragraph" w:styleId="Style11BodyTextLeft0cm">
    <w:name w:val="Style 11 BodyText + Left:  0 cm"/>
    <w:basedOn w:val="11BodyText"/>
    <w:qFormat/>
    <w:pPr>
      <w:ind w:left="0" w:hanging="0"/>
      <w:jc w:val="both"/>
    </w:pPr>
    <w:rPr/>
  </w:style>
  <w:style w:type="paragraph" w:styleId="References">
    <w:name w:val="References"/>
    <w:qFormat/>
    <w:pPr>
      <w:widowControl/>
      <w:numPr>
        <w:ilvl w:val="0"/>
        <w:numId w:val="6"/>
      </w:numPr>
      <w:bidi w:val="0"/>
      <w:spacing w:before="0" w:after="60"/>
      <w:jc w:val="both"/>
    </w:pPr>
    <w:rPr>
      <w:rFonts w:ascii="Arial" w:hAnsi="Arial" w:eastAsia="Times New Roman" w:cs="Arial"/>
      <w:color w:val="000000"/>
      <w:sz w:val="20"/>
      <w:szCs w:val="20"/>
      <w:lang w:val="en-GB" w:bidi="ar-SA" w:eastAsia="zh-CN"/>
    </w:rPr>
  </w:style>
  <w:style w:type="paragraph" w:styleId="Berschrift">
    <w:name w:val="Überschrift"/>
    <w:basedOn w:val="Normal"/>
    <w:next w:val="TextBody"/>
    <w:qFormat/>
    <w:pPr>
      <w:keepNext w:val="true"/>
      <w:numPr>
        <w:ilvl w:val="0"/>
        <w:numId w:val="23"/>
      </w:numPr>
      <w:tabs>
        <w:tab w:val="clear" w:pos="284"/>
      </w:tabs>
      <w:suppressAutoHyphens w:val="true"/>
      <w:autoSpaceDE w:val="false"/>
      <w:spacing w:before="240" w:after="120"/>
      <w:ind w:left="0" w:hanging="0"/>
      <w:jc w:val="both"/>
    </w:pPr>
    <w:rPr>
      <w:rFonts w:ascii="Helvetica" w:hAnsi="Helvetica" w:eastAsia="Times New Roman" w:cs="Helvetica"/>
      <w:sz w:val="28"/>
      <w:szCs w:val="28"/>
      <w:lang w:val="en-US" w:eastAsia="en-US"/>
    </w:rPr>
  </w:style>
  <w:style w:type="paragraph" w:styleId="TextkrperEinzug">
    <w:name w:val="Textkörper Einzug"/>
    <w:basedOn w:val="Normal"/>
    <w:qFormat/>
    <w:pPr>
      <w:suppressAutoHyphens w:val="true"/>
      <w:autoSpaceDE w:val="false"/>
      <w:spacing w:before="0" w:after="120"/>
      <w:ind w:left="720" w:firstLine="1"/>
      <w:jc w:val="both"/>
    </w:pPr>
    <w:rPr>
      <w:rFonts w:eastAsia="Times New Roman"/>
      <w:sz w:val="22"/>
      <w:szCs w:val="22"/>
      <w:lang w:val="en-US" w:eastAsia="en-US"/>
    </w:rPr>
  </w:style>
  <w:style w:type="paragraph" w:styleId="ContactAddress">
    <w:name w:val="ContactAddress"/>
    <w:basedOn w:val="Normal"/>
    <w:qFormat/>
    <w:pPr>
      <w:tabs>
        <w:tab w:val="clear" w:pos="284"/>
        <w:tab w:val="left" w:pos="12330" w:leader="none"/>
      </w:tabs>
      <w:suppressAutoHyphens w:val="true"/>
      <w:autoSpaceDE w:val="false"/>
      <w:spacing w:lineRule="atLeast" w:line="240" w:before="0" w:after="360"/>
      <w:jc w:val="center"/>
    </w:pPr>
    <w:rPr>
      <w:rFonts w:eastAsia="Times New Roman"/>
      <w:sz w:val="22"/>
      <w:szCs w:val="22"/>
      <w:lang w:val="en-US" w:eastAsia="en-US"/>
    </w:rPr>
  </w:style>
  <w:style w:type="paragraph" w:styleId="Headline">
    <w:name w:val="Headline"/>
    <w:basedOn w:val="Normal"/>
    <w:next w:val="Normal"/>
    <w:qFormat/>
    <w:pPr>
      <w:suppressAutoHyphens w:val="true"/>
      <w:autoSpaceDE w:val="false"/>
      <w:spacing w:lineRule="atLeast" w:line="240" w:before="480" w:after="120"/>
      <w:jc w:val="center"/>
    </w:pPr>
    <w:rPr>
      <w:rFonts w:eastAsia="Times New Roman"/>
      <w:b/>
      <w:bCs/>
      <w:sz w:val="28"/>
      <w:szCs w:val="28"/>
      <w:lang w:val="en-US" w:eastAsia="en-US"/>
    </w:rPr>
  </w:style>
  <w:style w:type="paragraph" w:styleId="Table1">
    <w:name w:val="Table"/>
    <w:next w:val="Text"/>
    <w:qFormat/>
    <w:pPr>
      <w:widowControl/>
      <w:numPr>
        <w:ilvl w:val="0"/>
        <w:numId w:val="3"/>
      </w:numPr>
      <w:suppressAutoHyphens w:val="true"/>
      <w:autoSpaceDE w:val="false"/>
      <w:bidi w:val="0"/>
      <w:spacing w:before="120" w:after="240"/>
      <w:jc w:val="center"/>
    </w:pPr>
    <w:rPr>
      <w:rFonts w:ascii="Times New Roman" w:hAnsi="Times New Roman" w:eastAsia="Times New Roman" w:cs="Times New Roman"/>
      <w:color w:val="auto"/>
      <w:sz w:val="20"/>
      <w:szCs w:val="20"/>
      <w:lang w:val="en-US" w:eastAsia="en-US" w:bidi="ar-SA"/>
    </w:rPr>
  </w:style>
  <w:style w:type="paragraph" w:styleId="Indent">
    <w:name w:val="Indent"/>
    <w:basedOn w:val="Normal"/>
    <w:qFormat/>
    <w:pPr>
      <w:suppressAutoHyphens w:val="true"/>
      <w:autoSpaceDE w:val="false"/>
      <w:spacing w:before="0" w:after="120"/>
      <w:ind w:left="567" w:hanging="284"/>
      <w:jc w:val="both"/>
    </w:pPr>
    <w:rPr>
      <w:rFonts w:eastAsia="Times New Roman"/>
      <w:sz w:val="22"/>
      <w:szCs w:val="22"/>
      <w:lang w:val="en-US" w:eastAsia="en-US"/>
    </w:rPr>
  </w:style>
  <w:style w:type="paragraph" w:styleId="AbstractText">
    <w:name w:val="Abstract Text"/>
    <w:basedOn w:val="Abstract"/>
    <w:qFormat/>
    <w:pPr>
      <w:suppressAutoHyphens w:val="true"/>
      <w:autoSpaceDE w:val="false"/>
      <w:spacing w:before="0" w:after="120"/>
      <w:ind w:left="289" w:right="289" w:hanging="0"/>
      <w:jc w:val="both"/>
    </w:pPr>
    <w:rPr>
      <w:i/>
      <w:iCs/>
      <w:lang w:val="en-US" w:eastAsia="en-US"/>
    </w:rPr>
  </w:style>
  <w:style w:type="paragraph" w:styleId="Tableheader">
    <w:name w:val="table header"/>
    <w:basedOn w:val="Normal"/>
    <w:next w:val="Table1"/>
    <w:qFormat/>
    <w:pPr>
      <w:keepNext w:val="true"/>
      <w:numPr>
        <w:ilvl w:val="0"/>
        <w:numId w:val="10"/>
      </w:numPr>
      <w:tabs>
        <w:tab w:val="clear" w:pos="284"/>
      </w:tabs>
      <w:suppressAutoHyphens w:val="true"/>
      <w:autoSpaceDE w:val="false"/>
      <w:spacing w:before="0" w:after="120"/>
      <w:ind w:hanging="0"/>
      <w:jc w:val="both"/>
    </w:pPr>
    <w:rPr>
      <w:rFonts w:eastAsia="Times New Roman"/>
      <w:sz w:val="22"/>
      <w:szCs w:val="22"/>
      <w:lang w:val="en-US" w:eastAsia="en-US"/>
    </w:rPr>
  </w:style>
  <w:style w:type="paragraph" w:styleId="Authors">
    <w:name w:val="Authors"/>
    <w:basedOn w:val="Normal"/>
    <w:qFormat/>
    <w:pPr>
      <w:numPr>
        <w:ilvl w:val="0"/>
        <w:numId w:val="13"/>
      </w:numPr>
      <w:tabs>
        <w:tab w:val="clear" w:pos="284"/>
      </w:tabs>
      <w:suppressAutoHyphens w:val="true"/>
      <w:autoSpaceDE w:val="false"/>
      <w:spacing w:before="0" w:after="120"/>
      <w:ind w:hanging="0"/>
      <w:jc w:val="center"/>
    </w:pPr>
    <w:rPr>
      <w:rFonts w:eastAsia="Times New Roman"/>
      <w:b/>
      <w:bCs/>
      <w:sz w:val="24"/>
      <w:szCs w:val="24"/>
      <w:lang w:val="en-US" w:eastAsia="en-US"/>
    </w:rPr>
  </w:style>
  <w:style w:type="paragraph" w:styleId="TabellenInhalt">
    <w:name w:val="Tabellen Inhalt"/>
    <w:basedOn w:val="TextBody"/>
    <w:qFormat/>
    <w:pPr>
      <w:suppressAutoHyphens w:val="true"/>
      <w:autoSpaceDE w:val="false"/>
      <w:spacing w:before="120" w:after="120"/>
      <w:jc w:val="both"/>
    </w:pPr>
    <w:rPr>
      <w:rFonts w:ascii="Times New Roman" w:hAnsi="Times New Roman" w:eastAsia="Times New Roman" w:cs="Times New Roman"/>
      <w:sz w:val="22"/>
      <w:szCs w:val="22"/>
      <w:lang w:val="en-US" w:eastAsia="en-US"/>
    </w:rPr>
  </w:style>
  <w:style w:type="paragraph" w:styleId="Tabellenberschrift">
    <w:name w:val="Tabellen Überschrift"/>
    <w:basedOn w:val="TabellenInhalt"/>
    <w:qFormat/>
    <w:pPr>
      <w:jc w:val="center"/>
    </w:pPr>
    <w:rPr>
      <w:b/>
      <w:bCs/>
      <w:i/>
      <w:iCs/>
    </w:rPr>
  </w:style>
  <w:style w:type="paragraph" w:styleId="T3">
    <w:name w:val="T3"/>
    <w:basedOn w:val="Normal"/>
    <w:qFormat/>
    <w:pPr>
      <w:spacing w:before="240" w:after="0"/>
      <w:ind w:left="851" w:hanging="0"/>
      <w:jc w:val="both"/>
    </w:pPr>
    <w:rPr>
      <w:rFonts w:ascii="Arial" w:hAnsi="Arial" w:eastAsia="Times New Roman" w:cs="Arial"/>
    </w:rPr>
  </w:style>
  <w:style w:type="paragraph" w:styleId="T1">
    <w:name w:val="T 1"/>
    <w:basedOn w:val="Normal"/>
    <w:qFormat/>
    <w:pPr>
      <w:spacing w:before="240" w:after="0"/>
      <w:ind w:left="567" w:hanging="0"/>
      <w:jc w:val="both"/>
    </w:pPr>
    <w:rPr>
      <w:rFonts w:ascii="Arial" w:hAnsi="Arial" w:eastAsia="Times New Roman" w:cs="Arial"/>
    </w:rPr>
  </w:style>
  <w:style w:type="paragraph" w:styleId="T21">
    <w:name w:val="T2"/>
    <w:basedOn w:val="T1"/>
    <w:qFormat/>
    <w:pPr/>
    <w:rPr/>
  </w:style>
  <w:style w:type="paragraph" w:styleId="Default">
    <w:name w:val="Default"/>
    <w:qFormat/>
    <w:pPr>
      <w:widowControl/>
      <w:autoSpaceDE w:val="false"/>
      <w:bidi w:val="0"/>
    </w:pPr>
    <w:rPr>
      <w:rFonts w:ascii="TimesNewRoman;Times New Roman" w:hAnsi="TimesNewRoman;Times New Roman" w:eastAsia="Times New Roman" w:cs="TimesNewRoman;Times New Roman"/>
      <w:color w:val="auto"/>
      <w:sz w:val="20"/>
      <w:szCs w:val="20"/>
      <w:lang w:val="fr-FR" w:bidi="ar-SA" w:eastAsia="zh-CN"/>
    </w:rPr>
  </w:style>
  <w:style w:type="paragraph" w:styleId="Abbreviation">
    <w:name w:val="Abbreviation"/>
    <w:qFormat/>
    <w:pPr>
      <w:widowControl/>
      <w:bidi w:val="0"/>
      <w:spacing w:lineRule="auto" w:line="360"/>
      <w:ind w:left="851" w:hanging="0"/>
    </w:pPr>
    <w:rPr>
      <w:rFonts w:ascii="Times New Roman" w:hAnsi="Times New Roman" w:eastAsia="Times New Roman" w:cs="Times New Roman"/>
      <w:color w:val="auto"/>
      <w:sz w:val="24"/>
      <w:szCs w:val="22"/>
      <w:lang w:val="en-GB" w:bidi="ar-SA" w:eastAsia="zh-CN"/>
    </w:rPr>
  </w:style>
  <w:style w:type="paragraph" w:styleId="Appx">
    <w:name w:val="Appx"/>
    <w:next w:val="Text"/>
    <w:qFormat/>
    <w:pPr>
      <w:widowControl/>
      <w:numPr>
        <w:ilvl w:val="0"/>
        <w:numId w:val="4"/>
      </w:numPr>
      <w:bidi w:val="0"/>
    </w:pPr>
    <w:rPr>
      <w:rFonts w:ascii="Times New Roman" w:hAnsi="Times New Roman" w:eastAsia="Times New Roman" w:cs="Times New Roman"/>
      <w:color w:val="auto"/>
      <w:sz w:val="20"/>
      <w:szCs w:val="20"/>
      <w:lang w:val="en-GB" w:bidi="ar-SA" w:eastAsia="zh-CN"/>
    </w:rPr>
  </w:style>
  <w:style w:type="paragraph" w:styleId="Appx1">
    <w:name w:val="Appx 1"/>
    <w:next w:val="Text"/>
    <w:qFormat/>
    <w:pPr>
      <w:widowControl/>
      <w:numPr>
        <w:ilvl w:val="0"/>
        <w:numId w:val="2"/>
      </w:numPr>
      <w:bidi w:val="0"/>
    </w:pPr>
    <w:rPr>
      <w:rFonts w:ascii="Times New Roman" w:hAnsi="Times New Roman" w:eastAsia="Times New Roman" w:cs="Times New Roman"/>
      <w:color w:val="auto"/>
      <w:sz w:val="20"/>
      <w:szCs w:val="20"/>
      <w:lang w:val="sv-SE" w:bidi="ar-SA" w:eastAsia="zh-CN"/>
    </w:rPr>
  </w:style>
  <w:style w:type="paragraph" w:styleId="Equ">
    <w:name w:val="equ"/>
    <w:next w:val="Text"/>
    <w:qFormat/>
    <w:pPr>
      <w:widowControl/>
      <w:numPr>
        <w:ilvl w:val="0"/>
        <w:numId w:val="11"/>
      </w:numPr>
      <w:bidi w:val="0"/>
      <w:jc w:val="center"/>
    </w:pPr>
    <w:rPr>
      <w:rFonts w:ascii="Times New Roman" w:hAnsi="Times New Roman" w:eastAsia="Times New Roman" w:cs="Times New Roman"/>
      <w:color w:val="auto"/>
      <w:sz w:val="20"/>
      <w:szCs w:val="20"/>
      <w:lang w:val="en-GB" w:bidi="ar-SA" w:eastAsia="zh-CN"/>
    </w:rPr>
  </w:style>
  <w:style w:type="paragraph" w:styleId="Style11BodyTextNokiaStandardLight">
    <w:name w:val="Style 11 BodyText + Nokia Standard Light"/>
    <w:basedOn w:val="11BodyText"/>
    <w:qFormat/>
    <w:pPr>
      <w:overflowPunct w:val="false"/>
      <w:autoSpaceDE w:val="false"/>
      <w:textAlignment w:val="baseline"/>
    </w:pPr>
    <w:rPr>
      <w:rFonts w:ascii="Nokia Standard Light;Verdana" w:hAnsi="Nokia Standard Light;Verdana" w:cs="Nokia Standard Light;Verdana"/>
    </w:rPr>
  </w:style>
  <w:style w:type="paragraph" w:styleId="Bild">
    <w:name w:val="Bild"/>
    <w:basedOn w:val="TextBody"/>
    <w:next w:val="WWCaption"/>
    <w:qFormat/>
    <w:pPr>
      <w:keepNext w:val="true"/>
      <w:keepLines/>
      <w:spacing w:before="0" w:after="120"/>
      <w:jc w:val="center"/>
    </w:pPr>
    <w:rPr>
      <w:rFonts w:ascii="Times New Roman" w:hAnsi="Times New Roman" w:cs="Times New Roman"/>
      <w:lang w:val="en-AU"/>
    </w:rPr>
  </w:style>
  <w:style w:type="paragraph" w:styleId="TableContentBulleted">
    <w:name w:val="Table Content - Bulleted"/>
    <w:basedOn w:val="Normal"/>
    <w:qFormat/>
    <w:pPr>
      <w:numPr>
        <w:ilvl w:val="0"/>
        <w:numId w:val="7"/>
      </w:numPr>
    </w:pPr>
    <w:rPr/>
  </w:style>
  <w:style w:type="paragraph" w:styleId="FrameContents">
    <w:name w:val="Frame Contents"/>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 w:type="numbering" w:styleId="WW8Num48">
    <w:name w:val="WW8Num48"/>
    <w:qFormat/>
  </w:style>
  <w:style w:type="numbering" w:styleId="WW8Num49">
    <w:name w:val="WW8Num49"/>
    <w:qFormat/>
  </w:style>
  <w:style w:type="numbering" w:styleId="WW8Num50">
    <w:name w:val="WW8Num50"/>
    <w:qFormat/>
  </w:style>
  <w:style w:type="numbering" w:styleId="WW8Num51">
    <w:name w:val="WW8Num51"/>
    <w:qFormat/>
  </w:style>
  <w:style w:type="numbering" w:styleId="WW8Num52">
    <w:name w:val="WW8Num52"/>
    <w:qFormat/>
  </w:style>
  <w:style w:type="numbering" w:styleId="WW8Num53">
    <w:name w:val="WW8Num53"/>
    <w:qFormat/>
  </w:style>
  <w:style w:type="numbering" w:styleId="WW8Num54">
    <w:name w:val="WW8Num54"/>
    <w:qFormat/>
  </w:style>
  <w:style w:type="numbering" w:styleId="WW8Num55">
    <w:name w:val="WW8Num55"/>
    <w:qFormat/>
  </w:style>
  <w:style w:type="numbering" w:styleId="WW8Num56">
    <w:name w:val="WW8Num56"/>
    <w:qFormat/>
  </w:style>
  <w:style w:type="numbering" w:styleId="WW8Num57">
    <w:name w:val="WW8Num57"/>
    <w:qFormat/>
  </w:style>
  <w:style w:type="numbering" w:styleId="WW8Num58">
    <w:name w:val="WW8Num58"/>
    <w:qFormat/>
  </w:style>
  <w:style w:type="numbering" w:styleId="WW8Num59">
    <w:name w:val="WW8Num59"/>
    <w:qFormat/>
  </w:style>
  <w:style w:type="numbering" w:styleId="WW8Num60">
    <w:name w:val="WW8Num60"/>
    <w:qFormat/>
  </w:style>
  <w:style w:type="numbering" w:styleId="WW8Num61">
    <w:name w:val="WW8Num61"/>
    <w:qFormat/>
  </w:style>
  <w:style w:type="numbering" w:styleId="WW8Num62">
    <w:name w:val="WW8Num62"/>
    <w:qFormat/>
  </w:style>
  <w:style w:type="numbering" w:styleId="WW8Num63">
    <w:name w:val="WW8Num63"/>
    <w:qFormat/>
  </w:style>
  <w:style w:type="numbering" w:styleId="WW8Num64">
    <w:name w:val="WW8Num64"/>
    <w:qFormat/>
  </w:style>
  <w:style w:type="numbering" w:styleId="WW8Num65">
    <w:name w:val="WW8Num65"/>
    <w:qFormat/>
  </w:style>
  <w:style w:type="numbering" w:styleId="WW8Num66">
    <w:name w:val="WW8Num66"/>
    <w:qFormat/>
  </w:style>
  <w:style w:type="numbering" w:styleId="WW8Num67">
    <w:name w:val="WW8Num67"/>
    <w:qFormat/>
  </w:style>
  <w:style w:type="numbering" w:styleId="WW8Num68">
    <w:name w:val="WW8Num68"/>
    <w:qFormat/>
  </w:style>
  <w:style w:type="numbering" w:styleId="WW8Num69">
    <w:name w:val="WW8Num69"/>
    <w:qFormat/>
  </w:style>
  <w:style w:type="numbering" w:styleId="WW8Num70">
    <w:name w:val="WW8Num70"/>
    <w:qFormat/>
  </w:style>
  <w:style w:type="numbering" w:styleId="WW8Num71">
    <w:name w:val="WW8Num71"/>
    <w:qFormat/>
  </w:style>
  <w:style w:type="numbering" w:styleId="WW8Num72">
    <w:name w:val="WW8Num72"/>
    <w:qFormat/>
  </w:style>
  <w:style w:type="numbering" w:styleId="WW8Num73">
    <w:name w:val="WW8Num73"/>
    <w:qFormat/>
  </w:style>
  <w:style w:type="numbering" w:styleId="WW8Num74">
    <w:name w:val="WW8Num74"/>
    <w:qFormat/>
  </w:style>
  <w:style w:type="numbering" w:styleId="WW8Num75">
    <w:name w:val="WW8Num75"/>
    <w:qFormat/>
  </w:style>
  <w:style w:type="numbering" w:styleId="WW8Num76">
    <w:name w:val="WW8Num76"/>
    <w:qFormat/>
  </w:style>
  <w:style w:type="numbering" w:styleId="WW8Num77">
    <w:name w:val="WW8Num77"/>
    <w:qFormat/>
  </w:style>
  <w:style w:type="numbering" w:styleId="WW8Num78">
    <w:name w:val="WW8Num78"/>
    <w:qFormat/>
  </w:style>
  <w:style w:type="numbering" w:styleId="WW8Num79">
    <w:name w:val="WW8Num79"/>
    <w:qFormat/>
  </w:style>
  <w:style w:type="numbering" w:styleId="WW8Num80">
    <w:name w:val="WW8Num80"/>
    <w:qFormat/>
  </w:style>
  <w:style w:type="numbering" w:styleId="WW8Num81">
    <w:name w:val="WW8Num81"/>
    <w:qFormat/>
  </w:style>
  <w:style w:type="numbering" w:styleId="WW8Num82">
    <w:name w:val="WW8Num82"/>
    <w:qFormat/>
  </w:style>
  <w:style w:type="numbering" w:styleId="WW8Num83">
    <w:name w:val="WW8Num83"/>
    <w:qFormat/>
  </w:style>
  <w:style w:type="numbering" w:styleId="WW8Num84">
    <w:name w:val="WW8Num84"/>
    <w:qFormat/>
  </w:style>
  <w:style w:type="numbering" w:styleId="WW8Num85">
    <w:name w:val="WW8Num85"/>
    <w:qFormat/>
  </w:style>
  <w:style w:type="numbering" w:styleId="WW8Num86">
    <w:name w:val="WW8Num86"/>
    <w:qFormat/>
  </w:style>
  <w:style w:type="numbering" w:styleId="WW8Num87">
    <w:name w:val="WW8Num87"/>
    <w:qFormat/>
  </w:style>
  <w:style w:type="numbering" w:styleId="WW8Num88">
    <w:name w:val="WW8Num88"/>
    <w:qFormat/>
  </w:style>
  <w:style w:type="numbering" w:styleId="WW8Num89">
    <w:name w:val="WW8Num89"/>
    <w:qFormat/>
  </w:style>
  <w:style w:type="numbering" w:styleId="WW8Num90">
    <w:name w:val="WW8Num90"/>
    <w:qFormat/>
  </w:style>
  <w:style w:type="numbering" w:styleId="WW8Num91">
    <w:name w:val="WW8Num91"/>
    <w:qFormat/>
  </w:style>
  <w:style w:type="numbering" w:styleId="WW8Num92">
    <w:name w:val="WW8Num92"/>
    <w:qFormat/>
  </w:style>
  <w:style w:type="numbering" w:styleId="WW8Num93">
    <w:name w:val="WW8Num93"/>
    <w:qFormat/>
  </w:style>
  <w:style w:type="numbering" w:styleId="WW8Num94">
    <w:name w:val="WW8Num94"/>
    <w:qFormat/>
  </w:style>
  <w:style w:type="numbering" w:styleId="WW8Num95">
    <w:name w:val="WW8Num95"/>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 w:type="numbering" w:styleId="WW8StyleNum5">
    <w:name w:val="WW8StyleNum5"/>
    <w:qFormat/>
  </w:style>
  <w:style w:type="numbering" w:styleId="WW8StyleNum6">
    <w:name w:val="WW8StyleNum6"/>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wmf"/><Relationship Id="rId7" Type="http://schemas.openxmlformats.org/officeDocument/2006/relationships/image" Target="media/image4.wmf"/><Relationship Id="rId8" Type="http://schemas.openxmlformats.org/officeDocument/2006/relationships/image" Target="media/image5.wmf"/><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wmf"/><Relationship Id="rId15" Type="http://schemas.openxmlformats.org/officeDocument/2006/relationships/image" Target="media/image12.wmf"/><Relationship Id="rId16" Type="http://schemas.openxmlformats.org/officeDocument/2006/relationships/image" Target="media/image11.wmf"/><Relationship Id="rId17" Type="http://schemas.openxmlformats.org/officeDocument/2006/relationships/image" Target="media/image12.wmf"/><Relationship Id="rId18" Type="http://schemas.openxmlformats.org/officeDocument/2006/relationships/image" Target="media/image13.wmf"/><Relationship Id="rId19" Type="http://schemas.openxmlformats.org/officeDocument/2006/relationships/image" Target="media/image13.wmf"/><Relationship Id="rId20" Type="http://schemas.openxmlformats.org/officeDocument/2006/relationships/image" Target="media/image13.wmf"/><Relationship Id="rId21" Type="http://schemas.openxmlformats.org/officeDocument/2006/relationships/image" Target="media/image13.wmf"/><Relationship Id="rId22" Type="http://schemas.openxmlformats.org/officeDocument/2006/relationships/image" Target="media/image13.wmf"/><Relationship Id="rId23" Type="http://schemas.openxmlformats.org/officeDocument/2006/relationships/image" Target="media/image13.wmf"/><Relationship Id="rId24" Type="http://schemas.openxmlformats.org/officeDocument/2006/relationships/image" Target="media/image13.wmf"/><Relationship Id="rId25" Type="http://schemas.openxmlformats.org/officeDocument/2006/relationships/image" Target="media/image13.wmf"/><Relationship Id="rId26" Type="http://schemas.openxmlformats.org/officeDocument/2006/relationships/image" Target="media/image13.wmf"/><Relationship Id="rId27" Type="http://schemas.openxmlformats.org/officeDocument/2006/relationships/image" Target="media/image13.wmf"/><Relationship Id="rId28" Type="http://schemas.openxmlformats.org/officeDocument/2006/relationships/image" Target="media/image13.wmf"/><Relationship Id="rId29" Type="http://schemas.openxmlformats.org/officeDocument/2006/relationships/image" Target="media/image13.wmf"/><Relationship Id="rId30" Type="http://schemas.openxmlformats.org/officeDocument/2006/relationships/image" Target="media/image13.wmf"/><Relationship Id="rId31" Type="http://schemas.openxmlformats.org/officeDocument/2006/relationships/image" Target="media/image13.wmf"/><Relationship Id="rId32" Type="http://schemas.openxmlformats.org/officeDocument/2006/relationships/image" Target="media/image13.wmf"/><Relationship Id="rId33" Type="http://schemas.openxmlformats.org/officeDocument/2006/relationships/image" Target="media/image13.wmf"/><Relationship Id="rId34" Type="http://schemas.openxmlformats.org/officeDocument/2006/relationships/image" Target="media/image13.wmf"/><Relationship Id="rId35" Type="http://schemas.openxmlformats.org/officeDocument/2006/relationships/image" Target="media/image13.wmf"/><Relationship Id="rId36" Type="http://schemas.openxmlformats.org/officeDocument/2006/relationships/image" Target="media/image13.wmf"/><Relationship Id="rId37" Type="http://schemas.openxmlformats.org/officeDocument/2006/relationships/image" Target="media/image13.wmf"/><Relationship Id="rId38" Type="http://schemas.openxmlformats.org/officeDocument/2006/relationships/image" Target="media/image14.wmf"/><Relationship Id="rId39" Type="http://schemas.openxmlformats.org/officeDocument/2006/relationships/image" Target="media/image13.wmf"/><Relationship Id="rId40" Type="http://schemas.openxmlformats.org/officeDocument/2006/relationships/image" Target="media/image14.wmf"/><Relationship Id="rId41" Type="http://schemas.openxmlformats.org/officeDocument/2006/relationships/image" Target="media/image13.wmf"/><Relationship Id="rId42" Type="http://schemas.openxmlformats.org/officeDocument/2006/relationships/image" Target="media/image13.wmf"/><Relationship Id="rId43" Type="http://schemas.openxmlformats.org/officeDocument/2006/relationships/image" Target="media/image13.wmf"/><Relationship Id="rId44" Type="http://schemas.openxmlformats.org/officeDocument/2006/relationships/image" Target="media/image13.wmf"/><Relationship Id="rId45" Type="http://schemas.openxmlformats.org/officeDocument/2006/relationships/image" Target="media/image13.wmf"/><Relationship Id="rId46" Type="http://schemas.openxmlformats.org/officeDocument/2006/relationships/image" Target="media/image15.png"/><Relationship Id="rId47" Type="http://schemas.openxmlformats.org/officeDocument/2006/relationships/image" Target="media/image16.png"/><Relationship Id="rId48" Type="http://schemas.openxmlformats.org/officeDocument/2006/relationships/image" Target="media/image17.png"/><Relationship Id="rId49" Type="http://schemas.openxmlformats.org/officeDocument/2006/relationships/image" Target="media/image15.png"/><Relationship Id="rId50" Type="http://schemas.openxmlformats.org/officeDocument/2006/relationships/image" Target="media/image16.png"/><Relationship Id="rId51" Type="http://schemas.openxmlformats.org/officeDocument/2006/relationships/image" Target="media/image17.png"/><Relationship Id="rId52" Type="http://schemas.openxmlformats.org/officeDocument/2006/relationships/image" Target="media/image18.jpeg"/><Relationship Id="rId53" Type="http://schemas.openxmlformats.org/officeDocument/2006/relationships/image" Target="media/image19.jpeg"/><Relationship Id="rId54" Type="http://schemas.openxmlformats.org/officeDocument/2006/relationships/image" Target="media/image20.jpeg"/><Relationship Id="rId55" Type="http://schemas.openxmlformats.org/officeDocument/2006/relationships/image" Target="media/image21.png"/><Relationship Id="rId56" Type="http://schemas.openxmlformats.org/officeDocument/2006/relationships/image" Target="media/image22.png"/><Relationship Id="rId57" Type="http://schemas.openxmlformats.org/officeDocument/2006/relationships/image" Target="media/image23.jpeg"/><Relationship Id="rId58" Type="http://schemas.openxmlformats.org/officeDocument/2006/relationships/image" Target="media/image24.png"/><Relationship Id="rId59" Type="http://schemas.openxmlformats.org/officeDocument/2006/relationships/image" Target="media/image25.png"/><Relationship Id="rId60" Type="http://schemas.openxmlformats.org/officeDocument/2006/relationships/image" Target="media/image26.wmf"/><Relationship Id="rId61" Type="http://schemas.openxmlformats.org/officeDocument/2006/relationships/image" Target="media/image27.jpeg"/><Relationship Id="rId62" Type="http://schemas.openxmlformats.org/officeDocument/2006/relationships/image" Target="media/image28.png"/><Relationship Id="rId63" Type="http://schemas.openxmlformats.org/officeDocument/2006/relationships/image" Target="media/image29.wmf"/><Relationship Id="rId64" Type="http://schemas.openxmlformats.org/officeDocument/2006/relationships/image" Target="media/image30.wmf"/><Relationship Id="rId65" Type="http://schemas.openxmlformats.org/officeDocument/2006/relationships/image" Target="media/image31.wmf"/><Relationship Id="rId66" Type="http://schemas.openxmlformats.org/officeDocument/2006/relationships/image" Target="media/image32.wmf"/><Relationship Id="rId67" Type="http://schemas.openxmlformats.org/officeDocument/2006/relationships/image" Target="media/image33.wmf"/><Relationship Id="rId68" Type="http://schemas.openxmlformats.org/officeDocument/2006/relationships/image" Target="media/image34.png"/><Relationship Id="rId69" Type="http://schemas.openxmlformats.org/officeDocument/2006/relationships/image" Target="media/image35.wmf"/><Relationship Id="rId70" Type="http://schemas.openxmlformats.org/officeDocument/2006/relationships/image" Target="media/image36.wmf"/><Relationship Id="rId71" Type="http://schemas.openxmlformats.org/officeDocument/2006/relationships/oleObject" Target="embeddings/oleObject1.bin"/><Relationship Id="rId72" Type="http://schemas.openxmlformats.org/officeDocument/2006/relationships/image" Target="media/image37.wmf"/><Relationship Id="rId73" Type="http://schemas.openxmlformats.org/officeDocument/2006/relationships/image" Target="media/image38.wmf"/><Relationship Id="rId74" Type="http://schemas.openxmlformats.org/officeDocument/2006/relationships/image" Target="media/image39.wmf"/><Relationship Id="rId75" Type="http://schemas.openxmlformats.org/officeDocument/2006/relationships/oleObject" Target="embeddings/oleObject2.bin"/><Relationship Id="rId76" Type="http://schemas.openxmlformats.org/officeDocument/2006/relationships/image" Target="media/image40.wmf"/><Relationship Id="rId77" Type="http://schemas.openxmlformats.org/officeDocument/2006/relationships/image" Target="media/image41.png"/><Relationship Id="rId78" Type="http://schemas.openxmlformats.org/officeDocument/2006/relationships/image" Target="media/image42.png"/><Relationship Id="rId79" Type="http://schemas.openxmlformats.org/officeDocument/2006/relationships/image" Target="media/image43.png"/><Relationship Id="rId80" Type="http://schemas.openxmlformats.org/officeDocument/2006/relationships/image" Target="media/image44.png"/><Relationship Id="rId81" Type="http://schemas.openxmlformats.org/officeDocument/2006/relationships/image" Target="media/image45.png"/><Relationship Id="rId82" Type="http://schemas.openxmlformats.org/officeDocument/2006/relationships/image" Target="media/image46.png"/><Relationship Id="rId83" Type="http://schemas.openxmlformats.org/officeDocument/2006/relationships/image" Target="media/image43.png"/><Relationship Id="rId84" Type="http://schemas.openxmlformats.org/officeDocument/2006/relationships/image" Target="media/image44.png"/><Relationship Id="rId85" Type="http://schemas.openxmlformats.org/officeDocument/2006/relationships/image" Target="media/image47.png"/><Relationship Id="rId86" Type="http://schemas.openxmlformats.org/officeDocument/2006/relationships/image" Target="media/image48.wmf"/><Relationship Id="rId87" Type="http://schemas.openxmlformats.org/officeDocument/2006/relationships/image" Target="media/image49.wmf"/><Relationship Id="rId88" Type="http://schemas.openxmlformats.org/officeDocument/2006/relationships/image" Target="media/image50.wmf"/><Relationship Id="rId89" Type="http://schemas.openxmlformats.org/officeDocument/2006/relationships/image" Target="media/image51.wmf"/><Relationship Id="rId90" Type="http://schemas.openxmlformats.org/officeDocument/2006/relationships/image" Target="media/image52.wmf"/><Relationship Id="rId91" Type="http://schemas.openxmlformats.org/officeDocument/2006/relationships/image" Target="media/image53.wmf"/><Relationship Id="rId92" Type="http://schemas.openxmlformats.org/officeDocument/2006/relationships/image" Target="media/image54.wmf"/><Relationship Id="rId93" Type="http://schemas.openxmlformats.org/officeDocument/2006/relationships/image" Target="media/image55.wmf"/><Relationship Id="rId94" Type="http://schemas.openxmlformats.org/officeDocument/2006/relationships/image" Target="media/image56.wmf"/><Relationship Id="rId95" Type="http://schemas.openxmlformats.org/officeDocument/2006/relationships/image" Target="media/image57.png"/><Relationship Id="rId96" Type="http://schemas.openxmlformats.org/officeDocument/2006/relationships/image" Target="media/image58.png"/><Relationship Id="rId97" Type="http://schemas.openxmlformats.org/officeDocument/2006/relationships/image" Target="media/image59.wmf"/><Relationship Id="rId98" Type="http://schemas.openxmlformats.org/officeDocument/2006/relationships/image" Target="media/image60.wmf"/><Relationship Id="rId99" Type="http://schemas.openxmlformats.org/officeDocument/2006/relationships/image" Target="media/image61.wmf"/><Relationship Id="rId100" Type="http://schemas.openxmlformats.org/officeDocument/2006/relationships/image" Target="media/image62.wmf"/><Relationship Id="rId101" Type="http://schemas.openxmlformats.org/officeDocument/2006/relationships/image" Target="media/image63.wmf"/><Relationship Id="rId102" Type="http://schemas.openxmlformats.org/officeDocument/2006/relationships/image" Target="media/image64.wmf"/><Relationship Id="rId103" Type="http://schemas.openxmlformats.org/officeDocument/2006/relationships/image" Target="media/image65.png"/><Relationship Id="rId104" Type="http://schemas.openxmlformats.org/officeDocument/2006/relationships/image" Target="media/image66.png"/><Relationship Id="rId105" Type="http://schemas.openxmlformats.org/officeDocument/2006/relationships/oleObject" Target="embeddings/oleObject3.bin"/><Relationship Id="rId106" Type="http://schemas.openxmlformats.org/officeDocument/2006/relationships/image" Target="media/image67.wmf"/><Relationship Id="rId107" Type="http://schemas.openxmlformats.org/officeDocument/2006/relationships/oleObject" Target="embeddings/oleObject4.bin"/><Relationship Id="rId108" Type="http://schemas.openxmlformats.org/officeDocument/2006/relationships/image" Target="media/image68.wmf"/><Relationship Id="rId109" Type="http://schemas.openxmlformats.org/officeDocument/2006/relationships/oleObject" Target="embeddings/oleObject5.bin"/><Relationship Id="rId110" Type="http://schemas.openxmlformats.org/officeDocument/2006/relationships/image" Target="media/image69.wmf"/><Relationship Id="rId111" Type="http://schemas.openxmlformats.org/officeDocument/2006/relationships/image" Target="media/image70.wmf"/><Relationship Id="rId112" Type="http://schemas.openxmlformats.org/officeDocument/2006/relationships/image" Target="media/image71.wmf"/><Relationship Id="rId113" Type="http://schemas.openxmlformats.org/officeDocument/2006/relationships/image" Target="media/image72.wmf"/><Relationship Id="rId114" Type="http://schemas.openxmlformats.org/officeDocument/2006/relationships/image" Target="media/image73.wmf"/><Relationship Id="rId115" Type="http://schemas.openxmlformats.org/officeDocument/2006/relationships/image" Target="media/image74.wmf"/><Relationship Id="rId116" Type="http://schemas.openxmlformats.org/officeDocument/2006/relationships/image" Target="media/image75.wmf"/><Relationship Id="rId117" Type="http://schemas.openxmlformats.org/officeDocument/2006/relationships/image" Target="media/image76.wmf"/><Relationship Id="rId118" Type="http://schemas.openxmlformats.org/officeDocument/2006/relationships/image" Target="media/image77.wmf"/><Relationship Id="rId119" Type="http://schemas.openxmlformats.org/officeDocument/2006/relationships/image" Target="media/image78.wmf"/><Relationship Id="rId120" Type="http://schemas.openxmlformats.org/officeDocument/2006/relationships/image" Target="media/image79.wmf"/><Relationship Id="rId121" Type="http://schemas.openxmlformats.org/officeDocument/2006/relationships/image" Target="media/image80.wmf"/><Relationship Id="rId122" Type="http://schemas.openxmlformats.org/officeDocument/2006/relationships/image" Target="media/image81.png"/><Relationship Id="rId123" Type="http://schemas.openxmlformats.org/officeDocument/2006/relationships/image" Target="media/image82.png"/><Relationship Id="rId124" Type="http://schemas.openxmlformats.org/officeDocument/2006/relationships/image" Target="media/image83.png"/><Relationship Id="rId125" Type="http://schemas.openxmlformats.org/officeDocument/2006/relationships/image" Target="media/image84.png"/><Relationship Id="rId126" Type="http://schemas.openxmlformats.org/officeDocument/2006/relationships/image" Target="media/image85.png"/><Relationship Id="rId127" Type="http://schemas.openxmlformats.org/officeDocument/2006/relationships/image" Target="media/image86.png"/><Relationship Id="rId128" Type="http://schemas.openxmlformats.org/officeDocument/2006/relationships/image" Target="media/image87.png"/><Relationship Id="rId129" Type="http://schemas.openxmlformats.org/officeDocument/2006/relationships/image" Target="media/image88.png"/><Relationship Id="rId130" Type="http://schemas.openxmlformats.org/officeDocument/2006/relationships/image" Target="media/image89.png"/><Relationship Id="rId131" Type="http://schemas.openxmlformats.org/officeDocument/2006/relationships/image" Target="media/image90.png"/><Relationship Id="rId132" Type="http://schemas.openxmlformats.org/officeDocument/2006/relationships/image" Target="media/image91.png"/><Relationship Id="rId133" Type="http://schemas.openxmlformats.org/officeDocument/2006/relationships/image" Target="media/image92.png"/><Relationship Id="rId134" Type="http://schemas.openxmlformats.org/officeDocument/2006/relationships/image" Target="media/image93.png"/><Relationship Id="rId135" Type="http://schemas.openxmlformats.org/officeDocument/2006/relationships/image" Target="media/image94.png"/><Relationship Id="rId136" Type="http://schemas.openxmlformats.org/officeDocument/2006/relationships/image" Target="media/image95.png"/><Relationship Id="rId137" Type="http://schemas.openxmlformats.org/officeDocument/2006/relationships/image" Target="media/image96.png"/><Relationship Id="rId138" Type="http://schemas.openxmlformats.org/officeDocument/2006/relationships/image" Target="media/image97.png"/><Relationship Id="rId139" Type="http://schemas.openxmlformats.org/officeDocument/2006/relationships/image" Target="media/image98.png"/><Relationship Id="rId140" Type="http://schemas.openxmlformats.org/officeDocument/2006/relationships/image" Target="media/image99.png"/><Relationship Id="rId141" Type="http://schemas.openxmlformats.org/officeDocument/2006/relationships/image" Target="media/image92.png"/><Relationship Id="rId142" Type="http://schemas.openxmlformats.org/officeDocument/2006/relationships/image" Target="media/image81.png"/><Relationship Id="rId143" Type="http://schemas.openxmlformats.org/officeDocument/2006/relationships/image" Target="media/image87.png"/><Relationship Id="rId144" Type="http://schemas.openxmlformats.org/officeDocument/2006/relationships/image" Target="media/image91.png"/><Relationship Id="rId145" Type="http://schemas.openxmlformats.org/officeDocument/2006/relationships/image" Target="media/image100.png"/><Relationship Id="rId146" Type="http://schemas.openxmlformats.org/officeDocument/2006/relationships/image" Target="media/image88.png"/><Relationship Id="rId147" Type="http://schemas.openxmlformats.org/officeDocument/2006/relationships/image" Target="media/image92.png"/><Relationship Id="rId148" Type="http://schemas.openxmlformats.org/officeDocument/2006/relationships/image" Target="media/image95.png"/><Relationship Id="rId149" Type="http://schemas.openxmlformats.org/officeDocument/2006/relationships/image" Target="media/image96.png"/><Relationship Id="rId150" Type="http://schemas.openxmlformats.org/officeDocument/2006/relationships/image" Target="media/image101.png"/><Relationship Id="rId151" Type="http://schemas.openxmlformats.org/officeDocument/2006/relationships/image" Target="media/image102.png"/><Relationship Id="rId152" Type="http://schemas.openxmlformats.org/officeDocument/2006/relationships/image" Target="media/image103.png"/><Relationship Id="rId153" Type="http://schemas.openxmlformats.org/officeDocument/2006/relationships/image" Target="media/image104.png"/><Relationship Id="rId154" Type="http://schemas.openxmlformats.org/officeDocument/2006/relationships/image" Target="media/image95.png"/><Relationship Id="rId155" Type="http://schemas.openxmlformats.org/officeDocument/2006/relationships/image" Target="media/image96.png"/><Relationship Id="rId156" Type="http://schemas.openxmlformats.org/officeDocument/2006/relationships/image" Target="media/image105.png"/><Relationship Id="rId157" Type="http://schemas.openxmlformats.org/officeDocument/2006/relationships/image" Target="media/image106.png"/><Relationship Id="rId158" Type="http://schemas.openxmlformats.org/officeDocument/2006/relationships/image" Target="media/image107.wmf"/><Relationship Id="rId159" Type="http://schemas.openxmlformats.org/officeDocument/2006/relationships/image" Target="media/image108.wmf"/><Relationship Id="rId160" Type="http://schemas.openxmlformats.org/officeDocument/2006/relationships/image" Target="media/image109.png"/><Relationship Id="rId161" Type="http://schemas.openxmlformats.org/officeDocument/2006/relationships/image" Target="media/image110.png"/><Relationship Id="rId162" Type="http://schemas.openxmlformats.org/officeDocument/2006/relationships/image" Target="media/image109.png"/><Relationship Id="rId163" Type="http://schemas.openxmlformats.org/officeDocument/2006/relationships/image" Target="media/image110.png"/><Relationship Id="rId164" Type="http://schemas.openxmlformats.org/officeDocument/2006/relationships/image" Target="media/image111.png"/><Relationship Id="rId165" Type="http://schemas.openxmlformats.org/officeDocument/2006/relationships/image" Target="media/image110.png"/><Relationship Id="rId166" Type="http://schemas.openxmlformats.org/officeDocument/2006/relationships/image" Target="media/image111.png"/><Relationship Id="rId167" Type="http://schemas.openxmlformats.org/officeDocument/2006/relationships/image" Target="media/image110.png"/><Relationship Id="rId168" Type="http://schemas.openxmlformats.org/officeDocument/2006/relationships/image" Target="media/image112.png"/><Relationship Id="rId169" Type="http://schemas.openxmlformats.org/officeDocument/2006/relationships/image" Target="media/image113.png"/><Relationship Id="rId170" Type="http://schemas.openxmlformats.org/officeDocument/2006/relationships/image" Target="media/image114.png"/><Relationship Id="rId171" Type="http://schemas.openxmlformats.org/officeDocument/2006/relationships/image" Target="media/image72.wmf"/><Relationship Id="rId172" Type="http://schemas.openxmlformats.org/officeDocument/2006/relationships/image" Target="media/image73.wmf"/><Relationship Id="rId173" Type="http://schemas.openxmlformats.org/officeDocument/2006/relationships/image" Target="media/image74.wmf"/><Relationship Id="rId174" Type="http://schemas.openxmlformats.org/officeDocument/2006/relationships/image" Target="media/image75.wmf"/><Relationship Id="rId175" Type="http://schemas.openxmlformats.org/officeDocument/2006/relationships/image" Target="media/image115.png"/><Relationship Id="rId176" Type="http://schemas.openxmlformats.org/officeDocument/2006/relationships/header" Target="header1.xml"/><Relationship Id="rId177" Type="http://schemas.openxmlformats.org/officeDocument/2006/relationships/footer" Target="footer1.xml"/><Relationship Id="rId178" Type="http://schemas.openxmlformats.org/officeDocument/2006/relationships/numbering" Target="numbering.xml"/><Relationship Id="rId179" Type="http://schemas.openxmlformats.org/officeDocument/2006/relationships/fontTable" Target="fontTable.xml"/><Relationship Id="rId18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1860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2016-09-12T06:36:00Z</dcterms:created>
  <dc:creator>MCC Support</dc:creator>
  <dc:description/>
  <cp:keywords>&lt;keyword[ keyword ]&gt;</cp:keywords>
  <dc:language>en-US</dc:language>
  <cp:lastModifiedBy>5267</cp:lastModifiedBy>
  <dcterms:modified xsi:type="dcterms:W3CDTF">2021-09-30T12:42:00Z</dcterms:modified>
  <cp:revision>59</cp:revision>
  <dc:subject>Universal Terrestrial Radio Access (UTRA) and Evolved Universal Terrestrial Radio Access (E-UTRA); User Equipment (UE) Over The Air (OTA) performance; Conformance testing (Release 14)</dc:subject>
  <dc:title>3GPP TS 37.544</dc:title>
</cp:coreProperties>
</file>