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38.424 </w:t>
                            </w:r>
                            <w:r>
                              <w:rPr>
                                <w:lang w:val="en-GB" w:eastAsia="en-GB"/>
                              </w:rPr>
                              <w:t xml:space="preserve">V16.0.0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38.424 </w:t>
                      </w:r>
                      <w:r>
                        <w:rPr>
                          <w:lang w:val="en-GB" w:eastAsia="en-GB"/>
                        </w:rPr>
                        <w:t xml:space="preserve">V16.0.0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rFonts w:eastAsia="Arial"/>
                              </w:rPr>
                              <w:t xml:space="preserve"> </w:t>
                            </w:r>
                            <w:r>
                              <w:rPr/>
                              <w:t xml:space="preserve">NG-RAN; </w:t>
                            </w:r>
                          </w:p>
                          <w:p>
                            <w:pPr>
                              <w:pStyle w:val="ZT"/>
                              <w:rPr/>
                            </w:pPr>
                            <w:r>
                              <w:rPr/>
                              <w:t>Xn data transport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rFonts w:eastAsia="Arial"/>
                        </w:rPr>
                        <w:t xml:space="preserve"> </w:t>
                      </w:r>
                      <w:r>
                        <w:rPr/>
                        <w:t xml:space="preserve">NG-RAN; </w:t>
                      </w:r>
                    </w:p>
                    <w:p>
                      <w:pPr>
                        <w:pStyle w:val="ZT"/>
                        <w:rPr/>
                      </w:pPr>
                      <w:r>
                        <w:rPr/>
                        <w:t>Xn data transport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GB"/>
                              </w:rPr>
                            </w:pPr>
                            <w:r>
                              <w:rPr>
                                <w:color w:val="0000FF"/>
                                <w:lang w:val="en-GB" w:eastAsia="en-GB"/>
                              </w:rPr>
                              <w:tab/>
                            </w:r>
                          </w:p>
                          <w:p>
                            <w:pPr>
                              <w:pStyle w:val="ZU"/>
                              <w:tabs>
                                <w:tab w:val="clear" w:pos="284"/>
                                <w:tab w:val="right" w:pos="10206" w:leader="none"/>
                              </w:tabs>
                              <w:jc w:val="left"/>
                              <w:rPr>
                                <w:lang w:val="en-GB" w:eastAsia="en-GB"/>
                              </w:rPr>
                            </w:pPr>
                            <w:r>
                              <w:rPr>
                                <w:i/>
                                <w:lang w:val="en-GB" w:eastAsia="fr-FR"/>
                              </w:rPr>
                              <w:drawing>
                                <wp:inline distT="0" distB="0" distL="0" distR="0">
                                  <wp:extent cx="1215390" cy="1215390"/>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
                                          <pic:cNvPicPr>
                                            <a:picLocks noChangeAspect="1" noChangeArrowheads="1"/>
                                          </pic:cNvPicPr>
                                        </pic:nvPicPr>
                                        <pic:blipFill>
                                          <a:blip r:embed="rId2"/>
                                          <a:srcRect l="-30" t="-30" r="-30" b="-30"/>
                                          <a:stretch>
                                            <a:fillRect/>
                                          </a:stretch>
                                        </pic:blipFill>
                                        <pic:spPr bwMode="auto">
                                          <a:xfrm>
                                            <a:off x="0" y="0"/>
                                            <a:ext cx="1215390" cy="1215390"/>
                                          </a:xfrm>
                                          <a:prstGeom prst="rect">
                                            <a:avLst/>
                                          </a:prstGeom>
                                        </pic:spPr>
                                      </pic:pic>
                                    </a:graphicData>
                                  </a:graphic>
                                </wp:inline>
                              </w:drawing>
                            </w:r>
                            <w:r>
                              <w:rPr>
                                <w:color w:val="0000FF"/>
                                <w:lang w:val="en-GB" w:eastAsia="en-GB"/>
                              </w:rPr>
                              <w:tab/>
                            </w:r>
                            <w:r>
                              <w:rPr>
                                <w:lang w:val="en-GB" w:eastAsia="fr-FR"/>
                              </w:rPr>
                              <w:drawing>
                                <wp:inline distT="0" distB="0" distL="0" distR="0">
                                  <wp:extent cx="1622425" cy="948690"/>
                                  <wp:effectExtent l="0" t="0" r="0" b="0"/>
                                  <wp:docPr id="6"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
                                          <pic:cNvPicPr>
                                            <a:picLocks noChangeAspect="1" noChangeArrowheads="1"/>
                                          </pic:cNvPicPr>
                                        </pic:nvPicPr>
                                        <pic:blipFill>
                                          <a:blip r:embed="rId3"/>
                                          <a:srcRect l="-13" t="-23" r="-13" b="-23"/>
                                          <a:stretch>
                                            <a:fillRect/>
                                          </a:stretch>
                                        </pic:blipFill>
                                        <pic:spPr bwMode="auto">
                                          <a:xfrm>
                                            <a:off x="0" y="0"/>
                                            <a:ext cx="1622425" cy="948690"/>
                                          </a:xfrm>
                                          <a:prstGeom prst="rect">
                                            <a:avLst/>
                                          </a:prstGeom>
                                        </pic:spPr>
                                      </pic:pic>
                                    </a:graphicData>
                                  </a:graphic>
                                </wp:inline>
                              </w:drawing>
                            </w:r>
                          </w:p>
                          <w:p>
                            <w:pPr>
                              <w:pStyle w:val="ZU"/>
                              <w:tabs>
                                <w:tab w:val="clear" w:pos="284"/>
                                <w:tab w:val="right" w:pos="10206" w:leader="none"/>
                              </w:tabs>
                              <w:jc w:val="left"/>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GB"/>
                        </w:rPr>
                      </w:pPr>
                      <w:r>
                        <w:rPr>
                          <w:color w:val="0000FF"/>
                          <w:lang w:val="en-GB" w:eastAsia="en-GB"/>
                        </w:rPr>
                        <w:tab/>
                      </w:r>
                    </w:p>
                    <w:p>
                      <w:pPr>
                        <w:pStyle w:val="ZU"/>
                        <w:tabs>
                          <w:tab w:val="clear" w:pos="284"/>
                          <w:tab w:val="right" w:pos="10206" w:leader="none"/>
                        </w:tabs>
                        <w:jc w:val="left"/>
                        <w:rPr>
                          <w:lang w:val="en-GB" w:eastAsia="en-GB"/>
                        </w:rPr>
                      </w:pPr>
                      <w:r>
                        <w:rPr>
                          <w:i/>
                          <w:lang w:val="en-GB" w:eastAsia="fr-FR"/>
                        </w:rPr>
                        <w:drawing>
                          <wp:inline distT="0" distB="0" distL="0" distR="0">
                            <wp:extent cx="1215390" cy="1215390"/>
                            <wp:effectExtent l="0" t="0" r="0" b="0"/>
                            <wp:docPr id="7"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descr=""/>
                                    <pic:cNvPicPr>
                                      <a:picLocks noChangeAspect="1" noChangeArrowheads="1"/>
                                    </pic:cNvPicPr>
                                  </pic:nvPicPr>
                                  <pic:blipFill>
                                    <a:blip r:embed="rId4"/>
                                    <a:srcRect l="-30" t="-30" r="-30" b="-30"/>
                                    <a:stretch>
                                      <a:fillRect/>
                                    </a:stretch>
                                  </pic:blipFill>
                                  <pic:spPr bwMode="auto">
                                    <a:xfrm>
                                      <a:off x="0" y="0"/>
                                      <a:ext cx="1215390" cy="1215390"/>
                                    </a:xfrm>
                                    <a:prstGeom prst="rect">
                                      <a:avLst/>
                                    </a:prstGeom>
                                  </pic:spPr>
                                </pic:pic>
                              </a:graphicData>
                            </a:graphic>
                          </wp:inline>
                        </w:drawing>
                      </w:r>
                      <w:r>
                        <w:rPr>
                          <w:color w:val="0000FF"/>
                          <w:lang w:val="en-GB" w:eastAsia="en-GB"/>
                        </w:rPr>
                        <w:tab/>
                      </w:r>
                      <w:r>
                        <w:rPr>
                          <w:lang w:val="en-GB" w:eastAsia="fr-FR"/>
                        </w:rPr>
                        <w:drawing>
                          <wp:inline distT="0" distB="0" distL="0" distR="0">
                            <wp:extent cx="1622425" cy="948690"/>
                            <wp:effectExtent l="0" t="0" r="0" b="0"/>
                            <wp:docPr id="8"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 descr=""/>
                                    <pic:cNvPicPr>
                                      <a:picLocks noChangeAspect="1" noChangeArrowheads="1"/>
                                    </pic:cNvPicPr>
                                  </pic:nvPicPr>
                                  <pic:blipFill>
                                    <a:blip r:embed="rId5"/>
                                    <a:srcRect l="-13" t="-23" r="-13" b="-23"/>
                                    <a:stretch>
                                      <a:fillRect/>
                                    </a:stretch>
                                  </pic:blipFill>
                                  <pic:spPr bwMode="auto">
                                    <a:xfrm>
                                      <a:off x="0" y="0"/>
                                      <a:ext cx="1622425" cy="948690"/>
                                    </a:xfrm>
                                    <a:prstGeom prst="rect">
                                      <a:avLst/>
                                    </a:prstGeom>
                                  </pic:spPr>
                                </pic:pic>
                              </a:graphicData>
                            </a:graphic>
                          </wp:inline>
                        </w:drawing>
                      </w:r>
                    </w:p>
                    <w:p>
                      <w:pPr>
                        <w:pStyle w:val="ZU"/>
                        <w:tabs>
                          <w:tab w:val="clear" w:pos="284"/>
                          <w:tab w:val="right" w:pos="10206" w:leader="none"/>
                        </w:tabs>
                        <w:jc w:val="left"/>
                        <w:rPr>
                          <w:lang w:val="en-GB" w:eastAsia="en-GB"/>
                        </w:rPr>
                      </w:pPr>
                      <w:r>
                        <w:rPr>
                          <w:lang w:val="en-GB" w:eastAsia="en-GB"/>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Transport, Tunnelling, 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Transport, Tunnelling, LTE,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83295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5832957">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5832958">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45832959">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5832960">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45832961">
            <w:r>
              <w:rPr>
                <w:rStyle w:val="IndexLink"/>
              </w:rPr>
              <w:t>5</w:t>
            </w:r>
          </w:hyperlink>
        </w:p>
        <w:p>
          <w:pPr>
            <w:pStyle w:val="Contents1"/>
            <w:rPr>
              <w:rFonts w:ascii="Calibri" w:hAnsi="Calibri" w:cs="Calibri"/>
              <w:szCs w:val="22"/>
            </w:rPr>
          </w:pPr>
          <w:r>
            <w:rPr/>
            <w:t>4</w:t>
          </w:r>
          <w:r>
            <w:rPr>
              <w:rFonts w:cs="Calibri" w:ascii="Calibri" w:hAnsi="Calibri"/>
              <w:szCs w:val="22"/>
            </w:rPr>
            <w:tab/>
          </w:r>
          <w:r>
            <w:rPr/>
            <w:t>Data link layer</w:t>
            <w:tab/>
          </w:r>
          <w:hyperlink w:anchor="__RefHeading___Toc45832962">
            <w:r>
              <w:rPr>
                <w:rStyle w:val="IndexLink"/>
              </w:rPr>
              <w:t>6</w:t>
            </w:r>
          </w:hyperlink>
        </w:p>
        <w:p>
          <w:pPr>
            <w:pStyle w:val="Contents1"/>
            <w:rPr>
              <w:rFonts w:ascii="Calibri" w:hAnsi="Calibri" w:cs="Calibri"/>
              <w:szCs w:val="22"/>
            </w:rPr>
          </w:pPr>
          <w:r>
            <w:rPr/>
            <w:t>5</w:t>
          </w:r>
          <w:r>
            <w:rPr>
              <w:rFonts w:cs="Calibri" w:ascii="Calibri" w:hAnsi="Calibri"/>
              <w:szCs w:val="22"/>
            </w:rPr>
            <w:tab/>
          </w:r>
          <w:r>
            <w:rPr/>
            <w:t>Xn interface user plane protocol</w:t>
            <w:tab/>
          </w:r>
          <w:hyperlink w:anchor="__RefHeading___Toc45832963">
            <w:r>
              <w:rPr>
                <w:rStyle w:val="IndexLink"/>
              </w:rPr>
              <w:t>6</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45832964">
            <w:r>
              <w:rPr>
                <w:rStyle w:val="IndexLink"/>
              </w:rPr>
              <w:t>6</w:t>
            </w:r>
          </w:hyperlink>
        </w:p>
        <w:p>
          <w:pPr>
            <w:pStyle w:val="Contents2"/>
            <w:rPr>
              <w:rFonts w:ascii="Calibri" w:hAnsi="Calibri" w:cs="Calibri"/>
              <w:sz w:val="22"/>
              <w:szCs w:val="22"/>
            </w:rPr>
          </w:pPr>
          <w:r>
            <w:rPr/>
            <w:t>5.2</w:t>
          </w:r>
          <w:r>
            <w:rPr>
              <w:rFonts w:cs="Calibri" w:ascii="Calibri" w:hAnsi="Calibri"/>
              <w:sz w:val="22"/>
              <w:szCs w:val="22"/>
            </w:rPr>
            <w:tab/>
          </w:r>
          <w:r>
            <w:rPr/>
            <w:t>GTP-U</w:t>
            <w:tab/>
          </w:r>
          <w:hyperlink w:anchor="__RefHeading___Toc45832965">
            <w:r>
              <w:rPr>
                <w:rStyle w:val="IndexLink"/>
              </w:rPr>
              <w:t>6</w:t>
            </w:r>
          </w:hyperlink>
        </w:p>
        <w:p>
          <w:pPr>
            <w:pStyle w:val="Contents2"/>
            <w:rPr>
              <w:rFonts w:ascii="Calibri" w:hAnsi="Calibri" w:cs="Calibri"/>
              <w:sz w:val="22"/>
              <w:szCs w:val="22"/>
            </w:rPr>
          </w:pPr>
          <w:r>
            <w:rPr/>
            <w:t>5.3</w:t>
          </w:r>
          <w:r>
            <w:rPr>
              <w:rFonts w:cs="Calibri" w:ascii="Calibri" w:hAnsi="Calibri"/>
              <w:sz w:val="22"/>
              <w:szCs w:val="22"/>
            </w:rPr>
            <w:tab/>
          </w:r>
          <w:r>
            <w:rPr/>
            <w:t>UDP/IP</w:t>
            <w:tab/>
          </w:r>
          <w:hyperlink w:anchor="__RefHeading___Toc45832966">
            <w:r>
              <w:rPr>
                <w:rStyle w:val="IndexLink"/>
              </w:rPr>
              <w:t>6</w:t>
            </w:r>
          </w:hyperlink>
        </w:p>
        <w:p>
          <w:pPr>
            <w:pStyle w:val="Contents2"/>
            <w:rPr>
              <w:rFonts w:ascii="Calibri" w:hAnsi="Calibri" w:cs="Calibri"/>
              <w:sz w:val="22"/>
              <w:szCs w:val="22"/>
            </w:rPr>
          </w:pPr>
          <w:r>
            <w:rPr/>
            <w:t>5.4</w:t>
          </w:r>
          <w:r>
            <w:rPr>
              <w:rFonts w:cs="Calibri" w:ascii="Calibri" w:hAnsi="Calibri"/>
              <w:sz w:val="22"/>
              <w:szCs w:val="22"/>
            </w:rPr>
            <w:tab/>
          </w:r>
          <w:r>
            <w:rPr/>
            <w:t>DiffServ code point marking</w:t>
            <w:tab/>
          </w:r>
          <w:hyperlink w:anchor="__RefHeading___Toc45832967">
            <w:r>
              <w:rPr>
                <w:rStyle w:val="IndexLink"/>
              </w:rPr>
              <w:t>7</w:t>
            </w:r>
          </w:hyperlink>
        </w:p>
        <w:p>
          <w:pPr>
            <w:pStyle w:val="Contents8"/>
            <w:rPr>
              <w:rFonts w:ascii="Calibri" w:hAnsi="Calibri" w:cs="Calibri"/>
              <w:szCs w:val="22"/>
            </w:rPr>
          </w:pPr>
          <w:r>
            <w:rPr>
              <w:b w:val="false"/>
            </w:rPr>
            <w:t>Annex A (informative): Change history</w:t>
            <w:tab/>
          </w:r>
          <w:hyperlink w:anchor="__RefHeading___Toc45832968">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45832956"/>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5832957"/>
      <w:bookmarkEnd w:id="7"/>
      <w:r>
        <w:rPr/>
        <w:t>1</w:t>
        <w:tab/>
        <w:t>Scope</w:t>
      </w:r>
    </w:p>
    <w:p>
      <w:pPr>
        <w:pStyle w:val="Normal"/>
        <w:rPr/>
      </w:pPr>
      <w:r>
        <w:rPr/>
        <w:t>The present document specifies the standards for user data transport protocols and related signalling protocols to establish user plane transport bearers over the Xn interface.</w:t>
      </w:r>
    </w:p>
    <w:p>
      <w:pPr>
        <w:pStyle w:val="Heading1"/>
        <w:ind w:left="1134" w:hanging="1134"/>
        <w:rPr/>
      </w:pPr>
      <w:bookmarkStart w:id="8" w:name="__RefHeading___Toc45832958"/>
      <w:bookmarkEnd w:id="8"/>
      <w:r>
        <w:rPr/>
        <w:t>2</w:t>
        <w:tab/>
        <w:t>References</w:t>
      </w:r>
    </w:p>
    <w:p>
      <w:pPr>
        <w:pStyle w:val="Normal"/>
        <w:rPr/>
      </w:pPr>
      <w:r>
        <w:rPr/>
        <w:t>The following documents contain provisions which, through reference in this text, constitute provisions of the present document.</w:t>
      </w:r>
    </w:p>
    <w:p>
      <w:pPr>
        <w:pStyle w:val="B1"/>
        <w:rPr/>
      </w:pPr>
      <w:bookmarkStart w:id="9" w:name="OLE_LINK4"/>
      <w:bookmarkStart w:id="10" w:name="OLE_LINK3"/>
      <w:bookmarkStart w:id="11" w:name="OLE_LINK2"/>
      <w:bookmarkStart w:id="12" w:name="OLE_LINK1"/>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lang w:eastAsia="ja-JP"/>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bookmarkEnd w:id="9"/>
      <w:bookmarkEnd w:id="10"/>
      <w:bookmarkEnd w:id="11"/>
      <w:bookmarkEnd w:id="12"/>
    </w:p>
    <w:p>
      <w:pPr>
        <w:pStyle w:val="EX"/>
        <w:rPr/>
      </w:pPr>
      <w:r>
        <w:rPr/>
        <w:t>[1]</w:t>
        <w:tab/>
        <w:t>3GPP TR 21.905: "Vocabulary for 3GPP Specifications".</w:t>
      </w:r>
    </w:p>
    <w:p>
      <w:pPr>
        <w:pStyle w:val="EX"/>
        <w:rPr/>
      </w:pPr>
      <w:r>
        <w:rPr/>
        <w:t>[2]</w:t>
        <w:tab/>
        <w:t>3GPP TS 29.281: "General Packet Radio System (GPRS) Tunnelling Protocol User Plane (GTPv1-U)"</w:t>
      </w:r>
      <w:r>
        <w:rPr>
          <w:lang w:eastAsia="zh-CN"/>
        </w:rPr>
        <w:t>.</w:t>
      </w:r>
    </w:p>
    <w:p>
      <w:pPr>
        <w:pStyle w:val="EX"/>
        <w:rPr/>
      </w:pPr>
      <w:r>
        <w:rPr/>
        <w:t>[3]</w:t>
        <w:tab/>
        <w:t>IETF RFC 768 (1980-08): "User Datagram Protocol".</w:t>
      </w:r>
    </w:p>
    <w:p>
      <w:pPr>
        <w:pStyle w:val="EX"/>
        <w:rPr/>
      </w:pPr>
      <w:r>
        <w:rPr/>
        <w:t>[4]</w:t>
        <w:tab/>
        <w:t>IETF RFC 2474 (1998-12): "Definition of the Differentiated Services Field (DS Field) in the Ipv4 and Ipv6 Headers".</w:t>
      </w:r>
    </w:p>
    <w:p>
      <w:pPr>
        <w:pStyle w:val="EX"/>
        <w:rPr/>
      </w:pPr>
      <w:r>
        <w:rPr/>
        <w:t>[5]</w:t>
        <w:tab/>
        <w:t>IETF RFC 8200 (2017-07): "Internet Protocol, Version 6 (IPv6) Specification".</w:t>
      </w:r>
    </w:p>
    <w:p>
      <w:pPr>
        <w:pStyle w:val="EX"/>
        <w:rPr/>
      </w:pPr>
      <w:r>
        <w:rPr/>
        <w:t>[6]</w:t>
        <w:tab/>
        <w:t>IETF RFC 791 (1981-09): "Internet Protocol".</w:t>
      </w:r>
    </w:p>
    <w:p>
      <w:pPr>
        <w:pStyle w:val="EX"/>
        <w:rPr>
          <w:lang w:eastAsia="zh-CN"/>
        </w:rPr>
      </w:pPr>
      <w:r>
        <w:rPr>
          <w:lang w:eastAsia="zh-CN"/>
        </w:rPr>
        <w:t>[</w:t>
      </w:r>
      <w:r>
        <w:rPr>
          <w:lang w:eastAsia="zh-CN"/>
        </w:rPr>
        <w:t>7</w:t>
      </w:r>
      <w:r>
        <w:rPr>
          <w:lang w:eastAsia="zh-CN"/>
        </w:rPr>
        <w:t>]</w:t>
        <w:tab/>
      </w:r>
      <w:r>
        <w:rPr/>
        <w:t xml:space="preserve">3GPP TS </w:t>
      </w:r>
      <w:r>
        <w:rPr>
          <w:lang w:eastAsia="zh-CN"/>
        </w:rPr>
        <w:t>38</w:t>
      </w:r>
      <w:r>
        <w:rPr/>
        <w:t>.</w:t>
      </w:r>
      <w:r>
        <w:rPr>
          <w:lang w:eastAsia="zh-CN"/>
        </w:rPr>
        <w:t>300</w:t>
      </w:r>
      <w:r>
        <w:rPr/>
        <w:t>:</w:t>
      </w:r>
      <w:r>
        <w:rPr>
          <w:lang w:eastAsia="zh-CN"/>
        </w:rPr>
        <w:t xml:space="preserve"> </w:t>
      </w:r>
      <w:r>
        <w:rPr>
          <w:lang w:eastAsia="zh-CN"/>
        </w:rPr>
        <w:t>"</w:t>
      </w:r>
      <w:r>
        <w:rPr/>
        <w:t xml:space="preserve">NR; </w:t>
      </w:r>
      <w:r>
        <w:rPr>
          <w:lang w:eastAsia="zh-CN"/>
        </w:rPr>
        <w:t xml:space="preserve">NR and NG-RAN </w:t>
      </w:r>
      <w:r>
        <w:rPr/>
        <w:t>Overall Description;</w:t>
      </w:r>
      <w:r>
        <w:rPr/>
        <w:t xml:space="preserve"> Stage</w:t>
      </w:r>
      <w:r>
        <w:rPr/>
        <w:t xml:space="preserve"> </w:t>
      </w:r>
      <w:r>
        <w:rPr/>
        <w:t>2</w:t>
      </w:r>
      <w:r>
        <w:rPr>
          <w:lang w:eastAsia="zh-CN"/>
        </w:rPr>
        <w:t>".</w:t>
      </w:r>
    </w:p>
    <w:p>
      <w:pPr>
        <w:pStyle w:val="Heading1"/>
        <w:ind w:left="1134" w:hanging="1134"/>
        <w:rPr/>
      </w:pPr>
      <w:bookmarkStart w:id="13" w:name="__RefHeading___Toc45832959"/>
      <w:bookmarkEnd w:id="13"/>
      <w:r>
        <w:rPr/>
        <w:t>3</w:t>
        <w:tab/>
        <w:t>Definitions and abbreviations</w:t>
      </w:r>
    </w:p>
    <w:p>
      <w:pPr>
        <w:pStyle w:val="Heading2"/>
        <w:rPr/>
      </w:pPr>
      <w:bookmarkStart w:id="14" w:name="__RefHeading___Toc45832960"/>
      <w:bookmarkEnd w:id="14"/>
      <w:r>
        <w:rPr/>
        <w:t>3.1</w:t>
        <w:tab/>
        <w:t>Definitions</w:t>
      </w:r>
    </w:p>
    <w:p>
      <w:pPr>
        <w:pStyle w:val="Normal"/>
        <w:rPr/>
      </w:pPr>
      <w:r>
        <w:rPr/>
        <w:t>For the purposes of the present document, the following terms and definitions below apply. Terms and definitions not defined below can be found in TR 21.905 [1].</w:t>
      </w:r>
    </w:p>
    <w:p>
      <w:pPr>
        <w:pStyle w:val="Normal"/>
        <w:rPr>
          <w:lang w:eastAsia="zh-CN"/>
        </w:rPr>
      </w:pPr>
      <w:r>
        <w:rPr>
          <w:b/>
          <w:lang w:eastAsia="zh-CN"/>
        </w:rPr>
        <w:t>NG-RAN node</w:t>
      </w:r>
      <w:r>
        <w:rPr>
          <w:b/>
        </w:rPr>
        <w:t xml:space="preserve">: </w:t>
      </w:r>
      <w:r>
        <w:rPr/>
        <w:t xml:space="preserve">as </w:t>
      </w:r>
      <w:r>
        <w:rPr>
          <w:lang w:eastAsia="zh-CN"/>
        </w:rPr>
        <w:t>defined</w:t>
      </w:r>
      <w:r>
        <w:rPr/>
        <w:t xml:space="preserve"> in TS 38.300 [</w:t>
      </w:r>
      <w:r>
        <w:rPr>
          <w:lang w:eastAsia="zh-CN"/>
        </w:rPr>
        <w:t>7</w:t>
      </w:r>
      <w:r>
        <w:rPr/>
        <w:t>]</w:t>
      </w:r>
      <w:r>
        <w:rPr>
          <w:lang w:eastAsia="zh-CN"/>
        </w:rPr>
        <w:t>.</w:t>
      </w:r>
    </w:p>
    <w:p>
      <w:pPr>
        <w:pStyle w:val="Heading2"/>
        <w:rPr/>
      </w:pPr>
      <w:bookmarkStart w:id="15" w:name="__RefHeading___Toc45832961"/>
      <w:bookmarkEnd w:id="1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GTP</w:t>
        <w:tab/>
        <w:t>GPRS Tunnelling Protocol</w:t>
      </w:r>
    </w:p>
    <w:p>
      <w:pPr>
        <w:pStyle w:val="EW"/>
        <w:rPr/>
      </w:pPr>
      <w:r>
        <w:rPr/>
        <w:t>IP</w:t>
        <w:tab/>
        <w:t>Internet Protocol</w:t>
      </w:r>
    </w:p>
    <w:p>
      <w:pPr>
        <w:pStyle w:val="EW"/>
        <w:rPr/>
      </w:pPr>
      <w:r>
        <w:rPr/>
        <w:t>TEID</w:t>
        <w:tab/>
        <w:t>Tunnel Endpoint Identifier</w:t>
      </w:r>
    </w:p>
    <w:p>
      <w:pPr>
        <w:pStyle w:val="EX"/>
        <w:rPr/>
      </w:pPr>
      <w:r>
        <w:rPr/>
        <w:t>UDP</w:t>
        <w:tab/>
        <w:t>User Datagram Protocol</w:t>
      </w:r>
    </w:p>
    <w:p>
      <w:pPr>
        <w:pStyle w:val="Heading1"/>
        <w:ind w:left="1134" w:hanging="1134"/>
        <w:rPr/>
      </w:pPr>
      <w:bookmarkStart w:id="16" w:name="__RefHeading___Toc45832962"/>
      <w:bookmarkEnd w:id="16"/>
      <w:r>
        <w:rPr/>
        <w:t>4</w:t>
        <w:tab/>
        <w:t>Data link layer</w:t>
      </w:r>
    </w:p>
    <w:p>
      <w:pPr>
        <w:pStyle w:val="Normal"/>
        <w:rPr/>
      </w:pPr>
      <w:r>
        <w:rPr/>
        <w:t>Any data link protocol that fulfils the requirements toward the upper layer may be used.</w:t>
      </w:r>
    </w:p>
    <w:p>
      <w:pPr>
        <w:pStyle w:val="Heading1"/>
        <w:ind w:left="1134" w:hanging="1134"/>
        <w:rPr/>
      </w:pPr>
      <w:bookmarkStart w:id="17" w:name="__RefHeading___Toc45832963"/>
      <w:bookmarkEnd w:id="17"/>
      <w:r>
        <w:rPr/>
        <w:t>5</w:t>
        <w:tab/>
        <w:t>Xn interface user plane protocol</w:t>
      </w:r>
    </w:p>
    <w:p>
      <w:pPr>
        <w:pStyle w:val="Heading2"/>
        <w:rPr/>
      </w:pPr>
      <w:bookmarkStart w:id="18" w:name="__RefHeading___Toc45832964"/>
      <w:bookmarkEnd w:id="18"/>
      <w:r>
        <w:rPr/>
        <w:t>5.1</w:t>
        <w:tab/>
        <w:t>General</w:t>
      </w:r>
    </w:p>
    <w:p>
      <w:pPr>
        <w:pStyle w:val="Normal"/>
        <w:rPr/>
      </w:pPr>
      <w:r>
        <w:rPr/>
        <w:t>The transport layer for data streams over Xn is an IP based Transport. The following figure shows the transport protocol stacks over Xn.</w:t>
      </w:r>
    </w:p>
    <w:p>
      <w:pPr>
        <w:pStyle w:val="TH"/>
        <w:rPr/>
      </w:pPr>
      <w:r>
        <w:rPr/>
        <w:object w:dxaOrig="1964" w:dyaOrig="27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8.45pt;height:135.1pt" filled="f" o:ole="">
            <v:imagedata r:id="rId9" o:title=""/>
          </v:shape>
          <o:OLEObject Type="Embed" ProgID="" ShapeID="ole_rId8" DrawAspect="Content" ObjectID="_135065830" r:id="rId8"/>
        </w:object>
      </w:r>
    </w:p>
    <w:p>
      <w:pPr>
        <w:pStyle w:val="TF"/>
        <w:rPr/>
      </w:pPr>
      <w:bookmarkStart w:id="19" w:name="OLE_LINK6"/>
      <w:bookmarkStart w:id="20" w:name="OLE_LINK5"/>
      <w:bookmarkEnd w:id="19"/>
      <w:bookmarkEnd w:id="20"/>
      <w:r>
        <w:rPr/>
        <w:t>Figure 5.1: Transport network layer for data streams over Xn</w:t>
      </w:r>
    </w:p>
    <w:p>
      <w:pPr>
        <w:pStyle w:val="Normal"/>
        <w:rPr/>
      </w:pPr>
      <w:bookmarkStart w:id="21" w:name="OLE_LINK6"/>
      <w:bookmarkStart w:id="22" w:name="OLE_LINK5"/>
      <w:bookmarkEnd w:id="21"/>
      <w:bookmarkEnd w:id="22"/>
      <w:r>
        <w:rPr/>
        <w:t>The GTP-U (TS 29.281 [2]) protocol over UDP over IP shall be supported as the transport for data streams on the Xn interface. The data link layer is as specified in clause 4.</w:t>
      </w:r>
    </w:p>
    <w:p>
      <w:pPr>
        <w:pStyle w:val="Normal"/>
        <w:rPr>
          <w:strike/>
        </w:rPr>
      </w:pPr>
      <w:r>
        <w:rPr/>
        <w:t>The transport bearer is identified by the GTP-U TEID (TS 29.281 [</w:t>
      </w:r>
      <w:r>
        <w:rPr>
          <w:lang w:eastAsia="zh-CN"/>
        </w:rPr>
        <w:t>3</w:t>
      </w:r>
      <w:r>
        <w:rPr/>
        <w:t>]) and the IP address (source TEID, destination TEID, source IP address, destination IP address).</w:t>
      </w:r>
    </w:p>
    <w:p>
      <w:pPr>
        <w:pStyle w:val="Heading2"/>
        <w:rPr/>
      </w:pPr>
      <w:bookmarkStart w:id="23" w:name="__RefHeading___Toc45832965"/>
      <w:bookmarkEnd w:id="23"/>
      <w:r>
        <w:rPr/>
        <w:t>5.2</w:t>
        <w:tab/>
        <w:t>GTP-U</w:t>
      </w:r>
    </w:p>
    <w:p>
      <w:pPr>
        <w:pStyle w:val="Normal"/>
        <w:rPr/>
      </w:pPr>
      <w:r>
        <w:rPr/>
        <w:t xml:space="preserve">The GTP-U (TS 29.281 [2]) protocol shall be used over the Xn interface between two </w:t>
      </w:r>
      <w:r>
        <w:rPr>
          <w:lang w:eastAsia="ja-JP"/>
        </w:rPr>
        <w:t>NG-RAN nodes</w:t>
      </w:r>
      <w:r>
        <w:rPr/>
        <w:t>.</w:t>
      </w:r>
    </w:p>
    <w:p>
      <w:pPr>
        <w:pStyle w:val="Heading2"/>
        <w:rPr/>
      </w:pPr>
      <w:bookmarkStart w:id="24" w:name="__RefHeading___Toc45832966"/>
      <w:bookmarkEnd w:id="24"/>
      <w:r>
        <w:rPr/>
        <w:t>5.3</w:t>
        <w:tab/>
        <w:t>UDP/IP</w:t>
      </w:r>
    </w:p>
    <w:p>
      <w:pPr>
        <w:pStyle w:val="Normal"/>
        <w:rPr/>
      </w:pPr>
      <w:r>
        <w:rPr/>
        <w:t>The path protocol used shall be UDP (IETF RFC 768 [3]).</w:t>
      </w:r>
    </w:p>
    <w:p>
      <w:pPr>
        <w:pStyle w:val="Normal"/>
        <w:rPr/>
      </w:pPr>
      <w:r>
        <w:rPr/>
        <w:t>The UDP port number for GTP-U shall be as defined in TS 29.281 [2].</w:t>
      </w:r>
    </w:p>
    <w:p>
      <w:pPr>
        <w:pStyle w:val="Normal"/>
        <w:rPr/>
      </w:pPr>
      <w:r>
        <w:rPr/>
        <w:t>The NG-RAN nodes over the Xn interface shall support fragmentation and assembly of GTP packets at the IP layer.</w:t>
      </w:r>
    </w:p>
    <w:p>
      <w:pPr>
        <w:pStyle w:val="Normal"/>
        <w:rPr/>
      </w:pPr>
      <w:r>
        <w:rPr/>
        <w:t>The NG-RAN nodes shall support IPv6 (IETF RFC 8200 [5]) and/or IPv4 (IETF RFC 791 [6]).</w:t>
      </w:r>
    </w:p>
    <w:p>
      <w:pPr>
        <w:pStyle w:val="Normal"/>
        <w:rPr/>
      </w:pPr>
      <w:r>
        <w:rPr/>
        <w:t>There may be one or several IP addresses in both NG-RAN nodes. The packet processing function in the source NG-RAN node shall send downstream packets of a given flow to the target NG-RAN node IP address (received in XnAP) associated to the DL transport bearer of that particular flow. The packet processing function in the source NG-RAN node shall send upstream packets of a given flow to the target NG-RAN node IP address (received in XnAP) associated to the UL transport bearer of that particular flow.</w:t>
      </w:r>
    </w:p>
    <w:p>
      <w:pPr>
        <w:pStyle w:val="Normal"/>
        <w:rPr/>
      </w:pPr>
      <w:r>
        <w:rPr/>
        <w:t>The Transport Layer Address signalled in XnAP messages is a bit string of:</w:t>
      </w:r>
    </w:p>
    <w:p>
      <w:pPr>
        <w:pStyle w:val="B1"/>
        <w:rPr/>
      </w:pPr>
      <w:r>
        <w:rPr/>
        <w:t>a)</w:t>
        <w:tab/>
        <w:t>32 bits in case of IPv4 address according to IETF RFC 791 [6]; or</w:t>
      </w:r>
    </w:p>
    <w:p>
      <w:pPr>
        <w:pStyle w:val="B1"/>
        <w:rPr/>
      </w:pPr>
      <w:r>
        <w:rPr/>
        <w:t>b)</w:t>
        <w:tab/>
        <w:t>128 bits in case of IPv6 address according to IETF RFC 8200 [5]; or</w:t>
      </w:r>
    </w:p>
    <w:p>
      <w:pPr>
        <w:pStyle w:val="B1"/>
        <w:rPr/>
      </w:pPr>
      <w:r>
        <w:rPr/>
        <w:t>c)</w:t>
        <w:tab/>
        <w:t>160 bits if both IPv4 and IPv6 addresses are signalled, in which case the IPv4 address is contained in the first 32 bits.</w:t>
      </w:r>
    </w:p>
    <w:p>
      <w:pPr>
        <w:pStyle w:val="Heading2"/>
        <w:rPr/>
      </w:pPr>
      <w:bookmarkStart w:id="25" w:name="__RefHeading___Toc45832967"/>
      <w:bookmarkEnd w:id="25"/>
      <w:r>
        <w:rPr/>
        <w:t>5.4</w:t>
        <w:tab/>
        <w:t>DiffServ code point marking</w:t>
      </w:r>
    </w:p>
    <w:p>
      <w:pPr>
        <w:pStyle w:val="Normal"/>
        <w:rPr/>
      </w:pPr>
      <w:r>
        <w:rPr/>
        <w:t>IP Differentiated Services code point marking (IETF RFC 2474 [4]) shall be supported. The mapping between traffic categories and DiffServ code points shall be configurable by O&amp;M based on 5G QoS Class Identifier (5QI) , the Priority Level (if explicitly signalled), and other NG-RAN traffic parameters (e.g. ARP). Traffic categories are implementation-specific and may be determined from the application parameters.</w:t>
      </w:r>
      <w:r>
        <w:br w:type="page"/>
      </w:r>
    </w:p>
    <w:p>
      <w:pPr>
        <w:pStyle w:val="Heading8"/>
        <w:ind w:left="0" w:hanging="0"/>
        <w:rPr/>
      </w:pPr>
      <w:bookmarkStart w:id="26" w:name="__RefHeading___Toc45832968"/>
      <w:bookmarkStart w:id="27" w:name="historyclause"/>
      <w:bookmarkEnd w:id="26"/>
      <w:r>
        <w:rPr/>
        <w:t>Annex A (informative):</w:t>
        <w:br/>
        <w:t>Change history</w:t>
      </w:r>
      <w:bookmarkEnd w:id="27"/>
    </w:p>
    <w:tbl>
      <w:tblPr>
        <w:tblW w:w="9853" w:type="dxa"/>
        <w:jc w:val="left"/>
        <w:tblInd w:w="-7" w:type="dxa"/>
        <w:tblLayout w:type="fixed"/>
        <w:tblCellMar>
          <w:top w:w="0" w:type="dxa"/>
          <w:left w:w="40" w:type="dxa"/>
          <w:bottom w:w="0" w:type="dxa"/>
          <w:right w:w="40" w:type="dxa"/>
        </w:tblCellMar>
      </w:tblPr>
      <w:tblGrid>
        <w:gridCol w:w="800"/>
        <w:gridCol w:w="872"/>
        <w:gridCol w:w="1094"/>
        <w:gridCol w:w="567"/>
        <w:gridCol w:w="425"/>
        <w:gridCol w:w="425"/>
        <w:gridCol w:w="4962"/>
        <w:gridCol w:w="708"/>
      </w:tblGrid>
      <w:tr>
        <w:trPr>
          <w:cantSplit w:val="true"/>
        </w:trPr>
        <w:tc>
          <w:tcPr>
            <w:tcW w:w="9853"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May 2017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t>R3-171482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Initial draft 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May 2017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R3-172020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FFS for GTP-U reference</w:t>
            </w:r>
          </w:p>
          <w:p>
            <w:pPr>
              <w:pStyle w:val="TAL"/>
              <w:rPr>
                <w:sz w:val="16"/>
                <w:szCs w:val="16"/>
              </w:rPr>
            </w:pPr>
            <w:r>
              <w:rPr>
                <w:sz w:val="16"/>
                <w:szCs w:val="16"/>
              </w:rPr>
              <w:t>Flows instead of bearers</w:t>
            </w:r>
          </w:p>
          <w:p>
            <w:pPr>
              <w:pStyle w:val="TAL"/>
              <w:rPr>
                <w:sz w:val="16"/>
                <w:szCs w:val="16"/>
              </w:rPr>
            </w:pPr>
            <w:r>
              <w:rPr>
                <w:sz w:val="16"/>
                <w:szCs w:val="16"/>
              </w:rPr>
              <w:t>Diffserv codepoints and 5QI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June 2017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 NR#02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R3-172635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 agreed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January 2018</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 NR#03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R3-180546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specification name, NG-RAN node instead of Gnb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April 2018</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R3#99bis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R3-182528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in document title</w:t>
            </w:r>
          </w:p>
          <w:p>
            <w:pPr>
              <w:pStyle w:val="TAL"/>
              <w:rPr>
                <w:sz w:val="16"/>
                <w:szCs w:val="16"/>
              </w:rPr>
            </w:pPr>
            <w:r>
              <w:rPr>
                <w:sz w:val="16"/>
                <w:szCs w:val="16"/>
              </w:rPr>
              <w:t>Remove FFS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June 2018</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RP-180814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rPr>
              <w:t>Specification approved at TSG-RAN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2018-09</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RP-181920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Updated reference to IPv6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RP-191396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Use of Priority Level and ARP for the DSCP Derivation at the gNB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Rapporteur's Update for 38.424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38.424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38.424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TALChar">
    <w:name w:val="TAL Char"/>
    <w:qFormat/>
    <w:rPr>
      <w:rFonts w:ascii="Arial" w:hAnsi="Arial" w:cs="Arial"/>
      <w:sz w:val="18"/>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BalloonTextChar">
    <w:name w:val="Balloon Text Char"/>
    <w:qFormat/>
    <w:rPr>
      <w:rFonts w:ascii="Tahoma" w:hAnsi="Tahoma" w:cs="Tahoma"/>
      <w:sz w:val="16"/>
      <w:szCs w:val="16"/>
      <w:lang w:val="en-GB"/>
    </w:rPr>
  </w:style>
  <w:style w:type="character" w:styleId="B1Char">
    <w:name w:val="B1 Char"/>
    <w:qFormat/>
    <w:rPr/>
  </w:style>
  <w:style w:type="character" w:styleId="B1Zchn">
    <w:name w:val="B1 Zchn"/>
    <w:qFormat/>
    <w:rPr>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TACChar">
    <w:name w:val="TAC Char"/>
    <w:qFormat/>
    <w:rPr>
      <w:rFonts w:ascii="Arial" w:hAnsi="Arial"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keepLines/>
      <w:spacing w:before="0" w:after="0"/>
      <w:ind w:left="454" w:hanging="454"/>
    </w:pPr>
    <w:rPr>
      <w:sz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2018-05-23T13:33:00Z</dcterms:created>
  <dc:creator>MCC Support</dc:creator>
  <dc:description/>
  <cp:keywords>Transport Tunnelling LTE radio</cp:keywords>
  <dc:language>en-US</dc:language>
  <cp:lastModifiedBy>CR0002</cp:lastModifiedBy>
  <dcterms:modified xsi:type="dcterms:W3CDTF">2020-07-16T20:48:00Z</dcterms:modified>
  <cp:revision>16</cp:revision>
  <dc:subject>NG-RAN;  Xn data transport (Release 16)</dc:subject>
  <dc:title>3GPP TS 38.424</dc:title>
</cp:coreProperties>
</file>