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media/image3.wmf" ContentType="image/x-wmf"/>
  <Override PartName="/word/embeddings/oleObject1.bin" ContentType="application/vnd.openxmlformats-officedocument.oleObject"/>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lang w:val="en-GB" w:eastAsia="ko-KR"/>
                              </w:rPr>
                            </w:pPr>
                            <w:bookmarkStart w:id="0" w:name="page1"/>
                            <w:bookmarkEnd w:id="0"/>
                            <w:r>
                              <w:rPr>
                                <w:sz w:val="64"/>
                                <w:lang w:val="en-GB" w:eastAsia="ko-KR"/>
                              </w:rPr>
                              <w:t xml:space="preserve">3GPP TS 38.460 </w:t>
                            </w:r>
                            <w:r>
                              <w:rPr>
                                <w:lang w:val="en-GB" w:eastAsia="ko-KR"/>
                              </w:rPr>
                              <w:t xml:space="preserve">V16.5.0 </w:t>
                            </w:r>
                            <w:r>
                              <w:rPr>
                                <w:sz w:val="32"/>
                                <w:lang w:val="en-GB" w:eastAsia="ko-KR"/>
                              </w:rPr>
                              <w:t>(2022-04)</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lang w:val="en-GB" w:eastAsia="ko-KR"/>
                        </w:rPr>
                      </w:pPr>
                      <w:bookmarkStart w:id="1" w:name="page1"/>
                      <w:bookmarkEnd w:id="1"/>
                      <w:r>
                        <w:rPr>
                          <w:sz w:val="64"/>
                          <w:lang w:val="en-GB" w:eastAsia="ko-KR"/>
                        </w:rPr>
                        <w:t xml:space="preserve">3GPP TS 38.460 </w:t>
                      </w:r>
                      <w:r>
                        <w:rPr>
                          <w:lang w:val="en-GB" w:eastAsia="ko-KR"/>
                        </w:rPr>
                        <w:t xml:space="preserve">V16.5.0 </w:t>
                      </w:r>
                      <w:r>
                        <w:rPr>
                          <w:sz w:val="32"/>
                          <w:lang w:val="en-GB" w:eastAsia="ko-KR"/>
                        </w:rPr>
                        <w:t>(2022-04)</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lang w:val="en-GB" w:eastAsia="ko-KR"/>
                              </w:rPr>
                            </w:pPr>
                            <w:r>
                              <w:rPr>
                                <w:lang w:val="en-GB" w:eastAsia="ko-K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lang w:val="en-GB" w:eastAsia="ko-KR"/>
                        </w:rPr>
                      </w:pPr>
                      <w:r>
                        <w:rPr>
                          <w:lang w:val="en-GB" w:eastAsia="ko-K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489710"/>
                <wp:effectExtent l="0" t="0" r="0" b="0"/>
                <wp:wrapTopAndBottom/>
                <wp:docPr id="3" name="Frame3"/>
                <a:graphic xmlns:a="http://schemas.openxmlformats.org/drawingml/2006/main">
                  <a:graphicData uri="http://schemas.microsoft.com/office/word/2010/wordprocessingShape">
                    <wps:wsp>
                      <wps:cNvSpPr txBox="1"/>
                      <wps:spPr>
                        <a:xfrm>
                          <a:off x="0" y="0"/>
                          <a:ext cx="6479540" cy="1489710"/>
                        </a:xfrm>
                        <a:prstGeom prst="rect"/>
                        <a:solidFill>
                          <a:srgbClr val="FFFFFF">
                            <a:alpha val="0"/>
                          </a:srgbClr>
                        </a:solidFill>
                      </wps:spPr>
                      <wps:txbx>
                        <w:txbxContent>
                          <w:p>
                            <w:pPr>
                              <w:pStyle w:val="ZT"/>
                              <w:rPr/>
                            </w:pPr>
                            <w:r>
                              <w:rPr/>
                              <w:t>3rd Generation Partnership Project;</w:t>
                            </w:r>
                          </w:p>
                          <w:p>
                            <w:pPr>
                              <w:pStyle w:val="ZT"/>
                              <w:rPr/>
                            </w:pPr>
                            <w:r>
                              <w:rPr/>
                              <w:t>Technical Specification Group Radio Access Network;</w:t>
                            </w:r>
                          </w:p>
                          <w:p>
                            <w:pPr>
                              <w:pStyle w:val="ZT"/>
                              <w:rPr/>
                            </w:pPr>
                            <w:r>
                              <w:rPr/>
                              <w:t>NG-RAN;</w:t>
                            </w:r>
                          </w:p>
                          <w:p>
                            <w:pPr>
                              <w:pStyle w:val="ZT"/>
                              <w:rPr/>
                            </w:pPr>
                            <w:r>
                              <w:rPr/>
                              <w:t>E1 general aspects and principles</w:t>
                            </w:r>
                          </w:p>
                          <w:p>
                            <w:pPr>
                              <w:pStyle w:val="ZT"/>
                              <w:rPr/>
                            </w:pPr>
                            <w:r>
                              <w:rPr/>
                              <w:t>(</w:t>
                            </w:r>
                            <w:r>
                              <w:rPr>
                                <w:rStyle w:val="ZGSM"/>
                              </w:rPr>
                              <w:t>Release 16</w:t>
                            </w:r>
                            <w:r>
                              <w:rPr/>
                              <w:t>)</w:t>
                            </w:r>
                          </w:p>
                          <w:p>
                            <w:pPr>
                              <w:pStyle w:val="ZT"/>
                              <w:rPr/>
                            </w:pPr>
                            <w:r>
                              <w:rPr/>
                            </w:r>
                          </w:p>
                        </w:txbxContent>
                      </wps:txbx>
                      <wps:bodyPr anchor="t" lIns="0" tIns="0" rIns="0" bIns="0">
                        <a:noAutofit/>
                      </wps:bodyPr>
                    </wps:wsp>
                  </a:graphicData>
                </a:graphic>
              </wp:anchor>
            </w:drawing>
          </mc:Choice>
          <mc:Fallback>
            <w:pict>
              <v:rect fillcolor="#FFFFFF" style="position:absolute;rotation:-0;width:510.2pt;height:117.3pt;mso-wrap-distance-left:0pt;mso-wrap-distance-right:0pt;mso-wrap-distance-top:0pt;mso-wrap-distance-bottom:0pt;margin-top:36.25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Radio Access Network;</w:t>
                      </w:r>
                    </w:p>
                    <w:p>
                      <w:pPr>
                        <w:pStyle w:val="ZT"/>
                        <w:rPr/>
                      </w:pPr>
                      <w:r>
                        <w:rPr/>
                        <w:t>NG-RAN;</w:t>
                      </w:r>
                    </w:p>
                    <w:p>
                      <w:pPr>
                        <w:pStyle w:val="ZT"/>
                        <w:rPr/>
                      </w:pPr>
                      <w:r>
                        <w:rPr/>
                        <w:t>E1 general aspects and principles</w:t>
                      </w:r>
                    </w:p>
                    <w:p>
                      <w:pPr>
                        <w:pStyle w:val="ZT"/>
                        <w:rPr/>
                      </w:pPr>
                      <w:r>
                        <w:rPr/>
                        <w:t>(</w:t>
                      </w:r>
                      <w:r>
                        <w:rPr>
                          <w:rStyle w:val="ZGSM"/>
                        </w:rPr>
                        <w:t>Release 16</w:t>
                      </w:r>
                      <w:r>
                        <w:rPr/>
                        <w:t>)</w:t>
                      </w:r>
                    </w:p>
                    <w:p>
                      <w:pPr>
                        <w:pStyle w:val="ZT"/>
                        <w:rPr/>
                      </w:pPr>
                      <w:r>
                        <w:rPr/>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3129915"/>
                <wp:effectExtent l="0" t="0" r="0" b="0"/>
                <wp:wrapTopAndBottom/>
                <wp:docPr id="4" name="Frame4"/>
                <a:graphic xmlns:a="http://schemas.openxmlformats.org/drawingml/2006/main">
                  <a:graphicData uri="http://schemas.microsoft.com/office/word/2010/wordprocessingShape">
                    <wps:wsp>
                      <wps:cNvSpPr txBox="1"/>
                      <wps:spPr>
                        <a:xfrm>
                          <a:off x="0" y="0"/>
                          <a:ext cx="6480810" cy="3129915"/>
                        </a:xfrm>
                        <a:prstGeom prst="rect"/>
                        <a:solidFill>
                          <a:srgbClr val="FFFFFF">
                            <a:alpha val="0"/>
                          </a:srgbClr>
                        </a:solidFill>
                      </wps:spPr>
                      <wps:txbx>
                        <w:txbxContent>
                          <w:p>
                            <w:pPr>
                              <w:pStyle w:val="ZU"/>
                              <w:tabs>
                                <w:tab w:val="clear" w:pos="284"/>
                                <w:tab w:val="right" w:pos="10206" w:leader="none"/>
                              </w:tabs>
                              <w:jc w:val="left"/>
                              <w:rPr>
                                <w:lang w:val="en-GB" w:eastAsia="ko-KR"/>
                              </w:rPr>
                            </w:pPr>
                            <w:r>
                              <w:rPr>
                                <w:i/>
                                <w:lang w:val="en-GB" w:eastAsia="ko-KR"/>
                              </w:rPr>
                              <w:drawing>
                                <wp:inline distT="0" distB="0" distL="0" distR="0">
                                  <wp:extent cx="1212215" cy="1212215"/>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2"/>
                                          <a:srcRect l="-1" t="-1" r="-1" b="-1"/>
                                          <a:stretch>
                                            <a:fillRect/>
                                          </a:stretch>
                                        </pic:blipFill>
                                        <pic:spPr bwMode="auto">
                                          <a:xfrm>
                                            <a:off x="0" y="0"/>
                                            <a:ext cx="1212215" cy="1212215"/>
                                          </a:xfrm>
                                          <a:prstGeom prst="rect">
                                            <a:avLst/>
                                          </a:prstGeom>
                                        </pic:spPr>
                                      </pic:pic>
                                    </a:graphicData>
                                  </a:graphic>
                                </wp:inline>
                              </w:drawing>
                            </w:r>
                            <w:r>
                              <w:rPr>
                                <w:lang w:val="en-GB" w:eastAsia="ko-KR"/>
                              </w:rPr>
                              <w:tab/>
                            </w:r>
                            <w:r>
                              <w:rPr>
                                <w:lang w:val="en-GB" w:eastAsia="ko-KR"/>
                              </w:rPr>
                              <w:drawing>
                                <wp:inline distT="0" distB="0" distL="0" distR="0">
                                  <wp:extent cx="1624965" cy="94996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3"/>
                                          <a:srcRect l="-13" t="-23" r="-13" b="-23"/>
                                          <a:stretch>
                                            <a:fillRect/>
                                          </a:stretch>
                                        </pic:blipFill>
                                        <pic:spPr bwMode="auto">
                                          <a:xfrm>
                                            <a:off x="0" y="0"/>
                                            <a:ext cx="1624965" cy="949960"/>
                                          </a:xfrm>
                                          <a:prstGeom prst="rect">
                                            <a:avLst/>
                                          </a:prstGeom>
                                        </pic:spPr>
                                      </pic:pic>
                                    </a:graphicData>
                                  </a:graphic>
                                </wp:inline>
                              </w:drawing>
                            </w:r>
                          </w:p>
                          <w:p>
                            <w:pPr>
                              <w:pStyle w:val="ZU"/>
                              <w:tabs>
                                <w:tab w:val="clear" w:pos="284"/>
                                <w:tab w:val="right" w:pos="10206" w:leader="none"/>
                              </w:tabs>
                              <w:jc w:val="left"/>
                              <w:rPr>
                                <w:lang w:val="en-GB" w:eastAsia="ko-KR"/>
                              </w:rPr>
                            </w:pPr>
                            <w:r>
                              <w:rPr>
                                <w:lang w:val="en-GB" w:eastAsia="ko-KR"/>
                              </w:rPr>
                            </w:r>
                          </w:p>
                        </w:txbxContent>
                      </wps:txbx>
                      <wps:bodyPr anchor="t" lIns="0" tIns="12700" rIns="0" bIns="0">
                        <a:noAutofit/>
                      </wps:bodyPr>
                    </wps:wsp>
                  </a:graphicData>
                </a:graphic>
              </wp:anchor>
            </w:drawing>
          </mc:Choice>
          <mc:Fallback>
            <w:pict>
              <v:rect fillcolor="#FFFFFF" style="position:absolute;rotation:-0;width:510.3pt;height:246.4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lang w:val="en-GB" w:eastAsia="ko-KR"/>
                        </w:rPr>
                      </w:pPr>
                      <w:r>
                        <w:rPr>
                          <w:i/>
                          <w:lang w:val="en-GB" w:eastAsia="ko-KR"/>
                        </w:rPr>
                        <w:drawing>
                          <wp:inline distT="0" distB="0" distL="0" distR="0">
                            <wp:extent cx="1212215" cy="1212215"/>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4"/>
                                    <a:srcRect l="-1" t="-1" r="-1" b="-1"/>
                                    <a:stretch>
                                      <a:fillRect/>
                                    </a:stretch>
                                  </pic:blipFill>
                                  <pic:spPr bwMode="auto">
                                    <a:xfrm>
                                      <a:off x="0" y="0"/>
                                      <a:ext cx="1212215" cy="1212215"/>
                                    </a:xfrm>
                                    <a:prstGeom prst="rect">
                                      <a:avLst/>
                                    </a:prstGeom>
                                  </pic:spPr>
                                </pic:pic>
                              </a:graphicData>
                            </a:graphic>
                          </wp:inline>
                        </w:drawing>
                      </w:r>
                      <w:r>
                        <w:rPr>
                          <w:lang w:val="en-GB" w:eastAsia="ko-KR"/>
                        </w:rPr>
                        <w:tab/>
                      </w:r>
                      <w:r>
                        <w:rPr>
                          <w:lang w:val="en-GB" w:eastAsia="ko-KR"/>
                        </w:rPr>
                        <w:drawing>
                          <wp:inline distT="0" distB="0" distL="0" distR="0">
                            <wp:extent cx="1624965" cy="949960"/>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5"/>
                                    <a:srcRect l="-13" t="-23" r="-13" b="-23"/>
                                    <a:stretch>
                                      <a:fillRect/>
                                    </a:stretch>
                                  </pic:blipFill>
                                  <pic:spPr bwMode="auto">
                                    <a:xfrm>
                                      <a:off x="0" y="0"/>
                                      <a:ext cx="1624965" cy="949960"/>
                                    </a:xfrm>
                                    <a:prstGeom prst="rect">
                                      <a:avLst/>
                                    </a:prstGeom>
                                  </pic:spPr>
                                </pic:pic>
                              </a:graphicData>
                            </a:graphic>
                          </wp:inline>
                        </w:drawing>
                      </w:r>
                    </w:p>
                    <w:p>
                      <w:pPr>
                        <w:pStyle w:val="ZU"/>
                        <w:tabs>
                          <w:tab w:val="clear" w:pos="284"/>
                          <w:tab w:val="right" w:pos="10206" w:leader="none"/>
                        </w:tabs>
                        <w:jc w:val="left"/>
                        <w:rPr>
                          <w:lang w:val="en-GB" w:eastAsia="ko-KR"/>
                        </w:rPr>
                      </w:pPr>
                      <w:r>
                        <w:rPr>
                          <w:lang w:val="en-GB" w:eastAsia="ko-KR"/>
                        </w:rPr>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9718675</wp:posOffset>
                </wp:positionV>
                <wp:extent cx="6379210" cy="874395"/>
                <wp:effectExtent l="0" t="0" r="0" b="0"/>
                <wp:wrapTopAndBottom/>
                <wp:docPr id="9" name="Frame5"/>
                <a:graphic xmlns:a="http://schemas.openxmlformats.org/drawingml/2006/main">
                  <a:graphicData uri="http://schemas.microsoft.com/office/word/2010/wordprocessingShape">
                    <wps:wsp>
                      <wps:cNvSpPr txBox="1"/>
                      <wps:spPr>
                        <a:xfrm>
                          <a:off x="0" y="0"/>
                          <a:ext cx="6379210" cy="874395"/>
                        </a:xfrm>
                        <a:prstGeom prst="rect"/>
                        <a:solidFill>
                          <a:srgbClr val="FFFFFF">
                            <a:alpha val="0"/>
                          </a:srgbClr>
                        </a:solidFill>
                      </wps:spPr>
                      <wps:txbx>
                        <w:txbxContent>
                          <w:p>
                            <w:pPr>
                              <w:pStyle w:val="Normal"/>
                              <w:widowControl/>
                              <w:overflowPunct w:val="false"/>
                              <w:autoSpaceDE w:val="false"/>
                              <w:bidi w:val="0"/>
                              <w:spacing w:before="0" w:after="180"/>
                              <w:textAlignment w:val="baseline"/>
                              <w:rPr/>
                            </w:pPr>
                            <w:r>
                              <w:rPr>
                                <w:sz w:val="16"/>
                              </w:rPr>
                              <w:t>The present document has been developed within the 3rd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502.3pt;height:68.85pt;mso-wrap-distance-left:0pt;mso-wrap-distance-right:0pt;mso-wrap-distance-top:0pt;mso-wrap-distance-bottom:0pt;margin-top:765.25pt;mso-position-vertical-relative:page;margin-left:0pt;mso-position-horizontal:left;mso-position-horizontal-relative:margin">
                <v:fill opacity="0f"/>
                <v:textbox inset="0in,0in,0in,0in">
                  <w:txbxContent>
                    <w:p>
                      <w:pPr>
                        <w:pStyle w:val="Normal"/>
                        <w:widowControl/>
                        <w:overflowPunct w:val="false"/>
                        <w:autoSpaceDE w:val="false"/>
                        <w:bidi w:val="0"/>
                        <w:spacing w:before="0" w:after="180"/>
                        <w:textAlignment w:val="baseline"/>
                        <w:rPr/>
                      </w:pPr>
                      <w:r>
                        <w:rPr>
                          <w:sz w:val="16"/>
                        </w:rPr>
                        <w:t>The present document has been developed within the 3rd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lang w:val="en-GB" w:eastAsia="ko-KR"/>
                              </w:rPr>
                            </w:pPr>
                            <w:r>
                              <w:rPr>
                                <w:lang w:val="en-GB" w:eastAsia="ko-K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lang w:val="en-GB" w:eastAsia="ko-KR"/>
                        </w:rPr>
                      </w:pPr>
                      <w:r>
                        <w:rPr>
                          <w:lang w:val="en-GB" w:eastAsia="ko-KR"/>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p>
    <w:p>
      <w:pPr>
        <w:pStyle w:val="Normal"/>
        <w:rPr/>
      </w:pPr>
      <w:r>
        <w:rPr/>
      </w:r>
    </w:p>
    <w:p>
      <w:pPr>
        <w:pStyle w:val="Normal"/>
        <w:rPr/>
      </w:pPr>
      <w:r>
        <w:rPr/>
      </w:r>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margin">
                  <wp:align>center</wp:align>
                </wp:positionV>
                <wp:extent cx="6121400" cy="1779905"/>
                <wp:effectExtent l="0" t="0" r="0" b="0"/>
                <wp:wrapTopAndBottom/>
                <wp:docPr id="11" name="Frame7"/>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rPr>
                            </w:pPr>
                            <w:r>
                              <w:rPr>
                                <w:rFonts w:cs="Arial" w:ascii="Arial" w:hAnsi="Arial"/>
                                <w:sz w:val="18"/>
                              </w:rPr>
                              <w:t>650 Route des Lucioles - Sophia Antipolis</w:t>
                            </w:r>
                          </w:p>
                          <w:p>
                            <w:pPr>
                              <w:pStyle w:val="FP"/>
                              <w:ind w:left="2835" w:right="2835" w:hanging="0"/>
                              <w:jc w:val="center"/>
                              <w:rPr>
                                <w:rFonts w:ascii="Arial" w:hAnsi="Arial" w:cs="Arial"/>
                                <w:sz w:val="18"/>
                              </w:rPr>
                            </w:pPr>
                            <w:r>
                              <w:rPr>
                                <w:rFonts w:cs="Arial" w:ascii="Arial" w:hAnsi="Arial"/>
                                <w:sz w:val="18"/>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rPr>
                      </w:pPr>
                      <w:r>
                        <w:rPr>
                          <w:rFonts w:cs="Arial" w:ascii="Arial" w:hAnsi="Arial"/>
                          <w:sz w:val="18"/>
                        </w:rPr>
                        <w:t>650 Route des Lucioles - Sophia Antipolis</w:t>
                      </w:r>
                    </w:p>
                    <w:p>
                      <w:pPr>
                        <w:pStyle w:val="FP"/>
                        <w:ind w:left="2835" w:right="2835" w:hanging="0"/>
                        <w:jc w:val="center"/>
                        <w:rPr>
                          <w:rFonts w:ascii="Arial" w:hAnsi="Arial" w:cs="Arial"/>
                          <w:sz w:val="18"/>
                        </w:rPr>
                      </w:pPr>
                      <w:r>
                        <w:rPr>
                          <w:rFonts w:cs="Arial" w:ascii="Arial" w:hAnsi="Arial"/>
                          <w:sz w:val="18"/>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TT"/>
        <w:rPr/>
      </w:pPr>
      <w:r>
        <w:rPr/>
      </w:r>
      <w:bookmarkStart w:id="4" w:name="page2"/>
      <w:bookmarkStart w:id="5" w:name="page2"/>
      <w:bookmarkEnd w:id="5"/>
      <w:r>
        <w:br w:type="page"/>
      </w:r>
      <w:r>
        <mc:AlternateContent>
          <mc:Choice Requires="wps">
            <w:drawing>
              <wp:anchor behindDoc="0" distT="0" distB="0" distL="0" distR="0" simplePos="0" locked="0" layoutInCell="0" allowOverlap="1" relativeHeight="11">
                <wp:simplePos x="0" y="0"/>
                <wp:positionH relativeFrom="margin">
                  <wp:align>left</wp:align>
                </wp:positionH>
                <wp:positionV relativeFrom="page">
                  <wp:posOffset>8004175</wp:posOffset>
                </wp:positionV>
                <wp:extent cx="6121400" cy="1941195"/>
                <wp:effectExtent l="0" t="0" r="0" b="0"/>
                <wp:wrapTopAndBottom/>
                <wp:docPr id="12" name="Frame8"/>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rFonts w:ascii="Arial" w:hAnsi="Arial" w:cs="Arial"/>
                                <w:b/>
                                <w:b/>
                                <w:i/>
                                <w:i/>
                              </w:rPr>
                            </w:pPr>
                            <w:r>
                              <w:rPr>
                                <w:rFonts w:cs="Arial" w:ascii="Arial" w:hAnsi="Arial"/>
                                <w:b/>
                                <w:i/>
                              </w:rPr>
                              <w:t>Copyright Notification</w:t>
                            </w:r>
                          </w:p>
                          <w:p>
                            <w:pPr>
                              <w:pStyle w:val="FP"/>
                              <w:jc w:val="center"/>
                              <w:rPr/>
                            </w:pPr>
                            <w:r>
                              <w:rPr/>
                              <w:t>No part may be reproduced except as authorized by written permission.</w:t>
                              <w:br/>
                              <w:t>The copyright and the foregoing restriction extend to reproduction in all media.</w:t>
                            </w:r>
                          </w:p>
                          <w:p>
                            <w:pPr>
                              <w:pStyle w:val="FP"/>
                              <w:jc w:val="center"/>
                              <w:rPr/>
                            </w:pPr>
                            <w:r>
                              <w:rPr/>
                            </w:r>
                          </w:p>
                          <w:p>
                            <w:pPr>
                              <w:pStyle w:val="FP"/>
                              <w:jc w:val="center"/>
                              <w:rPr/>
                            </w:pPr>
                            <w:r>
                              <w:rPr>
                                <w:sz w:val="18"/>
                              </w:rPr>
                              <w:t>© 2022, 3GPP Organizational Partners (ARIB, ATIS, CCSA, ETSI, TSDSI, TTA, TTC).</w:t>
                            </w:r>
                            <w:bookmarkStart w:id="6" w:name="copyrightaddon"/>
                            <w:bookmarkEnd w:id="6"/>
                          </w:p>
                          <w:p>
                            <w:pPr>
                              <w:pStyle w:val="FP"/>
                              <w:jc w:val="center"/>
                              <w:rPr>
                                <w:sz w:val="18"/>
                              </w:rPr>
                            </w:pPr>
                            <w:r>
                              <w:rPr>
                                <w:sz w:val="18"/>
                              </w:rPr>
                              <w:t>All rights reserved.</w:t>
                            </w:r>
                          </w:p>
                          <w:p>
                            <w:pPr>
                              <w:pStyle w:val="FP"/>
                              <w:rPr>
                                <w:sz w:val="18"/>
                              </w:rPr>
                            </w:pPr>
                            <w:r>
                              <w:rPr>
                                <w:sz w:val="18"/>
                              </w:rPr>
                            </w:r>
                          </w:p>
                          <w:p>
                            <w:pPr>
                              <w:pStyle w:val="FP"/>
                              <w:rPr/>
                            </w:pPr>
                            <w:r>
                              <w:rPr>
                                <w:sz w:val="18"/>
                              </w:rPr>
                              <w:t>UMTS™ is a Trade Mark of ETSI registered for the benefit of its members</w:t>
                            </w:r>
                          </w:p>
                          <w:p>
                            <w:pPr>
                              <w:pStyle w:val="FP"/>
                              <w:rPr>
                                <w:sz w:val="18"/>
                              </w:rPr>
                            </w:pPr>
                            <w:r>
                              <w:rPr>
                                <w:sz w:val="18"/>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rPr>
                            </w:pPr>
                            <w:r>
                              <w:rPr>
                                <w:sz w:val="18"/>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rPr>
                      </w:pPr>
                      <w:r>
                        <w:rPr>
                          <w:rFonts w:cs="Arial" w:ascii="Arial" w:hAnsi="Arial"/>
                          <w:b/>
                          <w:i/>
                        </w:rPr>
                        <w:t>Copyright Notification</w:t>
                      </w:r>
                    </w:p>
                    <w:p>
                      <w:pPr>
                        <w:pStyle w:val="FP"/>
                        <w:jc w:val="center"/>
                        <w:rPr/>
                      </w:pPr>
                      <w:r>
                        <w:rPr/>
                        <w:t>No part may be reproduced except as authorized by written permission.</w:t>
                        <w:br/>
                        <w:t>The copyright and the foregoing restriction extend to reproduction in all media.</w:t>
                      </w:r>
                    </w:p>
                    <w:p>
                      <w:pPr>
                        <w:pStyle w:val="FP"/>
                        <w:jc w:val="center"/>
                        <w:rPr/>
                      </w:pPr>
                      <w:r>
                        <w:rPr/>
                      </w:r>
                    </w:p>
                    <w:p>
                      <w:pPr>
                        <w:pStyle w:val="FP"/>
                        <w:jc w:val="center"/>
                        <w:rPr/>
                      </w:pPr>
                      <w:r>
                        <w:rPr>
                          <w:sz w:val="18"/>
                        </w:rPr>
                        <w:t>© 2022, 3GPP Organizational Partners (ARIB, ATIS, CCSA, ETSI, TSDSI, TTA, TTC).</w:t>
                      </w:r>
                      <w:bookmarkStart w:id="7" w:name="copyrightaddon"/>
                      <w:bookmarkEnd w:id="7"/>
                    </w:p>
                    <w:p>
                      <w:pPr>
                        <w:pStyle w:val="FP"/>
                        <w:jc w:val="center"/>
                        <w:rPr>
                          <w:sz w:val="18"/>
                        </w:rPr>
                      </w:pPr>
                      <w:r>
                        <w:rPr>
                          <w:sz w:val="18"/>
                        </w:rPr>
                        <w:t>All rights reserved.</w:t>
                      </w:r>
                    </w:p>
                    <w:p>
                      <w:pPr>
                        <w:pStyle w:val="FP"/>
                        <w:rPr>
                          <w:sz w:val="18"/>
                        </w:rPr>
                      </w:pPr>
                      <w:r>
                        <w:rPr>
                          <w:sz w:val="18"/>
                        </w:rPr>
                      </w:r>
                    </w:p>
                    <w:p>
                      <w:pPr>
                        <w:pStyle w:val="FP"/>
                        <w:rPr/>
                      </w:pPr>
                      <w:r>
                        <w:rPr>
                          <w:sz w:val="18"/>
                        </w:rPr>
                        <w:t>UMTS™ is a Trade Mark of ETSI registered for the benefit of its members</w:t>
                      </w:r>
                    </w:p>
                    <w:p>
                      <w:pPr>
                        <w:pStyle w:val="FP"/>
                        <w:rPr>
                          <w:sz w:val="18"/>
                        </w:rPr>
                      </w:pPr>
                      <w:r>
                        <w:rPr>
                          <w:sz w:val="18"/>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rPr>
                      </w:pPr>
                      <w:r>
                        <w:rPr>
                          <w:sz w:val="18"/>
                        </w:rPr>
                        <w:t>GSM® and the GSM logo are registered and owned by the GSM Association</w:t>
                      </w:r>
                    </w:p>
                  </w:txbxContent>
                </v:textbox>
                <w10:wrap type="topAndBottom"/>
              </v:rect>
            </w:pict>
          </mc:Fallback>
        </mc:AlternateContent>
      </w:r>
    </w:p>
    <w:p>
      <w:pPr>
        <w:pStyle w:val="TT"/>
        <w:rPr/>
      </w:pPr>
      <w:r>
        <w:rPr/>
        <w:t>Contents</w:t>
      </w:r>
    </w:p>
    <w:sdt>
      <w:sdtPr>
        <w:docPartObj>
          <w:docPartGallery w:val="Table of Contents"/>
          <w:docPartUnique w:val="true"/>
        </w:docPartObj>
      </w:sdtPr>
      <w:sdtContent>
        <w:p>
          <w:pPr>
            <w:pStyle w:val="Contents1"/>
            <w:keepNext w:val="true"/>
            <w:keepLines/>
            <w:widowControl w:val="false"/>
            <w:overflowPunct w:val="false"/>
            <w:autoSpaceDE w:val="false"/>
            <w:bidi w:val="0"/>
            <w:spacing w:before="120" w:after="0"/>
            <w:ind w:left="567" w:right="425" w:hanging="567"/>
            <w:textAlignment w:val="baseline"/>
            <w:rPr>
              <w:rFonts w:ascii="Calibri" w:hAnsi="Calibri" w:eastAsia="Malgun Gothic;맑은 고딕" w:cs="Calibri"/>
              <w:szCs w:val="22"/>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88654229">
            <w:r>
              <w:rPr>
                <w:rStyle w:val="IndexLink"/>
                <w:rFonts w:eastAsia="Times New Roman" w:cs="Times New Roman"/>
                <w:color w:val="auto"/>
                <w:sz w:val="22"/>
                <w:szCs w:val="20"/>
                <w:lang w:val="en-GB" w:eastAsia="en-US" w:bidi="ar-SA"/>
              </w:rPr>
              <w:t>4</w:t>
            </w:r>
          </w:hyperlink>
        </w:p>
        <w:p>
          <w:pPr>
            <w:pStyle w:val="Contents1"/>
            <w:rPr>
              <w:rFonts w:ascii="Calibri" w:hAnsi="Calibri" w:eastAsia="Malgun Gothic;맑은 고딕" w:cs="Calibri"/>
              <w:szCs w:val="22"/>
            </w:rPr>
          </w:pPr>
          <w:r>
            <w:rPr/>
            <w:t>1</w:t>
          </w:r>
          <w:r>
            <w:rPr>
              <w:rFonts w:eastAsia="Malgun Gothic;맑은 고딕" w:cs="Calibri" w:ascii="Calibri" w:hAnsi="Calibri"/>
              <w:szCs w:val="22"/>
            </w:rPr>
            <w:tab/>
          </w:r>
          <w:r>
            <w:rPr/>
            <w:t>Scope</w:t>
            <w:tab/>
          </w:r>
          <w:hyperlink w:anchor="__RefHeading___Toc88654230">
            <w:r>
              <w:rPr>
                <w:rStyle w:val="IndexLink"/>
              </w:rPr>
              <w:t>5</w:t>
            </w:r>
          </w:hyperlink>
        </w:p>
        <w:p>
          <w:pPr>
            <w:pStyle w:val="Contents1"/>
            <w:rPr>
              <w:rFonts w:ascii="Calibri" w:hAnsi="Calibri" w:eastAsia="Malgun Gothic;맑은 고딕" w:cs="Calibri"/>
              <w:szCs w:val="22"/>
            </w:rPr>
          </w:pPr>
          <w:r>
            <w:rPr/>
            <w:t>2</w:t>
          </w:r>
          <w:r>
            <w:rPr>
              <w:rFonts w:eastAsia="Malgun Gothic;맑은 고딕" w:cs="Calibri" w:ascii="Calibri" w:hAnsi="Calibri"/>
              <w:szCs w:val="22"/>
            </w:rPr>
            <w:tab/>
          </w:r>
          <w:r>
            <w:rPr/>
            <w:t>References</w:t>
            <w:tab/>
          </w:r>
          <w:hyperlink w:anchor="__RefHeading___Toc88654231">
            <w:r>
              <w:rPr>
                <w:rStyle w:val="IndexLink"/>
              </w:rPr>
              <w:t>5</w:t>
            </w:r>
          </w:hyperlink>
        </w:p>
        <w:p>
          <w:pPr>
            <w:pStyle w:val="Contents1"/>
            <w:rPr>
              <w:rFonts w:ascii="Calibri" w:hAnsi="Calibri" w:eastAsia="Malgun Gothic;맑은 고딕" w:cs="Calibri"/>
              <w:szCs w:val="22"/>
            </w:rPr>
          </w:pPr>
          <w:r>
            <w:rPr/>
            <w:t>3</w:t>
          </w:r>
          <w:r>
            <w:rPr>
              <w:rFonts w:eastAsia="Malgun Gothic;맑은 고딕" w:cs="Calibri" w:ascii="Calibri" w:hAnsi="Calibri"/>
              <w:szCs w:val="22"/>
            </w:rPr>
            <w:tab/>
          </w:r>
          <w:r>
            <w:rPr/>
            <w:t>Definitions and abbreviations</w:t>
            <w:tab/>
          </w:r>
          <w:hyperlink w:anchor="__RefHeading___Toc88654232">
            <w:r>
              <w:rPr>
                <w:rStyle w:val="IndexLink"/>
              </w:rPr>
              <w:t>5</w:t>
            </w:r>
          </w:hyperlink>
        </w:p>
        <w:p>
          <w:pPr>
            <w:pStyle w:val="Contents2"/>
            <w:rPr>
              <w:rFonts w:ascii="Calibri" w:hAnsi="Calibri" w:eastAsia="Malgun Gothic;맑은 고딕" w:cs="Calibri"/>
              <w:sz w:val="22"/>
              <w:szCs w:val="22"/>
            </w:rPr>
          </w:pPr>
          <w:r>
            <w:rPr/>
            <w:t>3.1</w:t>
          </w:r>
          <w:r>
            <w:rPr>
              <w:rFonts w:eastAsia="Malgun Gothic;맑은 고딕" w:cs="Calibri" w:ascii="Calibri" w:hAnsi="Calibri"/>
              <w:sz w:val="22"/>
              <w:szCs w:val="22"/>
            </w:rPr>
            <w:tab/>
          </w:r>
          <w:r>
            <w:rPr/>
            <w:t>Definitions</w:t>
            <w:tab/>
          </w:r>
          <w:hyperlink w:anchor="__RefHeading___Toc88654233">
            <w:r>
              <w:rPr>
                <w:rStyle w:val="IndexLink"/>
              </w:rPr>
              <w:t>5</w:t>
            </w:r>
          </w:hyperlink>
        </w:p>
        <w:p>
          <w:pPr>
            <w:pStyle w:val="Contents2"/>
            <w:rPr>
              <w:rFonts w:ascii="Calibri" w:hAnsi="Calibri" w:eastAsia="Malgun Gothic;맑은 고딕" w:cs="Calibri"/>
              <w:sz w:val="22"/>
              <w:szCs w:val="22"/>
            </w:rPr>
          </w:pPr>
          <w:r>
            <w:rPr/>
            <w:t>3.3</w:t>
          </w:r>
          <w:r>
            <w:rPr>
              <w:rFonts w:eastAsia="Malgun Gothic;맑은 고딕" w:cs="Calibri" w:ascii="Calibri" w:hAnsi="Calibri"/>
              <w:sz w:val="22"/>
              <w:szCs w:val="22"/>
            </w:rPr>
            <w:tab/>
          </w:r>
          <w:r>
            <w:rPr/>
            <w:t>Abbreviations</w:t>
            <w:tab/>
          </w:r>
          <w:hyperlink w:anchor="__RefHeading___Toc88654234">
            <w:r>
              <w:rPr>
                <w:rStyle w:val="IndexLink"/>
              </w:rPr>
              <w:t>6</w:t>
            </w:r>
          </w:hyperlink>
        </w:p>
        <w:p>
          <w:pPr>
            <w:pStyle w:val="Contents1"/>
            <w:rPr>
              <w:rFonts w:ascii="Calibri" w:hAnsi="Calibri" w:eastAsia="Malgun Gothic;맑은 고딕" w:cs="Calibri"/>
              <w:szCs w:val="22"/>
            </w:rPr>
          </w:pPr>
          <w:r>
            <w:rPr/>
            <w:t>4</w:t>
          </w:r>
          <w:r>
            <w:rPr>
              <w:rFonts w:eastAsia="Malgun Gothic;맑은 고딕" w:cs="Calibri" w:ascii="Calibri" w:hAnsi="Calibri"/>
              <w:szCs w:val="22"/>
            </w:rPr>
            <w:tab/>
          </w:r>
          <w:r>
            <w:rPr/>
            <w:t>General aspects</w:t>
            <w:tab/>
          </w:r>
          <w:hyperlink w:anchor="__RefHeading___Toc88654235">
            <w:r>
              <w:rPr>
                <w:rStyle w:val="IndexLink"/>
              </w:rPr>
              <w:t>6</w:t>
            </w:r>
          </w:hyperlink>
        </w:p>
        <w:p>
          <w:pPr>
            <w:pStyle w:val="Contents2"/>
            <w:rPr>
              <w:rFonts w:ascii="Calibri" w:hAnsi="Calibri" w:eastAsia="Malgun Gothic;맑은 고딕" w:cs="Calibri"/>
              <w:sz w:val="22"/>
              <w:szCs w:val="22"/>
            </w:rPr>
          </w:pPr>
          <w:r>
            <w:rPr/>
            <w:t>4.1</w:t>
          </w:r>
          <w:r>
            <w:rPr>
              <w:rFonts w:eastAsia="Malgun Gothic;맑은 고딕" w:cs="Calibri" w:ascii="Calibri" w:hAnsi="Calibri"/>
              <w:sz w:val="22"/>
              <w:szCs w:val="22"/>
            </w:rPr>
            <w:tab/>
          </w:r>
          <w:r>
            <w:rPr>
              <w:rFonts w:cs="Arial"/>
            </w:rPr>
            <w:t>E1 interface general principles</w:t>
          </w:r>
          <w:r>
            <w:rPr/>
            <w:tab/>
          </w:r>
          <w:hyperlink w:anchor="__RefHeading___Toc88654236">
            <w:r>
              <w:rPr>
                <w:rStyle w:val="IndexLink"/>
              </w:rPr>
              <w:t>6</w:t>
            </w:r>
          </w:hyperlink>
        </w:p>
        <w:p>
          <w:pPr>
            <w:pStyle w:val="Contents2"/>
            <w:rPr>
              <w:rFonts w:ascii="Calibri" w:hAnsi="Calibri" w:eastAsia="Malgun Gothic;맑은 고딕" w:cs="Calibri"/>
              <w:sz w:val="22"/>
              <w:szCs w:val="22"/>
            </w:rPr>
          </w:pPr>
          <w:r>
            <w:rPr/>
            <w:t>4.2</w:t>
          </w:r>
          <w:r>
            <w:rPr>
              <w:rFonts w:eastAsia="Malgun Gothic;맑은 고딕" w:cs="Calibri" w:ascii="Calibri" w:hAnsi="Calibri"/>
              <w:sz w:val="22"/>
              <w:szCs w:val="22"/>
            </w:rPr>
            <w:tab/>
          </w:r>
          <w:r>
            <w:rPr/>
            <w:t>E</w:t>
          </w:r>
          <w:r>
            <w:rPr>
              <w:rFonts w:cs="Arial"/>
            </w:rPr>
            <w:t>1 interface specification objectives</w:t>
          </w:r>
          <w:r>
            <w:rPr/>
            <w:tab/>
          </w:r>
          <w:hyperlink w:anchor="__RefHeading___Toc88654237">
            <w:r>
              <w:rPr>
                <w:rStyle w:val="IndexLink"/>
              </w:rPr>
              <w:t>6</w:t>
            </w:r>
          </w:hyperlink>
        </w:p>
        <w:p>
          <w:pPr>
            <w:pStyle w:val="Contents1"/>
            <w:rPr>
              <w:rFonts w:ascii="Calibri" w:hAnsi="Calibri" w:eastAsia="Malgun Gothic;맑은 고딕" w:cs="Calibri"/>
              <w:szCs w:val="22"/>
            </w:rPr>
          </w:pPr>
          <w:r>
            <w:rPr/>
            <w:t>5</w:t>
          </w:r>
          <w:r>
            <w:rPr>
              <w:rFonts w:eastAsia="Malgun Gothic;맑은 고딕" w:cs="Calibri" w:ascii="Calibri" w:hAnsi="Calibri"/>
              <w:szCs w:val="22"/>
            </w:rPr>
            <w:tab/>
          </w:r>
          <w:r>
            <w:rPr/>
            <w:t>Functions of the E1 interface</w:t>
            <w:tab/>
          </w:r>
          <w:hyperlink w:anchor="__RefHeading___Toc88654238">
            <w:r>
              <w:rPr>
                <w:rStyle w:val="IndexLink"/>
              </w:rPr>
              <w:t>6</w:t>
            </w:r>
          </w:hyperlink>
        </w:p>
        <w:p>
          <w:pPr>
            <w:pStyle w:val="Contents2"/>
            <w:rPr>
              <w:rFonts w:ascii="Calibri" w:hAnsi="Calibri" w:eastAsia="Malgun Gothic;맑은 고딕" w:cs="Calibri"/>
              <w:sz w:val="22"/>
              <w:szCs w:val="22"/>
            </w:rPr>
          </w:pPr>
          <w:r>
            <w:rPr/>
            <w:t>5.1</w:t>
          </w:r>
          <w:r>
            <w:rPr>
              <w:rFonts w:eastAsia="Malgun Gothic;맑은 고딕" w:cs="Calibri" w:ascii="Calibri" w:hAnsi="Calibri"/>
              <w:sz w:val="22"/>
              <w:szCs w:val="22"/>
            </w:rPr>
            <w:tab/>
          </w:r>
          <w:r>
            <w:rPr/>
            <w:t>General</w:t>
            <w:tab/>
          </w:r>
          <w:hyperlink w:anchor="__RefHeading___Toc88654239">
            <w:r>
              <w:rPr>
                <w:rStyle w:val="IndexLink"/>
              </w:rPr>
              <w:t>6</w:t>
            </w:r>
          </w:hyperlink>
        </w:p>
        <w:p>
          <w:pPr>
            <w:pStyle w:val="Contents3"/>
            <w:rPr>
              <w:rFonts w:ascii="Calibri" w:hAnsi="Calibri" w:eastAsia="Malgun Gothic;맑은 고딕" w:cs="Calibri"/>
              <w:sz w:val="22"/>
              <w:szCs w:val="22"/>
            </w:rPr>
          </w:pPr>
          <w:r>
            <w:rPr/>
            <w:t>5.1.1</w:t>
          </w:r>
          <w:r>
            <w:rPr>
              <w:rFonts w:eastAsia="Malgun Gothic;맑은 고딕" w:cs="Calibri" w:ascii="Calibri" w:hAnsi="Calibri"/>
              <w:sz w:val="22"/>
              <w:szCs w:val="22"/>
            </w:rPr>
            <w:tab/>
          </w:r>
          <w:r>
            <w:rPr/>
            <w:t>E1 interface management function</w:t>
            <w:tab/>
          </w:r>
          <w:hyperlink w:anchor="__RefHeading___Toc88654240">
            <w:r>
              <w:rPr>
                <w:rStyle w:val="IndexLink"/>
              </w:rPr>
              <w:t>6</w:t>
            </w:r>
          </w:hyperlink>
        </w:p>
        <w:p>
          <w:pPr>
            <w:pStyle w:val="Contents3"/>
            <w:rPr>
              <w:rFonts w:ascii="Calibri" w:hAnsi="Calibri" w:eastAsia="Malgun Gothic;맑은 고딕" w:cs="Calibri"/>
              <w:sz w:val="22"/>
              <w:szCs w:val="22"/>
            </w:rPr>
          </w:pPr>
          <w:r>
            <w:rPr/>
            <w:t>5.1.2</w:t>
          </w:r>
          <w:r>
            <w:rPr>
              <w:rFonts w:eastAsia="Malgun Gothic;맑은 고딕" w:cs="Calibri" w:ascii="Calibri" w:hAnsi="Calibri"/>
              <w:sz w:val="22"/>
              <w:szCs w:val="22"/>
            </w:rPr>
            <w:tab/>
          </w:r>
          <w:r>
            <w:rPr/>
            <w:t>E1 bearer context management function</w:t>
            <w:tab/>
          </w:r>
          <w:hyperlink w:anchor="__RefHeading___Toc88654241">
            <w:r>
              <w:rPr>
                <w:rStyle w:val="IndexLink"/>
              </w:rPr>
              <w:t>7</w:t>
            </w:r>
          </w:hyperlink>
        </w:p>
        <w:p>
          <w:pPr>
            <w:pStyle w:val="Contents3"/>
            <w:rPr>
              <w:rFonts w:ascii="Calibri" w:hAnsi="Calibri" w:eastAsia="Malgun Gothic;맑은 고딕" w:cs="Calibri"/>
              <w:sz w:val="22"/>
              <w:szCs w:val="22"/>
            </w:rPr>
          </w:pPr>
          <w:r>
            <w:rPr/>
            <w:t>5.1.3</w:t>
          </w:r>
          <w:r>
            <w:rPr>
              <w:rFonts w:eastAsia="Malgun Gothic;맑은 고딕" w:cs="Calibri" w:ascii="Calibri" w:hAnsi="Calibri"/>
              <w:sz w:val="22"/>
              <w:szCs w:val="22"/>
            </w:rPr>
            <w:tab/>
          </w:r>
          <w:r>
            <w:rPr>
              <w:lang w:val="en-US" w:eastAsia="en-US"/>
            </w:rPr>
            <w:t>Trace function</w:t>
          </w:r>
          <w:r>
            <w:rPr/>
            <w:tab/>
          </w:r>
          <w:hyperlink w:anchor="__RefHeading___Toc88654242">
            <w:r>
              <w:rPr>
                <w:rStyle w:val="IndexLink"/>
              </w:rPr>
              <w:t>8</w:t>
            </w:r>
          </w:hyperlink>
        </w:p>
        <w:p>
          <w:pPr>
            <w:pStyle w:val="Contents3"/>
            <w:rPr>
              <w:rFonts w:ascii="Calibri" w:hAnsi="Calibri" w:eastAsia="Malgun Gothic;맑은 고딕" w:cs="Calibri"/>
              <w:sz w:val="22"/>
              <w:szCs w:val="22"/>
            </w:rPr>
          </w:pPr>
          <w:r>
            <w:rPr/>
            <w:t>5.</w:t>
          </w:r>
          <w:r>
            <w:rPr>
              <w:lang w:val="en-US" w:eastAsia="en-US"/>
            </w:rPr>
            <w:t>1</w:t>
          </w:r>
          <w:r>
            <w:rPr/>
            <w:t>.</w:t>
          </w:r>
          <w:r>
            <w:rPr>
              <w:lang w:val="en-US" w:eastAsia="en-US"/>
            </w:rPr>
            <w:t>4</w:t>
          </w:r>
          <w:r>
            <w:rPr>
              <w:rFonts w:eastAsia="Malgun Gothic;맑은 고딕" w:cs="Calibri" w:ascii="Calibri" w:hAnsi="Calibri"/>
              <w:sz w:val="22"/>
              <w:szCs w:val="22"/>
            </w:rPr>
            <w:tab/>
          </w:r>
          <w:r>
            <w:rPr>
              <w:lang w:val="en-US" w:eastAsia="en-US"/>
            </w:rPr>
            <w:t>Load management function</w:t>
          </w:r>
          <w:r>
            <w:rPr/>
            <w:tab/>
          </w:r>
          <w:hyperlink w:anchor="__RefHeading___Toc88654243">
            <w:r>
              <w:rPr>
                <w:rStyle w:val="IndexLink"/>
              </w:rPr>
              <w:t>8</w:t>
            </w:r>
          </w:hyperlink>
        </w:p>
        <w:p>
          <w:pPr>
            <w:pStyle w:val="Contents3"/>
            <w:rPr>
              <w:rFonts w:ascii="Calibri" w:hAnsi="Calibri" w:eastAsia="Malgun Gothic;맑은 고딕" w:cs="Calibri"/>
              <w:sz w:val="22"/>
              <w:szCs w:val="22"/>
            </w:rPr>
          </w:pPr>
          <w:r>
            <w:rPr/>
            <w:t>5.1.5</w:t>
          </w:r>
          <w:r>
            <w:rPr>
              <w:rFonts w:eastAsia="Malgun Gothic;맑은 고딕" w:cs="Calibri" w:ascii="Calibri" w:hAnsi="Calibri"/>
              <w:sz w:val="22"/>
              <w:szCs w:val="22"/>
            </w:rPr>
            <w:tab/>
          </w:r>
          <w:r>
            <w:rPr/>
            <w:t>Measurement results transfer function</w:t>
            <w:tab/>
          </w:r>
          <w:hyperlink w:anchor="__RefHeading___Toc88654244">
            <w:r>
              <w:rPr>
                <w:rStyle w:val="IndexLink"/>
              </w:rPr>
              <w:t>8</w:t>
            </w:r>
          </w:hyperlink>
        </w:p>
        <w:p>
          <w:pPr>
            <w:pStyle w:val="Contents3"/>
            <w:rPr>
              <w:rFonts w:ascii="Calibri" w:hAnsi="Calibri" w:eastAsia="Malgun Gothic;맑은 고딕" w:cs="Calibri"/>
              <w:sz w:val="22"/>
              <w:szCs w:val="22"/>
            </w:rPr>
          </w:pPr>
          <w:r>
            <w:rPr>
              <w:lang w:val="en-US" w:eastAsia="en-US"/>
            </w:rPr>
            <w:t>5.1.6</w:t>
          </w:r>
          <w:r>
            <w:rPr>
              <w:rFonts w:eastAsia="Malgun Gothic;맑은 고딕" w:cs="Calibri" w:ascii="Calibri" w:hAnsi="Calibri"/>
              <w:sz w:val="22"/>
              <w:szCs w:val="22"/>
            </w:rPr>
            <w:tab/>
          </w:r>
          <w:r>
            <w:rPr>
              <w:rFonts w:eastAsia="SimSun;宋体"/>
              <w:lang w:val="en-US" w:eastAsia="en-US"/>
            </w:rPr>
            <w:t xml:space="preserve">Support for </w:t>
          </w:r>
          <w:r>
            <w:rPr>
              <w:lang w:val="en-US" w:eastAsia="en-US"/>
            </w:rPr>
            <w:t>IAB</w:t>
          </w:r>
          <w:r>
            <w:rPr/>
            <w:tab/>
          </w:r>
          <w:hyperlink w:anchor="__RefHeading___Toc88654245">
            <w:r>
              <w:rPr>
                <w:rStyle w:val="IndexLink"/>
              </w:rPr>
              <w:t>8</w:t>
            </w:r>
          </w:hyperlink>
        </w:p>
        <w:p>
          <w:pPr>
            <w:pStyle w:val="Contents2"/>
            <w:rPr>
              <w:rFonts w:ascii="Calibri" w:hAnsi="Calibri" w:eastAsia="Malgun Gothic;맑은 고딕" w:cs="Calibri"/>
              <w:sz w:val="22"/>
              <w:szCs w:val="22"/>
            </w:rPr>
          </w:pPr>
          <w:r>
            <w:rPr/>
            <w:t>5.2</w:t>
          </w:r>
          <w:r>
            <w:rPr>
              <w:rFonts w:eastAsia="Malgun Gothic;맑은 고딕" w:cs="Calibri" w:ascii="Calibri" w:hAnsi="Calibri"/>
              <w:sz w:val="22"/>
              <w:szCs w:val="22"/>
            </w:rPr>
            <w:tab/>
          </w:r>
          <w:r>
            <w:rPr/>
            <w:t>TEIDs allocation</w:t>
            <w:tab/>
          </w:r>
          <w:hyperlink w:anchor="__RefHeading___Toc88654246">
            <w:r>
              <w:rPr>
                <w:rStyle w:val="IndexLink"/>
              </w:rPr>
              <w:t>8</w:t>
            </w:r>
          </w:hyperlink>
        </w:p>
        <w:p>
          <w:pPr>
            <w:pStyle w:val="Contents1"/>
            <w:rPr>
              <w:rFonts w:ascii="Calibri" w:hAnsi="Calibri" w:eastAsia="Malgun Gothic;맑은 고딕" w:cs="Calibri"/>
              <w:szCs w:val="22"/>
            </w:rPr>
          </w:pPr>
          <w:r>
            <w:rPr/>
            <w:t>6</w:t>
          </w:r>
          <w:r>
            <w:rPr>
              <w:rFonts w:eastAsia="Malgun Gothic;맑은 고딕" w:cs="Calibri" w:ascii="Calibri" w:hAnsi="Calibri"/>
              <w:szCs w:val="22"/>
            </w:rPr>
            <w:tab/>
          </w:r>
          <w:r>
            <w:rPr/>
            <w:t>Procedures of the E1 interface</w:t>
            <w:tab/>
          </w:r>
          <w:hyperlink w:anchor="__RefHeading___Toc88654247">
            <w:r>
              <w:rPr>
                <w:rStyle w:val="IndexLink"/>
              </w:rPr>
              <w:t>8</w:t>
            </w:r>
          </w:hyperlink>
        </w:p>
        <w:p>
          <w:pPr>
            <w:pStyle w:val="Contents2"/>
            <w:rPr>
              <w:rFonts w:ascii="Calibri" w:hAnsi="Calibri" w:eastAsia="Malgun Gothic;맑은 고딕" w:cs="Calibri"/>
              <w:sz w:val="22"/>
              <w:szCs w:val="22"/>
            </w:rPr>
          </w:pPr>
          <w:r>
            <w:rPr/>
            <w:t>6.1</w:t>
          </w:r>
          <w:r>
            <w:rPr>
              <w:rFonts w:eastAsia="Malgun Gothic;맑은 고딕" w:cs="Calibri" w:ascii="Calibri" w:hAnsi="Calibri"/>
              <w:sz w:val="22"/>
              <w:szCs w:val="22"/>
            </w:rPr>
            <w:tab/>
          </w:r>
          <w:r>
            <w:rPr/>
            <w:t>Interface Management procedures</w:t>
            <w:tab/>
          </w:r>
          <w:hyperlink w:anchor="__RefHeading___Toc88654248">
            <w:r>
              <w:rPr>
                <w:rStyle w:val="IndexLink"/>
              </w:rPr>
              <w:t>8</w:t>
            </w:r>
          </w:hyperlink>
        </w:p>
        <w:p>
          <w:pPr>
            <w:pStyle w:val="Contents2"/>
            <w:rPr>
              <w:rFonts w:ascii="Calibri" w:hAnsi="Calibri" w:eastAsia="Malgun Gothic;맑은 고딕" w:cs="Calibri"/>
              <w:sz w:val="22"/>
              <w:szCs w:val="22"/>
            </w:rPr>
          </w:pPr>
          <w:r>
            <w:rPr/>
            <w:t>6.2</w:t>
          </w:r>
          <w:r>
            <w:rPr>
              <w:rFonts w:eastAsia="Malgun Gothic;맑은 고딕" w:cs="Calibri" w:ascii="Calibri" w:hAnsi="Calibri"/>
              <w:sz w:val="22"/>
              <w:szCs w:val="22"/>
            </w:rPr>
            <w:tab/>
          </w:r>
          <w:r>
            <w:rPr/>
            <w:t>Bearer Context Management procedures</w:t>
            <w:tab/>
          </w:r>
          <w:hyperlink w:anchor="__RefHeading___Toc88654249">
            <w:r>
              <w:rPr>
                <w:rStyle w:val="IndexLink"/>
              </w:rPr>
              <w:t>8</w:t>
            </w:r>
          </w:hyperlink>
        </w:p>
        <w:p>
          <w:pPr>
            <w:pStyle w:val="Contents2"/>
            <w:rPr>
              <w:rFonts w:ascii="Calibri" w:hAnsi="Calibri" w:eastAsia="Malgun Gothic;맑은 고딕" w:cs="Calibri"/>
              <w:sz w:val="22"/>
              <w:szCs w:val="22"/>
            </w:rPr>
          </w:pPr>
          <w:r>
            <w:rPr/>
            <w:t>6.</w:t>
          </w:r>
          <w:r>
            <w:rPr>
              <w:lang w:val="en-US" w:eastAsia="en-US"/>
            </w:rPr>
            <w:t>3</w:t>
          </w:r>
          <w:r>
            <w:rPr>
              <w:rFonts w:eastAsia="Malgun Gothic;맑은 고딕" w:cs="Calibri" w:ascii="Calibri" w:hAnsi="Calibri"/>
              <w:sz w:val="22"/>
              <w:szCs w:val="22"/>
            </w:rPr>
            <w:tab/>
          </w:r>
          <w:r>
            <w:rPr>
              <w:lang w:val="en-US" w:eastAsia="en-US"/>
            </w:rPr>
            <w:t>UE Tracing procedures</w:t>
          </w:r>
          <w:r>
            <w:rPr/>
            <w:tab/>
          </w:r>
          <w:hyperlink w:anchor="__RefHeading___Toc88654250">
            <w:r>
              <w:rPr>
                <w:rStyle w:val="IndexLink"/>
              </w:rPr>
              <w:t>9</w:t>
            </w:r>
          </w:hyperlink>
        </w:p>
        <w:p>
          <w:pPr>
            <w:pStyle w:val="Contents2"/>
            <w:rPr>
              <w:rFonts w:ascii="Calibri" w:hAnsi="Calibri" w:eastAsia="Malgun Gothic;맑은 고딕" w:cs="Calibri"/>
              <w:sz w:val="22"/>
              <w:szCs w:val="22"/>
            </w:rPr>
          </w:pPr>
          <w:r>
            <w:rPr>
              <w:lang w:val="en-US" w:eastAsia="en-US"/>
            </w:rPr>
            <w:t>6.4</w:t>
          </w:r>
          <w:r>
            <w:rPr>
              <w:rFonts w:eastAsia="Malgun Gothic;맑은 고딕" w:cs="Calibri" w:ascii="Calibri" w:hAnsi="Calibri"/>
              <w:sz w:val="22"/>
              <w:szCs w:val="22"/>
            </w:rPr>
            <w:tab/>
          </w:r>
          <w:r>
            <w:rPr>
              <w:lang w:val="en-US" w:eastAsia="en-US"/>
            </w:rPr>
            <w:t>Load management procedures</w:t>
          </w:r>
          <w:r>
            <w:rPr/>
            <w:tab/>
          </w:r>
          <w:hyperlink w:anchor="__RefHeading___Toc88654251">
            <w:r>
              <w:rPr>
                <w:rStyle w:val="IndexLink"/>
              </w:rPr>
              <w:t>9</w:t>
            </w:r>
          </w:hyperlink>
        </w:p>
        <w:p>
          <w:pPr>
            <w:pStyle w:val="Contents2"/>
            <w:rPr>
              <w:rFonts w:ascii="Calibri" w:hAnsi="Calibri" w:eastAsia="Malgun Gothic;맑은 고딕" w:cs="Calibri"/>
              <w:sz w:val="22"/>
              <w:szCs w:val="22"/>
            </w:rPr>
          </w:pPr>
          <w:r>
            <w:rPr>
              <w:lang w:val="en-US" w:eastAsia="en-US"/>
            </w:rPr>
            <w:t>6.5</w:t>
          </w:r>
          <w:r>
            <w:rPr>
              <w:rFonts w:eastAsia="Malgun Gothic;맑은 고딕" w:cs="Calibri" w:ascii="Calibri" w:hAnsi="Calibri"/>
              <w:sz w:val="22"/>
              <w:szCs w:val="22"/>
            </w:rPr>
            <w:tab/>
          </w:r>
          <w:r>
            <w:rPr>
              <w:lang w:val="en-US" w:eastAsia="en-US"/>
            </w:rPr>
            <w:t>Measurement results transfer procedures</w:t>
          </w:r>
          <w:r>
            <w:rPr/>
            <w:tab/>
          </w:r>
          <w:hyperlink w:anchor="__RefHeading___Toc88654252">
            <w:r>
              <w:rPr>
                <w:rStyle w:val="IndexLink"/>
              </w:rPr>
              <w:t>9</w:t>
            </w:r>
          </w:hyperlink>
        </w:p>
        <w:p>
          <w:pPr>
            <w:pStyle w:val="Contents2"/>
            <w:rPr>
              <w:rFonts w:ascii="Calibri" w:hAnsi="Calibri" w:eastAsia="Malgun Gothic;맑은 고딕" w:cs="Calibri"/>
              <w:sz w:val="22"/>
              <w:szCs w:val="22"/>
            </w:rPr>
          </w:pPr>
          <w:r>
            <w:rPr>
              <w:lang w:val="en-US" w:eastAsia="en-US"/>
            </w:rPr>
            <w:t>6.6</w:t>
          </w:r>
          <w:r>
            <w:rPr>
              <w:rFonts w:eastAsia="Malgun Gothic;맑은 고딕" w:cs="Calibri" w:ascii="Calibri" w:hAnsi="Calibri"/>
              <w:sz w:val="22"/>
              <w:szCs w:val="22"/>
            </w:rPr>
            <w:tab/>
          </w:r>
          <w:r>
            <w:rPr>
              <w:lang w:val="en-US" w:eastAsia="en-US"/>
            </w:rPr>
            <w:t>IAB procedures</w:t>
          </w:r>
          <w:r>
            <w:rPr/>
            <w:tab/>
          </w:r>
          <w:hyperlink w:anchor="__RefHeading___Toc88654253">
            <w:r>
              <w:rPr>
                <w:rStyle w:val="IndexLink"/>
              </w:rPr>
              <w:t>9</w:t>
            </w:r>
          </w:hyperlink>
        </w:p>
        <w:p>
          <w:pPr>
            <w:pStyle w:val="Contents1"/>
            <w:rPr>
              <w:rFonts w:ascii="Calibri" w:hAnsi="Calibri" w:eastAsia="Malgun Gothic;맑은 고딕" w:cs="Calibri"/>
              <w:szCs w:val="22"/>
            </w:rPr>
          </w:pPr>
          <w:r>
            <w:rPr/>
            <w:t>7</w:t>
          </w:r>
          <w:r>
            <w:rPr>
              <w:rFonts w:eastAsia="Malgun Gothic;맑은 고딕" w:cs="Calibri" w:ascii="Calibri" w:hAnsi="Calibri"/>
              <w:szCs w:val="22"/>
            </w:rPr>
            <w:tab/>
          </w:r>
          <w:r>
            <w:rPr/>
            <w:t>E1 interface protocol structure</w:t>
            <w:tab/>
          </w:r>
          <w:hyperlink w:anchor="__RefHeading___Toc88654254">
            <w:r>
              <w:rPr>
                <w:rStyle w:val="IndexLink"/>
              </w:rPr>
              <w:t>9</w:t>
            </w:r>
          </w:hyperlink>
        </w:p>
        <w:p>
          <w:pPr>
            <w:pStyle w:val="Contents1"/>
            <w:rPr>
              <w:rFonts w:ascii="Calibri" w:hAnsi="Calibri" w:eastAsia="Malgun Gothic;맑은 고딕" w:cs="Calibri"/>
              <w:szCs w:val="22"/>
            </w:rPr>
          </w:pPr>
          <w:r>
            <w:rPr/>
            <w:t>8</w:t>
          </w:r>
          <w:r>
            <w:rPr>
              <w:rFonts w:eastAsia="Malgun Gothic;맑은 고딕" w:cs="Calibri" w:ascii="Calibri" w:hAnsi="Calibri"/>
              <w:szCs w:val="22"/>
            </w:rPr>
            <w:tab/>
          </w:r>
          <w:r>
            <w:rPr/>
            <w:t>Other E1 interface specifications</w:t>
            <w:tab/>
          </w:r>
          <w:hyperlink w:anchor="__RefHeading___Toc88654255">
            <w:r>
              <w:rPr>
                <w:rStyle w:val="IndexLink"/>
              </w:rPr>
              <w:t>10</w:t>
            </w:r>
          </w:hyperlink>
        </w:p>
        <w:p>
          <w:pPr>
            <w:pStyle w:val="Contents2"/>
            <w:rPr>
              <w:rFonts w:ascii="Calibri" w:hAnsi="Calibri" w:eastAsia="Malgun Gothic;맑은 고딕" w:cs="Calibri"/>
              <w:sz w:val="22"/>
              <w:szCs w:val="22"/>
            </w:rPr>
          </w:pPr>
          <w:r>
            <w:rPr/>
            <w:t>8.1</w:t>
          </w:r>
          <w:r>
            <w:rPr>
              <w:rFonts w:eastAsia="Malgun Gothic;맑은 고딕" w:cs="Calibri" w:ascii="Calibri" w:hAnsi="Calibri"/>
              <w:sz w:val="22"/>
              <w:szCs w:val="22"/>
            </w:rPr>
            <w:tab/>
          </w:r>
          <w:r>
            <w:rPr/>
            <w:t>NG-RAN E1 interface: layer 1 (3GPP TS 38.461)</w:t>
            <w:tab/>
          </w:r>
          <w:hyperlink w:anchor="__RefHeading___Toc88654256">
            <w:r>
              <w:rPr>
                <w:rStyle w:val="IndexLink"/>
              </w:rPr>
              <w:t>10</w:t>
            </w:r>
          </w:hyperlink>
        </w:p>
        <w:p>
          <w:pPr>
            <w:pStyle w:val="Contents2"/>
            <w:rPr>
              <w:rFonts w:ascii="Calibri" w:hAnsi="Calibri" w:eastAsia="Malgun Gothic;맑은 고딕" w:cs="Calibri"/>
              <w:sz w:val="22"/>
              <w:szCs w:val="22"/>
            </w:rPr>
          </w:pPr>
          <w:r>
            <w:rPr/>
            <w:t>8.2</w:t>
          </w:r>
          <w:r>
            <w:rPr>
              <w:rFonts w:eastAsia="Malgun Gothic;맑은 고딕" w:cs="Calibri" w:ascii="Calibri" w:hAnsi="Calibri"/>
              <w:sz w:val="22"/>
              <w:szCs w:val="22"/>
            </w:rPr>
            <w:tab/>
          </w:r>
          <w:r>
            <w:rPr/>
            <w:t>NG-RAN E1 interface: signalling transport (3GPP TS 38.462)</w:t>
            <w:tab/>
          </w:r>
          <w:hyperlink w:anchor="__RefHeading___Toc88654257">
            <w:r>
              <w:rPr>
                <w:rStyle w:val="IndexLink"/>
              </w:rPr>
              <w:t>10</w:t>
            </w:r>
          </w:hyperlink>
        </w:p>
        <w:p>
          <w:pPr>
            <w:pStyle w:val="Contents2"/>
            <w:rPr>
              <w:rFonts w:ascii="Calibri" w:hAnsi="Calibri" w:eastAsia="Malgun Gothic;맑은 고딕" w:cs="Calibri"/>
              <w:sz w:val="22"/>
              <w:szCs w:val="22"/>
            </w:rPr>
          </w:pPr>
          <w:r>
            <w:rPr/>
            <w:t>8.3</w:t>
          </w:r>
          <w:r>
            <w:rPr>
              <w:rFonts w:eastAsia="Malgun Gothic;맑은 고딕" w:cs="Calibri" w:ascii="Calibri" w:hAnsi="Calibri"/>
              <w:sz w:val="22"/>
              <w:szCs w:val="22"/>
            </w:rPr>
            <w:tab/>
          </w:r>
          <w:r>
            <w:rPr/>
            <w:t>NG-RAN E1 interface: E1AP specification (3GPP TS 38.463)</w:t>
            <w:tab/>
          </w:r>
          <w:hyperlink w:anchor="__RefHeading___Toc88654258">
            <w:r>
              <w:rPr>
                <w:rStyle w:val="IndexLink"/>
              </w:rPr>
              <w:t>10</w:t>
            </w:r>
          </w:hyperlink>
        </w:p>
        <w:p>
          <w:pPr>
            <w:pStyle w:val="Contents8"/>
            <w:rPr>
              <w:rFonts w:ascii="Calibri" w:hAnsi="Calibri" w:eastAsia="Malgun Gothic;맑은 고딕" w:cs="Calibri"/>
              <w:szCs w:val="22"/>
            </w:rPr>
          </w:pPr>
          <w:r>
            <w:rPr>
              <w:b w:val="false"/>
            </w:rPr>
            <w:t>Annex A (informative): Change history</w:t>
            <w:tab/>
          </w:r>
          <w:hyperlink w:anchor="__RefHeading___Toc88654259">
            <w:r>
              <w:rPr>
                <w:rStyle w:val="IndexLink"/>
                <w:b w:val="false"/>
              </w:rPr>
              <w:t>11</w:t>
            </w:r>
          </w:hyperlink>
          <w:r>
            <w:rPr>
              <w:rStyle w:val="IndexLink"/>
              <w:b w:val="false"/>
            </w:rPr>
            <w:fldChar w:fldCharType="end"/>
          </w:r>
        </w:p>
      </w:sdtContent>
    </w:sdt>
    <w:p>
      <w:pPr>
        <w:pStyle w:val="Normal"/>
        <w:rPr>
          <w:rFonts w:ascii="Calibri" w:hAnsi="Calibri" w:eastAsia="Malgun Gothic;맑은 고딕" w:cs="Calibri"/>
          <w:b/>
          <w:b/>
          <w:sz w:val="22"/>
          <w:szCs w:val="22"/>
          <w:lang w:val="en-US" w:eastAsia="en-US"/>
        </w:rPr>
      </w:pPr>
      <w:r>
        <w:rPr>
          <w:rFonts w:eastAsia="Malgun Gothic;맑은 고딕" w:cs="Calibri" w:ascii="Calibri" w:hAnsi="Calibri"/>
          <w:b/>
          <w:sz w:val="22"/>
          <w:szCs w:val="22"/>
          <w:lang w:val="en-US" w:eastAsia="en-US"/>
        </w:rPr>
      </w:r>
      <w:r>
        <w:br w:type="page"/>
      </w:r>
    </w:p>
    <w:p>
      <w:pPr>
        <w:pStyle w:val="Heading1"/>
        <w:ind w:left="1134" w:hanging="1134"/>
        <w:rPr/>
      </w:pPr>
      <w:bookmarkStart w:id="8" w:name="__RefHeading___Toc88654229"/>
      <w:bookmarkEnd w:id="8"/>
      <w:r>
        <w:rPr/>
        <w:t>Foreword</w:t>
      </w:r>
    </w:p>
    <w:p>
      <w:pPr>
        <w:pStyle w:val="Normal"/>
        <w:rPr/>
      </w:pPr>
      <w:r>
        <w:rPr/>
        <w:t>This Technical Specification has been produced by the 3rd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ind w:left="1134" w:hanging="1134"/>
        <w:rPr/>
      </w:pPr>
      <w:bookmarkStart w:id="9" w:name="__RefHeading___Toc88654230"/>
      <w:bookmarkEnd w:id="9"/>
      <w:r>
        <w:rPr/>
        <w:t>1</w:t>
        <w:tab/>
        <w:t>Scope</w:t>
      </w:r>
    </w:p>
    <w:p>
      <w:pPr>
        <w:pStyle w:val="Normal"/>
        <w:rPr/>
      </w:pPr>
      <w:r>
        <w:rPr/>
        <w:t>The present document is an introduction to the 3GPP TS 38.46x series of technical specifications that define the E1 interface. The E1 interface provides means for interconnecting a gNB-CU-CP and a gNB-CU-UP of a gNB-CU within an NG-RAN, or for interconnecting a gNB-CU-CP and a gNB-CU-UP of an en-gNB within an E-UTRAN.</w:t>
      </w:r>
    </w:p>
    <w:p>
      <w:pPr>
        <w:pStyle w:val="Heading1"/>
        <w:ind w:left="1134" w:hanging="1134"/>
        <w:rPr/>
      </w:pPr>
      <w:bookmarkStart w:id="10" w:name="__RefHeading___Toc88654231"/>
      <w:bookmarkEnd w:id="10"/>
      <w:r>
        <w:rPr/>
        <w:t>2</w:t>
        <w:tab/>
        <w:t>References</w:t>
      </w:r>
    </w:p>
    <w:p>
      <w:pPr>
        <w:pStyle w:val="Normal"/>
        <w:rPr/>
      </w:pPr>
      <w:r>
        <w:rPr/>
        <w:t>The following documents contain provisions which, through reference in this text, constitute provisions of the present document.</w:t>
      </w:r>
    </w:p>
    <w:p>
      <w:pPr>
        <w:pStyle w:val="B1"/>
        <w:rPr/>
      </w:pPr>
      <w:bookmarkStart w:id="11" w:name="OLE_LINK4"/>
      <w:bookmarkStart w:id="12" w:name="OLE_LINK3"/>
      <w:bookmarkStart w:id="13" w:name="OLE_LINK2"/>
      <w:bookmarkStart w:id="14" w:name="OLE_LINK1"/>
      <w:bookmarkEnd w:id="11"/>
      <w:bookmarkEnd w:id="12"/>
      <w:bookmarkEnd w:id="13"/>
      <w:bookmarkEnd w:id="14"/>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For a non-specific reference, the latest version applies. In the case of a reference to a 3GPP document (including a GSM document), a non-specific reference implicitly refers to the latest version of that document</w:t>
      </w:r>
      <w:r>
        <w:rPr>
          <w:i/>
        </w:rPr>
        <w:t xml:space="preserve"> in the same Release as the present document</w:t>
      </w:r>
      <w:r>
        <w:rPr/>
        <w:t>.</w:t>
      </w:r>
    </w:p>
    <w:p>
      <w:pPr>
        <w:pStyle w:val="EX"/>
        <w:rPr/>
      </w:pPr>
      <w:bookmarkStart w:id="15" w:name="OLE_LINK4"/>
      <w:bookmarkStart w:id="16" w:name="OLE_LINK3"/>
      <w:bookmarkStart w:id="17" w:name="OLE_LINK2"/>
      <w:bookmarkStart w:id="18" w:name="OLE_LINK1"/>
      <w:bookmarkEnd w:id="15"/>
      <w:bookmarkEnd w:id="16"/>
      <w:bookmarkEnd w:id="17"/>
      <w:bookmarkEnd w:id="18"/>
      <w:r>
        <w:rPr/>
        <w:t>[1]</w:t>
        <w:tab/>
        <w:t>3GPP TR 21.905: "Vocabulary for 3GPP Specifications".</w:t>
      </w:r>
    </w:p>
    <w:p>
      <w:pPr>
        <w:pStyle w:val="EX"/>
        <w:rPr/>
      </w:pPr>
      <w:r>
        <w:rPr/>
        <w:t>[2]</w:t>
        <w:tab/>
        <w:t>3GPP TS 3</w:t>
      </w:r>
      <w:r>
        <w:rPr>
          <w:lang w:eastAsia="zh-CN"/>
        </w:rPr>
        <w:t>8</w:t>
      </w:r>
      <w:r>
        <w:rPr/>
        <w:t>.401: "</w:t>
      </w:r>
      <w:r>
        <w:rPr>
          <w:lang w:eastAsia="zh-CN"/>
        </w:rPr>
        <w:t>N</w:t>
      </w:r>
      <w:r>
        <w:rPr>
          <w:lang w:eastAsia="zh-CN"/>
        </w:rPr>
        <w:t>G-</w:t>
      </w:r>
      <w:r>
        <w:rPr/>
        <w:t>RAN; Architecture Description".</w:t>
      </w:r>
    </w:p>
    <w:p>
      <w:pPr>
        <w:pStyle w:val="EX"/>
        <w:rPr/>
      </w:pPr>
      <w:r>
        <w:rPr/>
        <w:t>[3]</w:t>
        <w:tab/>
        <w:t xml:space="preserve">3GPP TS 38.461: "NG-RAN; E1 layer 1". </w:t>
      </w:r>
    </w:p>
    <w:p>
      <w:pPr>
        <w:pStyle w:val="EX"/>
        <w:rPr/>
      </w:pPr>
      <w:r>
        <w:rPr/>
        <w:t>[4]</w:t>
        <w:tab/>
        <w:t xml:space="preserve">3GPP TS 38.462: "NG-RAN; E1 signalling transport". </w:t>
      </w:r>
    </w:p>
    <w:p>
      <w:pPr>
        <w:pStyle w:val="EX"/>
        <w:rPr/>
      </w:pPr>
      <w:r>
        <w:rPr/>
        <w:t>[5]</w:t>
        <w:tab/>
        <w:t xml:space="preserve">3GPP TS 38.463: "NG-RAN; E1 Application Protocol (E1AP)". </w:t>
      </w:r>
    </w:p>
    <w:p>
      <w:pPr>
        <w:pStyle w:val="EX"/>
        <w:rPr/>
      </w:pPr>
      <w:r>
        <w:rPr/>
        <w:t>[6]</w:t>
        <w:tab/>
        <w:t>3GPP TS 38.300: "NR; Overall description; Stage-2".</w:t>
      </w:r>
    </w:p>
    <w:p>
      <w:pPr>
        <w:pStyle w:val="EX"/>
        <w:rPr/>
      </w:pPr>
      <w:r>
        <w:rPr/>
        <w:t>[7]</w:t>
        <w:tab/>
        <w:t>3GPP TS 37.340: "NR; Multi-connectivity; Overall description; Stage-2".</w:t>
      </w:r>
    </w:p>
    <w:p>
      <w:pPr>
        <w:pStyle w:val="Heading1"/>
        <w:ind w:left="1134" w:hanging="1134"/>
        <w:rPr/>
      </w:pPr>
      <w:bookmarkStart w:id="19" w:name="__RefHeading___Toc88654232"/>
      <w:bookmarkEnd w:id="19"/>
      <w:r>
        <w:rPr/>
        <w:t>3</w:t>
        <w:tab/>
        <w:t>Definitions and abbreviations</w:t>
      </w:r>
    </w:p>
    <w:p>
      <w:pPr>
        <w:pStyle w:val="Heading2"/>
        <w:rPr/>
      </w:pPr>
      <w:bookmarkStart w:id="20" w:name="__RefHeading___Toc88654233"/>
      <w:bookmarkEnd w:id="20"/>
      <w:r>
        <w:rPr/>
        <w:t>3.1</w:t>
        <w:tab/>
        <w:t>Definitions</w:t>
      </w:r>
    </w:p>
    <w:p>
      <w:pPr>
        <w:pStyle w:val="Normal"/>
        <w:rPr/>
      </w:pPr>
      <w:r>
        <w:rPr/>
        <w:t xml:space="preserve">For the purposes of the present document, the terms and definitions given in </w:t>
      </w:r>
      <w:bookmarkStart w:id="21" w:name="OLE_LINK8"/>
      <w:bookmarkStart w:id="22" w:name="OLE_LINK7"/>
      <w:bookmarkStart w:id="23" w:name="OLE_LINK6"/>
      <w:r>
        <w:rPr/>
        <w:t xml:space="preserve">3GPP </w:t>
      </w:r>
      <w:bookmarkEnd w:id="21"/>
      <w:bookmarkEnd w:id="22"/>
      <w:bookmarkEnd w:id="23"/>
      <w:r>
        <w:rPr/>
        <w:t>TR 21.905 [1] and the following apply. A term defined in the present document takes precedence over the definition of the same term, if any, in 3GPP TR 21.905 [1].</w:t>
      </w:r>
    </w:p>
    <w:p>
      <w:pPr>
        <w:pStyle w:val="Normal"/>
        <w:rPr/>
      </w:pPr>
      <w:r>
        <w:rPr>
          <w:b/>
          <w:lang w:eastAsia="zh-CN"/>
        </w:rPr>
        <w:t>en-gNB</w:t>
      </w:r>
      <w:r>
        <w:rPr>
          <w:lang w:eastAsia="zh-CN"/>
        </w:rPr>
        <w:t xml:space="preserve">: </w:t>
      </w:r>
      <w:r>
        <w:rPr>
          <w:lang w:eastAsia="ja-JP"/>
        </w:rPr>
        <w:t xml:space="preserve">as defined in TS </w:t>
      </w:r>
      <w:r>
        <w:rPr>
          <w:lang w:eastAsia="zh-CN"/>
        </w:rPr>
        <w:t>37.340 [7]</w:t>
      </w:r>
    </w:p>
    <w:p>
      <w:pPr>
        <w:pStyle w:val="Normal"/>
        <w:rPr/>
      </w:pPr>
      <w:r>
        <w:rPr>
          <w:b/>
          <w:lang w:eastAsia="zh-CN"/>
        </w:rPr>
        <w:t>gNB-CU</w:t>
      </w:r>
      <w:r>
        <w:rPr>
          <w:lang w:eastAsia="zh-CN"/>
        </w:rPr>
        <w:t xml:space="preserve">: </w:t>
      </w:r>
      <w:r>
        <w:rPr>
          <w:lang w:eastAsia="ja-JP"/>
        </w:rPr>
        <w:t>as defined in</w:t>
      </w:r>
      <w:r>
        <w:rPr>
          <w:lang w:eastAsia="zh-CN"/>
        </w:rPr>
        <w:t xml:space="preserve"> TS 38.401 [2]</w:t>
      </w:r>
    </w:p>
    <w:p>
      <w:pPr>
        <w:pStyle w:val="Normal"/>
        <w:rPr>
          <w:lang w:eastAsia="zh-CN"/>
        </w:rPr>
      </w:pPr>
      <w:r>
        <w:rPr>
          <w:b/>
          <w:lang w:eastAsia="zh-CN"/>
        </w:rPr>
        <w:t>gNB-CU-CP</w:t>
      </w:r>
      <w:r>
        <w:rPr>
          <w:lang w:eastAsia="zh-CN"/>
        </w:rPr>
        <w:t xml:space="preserve">: </w:t>
      </w:r>
      <w:r>
        <w:rPr>
          <w:lang w:eastAsia="ja-JP"/>
        </w:rPr>
        <w:t>as defined in</w:t>
      </w:r>
      <w:r>
        <w:rPr>
          <w:lang w:eastAsia="zh-CN"/>
        </w:rPr>
        <w:t xml:space="preserve"> TS 38.401 [2]</w:t>
      </w:r>
    </w:p>
    <w:p>
      <w:pPr>
        <w:pStyle w:val="Normal"/>
        <w:rPr/>
      </w:pPr>
      <w:r>
        <w:rPr>
          <w:b/>
          <w:lang w:eastAsia="zh-CN"/>
        </w:rPr>
        <w:t>gNB-CU-UP</w:t>
      </w:r>
      <w:r>
        <w:rPr>
          <w:lang w:eastAsia="zh-CN"/>
        </w:rPr>
        <w:t xml:space="preserve">: </w:t>
      </w:r>
      <w:r>
        <w:rPr>
          <w:lang w:eastAsia="ja-JP"/>
        </w:rPr>
        <w:t>as defined in</w:t>
      </w:r>
      <w:r>
        <w:rPr>
          <w:lang w:eastAsia="zh-CN"/>
        </w:rPr>
        <w:t xml:space="preserve"> TS 38.401 [2]</w:t>
      </w:r>
    </w:p>
    <w:p>
      <w:pPr>
        <w:pStyle w:val="Normal"/>
        <w:rPr/>
      </w:pPr>
      <w:r>
        <w:rPr>
          <w:b/>
          <w:lang w:eastAsia="zh-CN"/>
        </w:rPr>
        <w:t>gNB-DU</w:t>
      </w:r>
      <w:r>
        <w:rPr>
          <w:lang w:eastAsia="zh-CN"/>
        </w:rPr>
        <w:t xml:space="preserve">: </w:t>
      </w:r>
      <w:r>
        <w:rPr>
          <w:lang w:eastAsia="ja-JP"/>
        </w:rPr>
        <w:t>as defined in</w:t>
      </w:r>
      <w:r>
        <w:rPr>
          <w:lang w:eastAsia="zh-CN"/>
        </w:rPr>
        <w:t xml:space="preserve"> TS 38.401 [2]</w:t>
      </w:r>
    </w:p>
    <w:p>
      <w:pPr>
        <w:pStyle w:val="Normal"/>
        <w:rPr/>
      </w:pPr>
      <w:r>
        <w:rPr>
          <w:b/>
          <w:lang w:eastAsia="zh-CN"/>
        </w:rPr>
        <w:t>gNB</w:t>
      </w:r>
      <w:r>
        <w:rPr>
          <w:lang w:eastAsia="zh-CN"/>
        </w:rPr>
        <w:t>: as defined in TS 38.300 [6]</w:t>
      </w:r>
    </w:p>
    <w:p>
      <w:pPr>
        <w:pStyle w:val="Normal"/>
        <w:rPr>
          <w:lang w:eastAsia="zh-CN"/>
        </w:rPr>
      </w:pPr>
      <w:r>
        <w:rPr>
          <w:b/>
          <w:bCs/>
          <w:lang w:val="en-US" w:eastAsia="ja-JP"/>
        </w:rPr>
        <w:t>IAB</w:t>
      </w:r>
      <w:r>
        <w:rPr>
          <w:lang w:val="en-US"/>
        </w:rPr>
        <w:t>: as defined in TS 38.300 [6].</w:t>
      </w:r>
    </w:p>
    <w:p>
      <w:pPr>
        <w:pStyle w:val="Heading2"/>
        <w:rPr/>
      </w:pPr>
      <w:bookmarkStart w:id="24" w:name="__RefHeading___Toc88654234"/>
      <w:bookmarkEnd w:id="24"/>
      <w:r>
        <w:rPr/>
        <w:t>3.3</w:t>
        <w:tab/>
        <w:t>Abbreviations</w:t>
      </w:r>
    </w:p>
    <w:p>
      <w:pPr>
        <w:pStyle w:val="Normal"/>
        <w:keepNext w:val="true"/>
        <w:rPr/>
      </w:pPr>
      <w:r>
        <w:rPr/>
        <w:t>For the purposes of the present document, the abbreviations given in 3GPP TR 21.905 [1] and the following apply. An abbreviation defined in the present document takes precedence over the definition of the same abbreviation, if any, in 3GPP TR 21.905 [1].</w:t>
      </w:r>
    </w:p>
    <w:p>
      <w:pPr>
        <w:pStyle w:val="EW"/>
        <w:rPr/>
      </w:pPr>
      <w:r>
        <w:rPr/>
        <w:t>DL</w:t>
        <w:tab/>
        <w:t>Downlink</w:t>
      </w:r>
    </w:p>
    <w:p>
      <w:pPr>
        <w:pStyle w:val="EW"/>
        <w:rPr/>
      </w:pPr>
      <w:r>
        <w:rPr/>
        <w:t>DRB</w:t>
        <w:tab/>
        <w:t>Data Radio Bearer</w:t>
      </w:r>
    </w:p>
    <w:p>
      <w:pPr>
        <w:pStyle w:val="EW"/>
        <w:rPr/>
      </w:pPr>
      <w:r>
        <w:rPr/>
        <w:t>E1AP</w:t>
        <w:tab/>
        <w:t>E1 Application Protocol</w:t>
      </w:r>
    </w:p>
    <w:p>
      <w:pPr>
        <w:pStyle w:val="EW"/>
        <w:rPr/>
      </w:pPr>
      <w:r>
        <w:rPr/>
        <w:t>IP</w:t>
        <w:tab/>
        <w:t>Internet Protocol</w:t>
      </w:r>
    </w:p>
    <w:p>
      <w:pPr>
        <w:pStyle w:val="EW"/>
        <w:rPr/>
      </w:pPr>
      <w:r>
        <w:rPr/>
        <w:t>SCTP</w:t>
        <w:tab/>
        <w:t>Stream Control Transmission Protocol</w:t>
      </w:r>
    </w:p>
    <w:p>
      <w:pPr>
        <w:pStyle w:val="EW"/>
        <w:rPr/>
      </w:pPr>
      <w:r>
        <w:rPr/>
        <w:t>TNL</w:t>
        <w:tab/>
        <w:t>Transport Network Layer</w:t>
      </w:r>
    </w:p>
    <w:p>
      <w:pPr>
        <w:pStyle w:val="Heading1"/>
        <w:ind w:left="1134" w:hanging="1134"/>
        <w:rPr/>
      </w:pPr>
      <w:bookmarkStart w:id="25" w:name="__RefHeading___Toc88654235"/>
      <w:bookmarkEnd w:id="25"/>
      <w:r>
        <w:rPr/>
        <w:t>4</w:t>
        <w:tab/>
        <w:t>General aspects</w:t>
      </w:r>
    </w:p>
    <w:p>
      <w:pPr>
        <w:pStyle w:val="Normal"/>
        <w:rPr/>
      </w:pPr>
      <w:r>
        <w:rPr/>
        <w:t xml:space="preserve">This clause captures the E1 interface principles and characteristics. </w:t>
      </w:r>
    </w:p>
    <w:p>
      <w:pPr>
        <w:pStyle w:val="Heading2"/>
        <w:rPr>
          <w:rFonts w:cs="Arial"/>
        </w:rPr>
      </w:pPr>
      <w:bookmarkStart w:id="26" w:name="__RefHeading___Toc88654236"/>
      <w:bookmarkEnd w:id="26"/>
      <w:r>
        <w:rPr/>
        <w:t>4.1</w:t>
        <w:tab/>
      </w:r>
      <w:r>
        <w:rPr>
          <w:rFonts w:cs="Arial"/>
        </w:rPr>
        <w:t>E1 interface general principles</w:t>
      </w:r>
    </w:p>
    <w:p>
      <w:pPr>
        <w:pStyle w:val="Normal"/>
        <w:rPr/>
      </w:pPr>
      <w:r>
        <w:rPr/>
        <w:t>The general principles for the specification of the E1 interface are as follows:</w:t>
      </w:r>
    </w:p>
    <w:p>
      <w:pPr>
        <w:pStyle w:val="B1"/>
        <w:rPr/>
      </w:pPr>
      <w:r>
        <w:rPr/>
        <w:t>-</w:t>
        <w:tab/>
        <w:t>the E1 interface is open;</w:t>
      </w:r>
    </w:p>
    <w:p>
      <w:pPr>
        <w:pStyle w:val="B1"/>
        <w:rPr/>
      </w:pPr>
      <w:r>
        <w:rPr/>
        <w:t>-</w:t>
        <w:tab/>
        <w:t>the E1 interface supports the exchange of signalling information between the endpoints;</w:t>
      </w:r>
    </w:p>
    <w:p>
      <w:pPr>
        <w:pStyle w:val="B1"/>
        <w:rPr/>
      </w:pPr>
      <w:r>
        <w:rPr/>
        <w:t>-</w:t>
        <w:tab/>
        <w:t xml:space="preserve">from a logical standpoint, the E1 is a point-to-point interface between a gNB-CU-CP and a gNB-CU-UP. </w:t>
      </w:r>
    </w:p>
    <w:p>
      <w:pPr>
        <w:pStyle w:val="NO"/>
        <w:rPr/>
      </w:pPr>
      <w:r>
        <w:rPr/>
        <w:t>NOTE 1:</w:t>
        <w:tab/>
        <w:t>A point-to-point logical interface should be feasible even in the absence of a physical direct connection between the endpoints.</w:t>
      </w:r>
    </w:p>
    <w:p>
      <w:pPr>
        <w:pStyle w:val="B1"/>
        <w:rPr/>
      </w:pPr>
      <w:r>
        <w:rPr/>
        <w:t>-</w:t>
        <w:tab/>
        <w:t>the E1 interface separates Radio Network Layer and Transport Network Layer;</w:t>
      </w:r>
    </w:p>
    <w:p>
      <w:pPr>
        <w:pStyle w:val="B1"/>
        <w:rPr/>
      </w:pPr>
      <w:r>
        <w:rPr/>
        <w:t>-</w:t>
        <w:tab/>
        <w:t>the E1 interface enables exchange of UE associated information and non-UE associated information;</w:t>
      </w:r>
    </w:p>
    <w:p>
      <w:pPr>
        <w:pStyle w:val="B1"/>
        <w:rPr/>
      </w:pPr>
      <w:r>
        <w:rPr/>
        <w:t>-</w:t>
        <w:tab/>
        <w:t>the E1 interface is future proof to fulfil different new requirements, support of new services and new functions.</w:t>
      </w:r>
    </w:p>
    <w:p>
      <w:pPr>
        <w:pStyle w:val="NO"/>
        <w:rPr/>
      </w:pPr>
      <w:r>
        <w:rPr/>
        <w:t>NOTE 2:</w:t>
        <w:tab/>
        <w:t xml:space="preserve">The E1 interface is a control interface and is not used for user data forwarding. </w:t>
      </w:r>
    </w:p>
    <w:p>
      <w:pPr>
        <w:pStyle w:val="Heading2"/>
        <w:rPr>
          <w:rFonts w:cs="Arial"/>
        </w:rPr>
      </w:pPr>
      <w:bookmarkStart w:id="27" w:name="__RefHeading___Toc88654237"/>
      <w:bookmarkEnd w:id="27"/>
      <w:r>
        <w:rPr/>
        <w:t>4.2</w:t>
        <w:tab/>
        <w:t>E</w:t>
      </w:r>
      <w:r>
        <w:rPr>
          <w:rFonts w:cs="Arial"/>
        </w:rPr>
        <w:t>1 interface specification objectives</w:t>
      </w:r>
    </w:p>
    <w:p>
      <w:pPr>
        <w:pStyle w:val="Normal"/>
        <w:rPr/>
      </w:pPr>
      <w:r>
        <w:rPr/>
        <w:t>The E1 interface specifications facilitate the following:</w:t>
      </w:r>
    </w:p>
    <w:p>
      <w:pPr>
        <w:pStyle w:val="B1"/>
        <w:rPr/>
      </w:pPr>
      <w:r>
        <w:rPr/>
        <w:t>-</w:t>
        <w:tab/>
        <w:t>inter-connection of a gNB-CU-CP and a gNB-CU-UP supplied by different manufacturers.</w:t>
      </w:r>
    </w:p>
    <w:p>
      <w:pPr>
        <w:pStyle w:val="Heading1"/>
        <w:ind w:left="1134" w:hanging="1134"/>
        <w:rPr/>
      </w:pPr>
      <w:bookmarkStart w:id="28" w:name="__RefHeading___Toc88654238"/>
      <w:bookmarkEnd w:id="28"/>
      <w:r>
        <w:rPr/>
        <w:t>5</w:t>
        <w:tab/>
        <w:t>Functions of the E1 interface</w:t>
      </w:r>
    </w:p>
    <w:p>
      <w:pPr>
        <w:pStyle w:val="Heading2"/>
        <w:rPr>
          <w:lang w:eastAsia="ja-JP"/>
        </w:rPr>
      </w:pPr>
      <w:bookmarkStart w:id="29" w:name="__RefHeading___Toc88654239"/>
      <w:bookmarkEnd w:id="29"/>
      <w:r>
        <w:rPr/>
        <w:t>5.1</w:t>
        <w:tab/>
        <w:t>General</w:t>
      </w:r>
    </w:p>
    <w:p>
      <w:pPr>
        <w:pStyle w:val="Normal"/>
        <w:rPr/>
      </w:pPr>
      <w:r>
        <w:rPr/>
        <w:t xml:space="preserve">The following clauses describe the functions supported over E1. </w:t>
      </w:r>
    </w:p>
    <w:p>
      <w:pPr>
        <w:pStyle w:val="Heading3"/>
        <w:rPr>
          <w:lang w:eastAsia="ja-JP"/>
        </w:rPr>
      </w:pPr>
      <w:bookmarkStart w:id="30" w:name="__RefHeading___Toc88654240"/>
      <w:bookmarkEnd w:id="30"/>
      <w:r>
        <w:rPr/>
        <w:t>5.1.1</w:t>
        <w:tab/>
        <w:t>E1 interface management function</w:t>
      </w:r>
    </w:p>
    <w:p>
      <w:pPr>
        <w:pStyle w:val="Normal"/>
        <w:rPr/>
      </w:pPr>
      <w:r>
        <w:rPr/>
        <w:t>The error indication function is used by the gNB-CU-UP or gNB-CU-CP to indicate to the gNB-CU-CP or gNB-CU-UP that an error has occurred.</w:t>
      </w:r>
    </w:p>
    <w:p>
      <w:pPr>
        <w:pStyle w:val="Normal"/>
        <w:rPr/>
      </w:pPr>
      <w:r>
        <w:rPr/>
        <w:t>The reset function is used to initialize the peer entity after node setup and after a failure event occurred. This procedure can be used by both the gNB-CU-UP and the gNB-CU-CP.</w:t>
      </w:r>
    </w:p>
    <w:p>
      <w:pPr>
        <w:pStyle w:val="Normal"/>
        <w:rPr/>
      </w:pPr>
      <w:r>
        <w:rPr/>
        <w:t>The E1 setup function allows to exchange application level data needed for the gNB-CU-UP and gNB-CU-CP to interoperate correctly on the E1 interface. The E1 setup is initiated by both the gNB-CU-UP and gNB-CU-CP.</w:t>
      </w:r>
    </w:p>
    <w:p>
      <w:pPr>
        <w:pStyle w:val="Normal"/>
        <w:rPr/>
      </w:pPr>
      <w:r>
        <w:rPr>
          <w:rFonts w:cs="Arial"/>
        </w:rPr>
        <w:t>The gNB-CU-UP Configuration Update and gNB-CU-CP Configuration Update functions allow to update application level configuration data needed between the gNB-CU-CP and the gNB-CU-UP to interoperate correctly over the E1 interface.</w:t>
      </w:r>
    </w:p>
    <w:p>
      <w:pPr>
        <w:pStyle w:val="Normal"/>
        <w:rPr>
          <w:rFonts w:cs="Arial"/>
        </w:rPr>
      </w:pPr>
      <w:r>
        <w:rPr>
          <w:rFonts w:cs="Arial"/>
        </w:rPr>
        <w:t>The E1 setup and gNB-CU-UP Configuration Update functions allow to inform NR CGI(s), S-NSSAI(s), PLMN-ID(s), QoS information and NID(s) supported by the gNB-CU-UP.</w:t>
      </w:r>
    </w:p>
    <w:p>
      <w:pPr>
        <w:pStyle w:val="Normal"/>
        <w:rPr>
          <w:rFonts w:cs="Arial"/>
        </w:rPr>
      </w:pPr>
      <w:r>
        <w:rPr>
          <w:rFonts w:cs="Arial"/>
        </w:rPr>
        <w:t>The E1 setup and gNB-CU-UP Configuration Update functions allow the gNB-CU-UP to signal its capacity information to the gNB-CU-CP.</w:t>
      </w:r>
    </w:p>
    <w:p>
      <w:pPr>
        <w:pStyle w:val="Normal"/>
        <w:rPr>
          <w:rFonts w:cs="Arial"/>
        </w:rPr>
      </w:pPr>
      <w:r>
        <w:rPr>
          <w:lang w:eastAsia="zh-CN"/>
        </w:rPr>
        <w:t>The E1 gNB-CU-UP Status Indication function allows to inform the overloaded or non-overloaded status over the E1 interface.</w:t>
      </w:r>
    </w:p>
    <w:p>
      <w:pPr>
        <w:pStyle w:val="Heading3"/>
        <w:rPr>
          <w:lang w:eastAsia="ja-JP"/>
        </w:rPr>
      </w:pPr>
      <w:bookmarkStart w:id="31" w:name="__RefHeading___Toc88654241"/>
      <w:bookmarkEnd w:id="31"/>
      <w:r>
        <w:rPr/>
        <w:t>5.1.2</w:t>
        <w:tab/>
        <w:t>E1 bearer context management function</w:t>
      </w:r>
    </w:p>
    <w:p>
      <w:pPr>
        <w:pStyle w:val="Normal"/>
        <w:rPr/>
      </w:pPr>
      <w:r>
        <w:rPr/>
        <w:t>The establishment of the E1 bearer context is initiated by the gNB-CU-CP and accepted or rejected by the gNB-CU-UP based on admission control criteria (e.g., resource not available).</w:t>
      </w:r>
    </w:p>
    <w:p>
      <w:pPr>
        <w:pStyle w:val="Normal"/>
        <w:rPr/>
      </w:pPr>
      <w:r>
        <w:rPr/>
        <w:t xml:space="preserve">The modification of the E1 bearer context can be initiated by either gNB-CU-CP or gNB-CU-UP. The receiving node can accept or reject the modification. The E1 bearer context management function also supports the release of the bearer context previously established in the gNB-CU-UP. The release of the bearer context is triggered by the gNB-CU-CP either directly or following a request received from the gNB-CU-UP. </w:t>
      </w:r>
    </w:p>
    <w:p>
      <w:pPr>
        <w:pStyle w:val="Normal"/>
        <w:rPr/>
      </w:pPr>
      <w:r>
        <w:rPr/>
        <w:t>This function is used to setup and modify the QoS-flow to DRB mapping configuration. The gNB-CU-CP decides flow-to-DRB mapping and provides the generated SDAP and PDCP configuration to the gNB-CU-UP. The gNB-CU-CP also decides the Reflective QoS flow to DRB mapping. The function is also used to send to the gNB-CU-UP the alternative QoS Parameters Sets when available for a QoS flow. For each PDU Session Resource to be setup or modified, the S-NSSAI, shall be provided in the E1 bearer context setup procedure and may be provided in the E1 bearer context modification procedure by gNB-CU-CP to the gNB-CU-UP.</w:t>
      </w:r>
    </w:p>
    <w:p>
      <w:pPr>
        <w:pStyle w:val="Normal"/>
        <w:rPr/>
      </w:pPr>
      <w:r>
        <w:rPr/>
        <w:t>This function is used for the gNB-CU-CP to send the security information to the gNB-CU-UP.</w:t>
      </w:r>
    </w:p>
    <w:p>
      <w:pPr>
        <w:pStyle w:val="Normal"/>
        <w:rPr/>
      </w:pPr>
      <w:r>
        <w:rPr/>
        <w:t>This function is used for the gNB-CU-CP to send to the gNB-CU-UP transport layer information to be used for data forwarding e.g. during handovers.</w:t>
      </w:r>
    </w:p>
    <w:p>
      <w:pPr>
        <w:pStyle w:val="Normal"/>
        <w:rPr/>
      </w:pPr>
      <w:r>
        <w:rPr/>
        <w:t>This function is used for the gNB-CU-CP to send the parameters for header compression for certain traffic types e.g. IP, Ethernet to the gNB-CU-UP.</w:t>
      </w:r>
    </w:p>
    <w:p>
      <w:pPr>
        <w:pStyle w:val="Normal"/>
        <w:rPr/>
      </w:pPr>
      <w:r>
        <w:rPr/>
        <w:t xml:space="preserve">This function is used for the gNB-CU-UP to notify the event of DL data arrival detection to the gNB-CU-CP. With this function, the gNB-CU-UP requests gNB-CU-CP to trigger paging procedure over F1 or Xn to support RRC Inactive state. </w:t>
      </w:r>
    </w:p>
    <w:p>
      <w:pPr>
        <w:pStyle w:val="Normal"/>
        <w:rPr/>
      </w:pPr>
      <w:r>
        <w:rPr/>
        <w:t xml:space="preserve">This function is used for the gNB-CU-UP to notify the gNB-CU-CP that </w:t>
      </w:r>
      <w:r>
        <w:rPr>
          <w:lang w:eastAsia="zh-CN"/>
        </w:rPr>
        <w:t xml:space="preserve">a DL packet including a QFI value not configured by the gNB-CU-CP or </w:t>
      </w:r>
      <w:r>
        <w:rPr/>
        <w:t>an UL packet including a QFI value in the SDAP header of the default DRB not configured by the gNB-CU-CP is received for the first time. The gNB-CU-CP can take further action if needed.</w:t>
      </w:r>
    </w:p>
    <w:p>
      <w:pPr>
        <w:pStyle w:val="Normal"/>
        <w:rPr/>
      </w:pPr>
      <w:r>
        <w:rPr/>
        <w:t>This function is used for the gNB-CU-UP to notify the event of user inactivity to the gNB-CU-CP. With this function, the gNB-CU-UP indicates that the inactivity timer associated with a bearer, a PDU</w:t>
      </w:r>
      <w:r>
        <w:rPr>
          <w:lang w:eastAsia="zh-CN"/>
        </w:rPr>
        <w:t xml:space="preserve"> session or a UE</w:t>
      </w:r>
      <w:r>
        <w:rPr/>
        <w:t xml:space="preserve"> expires, or that user data is received for the bearer, the PDU session or the UE whose inactivity timer has expired. The gNB-CU-CP consolidates all the serving gNB-CU-UPs for the UE and takes further action.</w:t>
      </w:r>
    </w:p>
    <w:p>
      <w:pPr>
        <w:pStyle w:val="Normal"/>
        <w:rPr/>
      </w:pPr>
      <w:r>
        <w:rPr/>
        <w:t>This function is used for the gNB-CU-UP to report data volume to the gNB-CU-CP.</w:t>
      </w:r>
    </w:p>
    <w:p>
      <w:pPr>
        <w:pStyle w:val="Normal"/>
        <w:rPr/>
      </w:pPr>
      <w:r>
        <w:rPr>
          <w:lang w:eastAsia="zh-CN"/>
        </w:rPr>
        <w:t xml:space="preserve">This function is used for the </w:t>
      </w:r>
      <w:r>
        <w:rPr/>
        <w:t>gNB-CU-CP to notify the suspension and resumption of bearer contexts to the gNB-CU-UP.</w:t>
      </w:r>
    </w:p>
    <w:p>
      <w:pPr>
        <w:pStyle w:val="Normal"/>
        <w:rPr>
          <w:lang w:eastAsia="zh-CN"/>
        </w:rPr>
      </w:pPr>
      <w:r>
        <w:rPr>
          <w:lang w:eastAsia="zh-CN"/>
        </w:rPr>
        <w:t xml:space="preserve">This function also allows to </w:t>
      </w:r>
      <w:r>
        <w:rPr>
          <w:lang w:eastAsia="zh-CN"/>
        </w:rPr>
        <w:t xml:space="preserve">support </w:t>
      </w:r>
      <w:r>
        <w:rPr>
          <w:lang w:eastAsia="zh-CN"/>
        </w:rPr>
        <w:t>CA based packet</w:t>
      </w:r>
      <w:r>
        <w:rPr>
          <w:lang w:eastAsia="zh-CN"/>
        </w:rPr>
        <w:t xml:space="preserve"> duplication </w:t>
      </w:r>
      <w:r>
        <w:rPr>
          <w:lang w:eastAsia="zh-CN"/>
        </w:rPr>
        <w:t>as described in TS 38.300 [6]</w:t>
      </w:r>
      <w:r>
        <w:rPr>
          <w:lang w:eastAsia="zh-CN"/>
        </w:rPr>
        <w:t xml:space="preserve">, </w:t>
      </w:r>
      <w:r>
        <w:rPr>
          <w:lang w:eastAsia="zh-CN"/>
        </w:rPr>
        <w:t xml:space="preserve">i.e. </w:t>
      </w:r>
      <w:r>
        <w:rPr>
          <w:lang w:eastAsia="zh-CN"/>
        </w:rPr>
        <w:t xml:space="preserve">one data radio bearer should be configured with </w:t>
      </w:r>
      <w:r>
        <w:rPr>
          <w:lang w:eastAsia="zh-CN"/>
        </w:rPr>
        <w:t xml:space="preserve">at least </w:t>
      </w:r>
      <w:r>
        <w:rPr>
          <w:lang w:eastAsia="zh-CN"/>
        </w:rPr>
        <w:t>two GTP-U tunnels between gNB-CU</w:t>
      </w:r>
      <w:r>
        <w:rPr>
          <w:lang w:eastAsia="zh-CN"/>
        </w:rPr>
        <w:t>-UP</w:t>
      </w:r>
      <w:r>
        <w:rPr>
          <w:lang w:eastAsia="zh-CN"/>
        </w:rPr>
        <w:t xml:space="preserve"> and a gNB-DU.</w:t>
      </w:r>
    </w:p>
    <w:p>
      <w:pPr>
        <w:pStyle w:val="Normal"/>
        <w:rPr>
          <w:lang w:eastAsia="zh-CN"/>
        </w:rPr>
      </w:pPr>
      <w:r>
        <w:rPr>
          <w:sz w:val="21"/>
          <w:szCs w:val="22"/>
          <w:lang w:eastAsia="zh-CN"/>
        </w:rPr>
        <w:t xml:space="preserve">This function is used </w:t>
      </w:r>
      <w:r>
        <w:rPr>
          <w:sz w:val="21"/>
          <w:szCs w:val="22"/>
          <w:lang w:eastAsia="zh-CN"/>
        </w:rPr>
        <w:t xml:space="preserve">to support the enhanced mobility operations </w:t>
      </w:r>
      <w:r>
        <w:rPr>
          <w:sz w:val="21"/>
          <w:szCs w:val="22"/>
          <w:lang w:val="en-US" w:eastAsia="zh-CN"/>
        </w:rPr>
        <w:t xml:space="preserve">as </w:t>
      </w:r>
      <w:r>
        <w:rPr>
          <w:sz w:val="21"/>
          <w:szCs w:val="22"/>
          <w:lang w:eastAsia="zh-CN"/>
        </w:rPr>
        <w:t>described in TS 38.300 [6] in the gNB-CU-UP.</w:t>
      </w:r>
    </w:p>
    <w:p>
      <w:pPr>
        <w:pStyle w:val="Heading3"/>
        <w:rPr/>
      </w:pPr>
      <w:bookmarkStart w:id="32" w:name="__RefHeading___Toc88654242"/>
      <w:bookmarkEnd w:id="32"/>
      <w:r>
        <w:rPr/>
        <w:t>5.1.3</w:t>
      </w:r>
      <w:r>
        <w:rPr>
          <w:lang w:val="en-US" w:eastAsia="zh-CN"/>
        </w:rPr>
        <w:tab/>
      </w:r>
      <w:r>
        <w:rPr>
          <w:lang w:val="en-US" w:eastAsia="zh-CN"/>
        </w:rPr>
        <w:t>Trac</w:t>
      </w:r>
      <w:r>
        <w:rPr>
          <w:lang w:val="en-US" w:eastAsia="zh-CN"/>
        </w:rPr>
        <w:t>e function</w:t>
      </w:r>
    </w:p>
    <w:p>
      <w:pPr>
        <w:pStyle w:val="Normal"/>
        <w:rPr>
          <w:lang w:eastAsia="zh-CN"/>
        </w:rPr>
      </w:pPr>
      <w:r>
        <w:rPr/>
        <w:t xml:space="preserve">The Trace function provides means to control trace sessions </w:t>
      </w:r>
      <w:r>
        <w:rPr>
          <w:lang w:val="en-US" w:eastAsia="zh-CN" w:bidi="ar"/>
        </w:rPr>
        <w:t xml:space="preserve">for a UE over </w:t>
      </w:r>
      <w:r>
        <w:rPr>
          <w:lang w:val="en-US" w:eastAsia="zh-CN" w:bidi="ar"/>
        </w:rPr>
        <w:t>E</w:t>
      </w:r>
      <w:r>
        <w:rPr>
          <w:lang w:val="en-US" w:eastAsia="zh-CN" w:bidi="ar"/>
        </w:rPr>
        <w:t>1 interface</w:t>
      </w:r>
      <w:r>
        <w:rPr>
          <w:lang w:val="en-US" w:eastAsia="zh-CN"/>
        </w:rPr>
        <w:t>.</w:t>
      </w:r>
    </w:p>
    <w:p>
      <w:pPr>
        <w:pStyle w:val="Heading3"/>
        <w:rPr/>
      </w:pPr>
      <w:bookmarkStart w:id="33" w:name="__RefHeading___Toc88654243"/>
      <w:bookmarkEnd w:id="33"/>
      <w:r>
        <w:rPr/>
        <w:t>5.</w:t>
      </w:r>
      <w:r>
        <w:rPr>
          <w:lang w:eastAsia="zh-CN"/>
        </w:rPr>
        <w:t>1</w:t>
      </w:r>
      <w:r>
        <w:rPr/>
        <w:t>.</w:t>
      </w:r>
      <w:r>
        <w:rPr>
          <w:lang w:eastAsia="zh-CN"/>
        </w:rPr>
        <w:t>4</w:t>
      </w:r>
      <w:r>
        <w:rPr>
          <w:lang w:val="en-US" w:eastAsia="zh-CN"/>
        </w:rPr>
        <w:tab/>
        <w:t>Load management function</w:t>
      </w:r>
    </w:p>
    <w:p>
      <w:pPr>
        <w:pStyle w:val="Normal"/>
        <w:rPr/>
      </w:pPr>
      <w:r>
        <w:rPr>
          <w:lang w:val="en-US" w:eastAsia="zh-CN"/>
        </w:rPr>
        <w:t xml:space="preserve">The load management function allows an </w:t>
      </w:r>
      <w:r>
        <w:rPr/>
        <w:t>gNB-CU</w:t>
      </w:r>
      <w:r>
        <w:rPr>
          <w:lang w:eastAsia="zh-CN"/>
        </w:rPr>
        <w:t>-CP</w:t>
      </w:r>
      <w:r>
        <w:rPr/>
        <w:t xml:space="preserve"> to request the reporting of load measurements to gNB-DU</w:t>
      </w:r>
      <w:r>
        <w:rPr>
          <w:lang w:eastAsia="zh-CN"/>
        </w:rPr>
        <w:t xml:space="preserve"> and is used by gNB-CU-UP</w:t>
      </w:r>
      <w:r>
        <w:rPr/>
        <w:t xml:space="preserve"> to report the result of measurements admitted by gNB-</w:t>
      </w:r>
      <w:r>
        <w:rPr>
          <w:lang w:eastAsia="zh-CN"/>
        </w:rPr>
        <w:t>C</w:t>
      </w:r>
      <w:r>
        <w:rPr/>
        <w:t>U</w:t>
      </w:r>
      <w:r>
        <w:rPr>
          <w:lang w:eastAsia="zh-CN"/>
        </w:rPr>
        <w:t>-UP.</w:t>
      </w:r>
    </w:p>
    <w:p>
      <w:pPr>
        <w:pStyle w:val="Heading3"/>
        <w:rPr/>
      </w:pPr>
      <w:bookmarkStart w:id="34" w:name="__RefHeading___Toc88654244"/>
      <w:bookmarkEnd w:id="34"/>
      <w:r>
        <w:rPr/>
        <w:t>5.1.5</w:t>
        <w:tab/>
        <w:t>Measurement results transfer function</w:t>
      </w:r>
    </w:p>
    <w:p>
      <w:pPr>
        <w:pStyle w:val="Normal"/>
        <w:rPr/>
      </w:pPr>
      <w:r>
        <w:rPr>
          <w:lang w:val="en-US" w:eastAsia="en-US"/>
        </w:rPr>
        <w:t>T</w:t>
      </w:r>
      <w:r>
        <w:rPr>
          <w:lang w:val="en-US" w:eastAsia="en-US"/>
        </w:rPr>
        <w:t>he measurement results transfer is used by the gNB-CU-CP to transfer UE associated measurement results to the gNB-CU-UP.</w:t>
      </w:r>
    </w:p>
    <w:p>
      <w:pPr>
        <w:pStyle w:val="Heading3"/>
        <w:rPr>
          <w:lang w:val="en-US"/>
        </w:rPr>
      </w:pPr>
      <w:bookmarkStart w:id="35" w:name="__RefHeading___Toc88654245"/>
      <w:bookmarkEnd w:id="35"/>
      <w:r>
        <w:rPr>
          <w:lang w:val="en-US"/>
        </w:rPr>
        <w:t>5.1.6</w:t>
      </w:r>
      <w:r>
        <w:rPr>
          <w:lang w:val="en-US"/>
        </w:rPr>
        <w:tab/>
      </w:r>
      <w:r>
        <w:rPr>
          <w:rFonts w:eastAsia="SimSun;宋体"/>
          <w:lang w:val="en-US" w:eastAsia="zh-CN"/>
        </w:rPr>
        <w:t xml:space="preserve">Support for </w:t>
      </w:r>
      <w:r>
        <w:rPr>
          <w:lang w:val="en-US"/>
        </w:rPr>
        <w:t>IAB</w:t>
      </w:r>
    </w:p>
    <w:p>
      <w:pPr>
        <w:pStyle w:val="Normal"/>
        <w:rPr>
          <w:lang w:eastAsia="ja-JP"/>
        </w:rPr>
      </w:pPr>
      <w:r>
        <w:rPr>
          <w:lang w:eastAsia="ja-JP"/>
        </w:rPr>
        <w:t xml:space="preserve">This function is used to update the DL/UL F1-U GTP-U tunnels for an IAB network, and </w:t>
      </w:r>
      <w:r>
        <w:rPr/>
        <w:t>allow the gNB-CU-CP to send the security key info to the gNB-CU-UP for the protection of the F1-U interface with IAB-DU</w:t>
      </w:r>
      <w:r>
        <w:rPr>
          <w:lang w:eastAsia="ja-JP"/>
        </w:rPr>
        <w:t>.</w:t>
      </w:r>
    </w:p>
    <w:p>
      <w:pPr>
        <w:pStyle w:val="Heading2"/>
        <w:rPr>
          <w:lang w:eastAsia="ja-JP"/>
        </w:rPr>
      </w:pPr>
      <w:bookmarkStart w:id="36" w:name="__RefHeading___Toc88654246"/>
      <w:bookmarkEnd w:id="36"/>
      <w:r>
        <w:rPr/>
        <w:t>5.2</w:t>
        <w:tab/>
        <w:t>TEIDs allocation</w:t>
      </w:r>
    </w:p>
    <w:p>
      <w:pPr>
        <w:pStyle w:val="Normal"/>
        <w:rPr/>
      </w:pPr>
      <w:r>
        <w:rPr/>
        <w:t xml:space="preserve">The gNB-CU-UP is responsible for the allocation of the F1-U UL GTP TEID for each data radio bearer. </w:t>
      </w:r>
    </w:p>
    <w:p>
      <w:pPr>
        <w:pStyle w:val="Normal"/>
        <w:rPr/>
      </w:pPr>
      <w:r>
        <w:rPr/>
        <w:t>The gNB-CU-UP is responsible for the allocation of the S1-U DL GTP TEID for each E-RAB and the NG-U DL GTP TEID for each PDU Session.</w:t>
      </w:r>
    </w:p>
    <w:p>
      <w:pPr>
        <w:pStyle w:val="Normal"/>
        <w:rPr/>
      </w:pPr>
      <w:r>
        <w:rPr/>
        <w:t xml:space="preserve">The gNB-CU-UP is responsible for the allocation of the X2-U DL/UL GTP TEID or the Xn-U DL/UL GTP TEID for each data radio bearer. </w:t>
      </w:r>
    </w:p>
    <w:p>
      <w:pPr>
        <w:pStyle w:val="Heading1"/>
        <w:ind w:left="1134" w:hanging="1134"/>
        <w:rPr/>
      </w:pPr>
      <w:bookmarkStart w:id="37" w:name="__RefHeading___Toc88654247"/>
      <w:bookmarkEnd w:id="37"/>
      <w:r>
        <w:rPr/>
        <w:t>6</w:t>
        <w:tab/>
        <w:t>Procedures of the E1 interface</w:t>
      </w:r>
    </w:p>
    <w:p>
      <w:pPr>
        <w:pStyle w:val="Heading2"/>
        <w:rPr/>
      </w:pPr>
      <w:bookmarkStart w:id="38" w:name="__RefHeading___Toc88654248"/>
      <w:bookmarkEnd w:id="38"/>
      <w:r>
        <w:rPr/>
        <w:t>6.1</w:t>
        <w:tab/>
        <w:t>Interface Management procedures</w:t>
      </w:r>
    </w:p>
    <w:p>
      <w:pPr>
        <w:pStyle w:val="Normal"/>
        <w:rPr/>
      </w:pPr>
      <w:r>
        <w:rPr/>
        <w:t>The E1 interface management procedures are listed below:</w:t>
      </w:r>
    </w:p>
    <w:p>
      <w:pPr>
        <w:pStyle w:val="B1"/>
        <w:rPr/>
      </w:pPr>
      <w:r>
        <w:rPr/>
        <w:t>-</w:t>
        <w:tab/>
        <w:t>Reset procedure</w:t>
      </w:r>
    </w:p>
    <w:p>
      <w:pPr>
        <w:pStyle w:val="B1"/>
        <w:rPr/>
      </w:pPr>
      <w:r>
        <w:rPr/>
        <w:t>-</w:t>
        <w:tab/>
        <w:t>Error Indication procedure</w:t>
      </w:r>
    </w:p>
    <w:p>
      <w:pPr>
        <w:pStyle w:val="B1"/>
        <w:rPr/>
      </w:pPr>
      <w:r>
        <w:rPr/>
        <w:t>-</w:t>
        <w:tab/>
        <w:t>gNB-CU-UP E1 Setup procedure</w:t>
      </w:r>
    </w:p>
    <w:p>
      <w:pPr>
        <w:pStyle w:val="B1"/>
        <w:rPr/>
      </w:pPr>
      <w:r>
        <w:rPr/>
        <w:t>-</w:t>
        <w:tab/>
        <w:t>gNB-CU-CP E1 Setup procedure</w:t>
      </w:r>
    </w:p>
    <w:p>
      <w:pPr>
        <w:pStyle w:val="B1"/>
        <w:rPr/>
      </w:pPr>
      <w:r>
        <w:rPr/>
        <w:t>-</w:t>
        <w:tab/>
        <w:t>gNB-CU-UP Configuration Update procedure</w:t>
      </w:r>
    </w:p>
    <w:p>
      <w:pPr>
        <w:pStyle w:val="B1"/>
        <w:rPr/>
      </w:pPr>
      <w:r>
        <w:rPr/>
        <w:t>-</w:t>
        <w:tab/>
        <w:t>gNB-CU-CP Configuration Update procedure</w:t>
      </w:r>
    </w:p>
    <w:p>
      <w:pPr>
        <w:pStyle w:val="B1"/>
        <w:rPr/>
      </w:pPr>
      <w:r>
        <w:rPr/>
        <w:t>-</w:t>
        <w:tab/>
        <w:t>E1 Release procedure</w:t>
      </w:r>
    </w:p>
    <w:p>
      <w:pPr>
        <w:pStyle w:val="B1"/>
        <w:rPr/>
      </w:pPr>
      <w:r>
        <w:rPr/>
        <w:t>-</w:t>
        <w:tab/>
        <w:t>gNB-CU-UP Status Indication procedure</w:t>
      </w:r>
    </w:p>
    <w:p>
      <w:pPr>
        <w:pStyle w:val="Heading2"/>
        <w:rPr/>
      </w:pPr>
      <w:bookmarkStart w:id="39" w:name="__RefHeading___Toc88654249"/>
      <w:bookmarkEnd w:id="39"/>
      <w:r>
        <w:rPr/>
        <w:t>6.2</w:t>
        <w:tab/>
        <w:t>Bearer Context Management procedures</w:t>
      </w:r>
    </w:p>
    <w:p>
      <w:pPr>
        <w:pStyle w:val="Normal"/>
        <w:rPr/>
      </w:pPr>
      <w:r>
        <w:rPr/>
        <w:t>The E1 bearer management procedures are listed below:</w:t>
      </w:r>
    </w:p>
    <w:p>
      <w:pPr>
        <w:pStyle w:val="B1"/>
        <w:rPr/>
      </w:pPr>
      <w:r>
        <w:rPr/>
        <w:t>-</w:t>
        <w:tab/>
        <w:t>Bearer Context Setup procedure</w:t>
      </w:r>
    </w:p>
    <w:p>
      <w:pPr>
        <w:pStyle w:val="B1"/>
        <w:rPr/>
      </w:pPr>
      <w:r>
        <w:rPr/>
        <w:t>-</w:t>
        <w:tab/>
        <w:t>Bearer Context Release Request (gNB-CU-UP initiated) procedure</w:t>
      </w:r>
    </w:p>
    <w:p>
      <w:pPr>
        <w:pStyle w:val="B1"/>
        <w:rPr/>
      </w:pPr>
      <w:r>
        <w:rPr/>
        <w:t>-</w:t>
        <w:tab/>
        <w:t>Bearer Context Release (gNB-CU-CP initiated) procedure</w:t>
      </w:r>
    </w:p>
    <w:p>
      <w:pPr>
        <w:pStyle w:val="B1"/>
        <w:rPr/>
      </w:pPr>
      <w:r>
        <w:rPr/>
        <w:t>-</w:t>
        <w:tab/>
        <w:t>Bearer Context Modification (gNB-CU-CP initiated) procedure</w:t>
      </w:r>
    </w:p>
    <w:p>
      <w:pPr>
        <w:pStyle w:val="B1"/>
        <w:rPr/>
      </w:pPr>
      <w:r>
        <w:rPr/>
        <w:t>-</w:t>
        <w:tab/>
        <w:t>Bearer Context Modification Required (gNB-CU-UP initiated) procedure</w:t>
      </w:r>
    </w:p>
    <w:p>
      <w:pPr>
        <w:pStyle w:val="B1"/>
        <w:rPr/>
      </w:pPr>
      <w:r>
        <w:rPr/>
        <w:t>-</w:t>
        <w:tab/>
        <w:t>DL Data Notification procedure</w:t>
      </w:r>
    </w:p>
    <w:p>
      <w:pPr>
        <w:pStyle w:val="B1"/>
        <w:rPr/>
      </w:pPr>
      <w:r>
        <w:rPr/>
        <w:t>-</w:t>
        <w:tab/>
        <w:t>Bearer Context Inactivity Notification procedure</w:t>
      </w:r>
    </w:p>
    <w:p>
      <w:pPr>
        <w:pStyle w:val="B1"/>
        <w:rPr/>
      </w:pPr>
      <w:r>
        <w:rPr/>
        <w:t>-</w:t>
        <w:tab/>
        <w:t>Data Usage Report procedure</w:t>
      </w:r>
    </w:p>
    <w:p>
      <w:pPr>
        <w:pStyle w:val="B1"/>
        <w:rPr/>
      </w:pPr>
      <w:r>
        <w:rPr/>
        <w:t>-</w:t>
        <w:tab/>
        <w:t>MR-DC Data Usage Report procedure</w:t>
      </w:r>
    </w:p>
    <w:p>
      <w:pPr>
        <w:pStyle w:val="Heading2"/>
        <w:rPr>
          <w:lang w:val="en-US" w:eastAsia="zh-CN"/>
        </w:rPr>
      </w:pPr>
      <w:bookmarkStart w:id="40" w:name="__RefHeading___Toc88654250"/>
      <w:bookmarkEnd w:id="40"/>
      <w:r>
        <w:rPr/>
        <w:t>6.</w:t>
      </w:r>
      <w:r>
        <w:rPr>
          <w:lang w:val="en-US" w:eastAsia="zh-CN"/>
        </w:rPr>
        <w:t>3</w:t>
      </w:r>
      <w:r>
        <w:rPr/>
        <w:tab/>
      </w:r>
      <w:r>
        <w:rPr>
          <w:lang w:val="en-US" w:eastAsia="zh-CN"/>
        </w:rPr>
        <w:t>UE Tracing procedures</w:t>
      </w:r>
    </w:p>
    <w:p>
      <w:pPr>
        <w:pStyle w:val="Normal"/>
        <w:rPr>
          <w:lang w:val="en-US" w:eastAsia="zh-CN"/>
        </w:rPr>
      </w:pPr>
      <w:r>
        <w:rPr/>
        <w:t>The following procedures are used to trace the UE:</w:t>
      </w:r>
    </w:p>
    <w:p>
      <w:pPr>
        <w:pStyle w:val="B1"/>
        <w:rPr/>
      </w:pPr>
      <w:r>
        <w:rPr/>
        <w:t>-</w:t>
        <w:tab/>
        <w:t>Trace Start procedure</w:t>
      </w:r>
    </w:p>
    <w:p>
      <w:pPr>
        <w:pStyle w:val="B1"/>
        <w:rPr/>
      </w:pPr>
      <w:r>
        <w:rPr/>
        <w:t>-</w:t>
        <w:tab/>
        <w:t>Deactivate Trace procedure</w:t>
      </w:r>
    </w:p>
    <w:p>
      <w:pPr>
        <w:pStyle w:val="B1"/>
        <w:rPr/>
      </w:pPr>
      <w:r>
        <w:rPr>
          <w:lang w:eastAsia="zh-CN"/>
        </w:rPr>
        <w:t>-</w:t>
      </w:r>
      <w:r>
        <w:rPr>
          <w:lang w:eastAsia="zh-CN"/>
        </w:rPr>
        <w:tab/>
      </w:r>
      <w:r>
        <w:rPr>
          <w:lang w:eastAsia="zh-CN"/>
        </w:rPr>
        <w:t>Cell Traffic Trace procedure</w:t>
      </w:r>
    </w:p>
    <w:p>
      <w:pPr>
        <w:pStyle w:val="Heading2"/>
        <w:rPr>
          <w:lang w:val="en-US" w:eastAsia="zh-CN"/>
        </w:rPr>
      </w:pPr>
      <w:bookmarkStart w:id="41" w:name="__RefHeading___Toc88654251"/>
      <w:bookmarkEnd w:id="41"/>
      <w:r>
        <w:rPr>
          <w:lang w:val="en-US" w:eastAsia="zh-CN"/>
        </w:rPr>
        <w:t>6.</w:t>
      </w:r>
      <w:r>
        <w:rPr>
          <w:lang w:val="en-US" w:eastAsia="zh-CN"/>
        </w:rPr>
        <w:t>4</w:t>
        <w:tab/>
      </w:r>
      <w:r>
        <w:rPr>
          <w:lang w:val="en-US" w:eastAsia="zh-CN"/>
        </w:rPr>
        <w:t>Load management procedures</w:t>
      </w:r>
    </w:p>
    <w:p>
      <w:pPr>
        <w:pStyle w:val="Normal"/>
        <w:rPr>
          <w:lang w:val="en-US" w:eastAsia="zh-CN"/>
        </w:rPr>
      </w:pPr>
      <w:r>
        <w:rPr>
          <w:lang w:val="en-US" w:eastAsia="zh-CN"/>
        </w:rPr>
        <w:t>The load management procedures are listed as below:</w:t>
      </w:r>
    </w:p>
    <w:p>
      <w:pPr>
        <w:pStyle w:val="B1"/>
        <w:rPr>
          <w:lang w:val="en-US" w:eastAsia="zh-CN"/>
        </w:rPr>
      </w:pPr>
      <w:r>
        <w:rPr>
          <w:lang w:val="en-US" w:eastAsia="zh-CN"/>
        </w:rPr>
        <w:t>-</w:t>
      </w:r>
      <w:r>
        <w:rPr>
          <w:lang w:val="en-US" w:eastAsia="zh-CN"/>
        </w:rPr>
        <w:tab/>
        <w:t>Resource Status Reporting Initiation</w:t>
      </w:r>
      <w:r>
        <w:rPr>
          <w:lang w:val="en-US" w:eastAsia="zh-CN"/>
        </w:rPr>
        <w:t xml:space="preserve"> procedure</w:t>
      </w:r>
    </w:p>
    <w:p>
      <w:pPr>
        <w:pStyle w:val="B1"/>
        <w:rPr>
          <w:lang w:val="en-US" w:eastAsia="zh-CN"/>
        </w:rPr>
      </w:pPr>
      <w:r>
        <w:rPr>
          <w:lang w:val="en-US" w:eastAsia="zh-CN"/>
        </w:rPr>
        <w:t>-</w:t>
      </w:r>
      <w:r>
        <w:rPr>
          <w:lang w:val="en-US" w:eastAsia="zh-CN"/>
        </w:rPr>
        <w:tab/>
        <w:t>Resource Status Reporting</w:t>
      </w:r>
      <w:r>
        <w:rPr>
          <w:lang w:val="en-US" w:eastAsia="zh-CN"/>
        </w:rPr>
        <w:t xml:space="preserve"> procedure</w:t>
      </w:r>
    </w:p>
    <w:p>
      <w:pPr>
        <w:pStyle w:val="Heading2"/>
        <w:rPr>
          <w:lang w:val="en-US" w:eastAsia="zh-CN"/>
        </w:rPr>
      </w:pPr>
      <w:bookmarkStart w:id="42" w:name="__RefHeading___Toc88654252"/>
      <w:bookmarkEnd w:id="42"/>
      <w:r>
        <w:rPr>
          <w:lang w:val="en-US" w:eastAsia="zh-CN"/>
        </w:rPr>
        <w:t>6.</w:t>
      </w:r>
      <w:r>
        <w:rPr>
          <w:lang w:val="en-US" w:eastAsia="zh-CN"/>
        </w:rPr>
        <w:t>5</w:t>
        <w:tab/>
      </w:r>
      <w:bookmarkStart w:id="43" w:name="OLE_LINK32"/>
      <w:r>
        <w:rPr>
          <w:lang w:val="en-US" w:eastAsia="zh-CN"/>
        </w:rPr>
        <w:t>Measurement results transfer</w:t>
      </w:r>
      <w:r>
        <w:rPr>
          <w:lang w:val="en-US" w:eastAsia="zh-CN"/>
        </w:rPr>
        <w:t xml:space="preserve"> procedures</w:t>
      </w:r>
      <w:bookmarkEnd w:id="43"/>
    </w:p>
    <w:p>
      <w:pPr>
        <w:pStyle w:val="Normal"/>
        <w:rPr>
          <w:lang w:val="en-US" w:eastAsia="en-US"/>
        </w:rPr>
      </w:pPr>
      <w:r>
        <w:rPr>
          <w:lang w:val="en-US" w:eastAsia="en-US"/>
        </w:rPr>
        <w:t>The measurement results transfer procedures are listed as below:</w:t>
      </w:r>
    </w:p>
    <w:p>
      <w:pPr>
        <w:pStyle w:val="B1"/>
        <w:rPr>
          <w:lang w:val="en-US" w:eastAsia="zh-CN"/>
        </w:rPr>
      </w:pPr>
      <w:r>
        <w:rPr>
          <w:lang w:val="en-US" w:eastAsia="zh-CN"/>
        </w:rPr>
        <w:t>-</w:t>
      </w:r>
      <w:r>
        <w:rPr>
          <w:lang w:val="en-US" w:eastAsia="zh-CN"/>
        </w:rPr>
        <w:tab/>
        <w:t>GNB-CU-CP Measurement Results Information</w:t>
      </w:r>
    </w:p>
    <w:p>
      <w:pPr>
        <w:pStyle w:val="Heading2"/>
        <w:rPr>
          <w:lang w:val="en-US"/>
        </w:rPr>
      </w:pPr>
      <w:bookmarkStart w:id="44" w:name="__RefHeading___Toc88654253"/>
      <w:bookmarkEnd w:id="44"/>
      <w:r>
        <w:rPr>
          <w:lang w:val="en-US"/>
        </w:rPr>
        <w:t>6.</w:t>
      </w:r>
      <w:r>
        <w:rPr>
          <w:lang w:val="en-US"/>
        </w:rPr>
        <w:t>6</w:t>
        <w:tab/>
      </w:r>
      <w:r>
        <w:rPr>
          <w:lang w:val="en-US"/>
        </w:rPr>
        <w:t>IAB procedures</w:t>
      </w:r>
    </w:p>
    <w:p>
      <w:pPr>
        <w:pStyle w:val="Normal"/>
        <w:rPr>
          <w:lang w:val="en-US"/>
        </w:rPr>
      </w:pPr>
      <w:r>
        <w:rPr>
          <w:lang w:val="en-US"/>
        </w:rPr>
        <w:t>The IAB procedures are listed as below:</w:t>
      </w:r>
    </w:p>
    <w:p>
      <w:pPr>
        <w:pStyle w:val="B1"/>
        <w:rPr>
          <w:lang w:eastAsia="ja-JP"/>
        </w:rPr>
      </w:pPr>
      <w:r>
        <w:rPr>
          <w:lang w:val="en-US"/>
        </w:rPr>
        <w:t>-</w:t>
      </w:r>
      <w:r>
        <w:rPr>
          <w:lang w:val="en-US"/>
        </w:rPr>
        <w:tab/>
      </w:r>
      <w:r>
        <w:rPr>
          <w:lang w:eastAsia="ja-JP"/>
        </w:rPr>
        <w:t>IAB UP TNL Address Update procedure</w:t>
      </w:r>
    </w:p>
    <w:p>
      <w:pPr>
        <w:pStyle w:val="B1"/>
        <w:rPr>
          <w:lang w:val="en-US"/>
        </w:rPr>
      </w:pPr>
      <w:r>
        <w:rPr>
          <w:lang w:eastAsia="ja-JP"/>
        </w:rPr>
        <w:t>-</w:t>
        <w:tab/>
        <w:t>IAB PSK Notification procedure</w:t>
      </w:r>
    </w:p>
    <w:p>
      <w:pPr>
        <w:pStyle w:val="Heading1"/>
        <w:ind w:left="1134" w:hanging="1134"/>
        <w:rPr/>
      </w:pPr>
      <w:bookmarkStart w:id="45" w:name="__RefHeading___Toc88654254"/>
      <w:bookmarkEnd w:id="45"/>
      <w:r>
        <w:rPr/>
        <w:t>7</w:t>
        <w:tab/>
        <w:t>E1 interface protocol structure</w:t>
      </w:r>
    </w:p>
    <w:p>
      <w:pPr>
        <w:pStyle w:val="Normal"/>
        <w:rPr/>
      </w:pPr>
      <w:r>
        <w:rPr/>
        <w:t>Figure 7.1-1 shows the protocol structure for E1. The TNL is based on IP transport, comprising the SCTP on top of IP. The application layer signalling protocol is referred to as E1AP (E1 Application Protocol).</w:t>
      </w:r>
    </w:p>
    <w:p>
      <w:pPr>
        <w:pStyle w:val="TH"/>
        <w:rPr/>
      </w:pPr>
      <w:bookmarkStart w:id="46" w:name="_1254573451"/>
      <w:bookmarkStart w:id="47" w:name="_1239489410"/>
      <w:bookmarkStart w:id="48" w:name="_1239036830"/>
      <w:bookmarkEnd w:id="46"/>
      <w:bookmarkEnd w:id="47"/>
      <w:bookmarkEnd w:id="48"/>
      <w:r>
        <w:rPr/>
        <w:object w:dxaOrig="3840" w:dyaOrig="3405">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192pt;height:170.25pt" filled="f" o:ole="">
            <v:imagedata r:id="rId7" o:title=""/>
          </v:shape>
          <o:OLEObject Type="Embed" ProgID="" ShapeID="ole_rId6" DrawAspect="Content" ObjectID="_1413167509" r:id="rId6"/>
        </w:object>
      </w:r>
    </w:p>
    <w:p>
      <w:pPr>
        <w:pStyle w:val="TF"/>
        <w:rPr/>
      </w:pPr>
      <w:r>
        <w:rPr/>
        <w:t>Figure 7.1-1: Interface protocol structure for E1</w:t>
      </w:r>
    </w:p>
    <w:p>
      <w:pPr>
        <w:pStyle w:val="Heading1"/>
        <w:ind w:left="1134" w:hanging="1134"/>
        <w:rPr/>
      </w:pPr>
      <w:bookmarkStart w:id="49" w:name="__RefHeading___Toc88654255"/>
      <w:bookmarkEnd w:id="49"/>
      <w:r>
        <w:rPr/>
        <w:t>8</w:t>
        <w:tab/>
        <w:t>Other E1 interface specifications</w:t>
      </w:r>
    </w:p>
    <w:p>
      <w:pPr>
        <w:pStyle w:val="Normal"/>
        <w:rPr/>
      </w:pPr>
      <w:r>
        <w:rPr/>
        <w:t>This clause contains the description of the other related 3GPP specifications.</w:t>
      </w:r>
    </w:p>
    <w:p>
      <w:pPr>
        <w:pStyle w:val="Heading2"/>
        <w:rPr/>
      </w:pPr>
      <w:bookmarkStart w:id="50" w:name="__RefHeading___Toc88654256"/>
      <w:bookmarkEnd w:id="50"/>
      <w:r>
        <w:rPr/>
        <w:t>8.1</w:t>
        <w:tab/>
        <w:t>NG-RAN E1 interface: layer 1 (3GPP TS 38.461)</w:t>
      </w:r>
    </w:p>
    <w:p>
      <w:pPr>
        <w:pStyle w:val="Normal"/>
        <w:rPr/>
      </w:pPr>
      <w:r>
        <w:rPr/>
        <w:t>3GPP TS 38.461 [3] specifies the physical layer technologies that may be used to support the E1 interface.</w:t>
      </w:r>
    </w:p>
    <w:p>
      <w:pPr>
        <w:pStyle w:val="Heading2"/>
        <w:rPr/>
      </w:pPr>
      <w:bookmarkStart w:id="51" w:name="__RefHeading___Toc88654257"/>
      <w:bookmarkEnd w:id="51"/>
      <w:r>
        <w:rPr/>
        <w:t>8.2</w:t>
        <w:tab/>
        <w:t>NG-RAN E1 interface: signalling transport (3GPP TS 38.462)</w:t>
      </w:r>
    </w:p>
    <w:p>
      <w:pPr>
        <w:pStyle w:val="Normal"/>
        <w:rPr/>
      </w:pPr>
      <w:r>
        <w:rPr/>
        <w:t>3GPP TS 38.462 [4] specifies the signalling bearers for the E1AP for the E1 interface.</w:t>
      </w:r>
    </w:p>
    <w:p>
      <w:pPr>
        <w:pStyle w:val="Heading2"/>
        <w:rPr/>
      </w:pPr>
      <w:bookmarkStart w:id="52" w:name="__RefHeading___Toc88654258"/>
      <w:bookmarkEnd w:id="52"/>
      <w:r>
        <w:rPr/>
        <w:t>8.3</w:t>
        <w:tab/>
        <w:t>NG-RAN E1 interface: E1AP specification (3GPP TS 38.463)</w:t>
      </w:r>
    </w:p>
    <w:p>
      <w:pPr>
        <w:pStyle w:val="Normal"/>
        <w:rPr/>
      </w:pPr>
      <w:r>
        <w:rPr/>
        <w:t>3GPP TS 38.463 [5] specifies the E1AP protocol for radio network control plane signalling over the E1 interface.</w:t>
      </w:r>
    </w:p>
    <w:p>
      <w:pPr>
        <w:pStyle w:val="Normal"/>
        <w:rPr/>
      </w:pPr>
      <w:r>
        <w:rPr/>
      </w:r>
      <w:r>
        <w:br w:type="page"/>
      </w:r>
    </w:p>
    <w:p>
      <w:pPr>
        <w:pStyle w:val="Heading8"/>
        <w:ind w:left="0" w:hanging="0"/>
        <w:rPr/>
      </w:pPr>
      <w:bookmarkStart w:id="53" w:name="__RefHeading___Toc88654259"/>
      <w:bookmarkStart w:id="54" w:name="historyclause"/>
      <w:bookmarkEnd w:id="53"/>
      <w:bookmarkEnd w:id="54"/>
      <w:r>
        <w:rPr/>
        <w:t>Annex A (informative):</w:t>
        <w:br/>
        <w:t>Change history</w:t>
      </w:r>
    </w:p>
    <w:tbl>
      <w:tblPr>
        <w:tblW w:w="9811" w:type="dxa"/>
        <w:jc w:val="left"/>
        <w:tblInd w:w="-7" w:type="dxa"/>
        <w:tblLayout w:type="fixed"/>
        <w:tblCellMar>
          <w:top w:w="0" w:type="dxa"/>
          <w:left w:w="40" w:type="dxa"/>
          <w:bottom w:w="0" w:type="dxa"/>
          <w:right w:w="40" w:type="dxa"/>
        </w:tblCellMar>
      </w:tblPr>
      <w:tblGrid>
        <w:gridCol w:w="800"/>
        <w:gridCol w:w="872"/>
        <w:gridCol w:w="1094"/>
        <w:gridCol w:w="525"/>
        <w:gridCol w:w="425"/>
        <w:gridCol w:w="425"/>
        <w:gridCol w:w="4962"/>
        <w:gridCol w:w="708"/>
      </w:tblGrid>
      <w:tr>
        <w:trPr>
          <w:cantSplit w:val="true"/>
        </w:trPr>
        <w:tc>
          <w:tcPr>
            <w:tcW w:w="9811"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rHeight w:val="414" w:hRule="atLeast"/>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pPr>
            <w:r>
              <w:rPr>
                <w:b/>
                <w:sz w:val="16"/>
              </w:rPr>
              <w:t>Date</w:t>
            </w:r>
          </w:p>
        </w:tc>
        <w:tc>
          <w:tcPr>
            <w:tcW w:w="872"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Meeting</w:t>
            </w:r>
          </w:p>
        </w:tc>
        <w:tc>
          <w:tcPr>
            <w:tcW w:w="1094"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TDoc</w:t>
            </w:r>
          </w:p>
        </w:tc>
        <w:tc>
          <w:tcPr>
            <w:tcW w:w="5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Cat</w:t>
            </w:r>
          </w:p>
        </w:tc>
        <w:tc>
          <w:tcPr>
            <w:tcW w:w="4962"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70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 version</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2018-02</w:t>
            </w:r>
          </w:p>
        </w:tc>
        <w:tc>
          <w:tcPr>
            <w:tcW w:w="872"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R3#99</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R3-181037</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Skeleton</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rPr>
              <w:t>0.0.0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rPr>
              <w:t>2018-02</w:t>
            </w:r>
          </w:p>
        </w:tc>
        <w:tc>
          <w:tcPr>
            <w:tcW w:w="872"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R3#99</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R3-181419</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Editorial changes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0.1.0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2018-03</w:t>
            </w:r>
          </w:p>
        </w:tc>
        <w:tc>
          <w:tcPr>
            <w:tcW w:w="872"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R3#99</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R3-181596</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Agreed text proposal R3-181425 on TEID allocation added to section 5.2; Agreed text proposal R3-181427 on Bearer Context management function and procedure added to section 5.1.2 and 6.2.</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0.2.0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2018-04</w:t>
            </w:r>
          </w:p>
        </w:tc>
        <w:tc>
          <w:tcPr>
            <w:tcW w:w="872"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R3#99bis</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R3-181844</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gNB-CU-CP / gNB-CU-UP is agreed as a formal name</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0.3.0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2018-04</w:t>
            </w:r>
          </w:p>
        </w:tc>
        <w:tc>
          <w:tcPr>
            <w:tcW w:w="872"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R3#99bis</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rPr>
              <w:t>R3-182498</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E1 interface management function further detailed; gNB-CU-UP E1 Setup, gNB-CU-CP E1 Setup, gNB-CU-UP Configuration Update, gNB-CU-CP Configuration Update, E1 Release (FFS) introduced.</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0.3.0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2018-04</w:t>
            </w:r>
          </w:p>
        </w:tc>
        <w:tc>
          <w:tcPr>
            <w:tcW w:w="872"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rPr>
              <w:t>R3#99bis</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R3-182465</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Bearer Context Inactivity Notification Procedure introduced.</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0.3.0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2018-05</w:t>
            </w:r>
          </w:p>
        </w:tc>
        <w:tc>
          <w:tcPr>
            <w:tcW w:w="872"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R3#100</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R3-183579</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E1 bearer context management function further updated by adding user inactivity notification, DL data arrival detection, data volume reporting and packet duplication.</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0.4.0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rPr>
              <w:t>2018-06</w:t>
            </w:r>
          </w:p>
        </w:tc>
        <w:tc>
          <w:tcPr>
            <w:tcW w:w="872"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RAN#80</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RP-180746</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For approval</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2018-06</w:t>
            </w:r>
          </w:p>
        </w:tc>
        <w:tc>
          <w:tcPr>
            <w:tcW w:w="872"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RAN#80</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lang w:eastAsia="zh-CN"/>
              </w:rPr>
            </w:pPr>
            <w:r>
              <w:rPr>
                <w:sz w:val="16"/>
                <w:szCs w:val="16"/>
                <w:lang w:eastAsia="zh-CN"/>
              </w:rPr>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lang w:eastAsia="zh-CN"/>
              </w:rPr>
            </w:pPr>
            <w:r>
              <w:rPr>
                <w:sz w:val="16"/>
                <w:szCs w:val="16"/>
                <w:lang w:eastAsia="zh-CN"/>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rPr>
              <w:t>Specification approved at TSG-RAN and placed under change control</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15.0.0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2018-09</w:t>
            </w:r>
          </w:p>
        </w:tc>
        <w:tc>
          <w:tcPr>
            <w:tcW w:w="872"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RAN#81</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RP-181925</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0001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lang w:eastAsia="zh-CN"/>
              </w:rPr>
            </w:pPr>
            <w:r>
              <w:rPr>
                <w:sz w:val="16"/>
                <w:szCs w:val="16"/>
                <w:lang w:eastAsia="zh-CN"/>
              </w:rPr>
              <w:t>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F</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NR Corrections (38.460 Baseline CR covering RAN3-101 agreements)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15.1.0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2018-12</w:t>
            </w:r>
          </w:p>
        </w:tc>
        <w:tc>
          <w:tcPr>
            <w:tcW w:w="872"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RAN#82</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RP-182451</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0005</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lang w:eastAsia="zh-CN"/>
              </w:rPr>
            </w:pPr>
            <w:r>
              <w:rPr>
                <w:sz w:val="16"/>
                <w:szCs w:val="16"/>
                <w:lang w:eastAsia="zh-CN"/>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F</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CR to 38.460 on capacity information transfer via E1 interface</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15.2.0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2018-12</w:t>
            </w:r>
          </w:p>
        </w:tc>
        <w:tc>
          <w:tcPr>
            <w:tcW w:w="872"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lang w:eastAsia="zh-CN"/>
              </w:rPr>
              <w:t>RAN#82</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RP-182451</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0006</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lang w:eastAsia="zh-CN"/>
              </w:rPr>
            </w:pPr>
            <w:r>
              <w:rPr>
                <w:sz w:val="16"/>
                <w:szCs w:val="16"/>
                <w:lang w:eastAsia="zh-CN"/>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F</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CR to 38.460 on overload information indication over E1</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15.2.0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2018-12</w:t>
            </w:r>
          </w:p>
        </w:tc>
        <w:tc>
          <w:tcPr>
            <w:tcW w:w="872"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RAN#82</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RP-182451</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0012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lang w:eastAsia="zh-CN"/>
              </w:rPr>
            </w:pPr>
            <w:r>
              <w:rPr>
                <w:sz w:val="16"/>
                <w:szCs w:val="16"/>
                <w:lang w:eastAsia="zh-CN"/>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F</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CR to 38.460 on PDCP suspend indication over E1 interface</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lang w:eastAsia="zh-CN"/>
              </w:rPr>
              <w:t>15.2.0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2018-12</w:t>
            </w:r>
          </w:p>
        </w:tc>
        <w:tc>
          <w:tcPr>
            <w:tcW w:w="872"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RAN#82</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RP-182451</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0014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lang w:eastAsia="zh-CN"/>
              </w:rPr>
            </w:pPr>
            <w:r>
              <w:rPr>
                <w:sz w:val="16"/>
                <w:szCs w:val="16"/>
                <w:lang w:eastAsia="zh-CN"/>
              </w:rPr>
              <w:t>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F</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CR to 38.460 on notification for default DRB over E1</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lang w:eastAsia="zh-CN"/>
              </w:rPr>
              <w:t>15.2.0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2018-12</w:t>
            </w:r>
          </w:p>
        </w:tc>
        <w:tc>
          <w:tcPr>
            <w:tcW w:w="872"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RAN#82</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RP-182447</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0015</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lang w:eastAsia="zh-CN"/>
              </w:rPr>
            </w:pPr>
            <w:r>
              <w:rPr>
                <w:sz w:val="16"/>
                <w:szCs w:val="16"/>
                <w:lang w:eastAsia="zh-CN"/>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F</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Introduction of Data Volume Reporting for MR-DC</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lang w:eastAsia="zh-CN"/>
              </w:rPr>
              <w:t>15.2.0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2019-03</w:t>
            </w:r>
          </w:p>
        </w:tc>
        <w:tc>
          <w:tcPr>
            <w:tcW w:w="872"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RAN#83</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RP-190560</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0017</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lang w:eastAsia="zh-CN"/>
              </w:rPr>
            </w:pPr>
            <w:r>
              <w:rPr>
                <w:sz w:val="16"/>
                <w:szCs w:val="16"/>
                <w:lang w:eastAsia="zh-CN"/>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F</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CR to 38.460 on inactivity notification over E1</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15.3.0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2019-07</w:t>
            </w:r>
          </w:p>
        </w:tc>
        <w:tc>
          <w:tcPr>
            <w:tcW w:w="872"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RAN#84</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RP-191399</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0020</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lang w:eastAsia="zh-CN"/>
              </w:rPr>
            </w:pPr>
            <w:r>
              <w:rPr>
                <w:sz w:val="16"/>
                <w:szCs w:val="16"/>
                <w:lang w:eastAsia="zh-CN"/>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F</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CR to 38.460 on clarifications for E1 bearer context management function and TEIDs allocation</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15.4.0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2019-12</w:t>
            </w:r>
          </w:p>
        </w:tc>
        <w:tc>
          <w:tcPr>
            <w:tcW w:w="872"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RAN#86</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RP-192913</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0021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lang w:eastAsia="zh-CN"/>
              </w:rPr>
            </w:pPr>
            <w:r>
              <w:rPr>
                <w:sz w:val="16"/>
                <w:szCs w:val="16"/>
                <w:lang w:eastAsia="zh-CN"/>
              </w:rPr>
              <w:t>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F</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Trace function Support over E1 Interface</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16.0.0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2020-07</w:t>
            </w:r>
          </w:p>
        </w:tc>
        <w:tc>
          <w:tcPr>
            <w:tcW w:w="872"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RAN#88-e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RP-201080</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0029</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lang w:eastAsia="zh-CN"/>
              </w:rPr>
            </w:pPr>
            <w:r>
              <w:rPr>
                <w:sz w:val="16"/>
                <w:szCs w:val="16"/>
                <w:lang w:eastAsia="zh-CN"/>
              </w:rPr>
              <w:t>5</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B</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CR to TS 38.460 on support of NPN</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16.1.0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2020-07</w:t>
            </w:r>
          </w:p>
        </w:tc>
        <w:tc>
          <w:tcPr>
            <w:tcW w:w="872"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RAN#88-e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RP-201082</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0031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lang w:eastAsia="zh-CN"/>
              </w:rPr>
            </w:pPr>
            <w:r>
              <w:rPr>
                <w:sz w:val="16"/>
                <w:szCs w:val="16"/>
                <w:lang w:eastAsia="zh-CN"/>
              </w:rPr>
              <w:t>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B</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BLCR to 38.460: Addition of SON feature</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16.1.0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2020-07</w:t>
            </w:r>
          </w:p>
        </w:tc>
        <w:tc>
          <w:tcPr>
            <w:tcW w:w="872"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RAN#88-e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RP-201079</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0034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lang w:eastAsia="zh-CN"/>
              </w:rPr>
            </w:pPr>
            <w:r>
              <w:rPr>
                <w:sz w:val="16"/>
                <w:szCs w:val="16"/>
                <w:lang w:eastAsia="zh-CN"/>
              </w:rPr>
              <w:t>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rFonts w:eastAsia="Arial"/>
                <w:sz w:val="16"/>
                <w:szCs w:val="16"/>
                <w:lang w:eastAsia="zh-CN"/>
              </w:rPr>
              <w:t xml:space="preserve"> </w:t>
            </w:r>
            <w:r>
              <w:rPr>
                <w:sz w:val="16"/>
                <w:szCs w:val="16"/>
                <w:lang w:eastAsia="zh-CN"/>
              </w:rPr>
              <w:t>B</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rFonts w:eastAsia="Arial"/>
                <w:sz w:val="16"/>
                <w:szCs w:val="16"/>
              </w:rPr>
              <w:t xml:space="preserve"> </w:t>
            </w:r>
            <w:r>
              <w:rPr>
                <w:sz w:val="16"/>
                <w:szCs w:val="16"/>
              </w:rPr>
              <w:t>Support of Ethernet Type</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16.1.0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2020-07</w:t>
            </w:r>
          </w:p>
        </w:tc>
        <w:tc>
          <w:tcPr>
            <w:tcW w:w="872"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RAN#88-e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RP-201075</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0035</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lang w:eastAsia="zh-CN"/>
              </w:rPr>
            </w:pPr>
            <w:r>
              <w:rPr>
                <w:sz w:val="16"/>
                <w:szCs w:val="16"/>
                <w:lang w:eastAsia="zh-CN"/>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B</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TS38.460 Stage2 Introduction of Mobility Enhancement Features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16.1.0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2020-07</w:t>
            </w:r>
          </w:p>
        </w:tc>
        <w:tc>
          <w:tcPr>
            <w:tcW w:w="872"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RAN#88-e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RP-201074</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0036</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lang w:eastAsia="zh-CN"/>
              </w:rPr>
            </w:pPr>
            <w:r>
              <w:rPr>
                <w:sz w:val="16"/>
                <w:szCs w:val="16"/>
                <w:lang w:eastAsia="zh-CN"/>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B</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Support for Alternative QoS profiles over E1</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16.1.0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2020-07</w:t>
            </w:r>
          </w:p>
        </w:tc>
        <w:tc>
          <w:tcPr>
            <w:tcW w:w="872"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RAN#88-e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RP-201082</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0038</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lang w:eastAsia="zh-CN"/>
              </w:rPr>
            </w:pPr>
            <w:r>
              <w:rPr>
                <w:sz w:val="16"/>
                <w:szCs w:val="16"/>
                <w:lang w:eastAsia="zh-CN"/>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B</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BLCR to 38.460: Addition of MDT feature</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16.1.0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2020-07</w:t>
            </w:r>
          </w:p>
        </w:tc>
        <w:tc>
          <w:tcPr>
            <w:tcW w:w="872"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RAN#88-e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RP-201079</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0039</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lang w:eastAsia="zh-CN"/>
              </w:rPr>
            </w:pPr>
            <w:r>
              <w:rPr>
                <w:sz w:val="16"/>
                <w:szCs w:val="16"/>
                <w:lang w:eastAsia="zh-CN"/>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B</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 xml:space="preserve">PDCP duplication with more than 2 entities for E1 stage 2 </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16.1.0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2020-12</w:t>
            </w:r>
          </w:p>
        </w:tc>
        <w:tc>
          <w:tcPr>
            <w:tcW w:w="872"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RAN#90-e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RP-202312</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0043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lang w:eastAsia="zh-CN"/>
              </w:rPr>
            </w:pPr>
            <w:r>
              <w:rPr>
                <w:sz w:val="16"/>
                <w:szCs w:val="16"/>
                <w:lang w:eastAsia="zh-CN"/>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F</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Introduction of D1 measurement transfer on E1AP</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16.2.0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2020-12</w:t>
            </w:r>
          </w:p>
        </w:tc>
        <w:tc>
          <w:tcPr>
            <w:tcW w:w="872"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RAN#90-e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RP-202312</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0044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lang w:eastAsia="zh-CN"/>
              </w:rPr>
            </w:pPr>
            <w:r>
              <w:rPr>
                <w:sz w:val="16"/>
                <w:szCs w:val="16"/>
                <w:lang w:eastAsia="zh-CN"/>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F</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Support of direct data forwarding for inter-system HO</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16.2.0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2021-03</w:t>
            </w:r>
          </w:p>
        </w:tc>
        <w:tc>
          <w:tcPr>
            <w:tcW w:w="872"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RAN#91-e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RP-210231</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0045</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lang w:eastAsia="zh-CN"/>
              </w:rPr>
            </w:pPr>
            <w:r>
              <w:rPr>
                <w:sz w:val="16"/>
                <w:szCs w:val="16"/>
                <w:lang w:eastAsia="zh-CN"/>
              </w:rPr>
              <w:t>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F</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CR to 38.460: Supporting IAB function and procedure</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16.3.0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2021-12</w:t>
            </w:r>
          </w:p>
        </w:tc>
        <w:tc>
          <w:tcPr>
            <w:tcW w:w="872"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RAN#94-e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RP-212870</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0049</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lang w:eastAsia="zh-CN"/>
              </w:rPr>
            </w:pPr>
            <w:r>
              <w:rPr>
                <w:sz w:val="16"/>
                <w:szCs w:val="16"/>
                <w:lang w:eastAsia="zh-CN"/>
              </w:rPr>
              <w:t>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F</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CR for 38.460 on E1AP handling for unmapped DL QoS flows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16.4.0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2022-03</w:t>
            </w:r>
          </w:p>
        </w:tc>
        <w:tc>
          <w:tcPr>
            <w:tcW w:w="872"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RAN#95-e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RP-220276</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0053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lang w:eastAsia="zh-CN"/>
              </w:rPr>
            </w:pPr>
            <w:r>
              <w:rPr>
                <w:sz w:val="16"/>
                <w:szCs w:val="16"/>
                <w:lang w:eastAsia="zh-CN"/>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F</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Correction on support of Pre-shared key derivation for IAB-donor-CU-UP</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16.5.0</w:t>
            </w:r>
          </w:p>
        </w:tc>
      </w:tr>
    </w:tbl>
    <w:p>
      <w:pPr>
        <w:pStyle w:val="Normal"/>
        <w:widowControl/>
        <w:overflowPunct w:val="false"/>
        <w:autoSpaceDE w:val="false"/>
        <w:bidi w:val="0"/>
        <w:spacing w:before="0" w:after="180"/>
        <w:textAlignment w:val="baseline"/>
        <w:rPr/>
      </w:pPr>
      <w:r>
        <w:rPr/>
      </w:r>
    </w:p>
    <w:sectPr>
      <w:headerReference w:type="default" r:id="rId8"/>
      <w:footerReference w:type="default" r:id="rId9"/>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Century">
    <w:charset w:val="00"/>
    <w:family w:val="roman"/>
    <w:pitch w:val="variable"/>
  </w:font>
  <w:font w:name="Calibri">
    <w:charset w:val="00"/>
    <w:family w:val="swiss"/>
    <w:pitch w:val="variable"/>
  </w:font>
  <w:font w:name="Liberation Sans">
    <w:altName w:val="Arial"/>
    <w:charset w:val="01"/>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22">
              <wp:simplePos x="0" y="0"/>
              <wp:positionH relativeFrom="margin">
                <wp:align>right</wp:align>
              </wp:positionH>
              <wp:positionV relativeFrom="paragraph">
                <wp:posOffset>635</wp:posOffset>
              </wp:positionV>
              <wp:extent cx="1818640" cy="180340"/>
              <wp:effectExtent l="0" t="0" r="0" b="0"/>
              <wp:wrapSquare wrapText="largest"/>
              <wp:docPr id="13" name="Frame9"/>
              <a:graphic xmlns:a="http://schemas.openxmlformats.org/drawingml/2006/main">
                <a:graphicData uri="http://schemas.microsoft.com/office/word/2010/wordprocessingShape">
                  <wps:wsp>
                    <wps:cNvSpPr txBox="1"/>
                    <wps:spPr>
                      <a:xfrm>
                        <a:off x="0" y="0"/>
                        <a:ext cx="1818640" cy="180340"/>
                      </a:xfrm>
                      <a:prstGeom prst="rect"/>
                      <a:solidFill>
                        <a:srgbClr val="FFFFFF">
                          <a:alpha val="0"/>
                        </a:srgbClr>
                      </a:solidFill>
                    </wps:spPr>
                    <wps:txbx>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38.460 V16.5.0 (2022-04)</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143.2pt;height:14.2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38.460 V16.5.0 (2022-04)</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32">
              <wp:simplePos x="0" y="0"/>
              <wp:positionH relativeFrom="margin">
                <wp:align>center</wp:align>
              </wp:positionH>
              <wp:positionV relativeFrom="paragraph">
                <wp:posOffset>4445</wp:posOffset>
              </wp:positionV>
              <wp:extent cx="127635" cy="180340"/>
              <wp:effectExtent l="0" t="0" r="0" b="0"/>
              <wp:wrapSquare wrapText="largest"/>
              <wp:docPr id="14" name="Frame10"/>
              <a:graphic xmlns:a="http://schemas.openxmlformats.org/drawingml/2006/main">
                <a:graphicData uri="http://schemas.microsoft.com/office/word/2010/wordprocessingShape">
                  <wps:wsp>
                    <wps:cNvSpPr txBox="1"/>
                    <wps:spPr>
                      <a:xfrm>
                        <a:off x="0" y="0"/>
                        <a:ext cx="127635" cy="180340"/>
                      </a:xfrm>
                      <a:prstGeom prst="rect"/>
                      <a:solidFill>
                        <a:srgbClr val="FFFFFF">
                          <a:alpha val="0"/>
                        </a:srgbClr>
                      </a:solidFill>
                    </wps:spPr>
                    <wps:txbx>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11</w:t>
                          </w:r>
                          <w:r>
                            <w:rPr>
                              <w:sz w:val="18"/>
                              <w:b/>
                              <w:szCs w:val="18"/>
                              <w:rFonts w:cs="Arial" w:ascii="Arial" w:hAnsi="Arial"/>
                            </w:rPr>
                            <w:fldChar w:fldCharType="end"/>
                          </w:r>
                        </w:p>
                      </w:txbxContent>
                    </wps:txbx>
                    <wps:bodyPr anchor="t" lIns="0" tIns="0" rIns="0" bIns="0">
                      <a:noAutofit/>
                    </wps:bodyPr>
                  </wps:wsp>
                </a:graphicData>
              </a:graphic>
            </wp:anchor>
          </w:drawing>
        </mc:Choice>
        <mc:Fallback>
          <w:pict>
            <v:rect fillcolor="#FFFFFF" style="position:absolute;rotation:-0;width:10.05pt;height:14.2pt;mso-wrap-distance-left:0pt;mso-wrap-distance-right:0pt;mso-wrap-distance-top:0pt;mso-wrap-distance-bottom:0pt;margin-top:0.35pt;mso-position-vertical-relative:text;margin-left:236pt;mso-position-horizontal:center;mso-position-horizontal-relative:margin">
              <v:fill opacity="0f"/>
              <v:textbox inset="0in,0in,0in,0in">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11</w:t>
                    </w:r>
                    <w:r>
                      <w:rPr>
                        <w:sz w:val="18"/>
                        <w:b/>
                        <w:szCs w:val="18"/>
                        <w:rFonts w:cs="Arial" w:ascii="Arial" w:hAnsi="Arial"/>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42">
              <wp:simplePos x="0" y="0"/>
              <wp:positionH relativeFrom="margin">
                <wp:align>left</wp:align>
              </wp:positionH>
              <wp:positionV relativeFrom="paragraph">
                <wp:posOffset>4445</wp:posOffset>
              </wp:positionV>
              <wp:extent cx="591820" cy="180340"/>
              <wp:effectExtent l="0" t="0" r="0" b="0"/>
              <wp:wrapSquare wrapText="largest"/>
              <wp:docPr id="15" name="Frame11"/>
              <a:graphic xmlns:a="http://schemas.openxmlformats.org/drawingml/2006/main">
                <a:graphicData uri="http://schemas.microsoft.com/office/word/2010/wordprocessingShape">
                  <wps:wsp>
                    <wps:cNvSpPr txBox="1"/>
                    <wps:spPr>
                      <a:xfrm>
                        <a:off x="0" y="0"/>
                        <a:ext cx="591820" cy="180340"/>
                      </a:xfrm>
                      <a:prstGeom prst="rect"/>
                      <a:solidFill>
                        <a:srgbClr val="FFFFFF">
                          <a:alpha val="0"/>
                        </a:srgbClr>
                      </a:solidFill>
                    </wps:spPr>
                    <wps:txbx>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16</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46.6pt;height:14.2pt;mso-wrap-distance-left:0pt;mso-wrap-distance-right:0pt;mso-wrap-distance-top:0pt;mso-wrap-distance-bottom:0pt;margin-top:0.35pt;mso-position-vertical-relative:text;margin-left:0pt;mso-position-horizontal:left;mso-position-horizontal-relative:margin">
              <v:fill opacity="0f"/>
              <v:textbox inset="0in,0in,0in,0in">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16</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bullet"/>
      <w:lvlText w:val=""/>
      <w:lvlJc w:val="left"/>
      <w:pPr>
        <w:tabs>
          <w:tab w:val="num" w:pos="737"/>
        </w:tabs>
        <w:ind w:left="737" w:hanging="453"/>
      </w:pPr>
      <w:rPr>
        <w:rFonts w:ascii="Symbol" w:hAnsi="Symbol" w:cs="Symbol" w:hint="default"/>
        <w:color w:val="000000"/>
      </w:rPr>
    </w:lvl>
  </w:abstractNum>
  <w:abstractNum w:abstractNumId="3">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284"/>
  <w:autoHyphenation w:val="true"/>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textAlignment w:val="baseline"/>
    </w:pPr>
    <w:rPr>
      <w:rFonts w:ascii="Times New Roman" w:hAnsi="Times New Roman" w:eastAsia="Times New Roman" w:cs="Times New Roman"/>
      <w:color w:val="auto"/>
      <w:sz w:val="20"/>
      <w:szCs w:val="20"/>
      <w:lang w:val="en-GB" w:eastAsia="ko-KR" w:bidi="ar-SA"/>
    </w:rPr>
  </w:style>
  <w:style w:type="paragraph" w:styleId="Heading1">
    <w:name w:val="Heading 1"/>
    <w:next w:val="Normal"/>
    <w:qFormat/>
    <w:pPr>
      <w:keepNext w:val="true"/>
      <w:keepLines/>
      <w:widowControl/>
      <w:numPr>
        <w:ilvl w:val="0"/>
        <w:numId w:val="1"/>
      </w:numPr>
      <w:pBdr>
        <w:top w:val="single" w:sz="12" w:space="3" w:color="000000"/>
      </w:pBdr>
      <w:overflowPunct w:val="false"/>
      <w:autoSpaceDE w:val="false"/>
      <w:bidi w:val="0"/>
      <w:spacing w:before="240" w:after="180"/>
      <w:ind w:left="1134" w:hanging="1134"/>
      <w:textAlignment w:val="baseline"/>
      <w:outlineLvl w:val="0"/>
    </w:pPr>
    <w:rPr>
      <w:rFonts w:ascii="Arial" w:hAnsi="Arial" w:eastAsia="Times New Roman" w:cs="Arial"/>
      <w:color w:val="auto"/>
      <w:sz w:val="36"/>
      <w:szCs w:val="20"/>
      <w:lang w:val="en-GB" w:eastAsia="ko-KR" w:bidi="ar-SA"/>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2z0">
    <w:name w:val="WW8Num2z0"/>
    <w:qFormat/>
    <w:rPr>
      <w:rFonts w:ascii="Symbol" w:hAnsi="Symbol" w:cs="Symbol"/>
    </w:rPr>
  </w:style>
  <w:style w:type="character" w:styleId="WW8Num3z0">
    <w:name w:val="WW8Num3z0"/>
    <w:qFormat/>
    <w:rPr>
      <w:rFonts w:ascii="Symbol" w:hAnsi="Symbol" w:cs="Symbol"/>
    </w:rPr>
  </w:style>
  <w:style w:type="character" w:styleId="WW8Num4z0">
    <w:name w:val="WW8Num4z0"/>
    <w:qFormat/>
    <w:rPr>
      <w:rFonts w:ascii="Symbol" w:hAnsi="Symbol" w:cs="Symbol"/>
    </w:rPr>
  </w:style>
  <w:style w:type="character" w:styleId="WW8Num5z0">
    <w:name w:val="WW8Num5z0"/>
    <w:qFormat/>
    <w:rPr>
      <w:rFonts w:ascii="Symbol" w:hAnsi="Symbol" w:cs="Symbol"/>
    </w:rPr>
  </w:style>
  <w:style w:type="character" w:styleId="WW8Num7z0">
    <w:name w:val="WW8Num7z0"/>
    <w:qFormat/>
    <w:rPr>
      <w:rFonts w:ascii="Symbol" w:hAnsi="Symbol" w:cs="Symbol"/>
    </w:rPr>
  </w:style>
  <w:style w:type="character" w:styleId="WW8Num10z0">
    <w:name w:val="WW8Num10z0"/>
    <w:qFormat/>
    <w:rPr>
      <w:rFonts w:ascii="Symbol" w:hAnsi="Symbol" w:cs="Symbol"/>
      <w:color w:val="000000"/>
    </w:rPr>
  </w:style>
  <w:style w:type="character" w:styleId="WW8Num10z1">
    <w:name w:val="WW8Num10z1"/>
    <w:qFormat/>
    <w:rPr>
      <w:rFonts w:ascii="Courier New" w:hAnsi="Courier New" w:cs="Courier New"/>
    </w:rPr>
  </w:style>
  <w:style w:type="character" w:styleId="WW8Num10z2">
    <w:name w:val="WW8Num10z2"/>
    <w:qFormat/>
    <w:rPr>
      <w:rFonts w:ascii="Wingdings" w:hAnsi="Wingdings" w:cs="Wingdings"/>
    </w:rPr>
  </w:style>
  <w:style w:type="character" w:styleId="WW8Num10z3">
    <w:name w:val="WW8Num10z3"/>
    <w:qFormat/>
    <w:rPr>
      <w:rFonts w:ascii="Symbol" w:hAnsi="Symbol" w:cs="Symbol"/>
    </w:rPr>
  </w:style>
  <w:style w:type="character" w:styleId="WW8Num11z0">
    <w:name w:val="WW8Num11z0"/>
    <w:qFormat/>
    <w:rPr>
      <w:rFonts w:ascii="Century" w:hAnsi="Century" w:eastAsia="MS Mincho;ＭＳ 明朝" w:cs="Times New Roman"/>
    </w:rPr>
  </w:style>
  <w:style w:type="character" w:styleId="WW8Num11z1">
    <w:name w:val="WW8Num11z1"/>
    <w:qFormat/>
    <w:rPr>
      <w:rFonts w:ascii="Courier New" w:hAnsi="Courier New" w:cs="Courier New"/>
    </w:rPr>
  </w:style>
  <w:style w:type="character" w:styleId="WW8Num11z2">
    <w:name w:val="WW8Num11z2"/>
    <w:qFormat/>
    <w:rPr>
      <w:rFonts w:ascii="Wingdings" w:hAnsi="Wingdings" w:cs="Wingdings"/>
    </w:rPr>
  </w:style>
  <w:style w:type="character" w:styleId="WW8Num11z3">
    <w:name w:val="WW8Num11z3"/>
    <w:qFormat/>
    <w:rPr>
      <w:rFonts w:ascii="Symbol" w:hAnsi="Symbol" w:cs="Symbol"/>
    </w:rPr>
  </w:style>
  <w:style w:type="character" w:styleId="WW8Num12z0">
    <w:name w:val="WW8Num12z0"/>
    <w:qFormat/>
    <w:rPr>
      <w:rFonts w:ascii="Arial" w:hAnsi="Arial" w:cs="Arial"/>
    </w:rPr>
  </w:style>
  <w:style w:type="character" w:styleId="WW8Num12z1">
    <w:name w:val="WW8Num12z1"/>
    <w:qFormat/>
    <w:rPr>
      <w:rFonts w:ascii="Courier New" w:hAnsi="Courier New" w:cs="Courier New"/>
    </w:rPr>
  </w:style>
  <w:style w:type="character" w:styleId="WW8Num12z2">
    <w:name w:val="WW8Num12z2"/>
    <w:qFormat/>
    <w:rPr>
      <w:rFonts w:ascii="Wingdings" w:hAnsi="Wingdings" w:cs="Wingdings"/>
    </w:rPr>
  </w:style>
  <w:style w:type="character" w:styleId="WW8Num12z3">
    <w:name w:val="WW8Num12z3"/>
    <w:qFormat/>
    <w:rPr>
      <w:rFonts w:ascii="Symbol" w:hAnsi="Symbol" w:cs="Symbol"/>
    </w:rPr>
  </w:style>
  <w:style w:type="character" w:styleId="WW8Num13z0">
    <w:name w:val="WW8Num13z0"/>
    <w:qFormat/>
    <w:rPr>
      <w:rFonts w:ascii="Arial" w:hAnsi="Arial" w:cs="Arial"/>
    </w:rPr>
  </w:style>
  <w:style w:type="character" w:styleId="WW8Num13z1">
    <w:name w:val="WW8Num13z1"/>
    <w:qFormat/>
    <w:rPr>
      <w:rFonts w:ascii="Courier New" w:hAnsi="Courier New" w:cs="Courier New"/>
    </w:rPr>
  </w:style>
  <w:style w:type="character" w:styleId="WW8Num13z2">
    <w:name w:val="WW8Num13z2"/>
    <w:qFormat/>
    <w:rPr>
      <w:rFonts w:ascii="Wingdings" w:hAnsi="Wingdings" w:cs="Wingdings"/>
    </w:rPr>
  </w:style>
  <w:style w:type="character" w:styleId="WW8Num13z3">
    <w:name w:val="WW8Num13z3"/>
    <w:qFormat/>
    <w:rPr>
      <w:rFonts w:ascii="Symbol" w:hAnsi="Symbol" w:cs="Symbol"/>
    </w:rPr>
  </w:style>
  <w:style w:type="character" w:styleId="WW8Num14z0">
    <w:name w:val="WW8Num14z0"/>
    <w:qFormat/>
    <w:rPr>
      <w:rFonts w:ascii="Symbol" w:hAnsi="Symbol" w:cs="Symbol"/>
    </w:rPr>
  </w:style>
  <w:style w:type="character" w:styleId="WW8Num14z1">
    <w:name w:val="WW8Num14z1"/>
    <w:qFormat/>
    <w:rPr>
      <w:rFonts w:ascii="Courier New" w:hAnsi="Courier New" w:cs="Times New Roman"/>
    </w:rPr>
  </w:style>
  <w:style w:type="character" w:styleId="WW8Num14z2">
    <w:name w:val="WW8Num14z2"/>
    <w:qFormat/>
    <w:rPr>
      <w:rFonts w:cs="Times New Roman"/>
    </w:rPr>
  </w:style>
  <w:style w:type="character" w:styleId="WW8Num15z0">
    <w:name w:val="WW8Num15z0"/>
    <w:qFormat/>
    <w:rPr>
      <w:rFonts w:ascii="Arial" w:hAnsi="Arial" w:eastAsia="MS Mincho;ＭＳ 明朝" w:cs="Arial"/>
    </w:rPr>
  </w:style>
  <w:style w:type="character" w:styleId="WW8Num16z0">
    <w:name w:val="WW8Num16z0"/>
    <w:qFormat/>
    <w:rPr>
      <w:rFonts w:ascii="Arial" w:hAnsi="Arial" w:eastAsia="MS Mincho;ＭＳ 明朝" w:cs="Arial"/>
    </w:rPr>
  </w:style>
  <w:style w:type="character" w:styleId="WW8Num16z3">
    <w:name w:val="WW8Num16z3"/>
    <w:qFormat/>
    <w:rPr>
      <w:rFonts w:ascii="Symbol" w:hAnsi="Symbol" w:cs="Symbol"/>
    </w:rPr>
  </w:style>
  <w:style w:type="character" w:styleId="WW8Num16z4">
    <w:name w:val="WW8Num16z4"/>
    <w:qFormat/>
    <w:rPr>
      <w:rFonts w:ascii="Courier New" w:hAnsi="Courier New" w:cs="Courier New"/>
    </w:rPr>
  </w:style>
  <w:style w:type="character" w:styleId="WW8Num16z5">
    <w:name w:val="WW8Num16z5"/>
    <w:qFormat/>
    <w:rPr>
      <w:rFonts w:ascii="Wingdings" w:hAnsi="Wingdings" w:cs="Wingdings"/>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CommentReference">
    <w:name w:val="Comment Reference"/>
    <w:qFormat/>
    <w:rPr>
      <w:sz w:val="16"/>
      <w:szCs w:val="16"/>
    </w:rPr>
  </w:style>
  <w:style w:type="character" w:styleId="BalloonTextChar">
    <w:name w:val="Balloon Text Char"/>
    <w:qFormat/>
    <w:rPr>
      <w:sz w:val="18"/>
      <w:szCs w:val="18"/>
      <w:lang w:val="en-GB"/>
    </w:rPr>
  </w:style>
  <w:style w:type="character" w:styleId="Heading3Char">
    <w:name w:val="Heading 3 Char"/>
    <w:qFormat/>
    <w:rPr>
      <w:rFonts w:ascii="Arial" w:hAnsi="Arial" w:eastAsia="Times New Roman" w:cs="Arial"/>
      <w:sz w:val="28"/>
    </w:rPr>
  </w:style>
  <w:style w:type="character" w:styleId="Heading1Char">
    <w:name w:val="Heading 1 Char"/>
    <w:qFormat/>
    <w:rPr>
      <w:rFonts w:ascii="Arial" w:hAnsi="Arial" w:eastAsia="Times New Roman" w:cs="Arial"/>
      <w:sz w:val="36"/>
    </w:rPr>
  </w:style>
  <w:style w:type="character" w:styleId="FootnoteCharacters">
    <w:name w:val="Footnote Characters"/>
    <w:qFormat/>
    <w:rPr>
      <w:b/>
      <w:sz w:val="16"/>
      <w:vertAlign w:val="superscript"/>
    </w:rPr>
  </w:style>
  <w:style w:type="character" w:styleId="FootnoteTextChar">
    <w:name w:val="Footnote Text Char"/>
    <w:qFormat/>
    <w:rPr>
      <w:rFonts w:eastAsia="Times New Roman"/>
      <w:sz w:val="16"/>
    </w:rPr>
  </w:style>
  <w:style w:type="character" w:styleId="CommentTextChar">
    <w:name w:val="Comment Text Char"/>
    <w:qFormat/>
    <w:rPr>
      <w:rFonts w:eastAsia="Times New Roman"/>
    </w:rPr>
  </w:style>
  <w:style w:type="character" w:styleId="CommentSubjectChar">
    <w:name w:val="Comment Subject Char"/>
    <w:qFormat/>
    <w:rPr>
      <w:rFonts w:eastAsia="Times New Roman"/>
      <w:b/>
      <w:bCs/>
    </w:rPr>
  </w:style>
  <w:style w:type="character" w:styleId="ListParagraphChar">
    <w:name w:val="List Paragraph Char"/>
    <w:qFormat/>
    <w:rPr>
      <w:rFonts w:ascii="Calibri" w:hAnsi="Calibri" w:eastAsia="Calibri" w:cs="Calibri"/>
      <w:sz w:val="22"/>
      <w:szCs w:val="22"/>
    </w:rPr>
  </w:style>
  <w:style w:type="character" w:styleId="B1Car">
    <w:name w:val="B1+ Car"/>
    <w:qFormat/>
    <w:rPr>
      <w:rFonts w:eastAsia="Times New Roman"/>
    </w:rPr>
  </w:style>
  <w:style w:type="character" w:styleId="B1Zchn">
    <w:name w:val="B1 Zchn"/>
    <w:qFormat/>
    <w:rPr>
      <w:rFonts w:eastAsia="Times New Roman"/>
    </w:rPr>
  </w:style>
  <w:style w:type="character" w:styleId="TALChar">
    <w:name w:val="TAL Char"/>
    <w:qFormat/>
    <w:rPr>
      <w:rFonts w:ascii="Arial" w:hAnsi="Arial" w:eastAsia="Times New Roman" w:cs="Arial"/>
      <w:sz w:val="18"/>
    </w:rPr>
  </w:style>
  <w:style w:type="character" w:styleId="TACChar">
    <w:name w:val="TAC Char"/>
    <w:qFormat/>
    <w:rPr>
      <w:rFonts w:ascii="Arial" w:hAnsi="Arial" w:eastAsia="Times New Roman" w:cs="Arial"/>
      <w:sz w:val="18"/>
    </w:rPr>
  </w:style>
  <w:style w:type="character" w:styleId="B1Char">
    <w:name w:val="B1 Char"/>
    <w:qFormat/>
    <w:rPr>
      <w:rFonts w:ascii="Times New Roman" w:hAnsi="Times New Roman" w:cs="Times New Roman"/>
      <w:lang w:val="en-GB"/>
    </w:rPr>
  </w:style>
  <w:style w:type="character" w:styleId="InternetLink">
    <w:name w:val="Hyperlink"/>
    <w:rPr>
      <w:color w:val="000080"/>
      <w:u w:val="single"/>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Normal"/>
    <w:pPr>
      <w:ind w:left="568" w:hanging="284"/>
    </w:pPr>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overflowPunct w:val="false"/>
      <w:autoSpaceDE w:val="false"/>
      <w:bidi w:val="0"/>
      <w:spacing w:before="120" w:after="0"/>
      <w:ind w:left="567" w:right="425" w:hanging="567"/>
      <w:textAlignment w:val="baseline"/>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ZD">
    <w:name w:val="ZD"/>
    <w:qFormat/>
    <w:pPr>
      <w:widowControl w:val="false"/>
      <w:overflowPunct w:val="false"/>
      <w:autoSpaceDE w:val="false"/>
      <w:bidi w:val="0"/>
      <w:textAlignment w:val="baseline"/>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Footer">
    <w:name w:val="Footer"/>
    <w:basedOn w:val="Header"/>
    <w:pPr>
      <w:jc w:val="center"/>
    </w:pPr>
    <w:rPr>
      <w:i/>
    </w:rPr>
  </w:style>
  <w:style w:type="paragraph" w:styleId="TT">
    <w:name w:val="TT"/>
    <w:basedOn w:val="Heading1"/>
    <w:next w:val="Normal"/>
    <w:qFormat/>
    <w:pPr>
      <w:numPr>
        <w:ilvl w:val="0"/>
        <w:numId w:val="0"/>
      </w:numPr>
      <w:ind w:left="1134" w:hanging="1134"/>
      <w:outlineLvl w:val="9"/>
    </w:pPr>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overflowPunct w:val="false"/>
      <w:autoSpaceDE w:val="false"/>
      <w:bidi w:val="0"/>
      <w:spacing w:lineRule="exact" w:line="180"/>
      <w:textAlignment w:val="baseline"/>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overflowPunct w:val="false"/>
      <w:autoSpaceDE w:val="false"/>
      <w:bidi w:val="0"/>
      <w:jc w:val="right"/>
      <w:textAlignment w:val="baseline"/>
    </w:pPr>
    <w:rPr>
      <w:rFonts w:ascii="Arial" w:hAnsi="Arial" w:eastAsia="Times New Roman" w:cs="Arial"/>
      <w:color w:val="auto"/>
      <w:sz w:val="40"/>
      <w:szCs w:val="20"/>
      <w:lang w:val="en-GB" w:eastAsia="en-US" w:bidi="ar-SA"/>
    </w:rPr>
  </w:style>
  <w:style w:type="paragraph" w:styleId="ZB">
    <w:name w:val="ZB"/>
    <w:qFormat/>
    <w:pPr>
      <w:widowControl w:val="false"/>
      <w:overflowPunct w:val="false"/>
      <w:autoSpaceDE w:val="false"/>
      <w:bidi w:val="0"/>
      <w:ind w:right="28" w:hanging="0"/>
      <w:jc w:val="right"/>
      <w:textAlignment w:val="baseline"/>
    </w:pPr>
    <w:rPr>
      <w:rFonts w:ascii="Arial" w:hAnsi="Arial" w:eastAsia="Times New Roman" w:cs="Arial"/>
      <w:i/>
      <w:color w:val="auto"/>
      <w:sz w:val="20"/>
      <w:szCs w:val="20"/>
      <w:lang w:val="en-GB" w:eastAsia="en-US" w:bidi="ar-SA"/>
    </w:rPr>
  </w:style>
  <w:style w:type="paragraph" w:styleId="ZT">
    <w:name w:val="ZT"/>
    <w:qFormat/>
    <w:pPr>
      <w:widowControl w:val="false"/>
      <w:overflowPunct w:val="false"/>
      <w:autoSpaceDE w:val="false"/>
      <w:bidi w:val="0"/>
      <w:spacing w:lineRule="atLeast" w:line="240"/>
      <w:jc w:val="right"/>
      <w:textAlignment w:val="baseline"/>
    </w:pPr>
    <w:rPr>
      <w:rFonts w:ascii="Arial" w:hAnsi="Arial" w:eastAsia="Times New Roman" w:cs="Arial"/>
      <w:b/>
      <w:color w:val="auto"/>
      <w:sz w:val="34"/>
      <w:szCs w:val="20"/>
      <w:lang w:val="en-GB" w:eastAsia="ko-KR" w:bidi="ar-SA"/>
    </w:rPr>
  </w:style>
  <w:style w:type="paragraph" w:styleId="ZU">
    <w:name w:val="ZU"/>
    <w:qFormat/>
    <w:pPr>
      <w:widowControl w:val="false"/>
      <w:pBdr>
        <w:top w:val="single" w:sz="12" w:space="1" w:color="000000"/>
      </w:pBdr>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overflowPunct w:val="false"/>
      <w:autoSpaceDE w:val="false"/>
      <w:bidi w:val="0"/>
      <w:textAlignment w:val="baseline"/>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List2">
    <w:name w:val="List Bullet 3"/>
    <w:basedOn w:val="List"/>
    <w:pPr>
      <w:ind w:left="851" w:hanging="284"/>
    </w:pPr>
    <w:rPr/>
  </w:style>
  <w:style w:type="paragraph" w:styleId="B2">
    <w:name w:val="B2"/>
    <w:basedOn w:val="List2"/>
    <w:qFormat/>
    <w:pPr/>
    <w:rPr/>
  </w:style>
  <w:style w:type="paragraph" w:styleId="List3">
    <w:name w:val="List Bullet 4"/>
    <w:basedOn w:val="List2"/>
    <w:pPr>
      <w:ind w:left="1135" w:hanging="284"/>
    </w:pPr>
    <w:rPr/>
  </w:style>
  <w:style w:type="paragraph" w:styleId="B3">
    <w:name w:val="B3"/>
    <w:basedOn w:val="List3"/>
    <w:qFormat/>
    <w:pPr/>
    <w:rPr/>
  </w:style>
  <w:style w:type="paragraph" w:styleId="List4">
    <w:name w:val="List Bullet 5"/>
    <w:basedOn w:val="List3"/>
    <w:pPr>
      <w:ind w:left="1418" w:hanging="284"/>
    </w:pPr>
    <w:rPr/>
  </w:style>
  <w:style w:type="paragraph" w:styleId="B4">
    <w:name w:val="B4"/>
    <w:basedOn w:val="List4"/>
    <w:qFormat/>
    <w:pPr/>
    <w:rPr/>
  </w:style>
  <w:style w:type="paragraph" w:styleId="List5">
    <w:name w:val="List Number"/>
    <w:basedOn w:val="List4"/>
    <w:pPr>
      <w:ind w:left="1702" w:hanging="284"/>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CommentText">
    <w:name w:val="Comment Text"/>
    <w:basedOn w:val="Normal"/>
    <w:qFormat/>
    <w:pPr/>
    <w:rPr/>
  </w:style>
  <w:style w:type="paragraph" w:styleId="BalloonText">
    <w:name w:val="Balloon Text"/>
    <w:basedOn w:val="Normal"/>
    <w:qFormat/>
    <w:pPr>
      <w:spacing w:before="0" w:after="0"/>
    </w:pPr>
    <w:rPr>
      <w:sz w:val="18"/>
      <w:szCs w:val="18"/>
    </w:rPr>
  </w:style>
  <w:style w:type="paragraph" w:styleId="Footnote">
    <w:name w:val="Footnote Text"/>
    <w:basedOn w:val="Normal"/>
    <w:pPr>
      <w:keepLines/>
      <w:spacing w:before="0" w:after="0"/>
      <w:ind w:left="454" w:hanging="454"/>
    </w:pPr>
    <w:rPr>
      <w:sz w:val="16"/>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ListBullet">
    <w:name w:val="List Bullet"/>
    <w:basedOn w:val="List"/>
    <w:qFormat/>
    <w:pPr>
      <w:numPr>
        <w:ilvl w:val="0"/>
        <w:numId w:val="3"/>
      </w:numPr>
    </w:pPr>
    <w:rPr/>
  </w:style>
  <w:style w:type="paragraph" w:styleId="ListBullet2">
    <w:name w:val="List Bullet 2"/>
    <w:basedOn w:val="ListBullet"/>
    <w:qFormat/>
    <w:pPr>
      <w:numPr>
        <w:ilvl w:val="0"/>
        <w:numId w:val="4"/>
      </w:numPr>
      <w:ind w:left="851" w:hanging="284"/>
    </w:pPr>
    <w:rPr/>
  </w:style>
  <w:style w:type="paragraph" w:styleId="ListBullet3">
    <w:name w:val="List Bullet 3"/>
    <w:basedOn w:val="ListBullet2"/>
    <w:qFormat/>
    <w:pPr>
      <w:ind w:left="1135"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ListNumber">
    <w:name w:val="List Number"/>
    <w:basedOn w:val="List"/>
    <w:qFormat/>
    <w:pPr>
      <w:numPr>
        <w:ilvl w:val="0"/>
        <w:numId w:val="5"/>
      </w:numPr>
    </w:pPr>
    <w:rPr/>
  </w:style>
  <w:style w:type="paragraph" w:styleId="ListNumber2">
    <w:name w:val="List Number 2"/>
    <w:basedOn w:val="ListNumber"/>
    <w:qFormat/>
    <w:pPr>
      <w:numPr>
        <w:ilvl w:val="0"/>
        <w:numId w:val="6"/>
      </w:numPr>
      <w:ind w:left="851" w:hanging="284"/>
    </w:pPr>
    <w:rPr/>
  </w:style>
  <w:style w:type="paragraph" w:styleId="FL">
    <w:name w:val="FL"/>
    <w:basedOn w:val="Normal"/>
    <w:qFormat/>
    <w:pPr>
      <w:keepNext w:val="true"/>
      <w:keepLines/>
      <w:spacing w:before="60" w:after="180"/>
      <w:jc w:val="center"/>
    </w:pPr>
    <w:rPr>
      <w:rFonts w:ascii="Arial" w:hAnsi="Arial" w:cs="Arial"/>
      <w:b/>
    </w:rPr>
  </w:style>
  <w:style w:type="paragraph" w:styleId="CommentSubject">
    <w:name w:val="Comment Subject"/>
    <w:basedOn w:val="CommentText"/>
    <w:next w:val="CommentText"/>
    <w:qFormat/>
    <w:pPr/>
    <w:rPr>
      <w:b/>
      <w:bCs/>
    </w:rPr>
  </w:style>
  <w:style w:type="paragraph" w:styleId="ListParagraph">
    <w:name w:val="List Paragraph"/>
    <w:basedOn w:val="Normal"/>
    <w:qFormat/>
    <w:pPr>
      <w:overflowPunct w:val="true"/>
      <w:autoSpaceDE w:val="true"/>
      <w:spacing w:before="0" w:after="0"/>
      <w:ind w:left="720" w:hanging="0"/>
      <w:textAlignment w:val="auto"/>
    </w:pPr>
    <w:rPr>
      <w:rFonts w:ascii="Calibri" w:hAnsi="Calibri" w:eastAsia="Calibri" w:cs="Calibri"/>
      <w:sz w:val="22"/>
      <w:szCs w:val="22"/>
    </w:rPr>
  </w:style>
  <w:style w:type="paragraph" w:styleId="B11">
    <w:name w:val="B1+"/>
    <w:basedOn w:val="B1"/>
    <w:qFormat/>
    <w:pPr>
      <w:numPr>
        <w:ilvl w:val="0"/>
        <w:numId w:val="2"/>
      </w:numPr>
    </w:pPr>
    <w:rPr/>
  </w:style>
  <w:style w:type="paragraph" w:styleId="Revision">
    <w:name w:val="Revision"/>
    <w:qFormat/>
    <w:pPr>
      <w:widowControl/>
      <w:bidi w:val="0"/>
    </w:pPr>
    <w:rPr>
      <w:rFonts w:ascii="Times New Roman" w:hAnsi="Times New Roman" w:eastAsia="Times New Roman" w:cs="Times New Roman"/>
      <w:color w:val="auto"/>
      <w:sz w:val="20"/>
      <w:szCs w:val="20"/>
      <w:lang w:val="en-GB" w:bidi="ar-SA" w:eastAsia="zh-CN"/>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oleObject" Target="embeddings/oleObject1.bin"/><Relationship Id="rId7" Type="http://schemas.openxmlformats.org/officeDocument/2006/relationships/image" Target="media/image3.wmf"/><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167</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2018-05-25T16:44:00Z</dcterms:created>
  <dc:creator>MCC Support</dc:creator>
  <dc:description/>
  <cp:keywords/>
  <dc:language>en-US</dc:language>
  <cp:lastModifiedBy>Huawei</cp:lastModifiedBy>
  <dcterms:modified xsi:type="dcterms:W3CDTF">2022-04-06T08:58:00Z</dcterms:modified>
  <cp:revision>52</cp:revision>
  <dc:subject>NG-RAN; E1 general aspects and principles (Release 16)</dc:subject>
  <dc:title>3GPP TS 38.460</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CCCRsImpl0">
    <vt:lpwstr>38.460%Rel-16%0017%38.460%Rel-16%0020%38.460%Rel-16%0021%38.460%Rel-16%0029%38.460%Rel-16%0031%38.460%Rel-16%0034%38.460%Rel-16%0035%38.460%Rel-16%0036%38.460%Rel-16%0038%38.460%Rel-16%0039%38.460%Rel-16%0043%38.460%Rel-16%0044%38.460%Rel-16%0045%38.460%R</vt:lpwstr>
  </property>
  <property fmtid="{D5CDD505-2E9C-101B-9397-08002B2CF9AE}" pid="3" name="MCCCRsImpl2">
    <vt:lpwstr>el-16%0049%</vt:lpwstr>
  </property>
  <property fmtid="{D5CDD505-2E9C-101B-9397-08002B2CF9AE}" pid="4" name="_2015_ms_pID_725343">
    <vt:lpwstr>(3)KWvFtEVE38GjPAugCQjpiaBq0nhEoxZaU/Njrlzc1VZ34lH+5F1kljEuUStN569aoaJ8VioX
n5mP1rgmwixXsruvUvR2eLjm/dyxmv9/Cxobjzjc8GYepT5e2ejJZ4dEeUi5T/Rihr0rFLlG
T76YiQy4oKunMFJTnGz2xwgcLyC6aL7gC0ZMLRKRnPUQNERcXgA95aOKEE2oJQlZCeAvDPp6
e3P4k4g24UAbpMmKlN</vt:lpwstr>
  </property>
  <property fmtid="{D5CDD505-2E9C-101B-9397-08002B2CF9AE}" pid="5" name="_2015_ms_pID_7253431">
    <vt:lpwstr>rTV9+6ra7izPnOK8PAp4naJNDzr/+4ZeWVqFpX9cLuy0TQ8jTupj+/
u31fKv3/SsraoedLk3pA20PFjQXxow8xNlgRZXkdU67Hr3Q0WwOH+YaUZCMHEUDIByrAtMMC
penyb7g5uRrLFeLt54jeg/3h7chVoYhKaJZ8nV69IAn5Zr1srmW/V9d/E+Fnegzt2ccJHZ07
TRYUdegmCY8mOch5VybJbh0WH8diBHKHvAHG</vt:lpwstr>
  </property>
  <property fmtid="{D5CDD505-2E9C-101B-9397-08002B2CF9AE}" pid="6" name="_2015_ms_pID_7253431_00">
    <vt:lpwstr>_2015_ms_pID_7253431</vt:lpwstr>
  </property>
  <property fmtid="{D5CDD505-2E9C-101B-9397-08002B2CF9AE}" pid="7" name="_2015_ms_pID_7253432">
    <vt:lpwstr>Qg==</vt:lpwstr>
  </property>
  <property fmtid="{D5CDD505-2E9C-101B-9397-08002B2CF9AE}" pid="8" name="_2015_ms_pID_725343_00">
    <vt:lpwstr>_2015_ms_pID_725343</vt:lpwstr>
  </property>
  <property fmtid="{D5CDD505-2E9C-101B-9397-08002B2CF9AE}" pid="9" name="_change">
    <vt:lpwstr/>
  </property>
  <property fmtid="{D5CDD505-2E9C-101B-9397-08002B2CF9AE}" pid="10" name="_full-control">
    <vt:lpwstr/>
  </property>
  <property fmtid="{D5CDD505-2E9C-101B-9397-08002B2CF9AE}" pid="11" name="_readonly">
    <vt:lpwstr/>
  </property>
  <property fmtid="{D5CDD505-2E9C-101B-9397-08002B2CF9AE}" pid="12" name="sflag">
    <vt:lpwstr>1512630568</vt:lpwstr>
  </property>
</Properties>
</file>