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w:t>
                            </w:r>
                            <w:r>
                              <w:rPr>
                                <w:sz w:val="64"/>
                                <w:lang w:val="en-US" w:eastAsia="en-US"/>
                              </w:rPr>
                              <w:t>8</w:t>
                            </w:r>
                            <w:r>
                              <w:rPr>
                                <w:sz w:val="64"/>
                              </w:rPr>
                              <w:t>.4</w:t>
                            </w:r>
                            <w:r>
                              <w:rPr>
                                <w:sz w:val="64"/>
                                <w:lang w:val="en-US" w:eastAsia="en-US"/>
                              </w:rPr>
                              <w:t>6</w:t>
                            </w:r>
                            <w:r>
                              <w:rPr>
                                <w:sz w:val="64"/>
                              </w:rPr>
                              <w:t xml:space="preserve">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w:t>
                      </w:r>
                      <w:r>
                        <w:rPr>
                          <w:sz w:val="64"/>
                          <w:lang w:val="en-US" w:eastAsia="en-US"/>
                        </w:rPr>
                        <w:t>8</w:t>
                      </w:r>
                      <w:r>
                        <w:rPr>
                          <w:sz w:val="64"/>
                        </w:rPr>
                        <w:t>.4</w:t>
                      </w:r>
                      <w:r>
                        <w:rPr>
                          <w:sz w:val="64"/>
                          <w:lang w:val="en-US" w:eastAsia="en-US"/>
                        </w:rPr>
                        <w:t>6</w:t>
                      </w:r>
                      <w:r>
                        <w:rPr>
                          <w:sz w:val="64"/>
                        </w:rPr>
                        <w:t xml:space="preserve">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543560</wp:posOffset>
                </wp:positionH>
                <wp:positionV relativeFrom="page">
                  <wp:posOffset>1677035</wp:posOffset>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NG-RAN;</w:t>
                            </w:r>
                          </w:p>
                          <w:p>
                            <w:pPr>
                              <w:pStyle w:val="ZT"/>
                              <w:rPr>
                                <w:rFonts w:eastAsia="Malgun Gothic;맑은 고딕"/>
                                <w:lang w:eastAsia="ko-KR"/>
                              </w:rPr>
                            </w:pPr>
                            <w:r>
                              <w:rPr/>
                              <w:t>E1 layer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132.05pt;mso-position-vertical-relative:page;margin-left:42.8pt;mso-position-horizontal-relative:page">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NG-RAN;</w:t>
                      </w:r>
                    </w:p>
                    <w:p>
                      <w:pPr>
                        <w:pStyle w:val="ZT"/>
                        <w:rPr>
                          <w:rFonts w:eastAsia="Malgun Gothic;맑은 고딕"/>
                          <w:lang w:eastAsia="ko-KR"/>
                        </w:rPr>
                      </w:pPr>
                      <w:r>
                        <w:rPr/>
                        <w:t>E1 layer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page">
                  <wp:posOffset>509270</wp:posOffset>
                </wp:positionH>
                <wp:positionV relativeFrom="page">
                  <wp:posOffset>4003675</wp:posOffset>
                </wp:positionV>
                <wp:extent cx="6480810" cy="1374775"/>
                <wp:effectExtent l="0" t="0" r="0" b="0"/>
                <wp:wrapTopAndBottom/>
                <wp:docPr id="4" name="Frame4"/>
                <a:graphic xmlns:a="http://schemas.openxmlformats.org/drawingml/2006/main">
                  <a:graphicData uri="http://schemas.microsoft.com/office/word/2010/wordprocessingShape">
                    <wps:wsp>
                      <wps:cNvSpPr txBox="1"/>
                      <wps:spPr>
                        <a:xfrm>
                          <a:off x="0" y="0"/>
                          <a:ext cx="6480810" cy="137477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8.25pt;mso-wrap-distance-left:0pt;mso-wrap-distance-right:0pt;mso-wrap-distance-top:0pt;mso-wrap-distance-bottom:0pt;margin-top:315.25pt;mso-position-vertical-relative:page;margin-left:40.1pt;mso-position-horizontal-relative:page">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1981200</wp:posOffset>
                </wp:positionV>
                <wp:extent cx="3615055" cy="321310"/>
                <wp:effectExtent l="0" t="0" r="0" b="0"/>
                <wp:wrapTopAndBottom/>
                <wp:docPr id="9" name="Frame5"/>
                <a:graphic xmlns:a="http://schemas.openxmlformats.org/drawingml/2006/main">
                  <a:graphicData uri="http://schemas.microsoft.com/office/word/2010/wordprocessingShape">
                    <wps:wsp>
                      <wps:cNvSpPr txBox="1"/>
                      <wps:spPr>
                        <a:xfrm>
                          <a:off x="0" y="0"/>
                          <a:ext cx="3615055" cy="321310"/>
                        </a:xfrm>
                        <a:prstGeom prst="rect"/>
                        <a:solidFill>
                          <a:srgbClr val="FFFFFF">
                            <a:alpha val="0"/>
                          </a:srgbClr>
                        </a:solidFill>
                      </wps:spPr>
                      <wps:txbx>
                        <w:txbxContent>
                          <w:p>
                            <w:pPr>
                              <w:pStyle w:val="FP"/>
                              <w:spacing w:before="240" w:after="0"/>
                              <w:ind w:left="2835" w:right="2835" w:hanging="0"/>
                              <w:jc w:val="center"/>
                              <w:rPr/>
                            </w:pPr>
                            <w:r>
                              <w:rPr/>
                            </w:r>
                          </w:p>
                        </w:txbxContent>
                      </wps:txbx>
                      <wps:bodyPr anchor="t" lIns="0" tIns="0" rIns="0" bIns="12700">
                        <a:noAutofit/>
                      </wps:bodyPr>
                    </wps:wsp>
                  </a:graphicData>
                </a:graphic>
              </wp:anchor>
            </w:drawing>
          </mc:Choice>
          <mc:Fallback>
            <w:pict>
              <v:rect fillcolor="#FFFFFF" style="position:absolute;rotation:-0;width:284.65pt;height:25.3pt;mso-wrap-distance-left:0pt;mso-wrap-distance-right:0pt;mso-wrap-distance-top:0pt;mso-wrap-distance-bottom:0pt;margin-top:156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0130" cy="1779905"/>
                <wp:effectExtent l="0" t="0" r="0" b="0"/>
                <wp:wrapTopAndBottom/>
                <wp:docPr id="10" name="Frame6"/>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0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0130" cy="1941195"/>
                <wp:effectExtent l="0" t="0" r="0" b="0"/>
                <wp:wrapTopAndBottom/>
                <wp:docPr id="11" name="Frame7"/>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095541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20955417">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20955418">
            <w:r>
              <w:rPr>
                <w:rStyle w:val="IndexLink"/>
              </w:rPr>
              <w:t>5</w:t>
            </w:r>
          </w:hyperlink>
        </w:p>
        <w:p>
          <w:pPr>
            <w:pStyle w:val="Contents1"/>
            <w:rPr>
              <w:rFonts w:ascii="Calibri" w:hAnsi="Calibri" w:cs="Calibri"/>
              <w:szCs w:val="22"/>
            </w:rPr>
          </w:pPr>
          <w:r>
            <w:rPr/>
            <w:t>3</w:t>
          </w:r>
          <w:r>
            <w:rPr>
              <w:rFonts w:cs="Calibri" w:ascii="Calibri" w:hAnsi="Calibri"/>
              <w:szCs w:val="22"/>
            </w:rPr>
            <w:tab/>
          </w:r>
          <w:r>
            <w:rPr/>
            <w:t>Abbreviations</w:t>
            <w:tab/>
          </w:r>
          <w:hyperlink w:anchor="__RefHeading___Toc20955419">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Void</w:t>
            <w:tab/>
          </w:r>
          <w:hyperlink w:anchor="__RefHeading___Toc20955420">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Void</w:t>
            <w:tab/>
          </w:r>
          <w:hyperlink w:anchor="__RefHeading___Toc20955421">
            <w:r>
              <w:rPr>
                <w:rStyle w:val="IndexLink"/>
              </w:rPr>
              <w:t>5</w:t>
            </w:r>
          </w:hyperlink>
        </w:p>
        <w:p>
          <w:pPr>
            <w:pStyle w:val="Contents1"/>
            <w:rPr>
              <w:rFonts w:ascii="Calibri" w:hAnsi="Calibri" w:cs="Calibri"/>
              <w:szCs w:val="22"/>
            </w:rPr>
          </w:pPr>
          <w:r>
            <w:rPr/>
            <w:t>4</w:t>
          </w:r>
          <w:r>
            <w:rPr>
              <w:rFonts w:cs="Calibri" w:ascii="Calibri" w:hAnsi="Calibri"/>
              <w:szCs w:val="22"/>
            </w:rPr>
            <w:tab/>
          </w:r>
          <w:r>
            <w:rPr/>
            <w:t>Introduction</w:t>
            <w:tab/>
          </w:r>
          <w:hyperlink w:anchor="__RefHeading___Toc20955422">
            <w:r>
              <w:rPr>
                <w:rStyle w:val="IndexLink"/>
              </w:rPr>
              <w:t>5</w:t>
            </w:r>
          </w:hyperlink>
        </w:p>
        <w:p>
          <w:pPr>
            <w:pStyle w:val="Contents8"/>
            <w:rPr>
              <w:rFonts w:ascii="Calibri" w:hAnsi="Calibri" w:cs="Calibri"/>
              <w:szCs w:val="22"/>
            </w:rPr>
          </w:pPr>
          <w:r>
            <w:rPr>
              <w:b w:val="false"/>
            </w:rPr>
            <w:t>Annex A (informative):</w:t>
            <w:tab/>
            <w:t>Change history</w:t>
            <w:tab/>
          </w:r>
          <w:hyperlink w:anchor="__RefHeading___Toc20955423">
            <w:r>
              <w:rPr>
                <w:rStyle w:val="IndexLink"/>
                <w:b w:val="false"/>
              </w:rPr>
              <w:t>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095541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0955417"/>
      <w:bookmarkEnd w:id="8"/>
      <w:r>
        <w:rPr/>
        <w:t>1</w:t>
        <w:tab/>
        <w:t>Scope</w:t>
      </w:r>
    </w:p>
    <w:p>
      <w:pPr>
        <w:pStyle w:val="Normal"/>
        <w:rPr/>
      </w:pPr>
      <w:r>
        <w:rPr/>
        <w:t xml:space="preserve">The present document specifies the standards allowed to implement layer 1 on the </w:t>
      </w:r>
      <w:r>
        <w:rPr>
          <w:lang w:eastAsia="zh-CN"/>
        </w:rPr>
        <w:t>E1</w:t>
      </w:r>
      <w:r>
        <w:rPr/>
        <w:t xml:space="preserve"> interface.</w:t>
      </w:r>
    </w:p>
    <w:p>
      <w:pPr>
        <w:pStyle w:val="Normal"/>
        <w:rPr/>
      </w:pPr>
      <w:r>
        <w:rPr/>
        <w:t>The specification of transmission delay requirements and O&amp;M requirements are not in the scope of the present document.</w:t>
      </w:r>
    </w:p>
    <w:p>
      <w:pPr>
        <w:pStyle w:val="Normal"/>
        <w:rPr/>
      </w:pPr>
      <w:r>
        <w:rPr/>
        <w:t>In the following, 'layer 1' and 'physical layer' are assumed to be synonymous.</w:t>
      </w:r>
    </w:p>
    <w:p>
      <w:pPr>
        <w:pStyle w:val="Heading1"/>
        <w:ind w:left="1134" w:hanging="1134"/>
        <w:rPr/>
      </w:pPr>
      <w:bookmarkStart w:id="9" w:name="__RefHeading___Toc2095541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Normal"/>
        <w:keepLines/>
        <w:ind w:left="1702" w:hanging="1418"/>
        <w:rPr/>
      </w:pPr>
      <w:r>
        <w:rPr/>
        <w:t>[1]</w:t>
        <w:tab/>
        <w:t>3GPP TS 38.411: "NG-RAN; NG layer 1".</w:t>
      </w:r>
    </w:p>
    <w:p>
      <w:pPr>
        <w:pStyle w:val="Heading1"/>
        <w:ind w:left="1134" w:hanging="1134"/>
        <w:rPr/>
      </w:pPr>
      <w:bookmarkStart w:id="10" w:name="__RefHeading___Toc20955419"/>
      <w:bookmarkEnd w:id="10"/>
      <w:r>
        <w:rPr/>
        <w:t>3</w:t>
        <w:tab/>
        <w:t>Abbreviations</w:t>
      </w:r>
    </w:p>
    <w:p>
      <w:pPr>
        <w:pStyle w:val="Normal"/>
        <w:rPr/>
      </w:pPr>
      <w:r>
        <w:rPr/>
        <w:t>For the purposes of the present document, the abbreviations given in TS 38.411 [1] apply.</w:t>
      </w:r>
    </w:p>
    <w:p>
      <w:pPr>
        <w:pStyle w:val="Heading2"/>
        <w:rPr/>
      </w:pPr>
      <w:bookmarkStart w:id="11" w:name="__RefHeading___Toc20955420"/>
      <w:bookmarkEnd w:id="11"/>
      <w:r>
        <w:rPr/>
        <w:t>3.1</w:t>
        <w:tab/>
        <w:t>Void</w:t>
      </w:r>
    </w:p>
    <w:p>
      <w:pPr>
        <w:pStyle w:val="Heading2"/>
        <w:rPr/>
      </w:pPr>
      <w:bookmarkStart w:id="12" w:name="__RefHeading___Toc20955421"/>
      <w:bookmarkEnd w:id="12"/>
      <w:r>
        <w:rPr/>
        <w:t>3.2</w:t>
        <w:tab/>
        <w:t>Void</w:t>
      </w:r>
    </w:p>
    <w:p>
      <w:pPr>
        <w:pStyle w:val="Heading1"/>
        <w:ind w:left="1134" w:hanging="1134"/>
        <w:rPr/>
      </w:pPr>
      <w:bookmarkStart w:id="13" w:name="__RefHeading___Toc20955422"/>
      <w:bookmarkEnd w:id="13"/>
      <w:r>
        <w:rPr/>
        <w:t>4</w:t>
        <w:tab/>
        <w:t>Introduction</w:t>
      </w:r>
    </w:p>
    <w:p>
      <w:pPr>
        <w:pStyle w:val="Normal"/>
        <w:rPr/>
      </w:pPr>
      <w:bookmarkStart w:id="14" w:name="historyclause"/>
      <w:bookmarkEnd w:id="14"/>
      <w:r>
        <w:rPr>
          <w:rFonts w:eastAsia="Yu Mincho"/>
        </w:rPr>
        <w:t>The E1 Layer 1 shall comply with the requirements of clauses 4 through 6 in TS 38.411 [1].</w:t>
      </w:r>
    </w:p>
    <w:p>
      <w:pPr>
        <w:pStyle w:val="Heading8"/>
        <w:ind w:left="0" w:hanging="0"/>
        <w:rPr/>
      </w:pPr>
      <w:bookmarkStart w:id="15" w:name="historyclause"/>
      <w:bookmarkStart w:id="16" w:name="__RefHeading___Toc20955423"/>
      <w:bookmarkEnd w:id="15"/>
      <w:bookmarkEnd w:id="16"/>
      <w:r>
        <w:rPr/>
        <w:t>Annex A (informative):</w:t>
        <w:br/>
        <w:t>Change history</w:t>
      </w:r>
    </w:p>
    <w:tbl>
      <w:tblPr>
        <w:tblW w:w="978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962"/>
        <w:gridCol w:w="708"/>
        <w:gridCol w:w="8"/>
      </w:tblGrid>
      <w:tr>
        <w:trPr>
          <w:cantSplit w:val="true"/>
        </w:trPr>
        <w:tc>
          <w:tcPr>
            <w:tcW w:w="978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rHeight w:val="414" w:hRule="atLeast"/>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R3-181357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0.0.0</w:t>
            </w:r>
          </w:p>
        </w:tc>
      </w:tr>
      <w:tr>
        <w:trPr>
          <w:trHeight w:val="59"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changes, including R3#99 agreements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rHeight w:val="59"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R3-183605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Removal of Editor's note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rHeight w:val="59"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RP-180996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First submission to RAN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rHeight w:val="59"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rPr>
              <w:t>Specification approved at TSG-RAN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rHeight w:val="59"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RP-192166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Clean up empty sections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rHeight w:val="59"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val="en-US" w:eastAsia="en-US"/>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bCs/>
                <w:sz w:val="16"/>
                <w:szCs w:val="16"/>
                <w:lang w:eastAsia="zh-CN"/>
              </w:rPr>
            </w:pPr>
            <w:r>
              <w:rPr>
                <w:bCs/>
                <w:sz w:val="16"/>
                <w:szCs w:val="16"/>
                <w:lang w:eastAsia="zh-CN"/>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851" w:top="1701"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Light">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
              <wp:simplePos x="0" y="0"/>
              <wp:positionH relativeFrom="margin">
                <wp:align>right</wp:align>
              </wp:positionH>
              <wp:positionV relativeFrom="paragraph">
                <wp:posOffset>635</wp:posOffset>
              </wp:positionV>
              <wp:extent cx="1818640" cy="131445"/>
              <wp:effectExtent l="0" t="0" r="0" b="0"/>
              <wp:wrapSquare wrapText="largest"/>
              <wp:docPr id="12" name="Frame8"/>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38.461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38.461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635</wp:posOffset>
              </wp:positionV>
              <wp:extent cx="64135" cy="131445"/>
              <wp:effectExtent l="0" t="0" r="0" b="0"/>
              <wp:wrapSquare wrapText="largest"/>
              <wp:docPr id="13" name="Frame9"/>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
              <wp:simplePos x="0" y="0"/>
              <wp:positionH relativeFrom="margin">
                <wp:align>left</wp:align>
              </wp:positionH>
              <wp:positionV relativeFrom="paragraph">
                <wp:posOffset>635</wp:posOffset>
              </wp:positionV>
              <wp:extent cx="59182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eastAsia="Times New Roman" w:cs="Arial"/>
      <w:sz w:val="18"/>
    </w:rPr>
  </w:style>
  <w:style w:type="character" w:styleId="TACChar">
    <w:name w:val="TAC Char"/>
    <w:qFormat/>
    <w:rPr>
      <w:rFonts w:ascii="Arial" w:hAnsi="Arial" w:eastAsia="Times New Roman"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TOCHeading">
    <w:name w:val="TOC Heading"/>
    <w:basedOn w:val="Heading1"/>
    <w:next w:val="Normal"/>
    <w:qFormat/>
    <w:pPr>
      <w:numPr>
        <w:ilvl w:val="0"/>
        <w:numId w:val="0"/>
      </w:numPr>
      <w:pBdr>
        <w:top w:val="nil"/>
      </w:pBdr>
      <w:spacing w:lineRule="auto" w:line="256" w:before="240" w:after="0"/>
      <w:ind w:left="0" w:hanging="0"/>
      <w:outlineLvl w:val="9"/>
    </w:pPr>
    <w:rPr>
      <w:rFonts w:ascii="Calibri Light" w:hAnsi="Calibri Light" w:eastAsia="Malgun Gothic;맑은 고딕" w:cs="Times New Roman"/>
      <w:color w:val="2E74B5"/>
      <w:sz w:val="32"/>
      <w:szCs w:val="3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2020-07-13T11:26:00Z</dcterms:created>
  <dc:creator>MCC Support</dc:creator>
  <dc:description/>
  <cp:keywords/>
  <dc:language>en-US</dc:language>
  <cp:lastModifiedBy>MCC</cp:lastModifiedBy>
  <dcterms:modified xsi:type="dcterms:W3CDTF">2020-07-13T20:41:00Z</dcterms:modified>
  <cp:revision>3</cp:revision>
  <dc:subject>NG-RAN; E1 layer 1 (Release 16)</dc:subject>
  <dc:title>3GPP TS 38.461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CTP_NT</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2018-05-31 08:06:02Z</vt:lpwstr>
  </property>
  <property fmtid="{D5CDD505-2E9C-101B-9397-08002B2CF9AE}" pid="6" name="CTP_WWID">
    <vt:lpwstr>NA</vt:lpwstr>
  </property>
  <property fmtid="{D5CDD505-2E9C-101B-9397-08002B2CF9AE}" pid="7" name="TitusGUID">
    <vt:lpwstr>bcfec1b9-96df-4bfe-b449-c3b3ed323321</vt:lpwstr>
  </property>
</Properties>
</file>