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38.826 </w:t>
                            </w:r>
                            <w:r>
                              <w:rPr/>
                              <w:t xml:space="preserve">V16.0.0 </w:t>
                            </w:r>
                            <w:r>
                              <w:rPr>
                                <w:sz w:val="32"/>
                              </w:rPr>
                              <w:t>(2018-12)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38.826 </w:t>
                      </w:r>
                      <w:r>
                        <w:rPr/>
                        <w:t xml:space="preserve">V16.0.0 </w:t>
                      </w:r>
                      <w:r>
                        <w:rPr>
                          <w:sz w:val="32"/>
                        </w:rPr>
                        <w:t>(2018-12)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Study on evaluation for 2 receiver exception in Rel-15 vehicle mounted User Equipment (UE) for NR</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Study on evaluation for 2 receiver exception in Rel-15 vehicle mounted User Equipment (UE) for NR</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53810" cy="874395"/>
                <wp:effectExtent l="0" t="0" r="0" b="0"/>
                <wp:wrapTopAndBottom/>
                <wp:docPr id="9" name="Frame5"/>
                <a:graphic xmlns:a="http://schemas.openxmlformats.org/drawingml/2006/main">
                  <a:graphicData uri="http://schemas.microsoft.com/office/word/2010/wordprocessingShape">
                    <wps:wsp>
                      <wps:cNvSpPr txBox="1"/>
                      <wps:spPr>
                        <a:xfrm>
                          <a:off x="0" y="0"/>
                          <a:ext cx="63538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Malgun Gothic;맑은 고딕"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35391220">
            <w:r>
              <w:rPr>
                <w:rStyle w:val="IndexLink"/>
                <w:rFonts w:eastAsia="SimSun;宋体" w:cs="Times New Roman"/>
                <w:color w:val="auto"/>
                <w:sz w:val="22"/>
                <w:szCs w:val="20"/>
                <w:lang w:val="en-GB" w:eastAsia="en-US" w:bidi="ar-SA"/>
              </w:rPr>
              <w:t>4</w:t>
            </w:r>
          </w:hyperlink>
        </w:p>
        <w:p>
          <w:pPr>
            <w:pStyle w:val="Contents1"/>
            <w:rPr>
              <w:rFonts w:ascii="Calibri" w:hAnsi="Calibri" w:eastAsia="Malgun Gothic;맑은 고딕" w:cs="Calibri"/>
              <w:szCs w:val="22"/>
              <w:lang w:val="en-US" w:eastAsia="en-US"/>
            </w:rPr>
          </w:pPr>
          <w:r>
            <w:rPr/>
            <w:t>1</w:t>
          </w:r>
          <w:r>
            <w:rPr>
              <w:rFonts w:eastAsia="Malgun Gothic;맑은 고딕" w:cs="Calibri" w:ascii="Calibri" w:hAnsi="Calibri"/>
              <w:szCs w:val="22"/>
              <w:lang w:val="en-US" w:eastAsia="en-US"/>
            </w:rPr>
            <w:tab/>
          </w:r>
          <w:r>
            <w:rPr/>
            <w:t>Scope</w:t>
            <w:tab/>
          </w:r>
          <w:hyperlink w:anchor="__RefHeading___Toc535391221">
            <w:r>
              <w:rPr>
                <w:rStyle w:val="IndexLink"/>
              </w:rPr>
              <w:t>5</w:t>
            </w:r>
          </w:hyperlink>
        </w:p>
        <w:p>
          <w:pPr>
            <w:pStyle w:val="Contents1"/>
            <w:rPr>
              <w:rFonts w:ascii="Calibri" w:hAnsi="Calibri" w:eastAsia="Malgun Gothic;맑은 고딕" w:cs="Calibri"/>
              <w:szCs w:val="22"/>
              <w:lang w:val="en-US" w:eastAsia="en-US"/>
            </w:rPr>
          </w:pPr>
          <w:r>
            <w:rPr/>
            <w:t>2</w:t>
          </w:r>
          <w:r>
            <w:rPr>
              <w:rFonts w:eastAsia="Malgun Gothic;맑은 고딕" w:cs="Calibri" w:ascii="Calibri" w:hAnsi="Calibri"/>
              <w:szCs w:val="22"/>
              <w:lang w:val="en-US" w:eastAsia="en-US"/>
            </w:rPr>
            <w:tab/>
          </w:r>
          <w:r>
            <w:rPr/>
            <w:t>References</w:t>
            <w:tab/>
          </w:r>
          <w:hyperlink w:anchor="__RefHeading___Toc535391222">
            <w:r>
              <w:rPr>
                <w:rStyle w:val="IndexLink"/>
              </w:rPr>
              <w:t>5</w:t>
            </w:r>
          </w:hyperlink>
        </w:p>
        <w:p>
          <w:pPr>
            <w:pStyle w:val="Contents1"/>
            <w:rPr>
              <w:rFonts w:ascii="Calibri" w:hAnsi="Calibri" w:eastAsia="Malgun Gothic;맑은 고딕" w:cs="Calibri"/>
              <w:szCs w:val="22"/>
              <w:lang w:val="en-US" w:eastAsia="en-US"/>
            </w:rPr>
          </w:pPr>
          <w:r>
            <w:rPr/>
            <w:t>3</w:t>
          </w:r>
          <w:r>
            <w:rPr>
              <w:rFonts w:eastAsia="Malgun Gothic;맑은 고딕" w:cs="Calibri" w:ascii="Calibri" w:hAnsi="Calibri"/>
              <w:szCs w:val="22"/>
              <w:lang w:val="en-US" w:eastAsia="en-US"/>
            </w:rPr>
            <w:tab/>
          </w:r>
          <w:r>
            <w:rPr/>
            <w:t>Definitions, symbols and abbreviations</w:t>
            <w:tab/>
          </w:r>
          <w:hyperlink w:anchor="__RefHeading___Toc535391223">
            <w:r>
              <w:rPr>
                <w:rStyle w:val="IndexLink"/>
              </w:rPr>
              <w:t>6</w:t>
            </w:r>
          </w:hyperlink>
        </w:p>
        <w:p>
          <w:pPr>
            <w:pStyle w:val="Contents2"/>
            <w:rPr>
              <w:rFonts w:ascii="Calibri" w:hAnsi="Calibri" w:eastAsia="Malgun Gothic;맑은 고딕" w:cs="Calibri"/>
              <w:sz w:val="22"/>
              <w:szCs w:val="22"/>
              <w:lang w:val="en-US" w:eastAsia="en-US"/>
            </w:rPr>
          </w:pPr>
          <w:r>
            <w:rPr/>
            <w:t>3.1</w:t>
          </w:r>
          <w:r>
            <w:rPr>
              <w:rFonts w:eastAsia="Malgun Gothic;맑은 고딕" w:cs="Calibri" w:ascii="Calibri" w:hAnsi="Calibri"/>
              <w:sz w:val="22"/>
              <w:szCs w:val="22"/>
              <w:lang w:val="en-US" w:eastAsia="en-US"/>
            </w:rPr>
            <w:tab/>
          </w:r>
          <w:r>
            <w:rPr/>
            <w:t>Definitions</w:t>
            <w:tab/>
          </w:r>
          <w:hyperlink w:anchor="__RefHeading___Toc535391224">
            <w:r>
              <w:rPr>
                <w:rStyle w:val="IndexLink"/>
              </w:rPr>
              <w:t>6</w:t>
            </w:r>
          </w:hyperlink>
        </w:p>
        <w:p>
          <w:pPr>
            <w:pStyle w:val="Contents2"/>
            <w:rPr>
              <w:rFonts w:ascii="Calibri" w:hAnsi="Calibri" w:eastAsia="Malgun Gothic;맑은 고딕" w:cs="Calibri"/>
              <w:sz w:val="22"/>
              <w:szCs w:val="22"/>
              <w:lang w:val="en-US" w:eastAsia="en-US"/>
            </w:rPr>
          </w:pPr>
          <w:r>
            <w:rPr/>
            <w:t>3.2</w:t>
          </w:r>
          <w:r>
            <w:rPr>
              <w:rFonts w:eastAsia="Malgun Gothic;맑은 고딕" w:cs="Calibri" w:ascii="Calibri" w:hAnsi="Calibri"/>
              <w:sz w:val="22"/>
              <w:szCs w:val="22"/>
              <w:lang w:val="en-US" w:eastAsia="en-US"/>
            </w:rPr>
            <w:tab/>
          </w:r>
          <w:r>
            <w:rPr/>
            <w:t>Symbols</w:t>
            <w:tab/>
          </w:r>
          <w:hyperlink w:anchor="__RefHeading___Toc535391225">
            <w:r>
              <w:rPr>
                <w:rStyle w:val="IndexLink"/>
              </w:rPr>
              <w:t>6</w:t>
            </w:r>
          </w:hyperlink>
        </w:p>
        <w:p>
          <w:pPr>
            <w:pStyle w:val="Contents2"/>
            <w:rPr>
              <w:rFonts w:ascii="Calibri" w:hAnsi="Calibri" w:eastAsia="Malgun Gothic;맑은 고딕" w:cs="Calibri"/>
              <w:sz w:val="22"/>
              <w:szCs w:val="22"/>
              <w:lang w:val="en-US" w:eastAsia="en-US"/>
            </w:rPr>
          </w:pPr>
          <w:r>
            <w:rPr/>
            <w:t>3.3</w:t>
          </w:r>
          <w:r>
            <w:rPr>
              <w:rFonts w:eastAsia="Malgun Gothic;맑은 고딕" w:cs="Calibri" w:ascii="Calibri" w:hAnsi="Calibri"/>
              <w:sz w:val="22"/>
              <w:szCs w:val="22"/>
              <w:lang w:val="en-US" w:eastAsia="en-US"/>
            </w:rPr>
            <w:tab/>
          </w:r>
          <w:r>
            <w:rPr/>
            <w:t>Abbreviations</w:t>
            <w:tab/>
          </w:r>
          <w:hyperlink w:anchor="__RefHeading___Toc535391226">
            <w:r>
              <w:rPr>
                <w:rStyle w:val="IndexLink"/>
              </w:rPr>
              <w:t>6</w:t>
            </w:r>
          </w:hyperlink>
        </w:p>
        <w:p>
          <w:pPr>
            <w:pStyle w:val="Contents1"/>
            <w:rPr>
              <w:rFonts w:ascii="Calibri" w:hAnsi="Calibri" w:eastAsia="Malgun Gothic;맑은 고딕" w:cs="Calibri"/>
              <w:szCs w:val="22"/>
              <w:lang w:val="en-US" w:eastAsia="en-US"/>
            </w:rPr>
          </w:pPr>
          <w:r>
            <w:rPr/>
            <w:t>4</w:t>
          </w:r>
          <w:r>
            <w:rPr>
              <w:rFonts w:eastAsia="Malgun Gothic;맑은 고딕" w:cs="Calibri" w:ascii="Calibri" w:hAnsi="Calibri"/>
              <w:szCs w:val="22"/>
              <w:lang w:val="en-US" w:eastAsia="en-US"/>
            </w:rPr>
            <w:tab/>
          </w:r>
          <w:r>
            <w:rPr/>
            <w:t>Background</w:t>
            <w:tab/>
          </w:r>
          <w:hyperlink w:anchor="__RefHeading___Toc535391227">
            <w:r>
              <w:rPr>
                <w:rStyle w:val="IndexLink"/>
              </w:rPr>
              <w:t>6</w:t>
            </w:r>
          </w:hyperlink>
        </w:p>
        <w:p>
          <w:pPr>
            <w:pStyle w:val="Contents1"/>
            <w:rPr>
              <w:rFonts w:ascii="Calibri" w:hAnsi="Calibri" w:eastAsia="Malgun Gothic;맑은 고딕" w:cs="Calibri"/>
              <w:szCs w:val="22"/>
              <w:lang w:val="en-US" w:eastAsia="en-US"/>
            </w:rPr>
          </w:pPr>
          <w:r>
            <w:rPr/>
            <w:t>5</w:t>
          </w:r>
          <w:r>
            <w:rPr>
              <w:rFonts w:eastAsia="Malgun Gothic;맑은 고딕" w:cs="Calibri" w:ascii="Calibri" w:hAnsi="Calibri"/>
              <w:szCs w:val="22"/>
              <w:lang w:val="en-US" w:eastAsia="en-US"/>
            </w:rPr>
            <w:tab/>
          </w:r>
          <w:r>
            <w:rPr/>
            <w:t>General aspects for NR vehicular UE at FR1</w:t>
            <w:tab/>
          </w:r>
          <w:hyperlink w:anchor="__RefHeading___Toc535391228">
            <w:r>
              <w:rPr>
                <w:rStyle w:val="IndexLink"/>
              </w:rPr>
              <w:t>8</w:t>
            </w:r>
          </w:hyperlink>
        </w:p>
        <w:p>
          <w:pPr>
            <w:pStyle w:val="Contents2"/>
            <w:rPr>
              <w:rFonts w:ascii="Calibri" w:hAnsi="Calibri" w:eastAsia="Malgun Gothic;맑은 고딕" w:cs="Calibri"/>
              <w:sz w:val="22"/>
              <w:szCs w:val="22"/>
              <w:lang w:val="en-US" w:eastAsia="en-US"/>
            </w:rPr>
          </w:pPr>
          <w:r>
            <w:rPr/>
            <w:t>5.1</w:t>
          </w:r>
          <w:r>
            <w:rPr>
              <w:rFonts w:eastAsia="Malgun Gothic;맑은 고딕" w:cs="Calibri" w:ascii="Calibri" w:hAnsi="Calibri"/>
              <w:sz w:val="22"/>
              <w:szCs w:val="22"/>
              <w:lang w:val="en-US" w:eastAsia="en-US"/>
            </w:rPr>
            <w:tab/>
          </w:r>
          <w:r>
            <w:rPr/>
            <w:t>Antenna implementation for 2 Rx vehicle mounted UE</w:t>
            <w:tab/>
          </w:r>
          <w:hyperlink w:anchor="__RefHeading___Toc535391229">
            <w:r>
              <w:rPr>
                <w:rStyle w:val="IndexLink"/>
              </w:rPr>
              <w:t>8</w:t>
            </w:r>
          </w:hyperlink>
        </w:p>
        <w:p>
          <w:pPr>
            <w:pStyle w:val="Contents3"/>
            <w:rPr>
              <w:rFonts w:ascii="Calibri" w:hAnsi="Calibri" w:eastAsia="Malgun Gothic;맑은 고딕" w:cs="Calibri"/>
              <w:sz w:val="22"/>
              <w:szCs w:val="22"/>
              <w:lang w:val="en-US" w:eastAsia="en-US"/>
            </w:rPr>
          </w:pPr>
          <w:r>
            <w:rPr/>
            <w:t>5.1.1</w:t>
          </w:r>
          <w:r>
            <w:rPr>
              <w:rFonts w:eastAsia="Malgun Gothic;맑은 고딕" w:cs="Calibri" w:ascii="Calibri" w:hAnsi="Calibri"/>
              <w:sz w:val="22"/>
              <w:szCs w:val="22"/>
              <w:lang w:val="en-US" w:eastAsia="en-US"/>
            </w:rPr>
            <w:tab/>
          </w:r>
          <w:r>
            <w:rPr/>
            <w:t>Typical Baseline Rx Antenna Gain in the Market</w:t>
            <w:tab/>
          </w:r>
          <w:hyperlink w:anchor="__RefHeading___Toc535391230">
            <w:r>
              <w:rPr>
                <w:rStyle w:val="IndexLink"/>
              </w:rPr>
              <w:t>8</w:t>
            </w:r>
          </w:hyperlink>
        </w:p>
        <w:p>
          <w:pPr>
            <w:pStyle w:val="Contents4"/>
            <w:rPr>
              <w:rFonts w:ascii="Calibri" w:hAnsi="Calibri" w:eastAsia="Malgun Gothic;맑은 고딕" w:cs="Calibri"/>
              <w:sz w:val="22"/>
              <w:szCs w:val="22"/>
              <w:lang w:val="en-US" w:eastAsia="en-US"/>
            </w:rPr>
          </w:pPr>
          <w:r>
            <w:rPr/>
            <w:t>5.1.1.1</w:t>
          </w:r>
          <w:r>
            <w:rPr>
              <w:rFonts w:eastAsia="Malgun Gothic;맑은 고딕" w:cs="Calibri" w:ascii="Calibri" w:hAnsi="Calibri"/>
              <w:sz w:val="22"/>
              <w:szCs w:val="22"/>
              <w:lang w:val="en-US" w:eastAsia="en-US"/>
            </w:rPr>
            <w:tab/>
          </w:r>
          <w:r>
            <w:rPr>
              <w:lang w:val="en-US" w:eastAsia="en-US"/>
            </w:rPr>
            <w:t>Baseline Antenna Gain Values: OEM A</w:t>
          </w:r>
          <w:r>
            <w:rPr/>
            <w:tab/>
          </w:r>
          <w:hyperlink w:anchor="__RefHeading___Toc535391231">
            <w:r>
              <w:rPr>
                <w:rStyle w:val="IndexLink"/>
              </w:rPr>
              <w:t>8</w:t>
            </w:r>
          </w:hyperlink>
        </w:p>
        <w:p>
          <w:pPr>
            <w:pStyle w:val="Contents4"/>
            <w:rPr>
              <w:rFonts w:ascii="Calibri" w:hAnsi="Calibri" w:eastAsia="Malgun Gothic;맑은 고딕" w:cs="Calibri"/>
              <w:sz w:val="22"/>
              <w:szCs w:val="22"/>
              <w:lang w:val="en-US" w:eastAsia="en-US"/>
            </w:rPr>
          </w:pPr>
          <w:r>
            <w:rPr/>
            <w:t>5.1.1.2</w:t>
          </w:r>
          <w:r>
            <w:rPr>
              <w:rFonts w:eastAsia="Malgun Gothic;맑은 고딕" w:cs="Calibri" w:ascii="Calibri" w:hAnsi="Calibri"/>
              <w:sz w:val="22"/>
              <w:szCs w:val="22"/>
              <w:lang w:val="en-US" w:eastAsia="en-US"/>
            </w:rPr>
            <w:tab/>
          </w:r>
          <w:r>
            <w:rPr>
              <w:lang w:val="en-US" w:eastAsia="en-US"/>
            </w:rPr>
            <w:t>Baseline Antenna Gain Values: OEM B</w:t>
          </w:r>
          <w:r>
            <w:rPr/>
            <w:tab/>
          </w:r>
          <w:hyperlink w:anchor="__RefHeading___Toc535391232">
            <w:r>
              <w:rPr>
                <w:rStyle w:val="IndexLink"/>
              </w:rPr>
              <w:t>8</w:t>
            </w:r>
          </w:hyperlink>
        </w:p>
        <w:p>
          <w:pPr>
            <w:pStyle w:val="Contents4"/>
            <w:rPr>
              <w:rFonts w:ascii="Calibri" w:hAnsi="Calibri" w:eastAsia="Malgun Gothic;맑은 고딕" w:cs="Calibri"/>
              <w:sz w:val="22"/>
              <w:szCs w:val="22"/>
              <w:lang w:val="en-US" w:eastAsia="en-US"/>
            </w:rPr>
          </w:pPr>
          <w:r>
            <w:rPr/>
            <w:t>5.1.1.3</w:t>
          </w:r>
          <w:r>
            <w:rPr>
              <w:rFonts w:eastAsia="Malgun Gothic;맑은 고딕" w:cs="Calibri" w:ascii="Calibri" w:hAnsi="Calibri"/>
              <w:sz w:val="22"/>
              <w:szCs w:val="22"/>
              <w:lang w:val="en-US" w:eastAsia="en-US"/>
            </w:rPr>
            <w:tab/>
          </w:r>
          <w:r>
            <w:rPr>
              <w:lang w:val="en-US" w:eastAsia="en-US"/>
            </w:rPr>
            <w:t>Baseline Antenna Gain Values: OEM C</w:t>
          </w:r>
          <w:r>
            <w:rPr/>
            <w:tab/>
          </w:r>
          <w:hyperlink w:anchor="__RefHeading___Toc535391233">
            <w:r>
              <w:rPr>
                <w:rStyle w:val="IndexLink"/>
              </w:rPr>
              <w:t>8</w:t>
            </w:r>
          </w:hyperlink>
        </w:p>
        <w:p>
          <w:pPr>
            <w:pStyle w:val="Contents3"/>
            <w:rPr>
              <w:rFonts w:ascii="Calibri" w:hAnsi="Calibri" w:eastAsia="Malgun Gothic;맑은 고딕" w:cs="Calibri"/>
              <w:sz w:val="22"/>
              <w:szCs w:val="22"/>
              <w:lang w:val="en-US" w:eastAsia="en-US"/>
            </w:rPr>
          </w:pPr>
          <w:r>
            <w:rPr/>
            <w:t>5.1.2</w:t>
          </w:r>
          <w:r>
            <w:rPr>
              <w:rFonts w:eastAsia="Malgun Gothic;맑은 고딕" w:cs="Calibri" w:ascii="Calibri" w:hAnsi="Calibri"/>
              <w:sz w:val="22"/>
              <w:szCs w:val="22"/>
              <w:lang w:val="en-US" w:eastAsia="en-US"/>
            </w:rPr>
            <w:tab/>
          </w:r>
          <w:r>
            <w:rPr/>
            <w:t>Antenna measurement procedures</w:t>
            <w:tab/>
          </w:r>
          <w:hyperlink w:anchor="__RefHeading___Toc535391234">
            <w:r>
              <w:rPr>
                <w:rStyle w:val="IndexLink"/>
              </w:rPr>
              <w:t>8</w:t>
            </w:r>
          </w:hyperlink>
        </w:p>
        <w:p>
          <w:pPr>
            <w:pStyle w:val="Contents2"/>
            <w:rPr>
              <w:rFonts w:ascii="Calibri" w:hAnsi="Calibri" w:eastAsia="Malgun Gothic;맑은 고딕" w:cs="Calibri"/>
              <w:sz w:val="22"/>
              <w:szCs w:val="22"/>
              <w:lang w:val="en-US" w:eastAsia="en-US"/>
            </w:rPr>
          </w:pPr>
          <w:r>
            <w:rPr/>
            <w:t>5.2</w:t>
          </w:r>
          <w:r>
            <w:rPr>
              <w:rFonts w:eastAsia="Malgun Gothic;맑은 고딕" w:cs="Calibri" w:ascii="Calibri" w:hAnsi="Calibri"/>
              <w:sz w:val="22"/>
              <w:szCs w:val="22"/>
              <w:lang w:val="en-US" w:eastAsia="en-US"/>
            </w:rPr>
            <w:tab/>
          </w:r>
          <w:r>
            <w:rPr/>
            <w:t>Baseline Rx antenna gain</w:t>
            <w:tab/>
          </w:r>
          <w:hyperlink w:anchor="__RefHeading___Toc535391235">
            <w:r>
              <w:rPr>
                <w:rStyle w:val="IndexLink"/>
              </w:rPr>
              <w:t>9</w:t>
            </w:r>
          </w:hyperlink>
        </w:p>
        <w:p>
          <w:pPr>
            <w:pStyle w:val="Contents1"/>
            <w:rPr>
              <w:rFonts w:ascii="Calibri" w:hAnsi="Calibri" w:eastAsia="Malgun Gothic;맑은 고딕" w:cs="Calibri"/>
              <w:szCs w:val="22"/>
              <w:lang w:val="en-US" w:eastAsia="en-US"/>
            </w:rPr>
          </w:pPr>
          <w:r>
            <w:rPr/>
            <w:t>6</w:t>
          </w:r>
          <w:r>
            <w:rPr>
              <w:rFonts w:eastAsia="Malgun Gothic;맑은 고딕" w:cs="Calibri" w:ascii="Calibri" w:hAnsi="Calibri"/>
              <w:szCs w:val="22"/>
              <w:lang w:val="en-US" w:eastAsia="en-US"/>
            </w:rPr>
            <w:tab/>
          </w:r>
          <w:r>
            <w:rPr/>
            <w:t>Evaluation on the coverage related issue</w:t>
            <w:tab/>
          </w:r>
          <w:hyperlink w:anchor="__RefHeading___Toc535391236">
            <w:r>
              <w:rPr>
                <w:rStyle w:val="IndexLink"/>
              </w:rPr>
              <w:t>10</w:t>
            </w:r>
          </w:hyperlink>
        </w:p>
        <w:p>
          <w:pPr>
            <w:pStyle w:val="Contents2"/>
            <w:rPr>
              <w:rFonts w:ascii="Calibri" w:hAnsi="Calibri" w:eastAsia="Malgun Gothic;맑은 고딕" w:cs="Calibri"/>
              <w:sz w:val="22"/>
              <w:szCs w:val="22"/>
              <w:lang w:val="en-US" w:eastAsia="en-US"/>
            </w:rPr>
          </w:pPr>
          <w:r>
            <w:rPr/>
            <w:t>6.1</w:t>
          </w:r>
          <w:r>
            <w:rPr>
              <w:rFonts w:eastAsia="Malgun Gothic;맑은 고딕" w:cs="Calibri" w:ascii="Calibri" w:hAnsi="Calibri"/>
              <w:sz w:val="22"/>
              <w:szCs w:val="22"/>
              <w:lang w:val="en-US" w:eastAsia="en-US"/>
            </w:rPr>
            <w:tab/>
          </w:r>
          <w:r>
            <w:rPr/>
            <w:t>Coverage Evaluation</w:t>
            <w:tab/>
          </w:r>
          <w:hyperlink w:anchor="__RefHeading___Toc535391237">
            <w:r>
              <w:rPr>
                <w:rStyle w:val="IndexLink"/>
              </w:rPr>
              <w:t>10</w:t>
            </w:r>
          </w:hyperlink>
        </w:p>
        <w:p>
          <w:pPr>
            <w:pStyle w:val="Contents3"/>
            <w:rPr>
              <w:rFonts w:ascii="Calibri" w:hAnsi="Calibri" w:eastAsia="Malgun Gothic;맑은 고딕" w:cs="Calibri"/>
              <w:sz w:val="22"/>
              <w:szCs w:val="22"/>
              <w:lang w:val="en-US" w:eastAsia="en-US"/>
            </w:rPr>
          </w:pPr>
          <w:r>
            <w:rPr/>
            <w:t>6.1.1</w:t>
          </w:r>
          <w:r>
            <w:rPr>
              <w:rFonts w:eastAsia="Malgun Gothic;맑은 고딕" w:cs="Calibri" w:ascii="Calibri" w:hAnsi="Calibri"/>
              <w:sz w:val="22"/>
              <w:szCs w:val="22"/>
              <w:lang w:val="en-US" w:eastAsia="en-US"/>
            </w:rPr>
            <w:tab/>
          </w:r>
          <w:r>
            <w:rPr/>
            <w:t>Link budget simulation assumption</w:t>
            <w:tab/>
          </w:r>
          <w:hyperlink w:anchor="__RefHeading___Toc535391238">
            <w:r>
              <w:rPr>
                <w:rStyle w:val="IndexLink"/>
              </w:rPr>
              <w:t>10</w:t>
            </w:r>
          </w:hyperlink>
        </w:p>
        <w:p>
          <w:pPr>
            <w:pStyle w:val="Contents3"/>
            <w:rPr>
              <w:rFonts w:ascii="Calibri" w:hAnsi="Calibri" w:eastAsia="Malgun Gothic;맑은 고딕" w:cs="Calibri"/>
              <w:sz w:val="22"/>
              <w:szCs w:val="22"/>
              <w:lang w:val="en-US" w:eastAsia="en-US"/>
            </w:rPr>
          </w:pPr>
          <w:r>
            <w:rPr/>
            <w:t>6.1.2</w:t>
          </w:r>
          <w:r>
            <w:rPr>
              <w:rFonts w:eastAsia="Malgun Gothic;맑은 고딕" w:cs="Calibri" w:ascii="Calibri" w:hAnsi="Calibri"/>
              <w:sz w:val="22"/>
              <w:szCs w:val="22"/>
              <w:lang w:val="en-US" w:eastAsia="en-US"/>
            </w:rPr>
            <w:tab/>
          </w:r>
          <w:r>
            <w:rPr/>
            <w:t>Coverage evaluation results</w:t>
            <w:tab/>
          </w:r>
          <w:hyperlink w:anchor="__RefHeading___Toc535391239">
            <w:r>
              <w:rPr>
                <w:rStyle w:val="IndexLink"/>
              </w:rPr>
              <w:t>10</w:t>
            </w:r>
          </w:hyperlink>
        </w:p>
        <w:p>
          <w:pPr>
            <w:pStyle w:val="Contents3"/>
            <w:rPr>
              <w:rFonts w:ascii="Calibri" w:hAnsi="Calibri" w:eastAsia="Malgun Gothic;맑은 고딕" w:cs="Calibri"/>
              <w:sz w:val="22"/>
              <w:szCs w:val="22"/>
              <w:lang w:val="en-US" w:eastAsia="en-US"/>
            </w:rPr>
          </w:pPr>
          <w:r>
            <w:rPr/>
            <w:t>6.1.3</w:t>
          </w:r>
          <w:r>
            <w:rPr>
              <w:rFonts w:eastAsia="Malgun Gothic;맑은 고딕" w:cs="Calibri" w:ascii="Calibri" w:hAnsi="Calibri"/>
              <w:sz w:val="22"/>
              <w:szCs w:val="22"/>
              <w:lang w:val="en-US" w:eastAsia="en-US"/>
            </w:rPr>
            <w:tab/>
          </w:r>
          <w:r>
            <w:rPr/>
            <w:t>Conclusions</w:t>
            <w:tab/>
          </w:r>
          <w:hyperlink w:anchor="__RefHeading___Toc535391240">
            <w:r>
              <w:rPr>
                <w:rStyle w:val="IndexLink"/>
              </w:rPr>
              <w:t>11</w:t>
            </w:r>
          </w:hyperlink>
        </w:p>
        <w:p>
          <w:pPr>
            <w:pStyle w:val="Contents2"/>
            <w:rPr>
              <w:rFonts w:ascii="Calibri" w:hAnsi="Calibri" w:eastAsia="Malgun Gothic;맑은 고딕" w:cs="Calibri"/>
              <w:sz w:val="22"/>
              <w:szCs w:val="22"/>
              <w:lang w:val="en-US" w:eastAsia="en-US"/>
            </w:rPr>
          </w:pPr>
          <w:r>
            <w:rPr/>
            <w:t>6.2</w:t>
          </w:r>
          <w:r>
            <w:rPr>
              <w:rFonts w:eastAsia="Malgun Gothic;맑은 고딕" w:cs="Calibri" w:ascii="Calibri" w:hAnsi="Calibri"/>
              <w:sz w:val="22"/>
              <w:szCs w:val="22"/>
              <w:lang w:val="en-US" w:eastAsia="en-US"/>
            </w:rPr>
            <w:tab/>
          </w:r>
          <w:r>
            <w:rPr/>
            <w:t>Evaluation on European Commission</w:t>
          </w:r>
          <w:r>
            <w:rPr>
              <w:bCs/>
            </w:rPr>
            <w:t>'</w:t>
          </w:r>
          <w:r>
            <w:rPr/>
            <w:t>s Broadband vision</w:t>
            <w:tab/>
          </w:r>
          <w:hyperlink w:anchor="__RefHeading___Toc535391241">
            <w:r>
              <w:rPr>
                <w:rStyle w:val="IndexLink"/>
              </w:rPr>
              <w:t>12</w:t>
            </w:r>
          </w:hyperlink>
        </w:p>
        <w:p>
          <w:pPr>
            <w:pStyle w:val="Contents3"/>
            <w:rPr>
              <w:rFonts w:ascii="Calibri" w:hAnsi="Calibri" w:eastAsia="Malgun Gothic;맑은 고딕" w:cs="Calibri"/>
              <w:sz w:val="22"/>
              <w:szCs w:val="22"/>
              <w:lang w:val="en-US" w:eastAsia="en-US"/>
            </w:rPr>
          </w:pPr>
          <w:r>
            <w:rPr/>
            <w:t>6.2.1</w:t>
          </w:r>
          <w:r>
            <w:rPr>
              <w:rFonts w:eastAsia="Malgun Gothic;맑은 고딕" w:cs="Calibri" w:ascii="Calibri" w:hAnsi="Calibri"/>
              <w:sz w:val="22"/>
              <w:szCs w:val="22"/>
              <w:lang w:val="en-US" w:eastAsia="en-US"/>
            </w:rPr>
            <w:tab/>
          </w:r>
          <w:r>
            <w:rPr/>
            <w:t>Scope of the Study</w:t>
            <w:tab/>
          </w:r>
          <w:hyperlink w:anchor="__RefHeading___Toc535391242">
            <w:r>
              <w:rPr>
                <w:rStyle w:val="IndexLink"/>
              </w:rPr>
              <w:t>12</w:t>
            </w:r>
          </w:hyperlink>
        </w:p>
        <w:p>
          <w:pPr>
            <w:pStyle w:val="Contents3"/>
            <w:rPr>
              <w:rFonts w:ascii="Calibri" w:hAnsi="Calibri" w:eastAsia="Malgun Gothic;맑은 고딕" w:cs="Calibri"/>
              <w:sz w:val="22"/>
              <w:szCs w:val="22"/>
              <w:lang w:val="en-US" w:eastAsia="en-US"/>
            </w:rPr>
          </w:pPr>
          <w:r>
            <w:rPr/>
            <w:t>6.2.2</w:t>
          </w:r>
          <w:r>
            <w:rPr>
              <w:rFonts w:eastAsia="Malgun Gothic;맑은 고딕" w:cs="Calibri" w:ascii="Calibri" w:hAnsi="Calibri"/>
              <w:sz w:val="22"/>
              <w:szCs w:val="22"/>
              <w:lang w:val="en-US" w:eastAsia="en-US"/>
            </w:rPr>
            <w:tab/>
          </w:r>
          <w:r>
            <w:rPr/>
            <w:t>Analysis of cell edge performance</w:t>
            <w:tab/>
          </w:r>
          <w:hyperlink w:anchor="__RefHeading___Toc535391243">
            <w:r>
              <w:rPr>
                <w:rStyle w:val="IndexLink"/>
              </w:rPr>
              <w:t>12</w:t>
            </w:r>
          </w:hyperlink>
        </w:p>
        <w:p>
          <w:pPr>
            <w:pStyle w:val="Contents1"/>
            <w:rPr>
              <w:rFonts w:ascii="Calibri" w:hAnsi="Calibri" w:eastAsia="Malgun Gothic;맑은 고딕" w:cs="Calibri"/>
              <w:szCs w:val="22"/>
              <w:lang w:val="en-US" w:eastAsia="en-US"/>
            </w:rPr>
          </w:pPr>
          <w:r>
            <w:rPr/>
            <w:t>7</w:t>
          </w:r>
          <w:r>
            <w:rPr>
              <w:rFonts w:eastAsia="Malgun Gothic;맑은 고딕" w:cs="Calibri" w:ascii="Calibri" w:hAnsi="Calibri"/>
              <w:szCs w:val="22"/>
              <w:lang w:val="en-US" w:eastAsia="en-US"/>
            </w:rPr>
            <w:tab/>
          </w:r>
          <w:r>
            <w:rPr/>
            <w:t>Evaluation on the throughput related issue</w:t>
            <w:tab/>
          </w:r>
          <w:hyperlink w:anchor="__RefHeading___Toc535391244">
            <w:r>
              <w:rPr>
                <w:rStyle w:val="IndexLink"/>
              </w:rPr>
              <w:t>14</w:t>
            </w:r>
          </w:hyperlink>
        </w:p>
        <w:p>
          <w:pPr>
            <w:pStyle w:val="Contents1"/>
            <w:rPr>
              <w:rFonts w:ascii="Calibri" w:hAnsi="Calibri" w:eastAsia="Malgun Gothic;맑은 고딕" w:cs="Calibri"/>
              <w:szCs w:val="22"/>
              <w:lang w:val="en-US" w:eastAsia="en-US"/>
            </w:rPr>
          </w:pPr>
          <w:r>
            <w:rPr/>
            <w:t>8</w:t>
          </w:r>
          <w:r>
            <w:rPr>
              <w:rFonts w:eastAsia="Malgun Gothic;맑은 고딕" w:cs="Calibri" w:ascii="Calibri" w:hAnsi="Calibri"/>
              <w:szCs w:val="22"/>
              <w:lang w:val="en-US" w:eastAsia="en-US"/>
            </w:rPr>
            <w:tab/>
          </w:r>
          <w:r>
            <w:rPr/>
            <w:t>Method to distinguish the 2Rx vehicular NR UE from 4Rx NR UE</w:t>
            <w:tab/>
          </w:r>
          <w:hyperlink w:anchor="__RefHeading___Toc535391245">
            <w:r>
              <w:rPr>
                <w:rStyle w:val="IndexLink"/>
              </w:rPr>
              <w:t>15</w:t>
            </w:r>
          </w:hyperlink>
        </w:p>
        <w:p>
          <w:pPr>
            <w:pStyle w:val="Contents9"/>
            <w:rPr>
              <w:rFonts w:ascii="Calibri" w:hAnsi="Calibri" w:eastAsia="Malgun Gothic;맑은 고딕" w:cs="Calibri"/>
              <w:szCs w:val="22"/>
              <w:lang w:val="en-US" w:eastAsia="en-US"/>
            </w:rPr>
          </w:pPr>
          <w:r>
            <w:rPr>
              <w:b w:val="false"/>
            </w:rPr>
            <w:t>Annex A:</w:t>
            <w:tab/>
            <w:t>Change history</w:t>
            <w:tab/>
          </w:r>
          <w:hyperlink w:anchor="__RefHeading___Toc535391246">
            <w:r>
              <w:rPr>
                <w:rStyle w:val="IndexLink"/>
                <w:b w:val="false"/>
              </w:rPr>
              <w:t>17</w:t>
            </w:r>
          </w:hyperlink>
          <w:r>
            <w:rPr>
              <w:rStyle w:val="IndexLink"/>
              <w:b w:val="false"/>
            </w:rPr>
            <w:fldChar w:fldCharType="end"/>
          </w:r>
        </w:p>
      </w:sdtContent>
    </w:sdt>
    <w:p>
      <w:pPr>
        <w:pStyle w:val="Normal"/>
        <w:rPr>
          <w:rFonts w:ascii="Calibri" w:hAnsi="Calibri" w:eastAsia="Malgun Gothic;맑은 고딕" w:cs="Calibri"/>
          <w:b/>
          <w:b/>
          <w:sz w:val="22"/>
          <w:szCs w:val="22"/>
          <w:lang w:val="en-US" w:eastAsia="en-US"/>
        </w:rPr>
      </w:pPr>
      <w:r>
        <w:rPr>
          <w:rFonts w:eastAsia="Malgun Gothic;맑은 고딕" w:cs="Calibri" w:ascii="Calibri" w:hAnsi="Calibri"/>
          <w:b/>
          <w:sz w:val="22"/>
          <w:szCs w:val="22"/>
          <w:lang w:val="en-US" w:eastAsia="en-US"/>
        </w:rPr>
      </w:r>
      <w:r>
        <w:br w:type="page"/>
      </w:r>
    </w:p>
    <w:p>
      <w:pPr>
        <w:pStyle w:val="Heading1"/>
        <w:ind w:left="1134" w:hanging="1134"/>
        <w:rPr/>
      </w:pPr>
      <w:bookmarkStart w:id="8" w:name="__RefHeading___Toc535391220"/>
      <w:bookmarkEnd w:id="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35391221"/>
      <w:bookmarkEnd w:id="9"/>
      <w:r>
        <w:rPr/>
        <w:t>1</w:t>
        <w:tab/>
        <w:t>Scope</w:t>
      </w:r>
    </w:p>
    <w:p>
      <w:pPr>
        <w:pStyle w:val="Normal"/>
        <w:jc w:val="both"/>
        <w:rPr/>
      </w:pPr>
      <w:r>
        <w:rPr/>
        <w:t xml:space="preserve">The present document is a technical report for NR vehicle mounted UE with 2Rx antenna at FR1 </w:t>
      </w:r>
      <w:r>
        <w:rPr>
          <w:rFonts w:eastAsia="MS Mincho;ＭＳ 明朝"/>
          <w:lang w:eastAsia="ja-JP"/>
        </w:rPr>
        <w:t xml:space="preserve">in </w:t>
      </w:r>
      <w:r>
        <w:rPr/>
        <w:t>Rel-1</w:t>
      </w:r>
      <w:r>
        <w:rPr>
          <w:rFonts w:eastAsia="MS Mincho;ＭＳ 明朝"/>
          <w:lang w:eastAsia="ja-JP"/>
        </w:rPr>
        <w:t>5</w:t>
      </w:r>
      <w:r>
        <w:rPr/>
        <w:t>. The purpose is to gather the relevant background information and studies in order to address 2Rx exception for NR vehicular UEs in a few specific NR bands such as n7, n38, n41, n77, n78 and n79 s</w:t>
      </w:r>
      <w:r>
        <w:rPr>
          <w:lang w:val="en-US"/>
        </w:rPr>
        <w:t xml:space="preserve">ince NR UE shall </w:t>
      </w:r>
      <w:r>
        <w:rPr>
          <w:szCs w:val="24"/>
          <w:lang w:val="en-US"/>
        </w:rPr>
        <w:t>be equipped with 4Rx ports as a baseline is mandated</w:t>
      </w:r>
      <w:r>
        <w:rPr>
          <w:lang w:val="en-US"/>
        </w:rPr>
        <w:t xml:space="preserve"> for these NR bands.</w:t>
      </w:r>
    </w:p>
    <w:p>
      <w:pPr>
        <w:pStyle w:val="Normal"/>
        <w:jc w:val="both"/>
        <w:rPr>
          <w:lang w:val="en-US"/>
        </w:rPr>
      </w:pPr>
      <w:r>
        <w:rPr>
          <w:szCs w:val="24"/>
          <w:lang w:val="en-US"/>
        </w:rPr>
        <w:t>To allow 2 RX exception for vehicular UEs, as requested by 5GAA, it is essential for 3GPP RAN 4 to further study the design of telematics control units (TCU) in vehicles to gain confidence that performance is not degraded at system level by deploying 2 RX. As a part of allowing the 2 RX exception, RAN 4 needs to evaluate identification of vehicle mounted UEs in the network and corresponding test methods</w:t>
      </w:r>
    </w:p>
    <w:p>
      <w:pPr>
        <w:pStyle w:val="Normal"/>
        <w:jc w:val="both"/>
        <w:rPr>
          <w:lang w:val="en-US"/>
        </w:rPr>
      </w:pPr>
      <w:r>
        <w:rPr>
          <w:lang w:val="en-US"/>
        </w:rPr>
        <w:t>This Technical Report contains the evaluation results for the impact of 2Rx vehicle mounted UE on coverage and throughput considering the realistic RF architecture and link budget with reasonable antenna gain of 2Rx vehicle UE. Also propose the methods to distinguish vehicle UE from handheld UE to verify conformance and GCF certification.</w:t>
      </w:r>
    </w:p>
    <w:p>
      <w:pPr>
        <w:pStyle w:val="Heading1"/>
        <w:ind w:left="1134" w:hanging="1134"/>
        <w:rPr/>
      </w:pPr>
      <w:bookmarkStart w:id="10" w:name="__RefHeading___Toc53539122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TR 21.905: "Vocabulary for 3GPP Specifications".</w:t>
      </w:r>
    </w:p>
    <w:p>
      <w:pPr>
        <w:pStyle w:val="EX"/>
        <w:rPr>
          <w:rFonts w:eastAsia="Malgun Gothic;맑은 고딕"/>
          <w:lang w:val="en-US" w:eastAsia="ko-KR"/>
        </w:rPr>
      </w:pPr>
      <w:r>
        <w:rPr>
          <w:lang w:val="en-US"/>
        </w:rPr>
        <w:t>[2]</w:t>
        <w:tab/>
        <w:t xml:space="preserve">3GPP TR 30.007: </w:t>
      </w:r>
      <w:r>
        <w:rPr/>
        <w:t>"</w:t>
      </w:r>
      <w:r>
        <w:rPr>
          <w:lang w:val="en-US"/>
        </w:rPr>
        <w:t>Guideline on WI/SI for new Operating Bands</w:t>
      </w:r>
      <w:r>
        <w:rPr/>
        <w:t>".</w:t>
      </w:r>
    </w:p>
    <w:p>
      <w:pPr>
        <w:pStyle w:val="EX"/>
        <w:rPr/>
      </w:pPr>
      <w:r>
        <w:rPr>
          <w:rFonts w:eastAsia="Malgun Gothic;맑은 고딕"/>
          <w:lang w:val="en-US" w:eastAsia="ko-KR"/>
        </w:rPr>
        <w:t>[3]</w:t>
        <w:tab/>
        <w:t>3GPP TS 3</w:t>
      </w:r>
      <w:r>
        <w:rPr>
          <w:rFonts w:eastAsia="Malgun Gothic;맑은 고딕"/>
          <w:lang w:val="en-US" w:eastAsia="ko-KR"/>
        </w:rPr>
        <w:t>8</w:t>
      </w:r>
      <w:r>
        <w:rPr>
          <w:rFonts w:eastAsia="Malgun Gothic;맑은 고딕"/>
          <w:lang w:val="en-US" w:eastAsia="ko-KR"/>
        </w:rPr>
        <w:t>.101</w:t>
      </w:r>
      <w:r>
        <w:rPr>
          <w:rFonts w:eastAsia="Malgun Gothic;맑은 고딕"/>
          <w:lang w:val="en-US" w:eastAsia="ko-KR"/>
        </w:rPr>
        <w:t>-1</w:t>
      </w:r>
      <w:r>
        <w:rPr>
          <w:rFonts w:eastAsia="Malgun Gothic;맑은 고딕"/>
          <w:lang w:val="en-US" w:eastAsia="ko-KR"/>
        </w:rPr>
        <w:t xml:space="preserve">: </w:t>
      </w:r>
      <w:r>
        <w:rPr/>
        <w:t>"</w:t>
      </w:r>
      <w:r>
        <w:rPr>
          <w:rFonts w:eastAsia="Malgun Gothic;맑은 고딕"/>
          <w:lang w:val="en-US" w:eastAsia="ko-KR"/>
        </w:rPr>
        <w:t xml:space="preserve">NR; User Equipment (UE) </w:t>
      </w:r>
      <w:r>
        <w:rPr/>
        <w:t>radio transmission and reception; Part 1: Range 1 Standalone".</w:t>
      </w:r>
    </w:p>
    <w:p>
      <w:pPr>
        <w:pStyle w:val="EX"/>
        <w:rPr/>
      </w:pPr>
      <w:r>
        <w:rPr>
          <w:rFonts w:eastAsia="Malgun Gothic;맑은 고딕"/>
          <w:lang w:val="en-US" w:eastAsia="ko-KR"/>
        </w:rPr>
        <w:t>[4]</w:t>
        <w:tab/>
        <w:t>3GPP TS 3</w:t>
      </w:r>
      <w:r>
        <w:rPr>
          <w:rFonts w:eastAsia="Malgun Gothic;맑은 고딕"/>
          <w:lang w:val="en-US" w:eastAsia="ko-KR"/>
        </w:rPr>
        <w:t>8</w:t>
      </w:r>
      <w:r>
        <w:rPr>
          <w:rFonts w:eastAsia="Malgun Gothic;맑은 고딕"/>
          <w:lang w:val="en-US" w:eastAsia="ko-KR"/>
        </w:rPr>
        <w:t>.101</w:t>
      </w:r>
      <w:r>
        <w:rPr>
          <w:rFonts w:eastAsia="Malgun Gothic;맑은 고딕"/>
          <w:lang w:val="en-US" w:eastAsia="ko-KR"/>
        </w:rPr>
        <w:t>-2</w:t>
      </w:r>
      <w:r>
        <w:rPr>
          <w:rFonts w:eastAsia="Malgun Gothic;맑은 고딕"/>
          <w:lang w:val="en-US" w:eastAsia="ko-KR"/>
        </w:rPr>
        <w:t xml:space="preserve">: </w:t>
      </w:r>
      <w:r>
        <w:rPr/>
        <w:t>"</w:t>
      </w:r>
      <w:r>
        <w:rPr>
          <w:rFonts w:eastAsia="Malgun Gothic;맑은 고딕"/>
          <w:lang w:val="en-US" w:eastAsia="ko-KR"/>
        </w:rPr>
        <w:t xml:space="preserve">NR; User Equipment (UE) </w:t>
      </w:r>
      <w:r>
        <w:rPr/>
        <w:t>radio transmission and reception; Part 2: Range 2 Standalone".</w:t>
      </w:r>
    </w:p>
    <w:p>
      <w:pPr>
        <w:pStyle w:val="EX"/>
        <w:rPr/>
      </w:pPr>
      <w:r>
        <w:rPr>
          <w:rFonts w:eastAsia="Malgun Gothic;맑은 고딕"/>
          <w:lang w:eastAsia="ko-KR"/>
        </w:rPr>
        <w:t>[5]</w:t>
        <w:tab/>
      </w:r>
      <w:r>
        <w:rPr/>
        <w:t>3GPP TS 38.101-3: "NR; User Equipment (UE) radio transmission and reception; Part 3: Range 1 and Range 2 Interworking operation with other radios".</w:t>
      </w:r>
    </w:p>
    <w:p>
      <w:pPr>
        <w:pStyle w:val="EX"/>
        <w:rPr/>
      </w:pPr>
      <w:r>
        <w:rPr/>
        <w:t>[6]</w:t>
        <w:tab/>
        <w:t>R4-1811897</w:t>
        <w:tab/>
        <w:t>"WF on Evaluation for 2 RX exception in Rel-15 vehicle mounted UE".</w:t>
      </w:r>
    </w:p>
    <w:p>
      <w:pPr>
        <w:pStyle w:val="EX"/>
        <w:rPr/>
      </w:pPr>
      <w:r>
        <w:rPr/>
        <w:t>[7]</w:t>
        <w:tab/>
        <w:t>RP-182169</w:t>
        <w:tab/>
        <w:t>"LS on impact of 2Rx vehicle mounted UE</w:t>
      </w:r>
      <w:r>
        <w:rPr/>
        <w:t>s</w:t>
      </w:r>
      <w:r>
        <w:rPr/>
        <w:t xml:space="preserve"> on coverage".</w:t>
      </w:r>
    </w:p>
    <w:p>
      <w:pPr>
        <w:pStyle w:val="EX"/>
        <w:rPr/>
      </w:pPr>
      <w:r>
        <w:rPr/>
        <w:t>[8]</w:t>
        <w:tab/>
        <w:t>R4-1814143</w:t>
        <w:tab/>
        <w:t>"WF on 2 Rx vehicle UE: Link budget simulation assumptions".</w:t>
      </w:r>
    </w:p>
    <w:p>
      <w:pPr>
        <w:pStyle w:val="EX"/>
        <w:rPr/>
      </w:pPr>
      <w:r>
        <w:rPr/>
        <w:t>[9]</w:t>
        <w:tab/>
        <w:t>R4-1816253, "Response LS to RAN4 on method to distinguish vehicle UE from handheld UE".</w:t>
      </w:r>
    </w:p>
    <w:p>
      <w:pPr>
        <w:pStyle w:val="EX"/>
        <w:rPr/>
      </w:pPr>
      <w:r>
        <w:rPr/>
        <w:t>[10]</w:t>
        <w:tab/>
      </w:r>
      <w:r>
        <w:rPr/>
        <w:t>R4-1815465, "Method to distinguish vehicle NR UE with 2Rx Exception".</w:t>
      </w:r>
    </w:p>
    <w:p>
      <w:pPr>
        <w:pStyle w:val="EX"/>
        <w:rPr/>
      </w:pPr>
      <w:r>
        <w:rPr/>
        <w:t>[11]</w:t>
        <w:tab/>
        <w:t>R4-1816650, "Updated WF on 2 Rx vehicular UE".</w:t>
      </w:r>
    </w:p>
    <w:p>
      <w:pPr>
        <w:pStyle w:val="EX"/>
        <w:rPr/>
      </w:pPr>
      <w:r>
        <w:rPr/>
        <w:t>[12]</w:t>
        <w:tab/>
        <w:t>3GPP TR 38.901: "Study on channel model for frequencies from 0.5 to 100 GHz".</w:t>
      </w:r>
    </w:p>
    <w:p>
      <w:pPr>
        <w:pStyle w:val="EX"/>
        <w:rPr/>
      </w:pPr>
      <w:r>
        <w:rPr/>
        <w:t>[13]</w:t>
        <w:tab/>
        <w:t>3GPP TS 29.272: "Evolved Packet System (EPS); Mobility Management Entity (MME) and Serving GPRS Support Node (SGSN) related interfaces based on Diameter protocol".</w:t>
      </w:r>
    </w:p>
    <w:p>
      <w:pPr>
        <w:pStyle w:val="EX"/>
        <w:rPr/>
      </w:pPr>
      <w:r>
        <w:rPr/>
        <w:t>[14]</w:t>
        <w:tab/>
        <w:t>3GPP TS 36.300: "Evolved Universal Terrestrial Radio Access (E-UTRA) and Evolved Universal Terrestrial Radio Access Network (E-UTRAN); Overall description; Stage 2".</w:t>
      </w:r>
    </w:p>
    <w:p>
      <w:pPr>
        <w:pStyle w:val="EX"/>
        <w:rPr/>
      </w:pPr>
      <w:r>
        <w:rPr/>
        <w:t>[15]</w:t>
        <w:tab/>
        <w:t>3GPP TS 36.413: "Evolved Universal Terrestrial Radio Access Network (E-UTRAN); S1 Application Protocol (S1AP)".</w:t>
      </w:r>
    </w:p>
    <w:p>
      <w:pPr>
        <w:pStyle w:val="EX"/>
        <w:rPr/>
      </w:pPr>
      <w:r>
        <w:rPr/>
        <w:t>[16]</w:t>
        <w:tab/>
        <w:t>3GPP TS 36.423: "Evolved Universal Terrestrial Radio Access Network (E-UTRAN); X2 Application Protocol (X2AP)".</w:t>
      </w:r>
    </w:p>
    <w:p>
      <w:pPr>
        <w:pStyle w:val="Heading1"/>
        <w:ind w:left="1134" w:hanging="1134"/>
        <w:rPr/>
      </w:pPr>
      <w:bookmarkStart w:id="11" w:name="__RefHeading___Toc535391223"/>
      <w:bookmarkEnd w:id="11"/>
      <w:r>
        <w:rPr/>
        <w:t>3</w:t>
        <w:tab/>
        <w:t>Definitions, symbols and abbreviations</w:t>
      </w:r>
    </w:p>
    <w:p>
      <w:pPr>
        <w:pStyle w:val="Heading2"/>
        <w:rPr/>
      </w:pPr>
      <w:bookmarkStart w:id="12" w:name="__RefHeading___Toc535391224"/>
      <w:bookmarkEnd w:id="12"/>
      <w:r>
        <w:rPr/>
        <w:t>3.1</w:t>
        <w:tab/>
        <w:t>Definitions</w:t>
      </w:r>
    </w:p>
    <w:p>
      <w:pPr>
        <w:pStyle w:val="Normal"/>
        <w:jc w:val="both"/>
        <w:rPr/>
      </w:pPr>
      <w:r>
        <w:rPr/>
        <w:t>For the purposes of the present document, the terms and definitions given in TR 21.905 [</w:t>
      </w:r>
      <w:r>
        <w:rPr>
          <w:rFonts w:eastAsia="MS Mincho;ＭＳ 明朝"/>
          <w:lang w:eastAsia="ja-JP"/>
        </w:rPr>
        <w:t>1</w:t>
      </w:r>
      <w:r>
        <w:rPr/>
        <w:t xml:space="preserve">] and the following apply. </w:t>
        <w:br/>
        <w:t>A term defined in the present document takes precedence over the definition of the same term, if any, in TR 21.905 [</w:t>
      </w:r>
      <w:r>
        <w:rPr>
          <w:rFonts w:eastAsia="MS Mincho;ＭＳ 明朝"/>
          <w:lang w:eastAsia="ja-JP"/>
        </w:rPr>
        <w:t>1</w:t>
      </w:r>
      <w:r>
        <w:rPr/>
        <w:t>].</w:t>
      </w:r>
    </w:p>
    <w:p>
      <w:pPr>
        <w:pStyle w:val="Heading2"/>
        <w:rPr/>
      </w:pPr>
      <w:bookmarkStart w:id="13" w:name="__RefHeading___Toc535391225"/>
      <w:bookmarkEnd w:id="13"/>
      <w:r>
        <w:rPr/>
        <w:t>3.2</w:t>
        <w:tab/>
        <w:t>Symbols</w:t>
      </w:r>
    </w:p>
    <w:p>
      <w:pPr>
        <w:pStyle w:val="Normal"/>
        <w:keepNext w:val="true"/>
        <w:rPr/>
      </w:pPr>
      <w:r>
        <w:rPr/>
        <w:t>For the purposes of the present document, the following symbols apply:</w:t>
      </w:r>
    </w:p>
    <w:p>
      <w:pPr>
        <w:pStyle w:val="EW"/>
        <w:rPr/>
      </w:pPr>
      <w:r>
        <w:rPr/>
        <w:t>ΔR</w:t>
      </w:r>
      <w:r>
        <w:rPr>
          <w:vertAlign w:val="subscript"/>
        </w:rPr>
        <w:t>IB,4R</w:t>
        <w:tab/>
      </w:r>
      <w:r>
        <w:rPr>
          <w:lang w:eastAsia="zh-CN"/>
        </w:rPr>
        <w:t>R</w:t>
      </w:r>
      <w:r>
        <w:rPr/>
        <w:t xml:space="preserve">eference sensitivity </w:t>
      </w:r>
      <w:r>
        <w:rPr>
          <w:lang w:eastAsia="zh-CN"/>
        </w:rPr>
        <w:t>adjustment</w:t>
      </w:r>
      <w:r>
        <w:rPr/>
        <w:t xml:space="preserve"> due to support for 4 antenna ports</w:t>
      </w:r>
    </w:p>
    <w:p>
      <w:pPr>
        <w:pStyle w:val="Heading2"/>
        <w:rPr/>
      </w:pPr>
      <w:bookmarkStart w:id="14" w:name="__RefHeading___Toc535391226"/>
      <w:bookmarkEnd w:id="14"/>
      <w:r>
        <w:rPr/>
        <w:t>3.3</w:t>
        <w:tab/>
        <w:t>Abbreviations</w:t>
      </w:r>
    </w:p>
    <w:p>
      <w:pPr>
        <w:pStyle w:val="Normal"/>
        <w:jc w:val="both"/>
        <w:rPr/>
      </w:pPr>
      <w:r>
        <w:rPr/>
        <w:t>For the purposes of the present document, the abbreviations given in TR 21.905 [</w:t>
      </w:r>
      <w:r>
        <w:rPr/>
        <w:t>1</w:t>
      </w:r>
      <w:r>
        <w:rPr/>
        <w:t xml:space="preserve">] and the following apply. </w:t>
        <w:br/>
        <w:t>An abbreviation defined in the present document takes precedence over the definition of the same abbreviation, if any, in TR 21.905 [</w:t>
      </w:r>
      <w:r>
        <w:rPr/>
        <w:t>1</w:t>
      </w:r>
      <w:r>
        <w:rPr/>
        <w:t>].</w:t>
      </w:r>
    </w:p>
    <w:p>
      <w:pPr>
        <w:pStyle w:val="EW"/>
        <w:rPr/>
      </w:pPr>
      <w:r>
        <w:rPr/>
        <w:t>BS</w:t>
        <w:tab/>
        <w:t>Base Station</w:t>
      </w:r>
    </w:p>
    <w:p>
      <w:pPr>
        <w:pStyle w:val="EW"/>
        <w:rPr/>
      </w:pPr>
      <w:r>
        <w:rPr/>
        <w:t>FR</w:t>
        <w:tab/>
        <w:t>Frequency Range</w:t>
      </w:r>
    </w:p>
    <w:p>
      <w:pPr>
        <w:pStyle w:val="EW"/>
        <w:rPr>
          <w:lang w:val="en-US" w:eastAsia="ko-KR"/>
        </w:rPr>
      </w:pPr>
      <w:r>
        <w:rPr>
          <w:lang w:val="en-US" w:eastAsia="ko-KR"/>
        </w:rPr>
        <w:t>FRC</w:t>
        <w:tab/>
        <w:t>Fixed reference channel</w:t>
      </w:r>
    </w:p>
    <w:p>
      <w:pPr>
        <w:pStyle w:val="EW"/>
        <w:rPr/>
      </w:pPr>
      <w:r>
        <w:rPr/>
        <w:t>GCF</w:t>
        <w:tab/>
        <w:t>Global Certification Forum</w:t>
      </w:r>
    </w:p>
    <w:p>
      <w:pPr>
        <w:pStyle w:val="EW"/>
        <w:rPr/>
      </w:pPr>
      <w:r>
        <w:rPr/>
        <w:t>HHUE</w:t>
        <w:tab/>
        <w:t>HandHeld UE</w:t>
      </w:r>
    </w:p>
    <w:p>
      <w:pPr>
        <w:pStyle w:val="EW"/>
        <w:rPr/>
      </w:pPr>
      <w:r>
        <w:rPr/>
        <w:t>NR</w:t>
        <w:tab/>
        <w:t>New Radio</w:t>
      </w:r>
    </w:p>
    <w:p>
      <w:pPr>
        <w:pStyle w:val="EW"/>
        <w:rPr/>
      </w:pPr>
      <w:r>
        <w:rPr/>
        <w:t>OTA</w:t>
        <w:tab/>
        <w:t>Over-The-Air</w:t>
      </w:r>
    </w:p>
    <w:p>
      <w:pPr>
        <w:pStyle w:val="EW"/>
        <w:rPr/>
      </w:pPr>
      <w:r>
        <w:rPr/>
        <w:t>RCT</w:t>
        <w:tab/>
        <w:t>Radio Communication Tester</w:t>
      </w:r>
    </w:p>
    <w:p>
      <w:pPr>
        <w:pStyle w:val="EW"/>
        <w:rPr/>
      </w:pPr>
      <w:r>
        <w:rPr/>
        <w:t>REFSENS</w:t>
        <w:tab/>
        <w:t>Reference Sensitivity</w:t>
      </w:r>
    </w:p>
    <w:p>
      <w:pPr>
        <w:pStyle w:val="EW"/>
        <w:rPr>
          <w:lang w:eastAsia="zh-CN"/>
        </w:rPr>
      </w:pPr>
      <w:r>
        <w:rPr/>
        <w:t>RF</w:t>
        <w:tab/>
        <w:t>Radio Frequency</w:t>
      </w:r>
    </w:p>
    <w:p>
      <w:pPr>
        <w:pStyle w:val="EW"/>
        <w:rPr/>
      </w:pPr>
      <w:r>
        <w:rPr/>
        <w:t>RX</w:t>
        <w:tab/>
        <w:t>Receiver</w:t>
      </w:r>
    </w:p>
    <w:p>
      <w:pPr>
        <w:pStyle w:val="EW"/>
        <w:rPr>
          <w:lang w:eastAsia="zh-CN"/>
        </w:rPr>
      </w:pPr>
      <w:r>
        <w:rPr/>
        <w:t>TCU</w:t>
        <w:tab/>
        <w:t>Telematics Control Units</w:t>
      </w:r>
    </w:p>
    <w:p>
      <w:pPr>
        <w:pStyle w:val="EW"/>
        <w:rPr/>
      </w:pPr>
      <w:r>
        <w:rPr/>
        <w:t>TX</w:t>
        <w:tab/>
        <w:t>Transmitter</w:t>
      </w:r>
    </w:p>
    <w:p>
      <w:pPr>
        <w:pStyle w:val="Normal"/>
        <w:jc w:val="both"/>
        <w:rPr/>
      </w:pPr>
      <w:r>
        <w:rPr/>
      </w:r>
    </w:p>
    <w:p>
      <w:pPr>
        <w:pStyle w:val="Heading1"/>
        <w:ind w:left="1134" w:hanging="1134"/>
        <w:rPr/>
      </w:pPr>
      <w:bookmarkStart w:id="15" w:name="__RefHeading___Toc535391227"/>
      <w:bookmarkEnd w:id="15"/>
      <w:r>
        <w:rPr/>
        <w:t>4</w:t>
        <w:tab/>
        <w:t>Background</w:t>
      </w:r>
    </w:p>
    <w:p>
      <w:pPr>
        <w:pStyle w:val="Normal"/>
        <w:jc w:val="both"/>
        <w:rPr/>
      </w:pPr>
      <w:r>
        <w:rPr/>
        <w:t xml:space="preserve">The present document is a technical report for NR vehicle mounted UE with 2Rx antenna at FR1 </w:t>
      </w:r>
      <w:r>
        <w:rPr>
          <w:rFonts w:eastAsia="MS Mincho;ＭＳ 明朝"/>
          <w:lang w:eastAsia="ja-JP"/>
        </w:rPr>
        <w:t xml:space="preserve">in </w:t>
      </w:r>
      <w:r>
        <w:rPr/>
        <w:t>Rel-1</w:t>
      </w:r>
      <w:r>
        <w:rPr>
          <w:rFonts w:eastAsia="MS Mincho;ＭＳ 明朝"/>
          <w:lang w:eastAsia="ja-JP"/>
        </w:rPr>
        <w:t>5</w:t>
      </w:r>
      <w:r>
        <w:rPr/>
        <w:t xml:space="preserve">. The document contained the following objectives due to </w:t>
      </w:r>
      <w:r>
        <w:rPr>
          <w:bCs/>
        </w:rPr>
        <w:t>urgent market demands of the automotive industry for 5G</w:t>
      </w:r>
    </w:p>
    <w:p>
      <w:pPr>
        <w:pStyle w:val="B1"/>
        <w:rPr/>
      </w:pPr>
      <w:r>
        <w:rPr>
          <w:lang w:val="en-US"/>
        </w:rPr>
        <w:tab/>
        <w:t>Aspects to study in allowing 2 RX exception for vehicle mounted UEs in frequency bands where 4 Rx is mandated:</w:t>
      </w:r>
    </w:p>
    <w:p>
      <w:pPr>
        <w:pStyle w:val="B2"/>
        <w:rPr/>
      </w:pPr>
      <w:r>
        <w:rPr>
          <w:lang w:val="en-US"/>
        </w:rPr>
        <w:t>-</w:t>
        <w:tab/>
        <w:t>Investigate the impact of 2Rx vehicle mounted UE on coverage and throughput and the possible ways to avoid or at least minimize such impact.</w:t>
      </w:r>
    </w:p>
    <w:p>
      <w:pPr>
        <w:pStyle w:val="B3"/>
        <w:rPr>
          <w:bCs/>
          <w:lang w:val="en-US"/>
        </w:rPr>
      </w:pPr>
      <w:r>
        <w:rPr/>
        <w:t>-</w:t>
        <w:tab/>
        <w:t>Link budget with 2 RX vehicular UE</w:t>
      </w:r>
    </w:p>
    <w:p>
      <w:pPr>
        <w:pStyle w:val="B3"/>
        <w:rPr/>
      </w:pPr>
      <w:r>
        <w:rPr/>
        <w:t>-</w:t>
        <w:tab/>
      </w:r>
      <w:r>
        <w:rPr>
          <w:bCs/>
          <w:lang w:val="en-US"/>
        </w:rPr>
        <w:t>TCU receiver RF chain and architecture</w:t>
      </w:r>
    </w:p>
    <w:p>
      <w:pPr>
        <w:pStyle w:val="B3"/>
        <w:rPr/>
      </w:pPr>
      <w:r>
        <w:rPr/>
        <w:t>-</w:t>
        <w:tab/>
      </w:r>
      <w:r>
        <w:rPr>
          <w:bCs/>
          <w:lang w:val="en-US"/>
        </w:rPr>
        <w:t>Coverage and throughput impacts at system level</w:t>
      </w:r>
    </w:p>
    <w:p>
      <w:pPr>
        <w:pStyle w:val="B2"/>
        <w:rPr/>
      </w:pPr>
      <w:r>
        <w:rPr>
          <w:lang w:val="en-US"/>
        </w:rPr>
        <w:t>-</w:t>
        <w:tab/>
        <w:t>Methods to distinguish vehicular UE from handheld UE</w:t>
      </w:r>
    </w:p>
    <w:p>
      <w:pPr>
        <w:pStyle w:val="B3"/>
        <w:rPr/>
      </w:pPr>
      <w:r>
        <w:rPr>
          <w:lang w:val="en-US"/>
        </w:rPr>
        <w:t>-</w:t>
        <w:tab/>
        <w:t>Methods to define vehicle mounted UEs</w:t>
      </w:r>
    </w:p>
    <w:p>
      <w:pPr>
        <w:pStyle w:val="B3"/>
        <w:rPr/>
      </w:pPr>
      <w:r>
        <w:rPr>
          <w:lang w:val="en-US"/>
        </w:rPr>
        <w:t>-</w:t>
        <w:tab/>
        <w:t>Methods to verify conformance and GCF certification (excluding OTA scope)</w:t>
      </w:r>
      <w:r>
        <w:br w:type="page"/>
      </w:r>
    </w:p>
    <w:p>
      <w:pPr>
        <w:pStyle w:val="Heading1"/>
        <w:ind w:left="1134" w:hanging="1134"/>
        <w:rPr/>
      </w:pPr>
      <w:bookmarkStart w:id="16" w:name="__RefHeading___Toc535391228"/>
      <w:bookmarkEnd w:id="16"/>
      <w:r>
        <w:rPr/>
        <w:t>5</w:t>
        <w:tab/>
        <w:t>General aspects for NR vehicular UE at FR1</w:t>
      </w:r>
    </w:p>
    <w:p>
      <w:pPr>
        <w:pStyle w:val="Normal"/>
        <w:rPr>
          <w:lang w:val="en-US"/>
        </w:rPr>
      </w:pPr>
      <w:r>
        <w:rPr>
          <w:lang w:val="en-US"/>
        </w:rPr>
        <w:t>This section contains relevant aspects for the link budget evaluation.</w:t>
      </w:r>
    </w:p>
    <w:p>
      <w:pPr>
        <w:pStyle w:val="Heading2"/>
        <w:rPr/>
      </w:pPr>
      <w:bookmarkStart w:id="17" w:name="__RefHeading___Toc535391229"/>
      <w:bookmarkEnd w:id="17"/>
      <w:r>
        <w:rPr>
          <w:sz w:val="28"/>
          <w:szCs w:val="16"/>
        </w:rPr>
        <w:t>5.1</w:t>
        <w:tab/>
        <w:t>Antenna implementation for 2 Rx vehicle mounted UE</w:t>
      </w:r>
    </w:p>
    <w:p>
      <w:pPr>
        <w:pStyle w:val="Normal"/>
        <w:rPr/>
      </w:pPr>
      <w:r>
        <w:rPr>
          <w:lang w:val="en-US"/>
        </w:rPr>
        <w:t>The following implementation examples are a selection of typical antenna implementation including cable loss.</w:t>
      </w:r>
    </w:p>
    <w:p>
      <w:pPr>
        <w:pStyle w:val="Heading3"/>
        <w:rPr/>
      </w:pPr>
      <w:bookmarkStart w:id="18" w:name="__RefHeading___Toc535391230"/>
      <w:bookmarkEnd w:id="18"/>
      <w:r>
        <w:rPr>
          <w:szCs w:val="16"/>
        </w:rPr>
        <w:t>5.1.1</w:t>
        <w:tab/>
        <w:t>Typical Baseline Rx Antenna Gain in the Market</w:t>
      </w:r>
    </w:p>
    <w:p>
      <w:pPr>
        <w:pStyle w:val="TextBody"/>
        <w:rPr/>
      </w:pPr>
      <w:r>
        <w:rPr/>
        <w:t>The sub-section illustrates selection of antenna gain values of prominent vehicle manufacturers.</w:t>
      </w:r>
    </w:p>
    <w:p>
      <w:pPr>
        <w:pStyle w:val="Heading4"/>
        <w:ind w:left="1418" w:hanging="1418"/>
        <w:rPr/>
      </w:pPr>
      <w:bookmarkStart w:id="19" w:name="__RefHeading___Toc535391231"/>
      <w:bookmarkEnd w:id="19"/>
      <w:r>
        <w:rPr>
          <w:rStyle w:val="Heading3Char"/>
        </w:rPr>
        <w:t>5.1.1.1</w:t>
      </w:r>
      <w:r>
        <w:rPr>
          <w:sz w:val="28"/>
          <w:szCs w:val="16"/>
        </w:rPr>
        <w:tab/>
      </w:r>
      <w:r>
        <w:rPr>
          <w:lang w:eastAsia="ko-KR"/>
        </w:rPr>
        <w:t>Baseline Antenna Gain Values: OEM A</w:t>
      </w:r>
    </w:p>
    <w:p>
      <w:pPr>
        <w:pStyle w:val="TextBody"/>
        <w:rPr>
          <w:lang w:val="en-US" w:eastAsia="ko-KR"/>
        </w:rPr>
      </w:pPr>
      <w:r>
        <w:rPr>
          <w:lang w:eastAsia="ko-KR"/>
        </w:rPr>
        <w:t>The cable loss depends on the chosen package and mounting concept of the telematics unit and the antenna. OEM A has chosen a concept which allows to eliminate the cable loss completely in nearly all cars.</w:t>
      </w:r>
    </w:p>
    <w:p>
      <w:pPr>
        <w:pStyle w:val="B1"/>
        <w:rPr>
          <w:lang w:val="en-US" w:eastAsia="ko-KR"/>
        </w:rPr>
      </w:pPr>
      <w:r>
        <w:rPr>
          <w:lang w:eastAsia="ko-KR"/>
        </w:rPr>
        <w:t>-</w:t>
        <w:tab/>
        <w:t>The average gain of the 2x2 MIMO antenna is about -1 dBi at 2.6 GHz.</w:t>
      </w:r>
    </w:p>
    <w:p>
      <w:pPr>
        <w:pStyle w:val="B1"/>
        <w:rPr>
          <w:lang w:val="en-US" w:eastAsia="ko-KR"/>
        </w:rPr>
      </w:pPr>
      <w:r>
        <w:rPr>
          <w:lang w:eastAsia="ko-KR"/>
        </w:rPr>
        <w:t>-</w:t>
        <w:tab/>
        <w:t>The average loss of a coax cable is about 1 dB/m.</w:t>
      </w:r>
    </w:p>
    <w:p>
      <w:pPr>
        <w:pStyle w:val="B1"/>
        <w:rPr>
          <w:lang w:val="en-US" w:eastAsia="ko-KR"/>
        </w:rPr>
      </w:pPr>
      <w:r>
        <w:rPr>
          <w:lang w:eastAsia="ko-KR"/>
        </w:rPr>
        <w:t>-</w:t>
        <w:tab/>
        <w:t>This is an example for better performance than baseline antenna values including cable loss.</w:t>
      </w:r>
    </w:p>
    <w:p>
      <w:pPr>
        <w:pStyle w:val="Heading4"/>
        <w:ind w:left="1418" w:hanging="1418"/>
        <w:rPr/>
      </w:pPr>
      <w:bookmarkStart w:id="20" w:name="__RefHeading___Toc535391232"/>
      <w:bookmarkEnd w:id="20"/>
      <w:r>
        <w:rPr>
          <w:rStyle w:val="Heading3Char"/>
        </w:rPr>
        <w:t>5.1.1.2</w:t>
        <w:tab/>
      </w:r>
      <w:r>
        <w:rPr>
          <w:lang w:eastAsia="ko-KR"/>
        </w:rPr>
        <w:t>Baseline Antenna Gain Values: OEM B</w:t>
      </w:r>
    </w:p>
    <w:p>
      <w:pPr>
        <w:pStyle w:val="TextBody"/>
        <w:rPr>
          <w:lang w:val="en-US" w:eastAsia="ko-KR"/>
        </w:rPr>
      </w:pPr>
      <w:r>
        <w:rPr>
          <w:lang w:eastAsia="ko-KR"/>
        </w:rPr>
        <w:t>The following antenna gain (dBi) values are expected minimum in the frequency ranges until 3.8GHz:</w:t>
      </w:r>
    </w:p>
    <w:p>
      <w:pPr>
        <w:pStyle w:val="B1"/>
        <w:rPr>
          <w:lang w:val="de-DE" w:eastAsia="ko-KR"/>
        </w:rPr>
      </w:pPr>
      <w:r>
        <w:rPr>
          <w:lang w:eastAsia="ko-KR"/>
        </w:rPr>
        <w:t>-</w:t>
        <w:tab/>
        <w:t>2 RX scenarios:</w:t>
      </w:r>
    </w:p>
    <w:p>
      <w:pPr>
        <w:pStyle w:val="B2"/>
        <w:rPr>
          <w:lang w:val="en-US" w:eastAsia="ko-KR"/>
        </w:rPr>
      </w:pPr>
      <w:r>
        <w:rPr>
          <w:lang w:eastAsia="ko-KR"/>
        </w:rPr>
        <w:t>-</w:t>
        <w:tab/>
        <w:t>Antenna 1: Average Antenna gain (theta=60°-90°, phi=0° to 359°, Car implementation on PEC) including cable loss: 1 dBi, based on a rooftop antenna implementation</w:t>
      </w:r>
    </w:p>
    <w:p>
      <w:pPr>
        <w:pStyle w:val="B2"/>
        <w:rPr>
          <w:lang w:val="en-US" w:eastAsia="ko-KR"/>
        </w:rPr>
      </w:pPr>
      <w:r>
        <w:rPr>
          <w:lang w:eastAsia="ko-KR"/>
        </w:rPr>
        <w:t>-</w:t>
        <w:tab/>
        <w:t>Antenna 2: Average Antenna gain (theta=60°-90°, phi=0° to 359°, Car implementation on PEC) including cable loss: 0 dBi, based on a second radiator in rooftop antenna implementation</w:t>
      </w:r>
    </w:p>
    <w:p>
      <w:pPr>
        <w:pStyle w:val="B1"/>
        <w:rPr>
          <w:lang w:val="en-US" w:eastAsia="ko-KR"/>
        </w:rPr>
      </w:pPr>
      <w:r>
        <w:rPr>
          <w:lang w:eastAsia="ko-KR"/>
        </w:rPr>
        <w:t>-</w:t>
        <w:tab/>
        <w:t>This is an example for better performance than baseline antenna values including cable loss.</w:t>
      </w:r>
    </w:p>
    <w:p>
      <w:pPr>
        <w:pStyle w:val="Heading4"/>
        <w:ind w:left="1418" w:hanging="1418"/>
        <w:rPr/>
      </w:pPr>
      <w:bookmarkStart w:id="21" w:name="__RefHeading___Toc535391233"/>
      <w:bookmarkEnd w:id="21"/>
      <w:r>
        <w:rPr>
          <w:rStyle w:val="Heading3Char"/>
        </w:rPr>
        <w:t>5.1.1.3</w:t>
        <w:tab/>
      </w:r>
      <w:r>
        <w:rPr>
          <w:lang w:eastAsia="ko-KR"/>
        </w:rPr>
        <w:t>Baseline Antenna Gain Values: OEM C</w:t>
      </w:r>
    </w:p>
    <w:p>
      <w:pPr>
        <w:pStyle w:val="TextBody"/>
        <w:rPr>
          <w:lang w:val="en-US" w:eastAsia="ko-KR"/>
        </w:rPr>
      </w:pPr>
      <w:r>
        <w:rPr>
          <w:lang w:eastAsia="ko-KR"/>
        </w:rPr>
        <w:t>The cable loss depends on the chosen package and mounting concept of the telematics unit and the antenna.</w:t>
      </w:r>
    </w:p>
    <w:p>
      <w:pPr>
        <w:pStyle w:val="B1"/>
        <w:rPr>
          <w:lang w:val="en-US" w:eastAsia="ko-KR"/>
        </w:rPr>
      </w:pPr>
      <w:r>
        <w:rPr>
          <w:lang w:eastAsia="ko-KR"/>
        </w:rPr>
        <w:t>-</w:t>
        <w:tab/>
        <w:t>The average gain of the 2x2MIMO antennas is about -2/-3 dBi at 2.5 GHz.</w:t>
      </w:r>
    </w:p>
    <w:p>
      <w:pPr>
        <w:pStyle w:val="B1"/>
        <w:rPr>
          <w:lang w:val="en-US" w:eastAsia="ko-KR"/>
        </w:rPr>
      </w:pPr>
      <w:r>
        <w:rPr>
          <w:lang w:eastAsia="ko-KR"/>
        </w:rPr>
        <w:t>-</w:t>
        <w:tab/>
        <w:t>The average loss of a coax cable is about 1 dB/m at 2.5 GHz</w:t>
      </w:r>
    </w:p>
    <w:p>
      <w:pPr>
        <w:pStyle w:val="B1"/>
        <w:rPr>
          <w:lang w:val="de-DE" w:eastAsia="ko-KR"/>
        </w:rPr>
      </w:pPr>
      <w:r>
        <w:rPr>
          <w:lang w:eastAsia="ko-KR"/>
        </w:rPr>
        <w:t>-</w:t>
        <w:tab/>
        <w:t>Window antenna:</w:t>
      </w:r>
    </w:p>
    <w:p>
      <w:pPr>
        <w:pStyle w:val="B2"/>
        <w:rPr>
          <w:lang w:val="en-US" w:eastAsia="ko-KR"/>
        </w:rPr>
      </w:pPr>
      <w:r>
        <w:rPr>
          <w:lang w:eastAsia="ko-KR"/>
        </w:rPr>
        <w:t>-</w:t>
        <w:tab/>
        <w:t>Antenna Gain: -2 dBi / Cable length: 2 m / Overall gain: -4 dBi</w:t>
      </w:r>
    </w:p>
    <w:p>
      <w:pPr>
        <w:pStyle w:val="Normal"/>
        <w:rPr>
          <w:lang w:val="en-US"/>
        </w:rPr>
      </w:pPr>
      <w:r>
        <w:rPr>
          <w:lang w:eastAsia="ko-KR"/>
        </w:rPr>
        <w:t>This is an example for performance which is closer to baseline antenna values including cable loss.</w:t>
      </w:r>
    </w:p>
    <w:p>
      <w:pPr>
        <w:pStyle w:val="Heading3"/>
        <w:rPr/>
      </w:pPr>
      <w:bookmarkStart w:id="22" w:name="__RefHeading___Toc535391234"/>
      <w:bookmarkEnd w:id="22"/>
      <w:r>
        <w:rPr>
          <w:szCs w:val="16"/>
        </w:rPr>
        <w:t>5.1.2</w:t>
        <w:tab/>
        <w:t>Antenna measurement procedures</w:t>
      </w:r>
    </w:p>
    <w:p>
      <w:pPr>
        <w:pStyle w:val="Normal"/>
        <w:jc w:val="both"/>
        <w:rPr>
          <w:b/>
          <w:b/>
          <w:lang w:val="en-US" w:eastAsia="ko-KR"/>
        </w:rPr>
      </w:pPr>
      <w:r>
        <w:rPr/>
        <w:t>For clarification, the following overview of active and passive measurement procedures indicates the difference between the measurements for both types of devices.</w:t>
      </w:r>
    </w:p>
    <w:p>
      <w:pPr>
        <w:pStyle w:val="Normal"/>
        <w:jc w:val="both"/>
        <w:rPr>
          <w:rFonts w:eastAsia="Malgun Gothic;맑은 고딕"/>
          <w:lang w:val="en-US" w:eastAsia="zh-CN"/>
        </w:rPr>
      </w:pPr>
      <w:r>
        <w:rPr>
          <w:lang w:val="en-US"/>
        </w:rPr>
        <w:t>Active antenna measurements:</w:t>
      </w:r>
    </w:p>
    <w:p>
      <w:pPr>
        <w:pStyle w:val="B1"/>
        <w:rPr/>
      </w:pPr>
      <w:r>
        <w:rPr>
          <w:lang w:eastAsia="ko-KR"/>
        </w:rPr>
        <w:t>-</w:t>
        <w:tab/>
      </w:r>
      <w:r>
        <w:rPr>
          <w:lang w:val="en-US"/>
        </w:rPr>
        <w:t>Here the transceiver of the HH establishes a wireless link against an RCT (radio communication tester (=BS simulator)). The RCT measures the power received by antennas of the test setup. The test setup has been calibrated that way, that the losses in power caused by the distance between the sending and receiving antenna are known and that the measured results exclude these losses.</w:t>
      </w:r>
    </w:p>
    <w:p>
      <w:pPr>
        <w:pStyle w:val="B1"/>
        <w:rPr/>
      </w:pPr>
      <w:r>
        <w:rPr>
          <w:lang w:eastAsia="ko-KR"/>
        </w:rPr>
        <w:t>-</w:t>
        <w:tab/>
      </w:r>
      <w:r>
        <w:rPr>
          <w:lang w:val="en-US"/>
        </w:rPr>
        <w:t>One procedure is to rotate the DUT on a turn table in discrete steps, the receiving antenna is moved around the DUT in discrete steps. Both movements together give measurements results at different radiation directions. Results are usually accumulated and averaged of several directions -&gt; E.G. This gives the angle dependent gain values.</w:t>
      </w:r>
    </w:p>
    <w:p>
      <w:pPr>
        <w:pStyle w:val="B1"/>
        <w:rPr/>
      </w:pPr>
      <w:r>
        <w:rPr>
          <w:lang w:eastAsia="ko-KR"/>
        </w:rPr>
        <w:t>-</w:t>
        <w:tab/>
      </w:r>
      <w:r>
        <w:rPr>
          <w:lang w:val="en-US"/>
        </w:rPr>
        <w:t>Subtracting the conducted power (RCT directly connected to the HH, without any antenna) of the radiated power gives the antenna efficiency.</w:t>
      </w:r>
    </w:p>
    <w:p>
      <w:pPr>
        <w:pStyle w:val="B1"/>
        <w:rPr/>
      </w:pPr>
      <w:r>
        <w:rPr>
          <w:lang w:eastAsia="ko-KR"/>
        </w:rPr>
        <w:t>-</w:t>
        <w:tab/>
      </w:r>
      <w:r>
        <w:rPr>
          <w:lang w:val="en-US"/>
        </w:rPr>
        <w:t>HH are usually measured this way</w:t>
      </w:r>
    </w:p>
    <w:p>
      <w:pPr>
        <w:pStyle w:val="Normal"/>
        <w:jc w:val="both"/>
        <w:rPr>
          <w:lang w:val="en-US"/>
        </w:rPr>
      </w:pPr>
      <w:r>
        <w:rPr>
          <w:lang w:val="en-US"/>
        </w:rPr>
        <w:t>Passive antenna measurements:</w:t>
      </w:r>
    </w:p>
    <w:p>
      <w:pPr>
        <w:pStyle w:val="B1"/>
        <w:rPr/>
      </w:pPr>
      <w:r>
        <w:rPr>
          <w:lang w:eastAsia="ko-KR"/>
        </w:rPr>
        <w:t>-</w:t>
        <w:tab/>
      </w:r>
      <w:r>
        <w:rPr>
          <w:lang w:val="en-US"/>
        </w:rPr>
        <w:t>Here power is fed to the antenna by measurement cables. The power at a receiving antenna is measured e.g. by a power meter. The test setup has been calibrated that way, that the losses of the measurement cables as well of the losses in power caused by the distance between the sending and receiving antenna are known and that the measured results exclude these losses.</w:t>
      </w:r>
    </w:p>
    <w:p>
      <w:pPr>
        <w:pStyle w:val="B1"/>
        <w:rPr/>
      </w:pPr>
      <w:r>
        <w:rPr>
          <w:lang w:eastAsia="ko-KR"/>
        </w:rPr>
        <w:t>-</w:t>
        <w:tab/>
      </w:r>
      <w:r>
        <w:rPr>
          <w:lang w:val="en-US"/>
        </w:rPr>
        <w:t>The DUT is rotated on a turn table in discrete steps, the receiving antenna is moved around the DUT in discrete steps. Both movements together give measurements results at different radiation directions. Results are usually accumulated and averaged of several directions -&gt; E.G. This gives the angle dependent gain values.</w:t>
      </w:r>
    </w:p>
    <w:p>
      <w:pPr>
        <w:pStyle w:val="B1"/>
        <w:rPr/>
      </w:pPr>
      <w:r>
        <w:rPr>
          <w:lang w:eastAsia="ko-KR"/>
        </w:rPr>
        <w:t>-</w:t>
        <w:tab/>
      </w:r>
      <w:r>
        <w:rPr>
          <w:lang w:val="en-US"/>
        </w:rPr>
        <w:t>Vehicles are usually measured this way, HH usually only during development but not for any certification purposes.</w:t>
      </w:r>
    </w:p>
    <w:p>
      <w:pPr>
        <w:pStyle w:val="Heading2"/>
        <w:rPr/>
      </w:pPr>
      <w:bookmarkStart w:id="23" w:name="__RefHeading___Toc535391235"/>
      <w:bookmarkEnd w:id="23"/>
      <w:r>
        <w:rPr>
          <w:sz w:val="28"/>
          <w:szCs w:val="16"/>
        </w:rPr>
        <w:t>5.2</w:t>
        <w:tab/>
        <w:t>Baseline Rx antenna gain</w:t>
      </w:r>
    </w:p>
    <w:p>
      <w:pPr>
        <w:pStyle w:val="TextBody"/>
        <w:ind w:left="1386" w:hanging="986"/>
        <w:rPr/>
      </w:pPr>
      <w:r>
        <w:rPr>
          <w:lang w:val="en-US" w:eastAsia="ko-KR"/>
        </w:rPr>
        <w:t>Table 5.2-1 defines the baseline Rx antenna gain for the link budget calculation.</w:t>
      </w:r>
    </w:p>
    <w:p>
      <w:pPr>
        <w:pStyle w:val="TH"/>
        <w:rPr/>
      </w:pPr>
      <w:r>
        <w:rPr/>
        <w:t xml:space="preserve">Table </w:t>
      </w:r>
      <w:r>
        <w:rPr>
          <w:iCs/>
        </w:rPr>
        <w:t>5.2-1</w:t>
      </w:r>
      <w:r>
        <w:rPr/>
        <w:t>: Reference baseline Rx antenna gain</w:t>
      </w:r>
    </w:p>
    <w:tbl>
      <w:tblPr>
        <w:tblW w:w="8469" w:type="dxa"/>
        <w:jc w:val="center"/>
        <w:tblInd w:w="0" w:type="dxa"/>
        <w:tblLayout w:type="fixed"/>
        <w:tblCellMar>
          <w:top w:w="0" w:type="dxa"/>
          <w:left w:w="108" w:type="dxa"/>
          <w:bottom w:w="0" w:type="dxa"/>
          <w:right w:w="108" w:type="dxa"/>
        </w:tblCellMar>
      </w:tblPr>
      <w:tblGrid>
        <w:gridCol w:w="4234"/>
        <w:gridCol w:w="4235"/>
      </w:tblGrid>
      <w:tr>
        <w:trPr/>
        <w:tc>
          <w:tcPr>
            <w:tcW w:w="4234"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Link budget parameter name</w:t>
            </w:r>
          </w:p>
        </w:tc>
        <w:tc>
          <w:tcPr>
            <w:tcW w:w="4235"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Link budget parameter value</w:t>
            </w:r>
          </w:p>
        </w:tc>
      </w:tr>
      <w:tr>
        <w:trPr/>
        <w:tc>
          <w:tcPr>
            <w:tcW w:w="42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Rx antenna gain</w:t>
            </w:r>
          </w:p>
        </w:tc>
        <w:tc>
          <w:tcPr>
            <w:tcW w:w="4235"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-3 dBi</w:t>
            </w:r>
          </w:p>
        </w:tc>
      </w:tr>
    </w:tbl>
    <w:p>
      <w:pPr>
        <w:pStyle w:val="Normal"/>
        <w:rPr>
          <w:lang w:val="en-US" w:eastAsia="ja-JP"/>
        </w:rPr>
      </w:pPr>
      <w:r>
        <w:rPr>
          <w:lang w:val="en-US" w:eastAsia="ja-JP"/>
        </w:rPr>
      </w:r>
    </w:p>
    <w:p>
      <w:pPr>
        <w:pStyle w:val="NO"/>
        <w:rPr/>
      </w:pPr>
      <w:r>
        <w:rPr/>
        <w:t>Note:</w:t>
        <w:tab/>
        <w:t>Based on the WF [11] in RAN4#89, the Rx antenna gain in table 5.2-1 was revised.</w:t>
      </w:r>
      <w:r>
        <w:br w:type="page"/>
      </w:r>
    </w:p>
    <w:p>
      <w:pPr>
        <w:pStyle w:val="Heading1"/>
        <w:ind w:left="1134" w:hanging="1134"/>
        <w:rPr/>
      </w:pPr>
      <w:bookmarkStart w:id="24" w:name="__RefHeading___Toc535391236"/>
      <w:bookmarkEnd w:id="24"/>
      <w:r>
        <w:rPr/>
        <w:t>6</w:t>
        <w:tab/>
        <w:t>Evaluation on the coverage related issue</w:t>
      </w:r>
    </w:p>
    <w:p>
      <w:pPr>
        <w:pStyle w:val="Heading2"/>
        <w:rPr/>
      </w:pPr>
      <w:bookmarkStart w:id="25" w:name="__RefHeading___Toc535391237"/>
      <w:bookmarkEnd w:id="25"/>
      <w:r>
        <w:rPr>
          <w:szCs w:val="16"/>
        </w:rPr>
        <w:t>6.1</w:t>
        <w:tab/>
        <w:t>Coverage Evaluation</w:t>
      </w:r>
    </w:p>
    <w:p>
      <w:pPr>
        <w:pStyle w:val="Heading3"/>
        <w:rPr>
          <w:szCs w:val="16"/>
        </w:rPr>
      </w:pPr>
      <w:bookmarkStart w:id="26" w:name="__RefHeading___Toc535391238"/>
      <w:bookmarkEnd w:id="26"/>
      <w:r>
        <w:rPr>
          <w:szCs w:val="16"/>
        </w:rPr>
        <w:t>6.1.1</w:t>
        <w:tab/>
        <w:t>Link budget simulation assumption</w:t>
      </w:r>
    </w:p>
    <w:p>
      <w:pPr>
        <w:pStyle w:val="Normal"/>
        <w:jc w:val="both"/>
        <w:rPr/>
      </w:pPr>
      <w:r>
        <w:rPr/>
        <w:t>RAN4</w:t>
      </w:r>
      <w:r>
        <w:rPr/>
        <w:t xml:space="preserve"> agreed on the RF parameters to evaluate the coverage related issues as shown in Table 6.1.1-1 [8].</w:t>
      </w:r>
    </w:p>
    <w:p>
      <w:pPr>
        <w:pStyle w:val="TH"/>
        <w:rPr/>
      </w:pPr>
      <w:r>
        <w:rPr/>
        <w:t xml:space="preserve">Table </w:t>
      </w:r>
      <w:r>
        <w:rPr>
          <w:iCs/>
        </w:rPr>
        <w:t>6.1.1-1</w:t>
      </w:r>
      <w:r>
        <w:rPr/>
        <w:t>: RF parameters for Link budget evaluation</w:t>
      </w:r>
    </w:p>
    <w:tbl>
      <w:tblPr>
        <w:tblW w:w="9764" w:type="dxa"/>
        <w:jc w:val="left"/>
        <w:tblInd w:w="-20" w:type="dxa"/>
        <w:tblLayout w:type="fixed"/>
        <w:tblCellMar>
          <w:top w:w="15" w:type="dxa"/>
          <w:left w:w="15" w:type="dxa"/>
          <w:bottom w:w="0" w:type="dxa"/>
          <w:right w:w="15" w:type="dxa"/>
        </w:tblCellMar>
      </w:tblPr>
      <w:tblGrid>
        <w:gridCol w:w="1011"/>
        <w:gridCol w:w="1891"/>
        <w:gridCol w:w="1715"/>
        <w:gridCol w:w="1715"/>
        <w:gridCol w:w="1715"/>
        <w:gridCol w:w="1717"/>
      </w:tblGrid>
      <w:tr>
        <w:trPr/>
        <w:tc>
          <w:tcPr>
            <w:tcW w:w="290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　</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H"/>
              <w:rPr/>
            </w:pPr>
            <w:r>
              <w:rPr/>
              <w:t>4Rx HHUE</w:t>
              <w:br/>
              <w:t>(Outdoor browsing)</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H"/>
              <w:rPr/>
            </w:pPr>
            <w:r>
              <w:rPr/>
              <w:t>4Rx HHUE</w:t>
              <w:br/>
              <w:t>(Passenger Holding browsing)</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H"/>
              <w:rPr/>
            </w:pPr>
            <w:r>
              <w:rPr/>
              <w:t>4Rx HHUE</w:t>
              <w:br/>
              <w:t>(Dash board)</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H"/>
              <w:rPr/>
            </w:pPr>
            <w:r>
              <w:rPr/>
              <w:t>2Rx V-UE</w:t>
            </w:r>
          </w:p>
        </w:tc>
      </w:tr>
      <w:tr>
        <w:trPr/>
        <w:tc>
          <w:tcPr>
            <w:tcW w:w="290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Antenna Configuration</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4Rx/2Tx</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4Rx/2Tx</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4Rx/2Tx</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C"/>
              <w:rPr/>
            </w:pPr>
            <w:r>
              <w:rPr/>
              <w:t>2Rx/2Tx</w:t>
            </w:r>
          </w:p>
        </w:tc>
      </w:tr>
      <w:tr>
        <w:trPr/>
        <w:tc>
          <w:tcPr>
            <w:tcW w:w="290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BS Antanna Gain</w:t>
            </w:r>
            <w:r>
              <w:rPr>
                <w:vertAlign w:val="superscript"/>
              </w:rPr>
              <w:t>1</w:t>
            </w:r>
            <w:r>
              <w:rPr/>
              <w:t xml:space="preserve"> [dBi]</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18</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18</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18</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C"/>
              <w:rPr/>
            </w:pPr>
            <w:r>
              <w:rPr/>
              <w:t>18</w:t>
            </w:r>
          </w:p>
        </w:tc>
      </w:tr>
      <w:tr>
        <w:trPr/>
        <w:tc>
          <w:tcPr>
            <w:tcW w:w="1011" w:type="dxa"/>
            <w:vMerge w:val="restart"/>
            <w:tcBorders>
              <w:top w:val="single" w:sz="4" w:space="0" w:color="000000"/>
              <w:left w:val="single" w:sz="4" w:space="0" w:color="000000"/>
              <w:bottom w:val="single" w:sz="4" w:space="0" w:color="000000"/>
              <w:right w:val="single" w:sz="4" w:space="0" w:color="000000"/>
            </w:tcBorders>
            <w:vAlign w:val="center"/>
          </w:tcPr>
          <w:p>
            <w:pPr>
              <w:pStyle w:val="TAL1"/>
              <w:rPr/>
            </w:pPr>
            <w:r>
              <w:rPr/>
              <w:t>UE</w:t>
              <w:br/>
              <w:t>Antenna</w:t>
              <w:br/>
              <w:t>Gain</w:t>
            </w:r>
          </w:p>
        </w:tc>
        <w:tc>
          <w:tcPr>
            <w:tcW w:w="1891"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Antenna system gain per element </w:t>
            </w:r>
            <w:r>
              <w:rPr>
                <w:vertAlign w:val="superscript"/>
              </w:rPr>
              <w:t>2,5</w:t>
            </w:r>
            <w:r>
              <w:rPr/>
              <w:t xml:space="preserve"> [dBi]</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-7.5</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-7.5</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-4.5</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r>
      <w:tr>
        <w:trPr/>
        <w:tc>
          <w:tcPr>
            <w:tcW w:w="1011" w:type="dxa"/>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891" w:type="dxa"/>
            <w:tcBorders>
              <w:top w:val="single" w:sz="4" w:space="0" w:color="000000"/>
              <w:left w:val="single" w:sz="4" w:space="0" w:color="000000"/>
              <w:bottom w:val="single" w:sz="4" w:space="0" w:color="000000"/>
              <w:right w:val="single" w:sz="4" w:space="0" w:color="000000"/>
            </w:tcBorders>
            <w:vAlign w:val="center"/>
          </w:tcPr>
          <w:p>
            <w:pPr>
              <w:pStyle w:val="TAL1"/>
              <w:rPr/>
            </w:pPr>
            <w:r>
              <w:rPr/>
              <w:t>Penetration Loss</w:t>
            </w:r>
            <w:r>
              <w:rPr>
                <w:vertAlign w:val="superscript"/>
              </w:rPr>
              <w:t>3</w:t>
            </w:r>
            <w:r>
              <w:rPr/>
              <w:t xml:space="preserve"> [dB]</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tc>
          <w:tcPr>
            <w:tcW w:w="1011" w:type="dxa"/>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891" w:type="dxa"/>
            <w:tcBorders>
              <w:top w:val="single" w:sz="4" w:space="0" w:color="000000"/>
              <w:left w:val="single" w:sz="4" w:space="0" w:color="000000"/>
              <w:bottom w:val="single" w:sz="4" w:space="0" w:color="000000"/>
              <w:right w:val="single" w:sz="4" w:space="0" w:color="000000"/>
            </w:tcBorders>
            <w:vAlign w:val="center"/>
          </w:tcPr>
          <w:p>
            <w:pPr>
              <w:pStyle w:val="TAL1"/>
              <w:rPr/>
            </w:pPr>
            <w:r>
              <w:rPr/>
              <w:t>Total [dB]</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-7.5</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-16.5</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-13.5</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r>
      <w:tr>
        <w:trPr/>
        <w:tc>
          <w:tcPr>
            <w:tcW w:w="290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Fading Margin [dB]</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r>
      <w:tr>
        <w:trPr/>
        <w:tc>
          <w:tcPr>
            <w:tcW w:w="290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Interference Margin [dB]</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0.5</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0.5</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r>
      <w:tr>
        <w:trPr/>
        <w:tc>
          <w:tcPr>
            <w:tcW w:w="1011" w:type="dxa"/>
            <w:vMerge w:val="restart"/>
            <w:tcBorders>
              <w:top w:val="single" w:sz="4" w:space="0" w:color="000000"/>
              <w:left w:val="single" w:sz="4" w:space="0" w:color="000000"/>
              <w:bottom w:val="single" w:sz="4" w:space="0" w:color="000000"/>
              <w:right w:val="single" w:sz="4" w:space="0" w:color="000000"/>
            </w:tcBorders>
            <w:vAlign w:val="center"/>
          </w:tcPr>
          <w:p>
            <w:pPr>
              <w:pStyle w:val="TAL1"/>
              <w:rPr/>
            </w:pPr>
            <w:r>
              <w:rPr/>
              <w:t>DL</w:t>
            </w:r>
          </w:p>
        </w:tc>
        <w:tc>
          <w:tcPr>
            <w:tcW w:w="1891" w:type="dxa"/>
            <w:tcBorders>
              <w:top w:val="single" w:sz="4" w:space="0" w:color="000000"/>
              <w:left w:val="single" w:sz="4" w:space="0" w:color="000000"/>
              <w:bottom w:val="single" w:sz="4" w:space="0" w:color="000000"/>
              <w:right w:val="single" w:sz="4" w:space="0" w:color="000000"/>
            </w:tcBorders>
            <w:vAlign w:val="center"/>
          </w:tcPr>
          <w:p>
            <w:pPr>
              <w:pStyle w:val="TAL1"/>
              <w:rPr/>
            </w:pPr>
            <w:r>
              <w:rPr/>
              <w:t>BS Tx Power [dBm]</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46</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46</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46</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C"/>
              <w:rPr/>
            </w:pPr>
            <w:r>
              <w:rPr/>
              <w:t>46</w:t>
            </w:r>
          </w:p>
        </w:tc>
      </w:tr>
      <w:tr>
        <w:trPr/>
        <w:tc>
          <w:tcPr>
            <w:tcW w:w="101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891" w:type="dxa"/>
            <w:tcBorders>
              <w:top w:val="single" w:sz="4" w:space="0" w:color="000000"/>
              <w:left w:val="single" w:sz="4" w:space="0" w:color="000000"/>
              <w:bottom w:val="single" w:sz="4" w:space="0" w:color="000000"/>
              <w:right w:val="single" w:sz="4" w:space="0" w:color="000000"/>
            </w:tcBorders>
            <w:vAlign w:val="center"/>
          </w:tcPr>
          <w:p>
            <w:pPr>
              <w:pStyle w:val="TAL1"/>
              <w:rPr/>
            </w:pPr>
            <w:r>
              <w:rPr/>
              <w:t>UE REFSENS</w:t>
            </w:r>
            <w:r>
              <w:rPr>
                <w:vertAlign w:val="superscript"/>
              </w:rPr>
              <w:t>4</w:t>
            </w:r>
            <w:r>
              <w:rPr/>
              <w:t xml:space="preserve"> [dBm]</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-87.4</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-87.4</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TAC"/>
              <w:rPr/>
            </w:pPr>
            <w:r>
              <w:rPr/>
              <w:t>-87.4</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C"/>
              <w:rPr/>
            </w:pPr>
            <w:r>
              <w:rPr/>
              <w:t>-84.7</w:t>
            </w:r>
          </w:p>
        </w:tc>
      </w:tr>
      <w:tr>
        <w:trPr/>
        <w:tc>
          <w:tcPr>
            <w:tcW w:w="9764"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bCs/>
              </w:rPr>
              <w:t>Note 1:</w:t>
            </w:r>
            <w:r>
              <w:rPr/>
              <w:tab/>
              <w:t>Ericsson proposed value during AH meeting in RAN4 #88BIS.</w:t>
            </w:r>
          </w:p>
          <w:p>
            <w:pPr>
              <w:pStyle w:val="TAN"/>
              <w:rPr/>
            </w:pPr>
            <w:r>
              <w:rPr>
                <w:bCs/>
              </w:rPr>
              <w:t>Note 2:</w:t>
            </w:r>
            <w:r>
              <w:rPr/>
              <w:tab/>
              <w:t>Antenna system gain per element = (ant. efficiency + directivity) + cable/Body Loss. The detail values for n7/n41 are based on follows</w:t>
            </w:r>
          </w:p>
          <w:p>
            <w:pPr>
              <w:pStyle w:val="TAN"/>
              <w:rPr/>
            </w:pPr>
            <w:r>
              <w:rPr/>
              <w:tab/>
              <w:t xml:space="preserve">- HH UE : </w:t>
            </w:r>
            <w:r>
              <w:rPr>
                <w:lang w:val="en-US"/>
              </w:rPr>
              <w:t xml:space="preserve">HH-UE : </w:t>
            </w:r>
            <w:hyperlink r:id="rId6">
              <w:r>
                <w:rPr>
                  <w:rStyle w:val="InternetLink"/>
                  <w:color w:val="000000"/>
                  <w:lang w:val="en-US"/>
                </w:rPr>
                <w:t>https://</w:t>
              </w:r>
            </w:hyperlink>
            <w:hyperlink r:id="rId7">
              <w:r>
                <w:rPr>
                  <w:rStyle w:val="InternetLink"/>
                  <w:color w:val="000000"/>
                  <w:lang w:val="en-US"/>
                </w:rPr>
                <w:t>www.gsma.com/newsroom/wp-content/uploads/TS-24-v3-01.pdf</w:t>
              </w:r>
            </w:hyperlink>
          </w:p>
          <w:p>
            <w:pPr>
              <w:pStyle w:val="TAN"/>
              <w:rPr>
                <w:lang w:val="en-US"/>
              </w:rPr>
            </w:pPr>
            <w:r>
              <w:rPr/>
              <w:tab/>
              <w:t>- Vehicle UE: LS (R4-1811528) from 5GAA</w:t>
            </w:r>
          </w:p>
          <w:p>
            <w:pPr>
              <w:pStyle w:val="TAN"/>
              <w:rPr/>
            </w:pPr>
            <w:r>
              <w:rPr>
                <w:bCs/>
              </w:rPr>
              <w:t>Note 3:</w:t>
            </w:r>
            <w:r>
              <w:rPr/>
              <w:tab/>
              <w:t>O2I car penetration loss is based on TR 38.901 [12], 7.4.3.2</w:t>
            </w:r>
          </w:p>
          <w:p>
            <w:pPr>
              <w:pStyle w:val="TAN"/>
              <w:rPr/>
            </w:pPr>
            <w:r>
              <w:rPr>
                <w:bCs/>
              </w:rPr>
              <w:t>Note 4:</w:t>
            </w:r>
            <w:r>
              <w:rPr/>
              <w:tab/>
              <w:t xml:space="preserve">4 Rx REFSENS = 2 Rx REFSENS (TS 38.101-1 [3], Table 7.3.2-1) + </w:t>
            </w:r>
            <w:r>
              <w:rPr>
                <w:lang w:val="el-GR"/>
              </w:rPr>
              <w:t>Δ</w:t>
            </w:r>
            <w:r>
              <w:rPr/>
              <w:t>R</w:t>
            </w:r>
            <w:r>
              <w:rPr>
                <w:vertAlign w:val="subscript"/>
              </w:rPr>
              <w:t>IB,4R</w:t>
            </w:r>
            <w:r>
              <w:rPr/>
              <w:t xml:space="preserve"> (TS 38.101-1 [3], Table 7.3.2-2)</w:t>
            </w:r>
          </w:p>
        </w:tc>
      </w:tr>
    </w:tbl>
    <w:p>
      <w:pPr>
        <w:pStyle w:val="Normal"/>
        <w:rPr/>
      </w:pPr>
      <w:r>
        <w:rPr/>
      </w:r>
    </w:p>
    <w:p>
      <w:pPr>
        <w:pStyle w:val="NO"/>
        <w:rPr/>
      </w:pPr>
      <w:r>
        <w:rPr/>
        <w:t>Note:</w:t>
        <w:tab/>
        <w:t>Based on the WF [11] in RAN4#89, the RF parameters and Note 5 in table 6.1.1-1 were revised and removed.</w:t>
      </w:r>
    </w:p>
    <w:p>
      <w:pPr>
        <w:pStyle w:val="Heading3"/>
        <w:rPr>
          <w:szCs w:val="16"/>
        </w:rPr>
      </w:pPr>
      <w:bookmarkStart w:id="27" w:name="__RefHeading___Toc535391239"/>
      <w:bookmarkEnd w:id="27"/>
      <w:r>
        <w:rPr>
          <w:szCs w:val="16"/>
        </w:rPr>
        <w:t>6.1.2</w:t>
        <w:tab/>
        <w:t>Coverage evaluation results</w:t>
      </w:r>
    </w:p>
    <w:p>
      <w:pPr>
        <w:pStyle w:val="Normal"/>
        <w:jc w:val="both"/>
        <w:rPr>
          <w:rFonts w:eastAsia="Malgun Gothic;맑은 고딕"/>
          <w:lang w:eastAsia="ko-KR"/>
        </w:rPr>
      </w:pPr>
      <w:r>
        <w:rPr>
          <w:rFonts w:eastAsia="Malgun Gothic;맑은 고딕"/>
          <w:lang w:eastAsia="ko-KR"/>
        </w:rPr>
        <w:t>In this section</w:t>
      </w:r>
      <w:r>
        <w:rPr>
          <w:rFonts w:eastAsia="Malgun Gothic;맑은 고딕"/>
          <w:lang w:eastAsia="ko-KR"/>
        </w:rPr>
        <w:t>, the coverage evaluation results based on the agreed coverage analysis parameters are provided in Table 6.1.2-1.</w:t>
      </w:r>
    </w:p>
    <w:p>
      <w:pPr>
        <w:pStyle w:val="TH"/>
        <w:rPr/>
      </w:pPr>
      <w:r>
        <w:rPr/>
        <w:t>Table 6.1.2-1: Coverage analysis for n41</w:t>
      </w:r>
    </w:p>
    <w:tbl>
      <w:tblPr>
        <w:tblW w:w="8438" w:type="dxa"/>
        <w:jc w:val="center"/>
        <w:tblInd w:w="0" w:type="dxa"/>
        <w:tblLayout w:type="fixed"/>
        <w:tblCellMar>
          <w:top w:w="0" w:type="dxa"/>
          <w:left w:w="99" w:type="dxa"/>
          <w:bottom w:w="0" w:type="dxa"/>
          <w:right w:w="99" w:type="dxa"/>
        </w:tblCellMar>
      </w:tblPr>
      <w:tblGrid>
        <w:gridCol w:w="1100"/>
        <w:gridCol w:w="2080"/>
        <w:gridCol w:w="1353"/>
        <w:gridCol w:w="1353"/>
        <w:gridCol w:w="1353"/>
        <w:gridCol w:w="1199"/>
      </w:tblGrid>
      <w:tr>
        <w:trPr/>
        <w:tc>
          <w:tcPr>
            <w:tcW w:w="318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ko-KR"/>
              </w:rPr>
            </w:pPr>
            <w:r>
              <w:rPr>
                <w:lang w:eastAsia="ko-KR"/>
              </w:rPr>
              <w:t>　</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ko-KR"/>
              </w:rPr>
            </w:pPr>
            <w:r>
              <w:rPr>
                <w:rFonts w:cs="Arial"/>
                <w:lang w:eastAsia="ko-KR"/>
              </w:rPr>
              <w:t>4Rx HHUE</w:t>
              <w:br/>
              <w:t>(Outdoor)</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ko-KR"/>
              </w:rPr>
            </w:pPr>
            <w:r>
              <w:rPr>
                <w:rFonts w:cs="Arial"/>
                <w:lang w:eastAsia="ko-KR"/>
              </w:rPr>
              <w:t>4Rx HHUE</w:t>
              <w:br/>
              <w:t>(Passenger Holding)</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ko-KR"/>
              </w:rPr>
            </w:pPr>
            <w:r>
              <w:rPr>
                <w:rFonts w:cs="Arial"/>
                <w:lang w:eastAsia="ko-KR"/>
              </w:rPr>
              <w:t>4Rx HHUE</w:t>
              <w:br/>
              <w:t>(Dash board)</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ko-KR"/>
              </w:rPr>
            </w:pPr>
            <w:r>
              <w:rPr>
                <w:rFonts w:cs="Arial"/>
                <w:lang w:eastAsia="ko-KR"/>
              </w:rPr>
              <w:t>2Rx VUE</w:t>
            </w:r>
          </w:p>
        </w:tc>
      </w:tr>
      <w:tr>
        <w:trPr/>
        <w:tc>
          <w:tcPr>
            <w:tcW w:w="3180" w:type="dxa"/>
            <w:gridSpan w:val="2"/>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UE Antenna Configuration</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4Rx/2Tx</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4Rx/2Tx</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4Rx/2Tx</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2Rx/2Tx</w:t>
            </w:r>
          </w:p>
        </w:tc>
      </w:tr>
      <w:tr>
        <w:trPr/>
        <w:tc>
          <w:tcPr>
            <w:tcW w:w="3180"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lang w:eastAsia="ko-KR"/>
              </w:rPr>
              <w:t>BS Antenna Gain [dB]</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18</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18</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18</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18</w:t>
            </w:r>
          </w:p>
        </w:tc>
      </w:tr>
      <w:tr>
        <w:trPr/>
        <w:tc>
          <w:tcPr>
            <w:tcW w:w="1100" w:type="dxa"/>
            <w:vMerge w:val="restart"/>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UE</w:t>
              <w:br/>
              <w:t>Antenna</w:t>
              <w:br/>
              <w:t>Gain</w:t>
            </w:r>
            <w:r>
              <w:rPr>
                <w:vertAlign w:val="superscript"/>
                <w:lang w:eastAsia="ko-KR"/>
              </w:rPr>
              <w:t>1</w:t>
            </w:r>
          </w:p>
        </w:tc>
        <w:tc>
          <w:tcPr>
            <w:tcW w:w="2080"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rFonts w:eastAsia="Malgun Gothic;맑은 고딕"/>
                <w:lang w:eastAsia="ko-KR"/>
              </w:rPr>
              <w:t xml:space="preserve">Antenna system gain per element </w:t>
            </w:r>
            <w:r>
              <w:rPr>
                <w:vertAlign w:val="superscript"/>
                <w:lang w:eastAsia="ko-KR"/>
              </w:rPr>
              <w:t>4</w:t>
            </w:r>
            <w:r>
              <w:rPr>
                <w:rFonts w:eastAsia="Malgun Gothic;맑은 고딕"/>
                <w:lang w:eastAsia="ko-KR"/>
              </w:rPr>
              <w:t xml:space="preserve"> [dBi]</w:t>
            </w:r>
          </w:p>
          <w:p>
            <w:pPr>
              <w:pStyle w:val="TAL1"/>
              <w:rPr>
                <w:lang w:eastAsia="ko-KR"/>
              </w:rPr>
            </w:pPr>
            <w:r>
              <w:rPr>
                <w:lang w:eastAsia="ko-KR"/>
              </w:rPr>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-7.5</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-7.5</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-4.5</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-3</w:t>
            </w:r>
          </w:p>
        </w:tc>
      </w:tr>
      <w:tr>
        <w:trPr/>
        <w:tc>
          <w:tcPr>
            <w:tcW w:w="1100" w:type="dxa"/>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ascii="Arial" w:hAnsi="Arial" w:cs="Arial"/>
                <w:sz w:val="18"/>
                <w:lang w:val="en-US" w:eastAsia="ko-KR"/>
              </w:rPr>
            </w:pPr>
            <w:r>
              <w:rPr>
                <w:rFonts w:cs="Arial"/>
                <w:sz w:val="18"/>
                <w:lang w:val="en-US" w:eastAsia="ko-KR"/>
              </w:rPr>
            </w:r>
          </w:p>
        </w:tc>
        <w:tc>
          <w:tcPr>
            <w:tcW w:w="2080" w:type="dxa"/>
            <w:tcBorders>
              <w:top w:val="single" w:sz="4" w:space="0" w:color="000000"/>
              <w:left w:val="single" w:sz="4" w:space="0" w:color="000000"/>
              <w:bottom w:val="single" w:sz="4" w:space="0" w:color="000000"/>
              <w:right w:val="single" w:sz="4" w:space="0" w:color="000000"/>
            </w:tcBorders>
            <w:vAlign w:val="center"/>
          </w:tcPr>
          <w:p>
            <w:pPr>
              <w:pStyle w:val="TAL1"/>
              <w:rPr/>
            </w:pPr>
            <w:r>
              <w:rPr>
                <w:lang w:eastAsia="ko-KR"/>
              </w:rPr>
              <w:t>Penetration Loss</w:t>
            </w:r>
            <w:r>
              <w:rPr>
                <w:vertAlign w:val="superscript"/>
                <w:lang w:eastAsia="ko-KR"/>
              </w:rPr>
              <w:t>2</w:t>
            </w:r>
            <w:r>
              <w:rPr>
                <w:lang w:eastAsia="ko-KR"/>
              </w:rPr>
              <w:t xml:space="preserve"> [dB]</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9</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9</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w:t>
            </w:r>
          </w:p>
        </w:tc>
      </w:tr>
      <w:tr>
        <w:trPr/>
        <w:tc>
          <w:tcPr>
            <w:tcW w:w="1100" w:type="dxa"/>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ascii="Arial" w:hAnsi="Arial" w:cs="Arial"/>
                <w:sz w:val="18"/>
                <w:lang w:val="en-US" w:eastAsia="ko-KR"/>
              </w:rPr>
            </w:pPr>
            <w:r>
              <w:rPr>
                <w:rFonts w:cs="Arial"/>
                <w:sz w:val="18"/>
                <w:lang w:val="en-US" w:eastAsia="ko-KR"/>
              </w:rPr>
            </w:r>
          </w:p>
        </w:tc>
        <w:tc>
          <w:tcPr>
            <w:tcW w:w="2080"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Total [dB]</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-7.5</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-16.5</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-13.5</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-3</w:t>
            </w:r>
          </w:p>
        </w:tc>
      </w:tr>
      <w:tr>
        <w:trPr/>
        <w:tc>
          <w:tcPr>
            <w:tcW w:w="3180" w:type="dxa"/>
            <w:gridSpan w:val="2"/>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Fading Margin [dB]</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9</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9</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9</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9</w:t>
            </w:r>
          </w:p>
        </w:tc>
      </w:tr>
      <w:tr>
        <w:trPr/>
        <w:tc>
          <w:tcPr>
            <w:tcW w:w="3180" w:type="dxa"/>
            <w:gridSpan w:val="2"/>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Interference Margin [dB]</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3</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0.5</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0.5</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3</w:t>
            </w:r>
          </w:p>
        </w:tc>
      </w:tr>
      <w:tr>
        <w:trPr/>
        <w:tc>
          <w:tcPr>
            <w:tcW w:w="1100" w:type="dxa"/>
            <w:vMerge w:val="restart"/>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DL</w:t>
            </w:r>
          </w:p>
        </w:tc>
        <w:tc>
          <w:tcPr>
            <w:tcW w:w="2080"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BS Tx Power [dBm]</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46</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46</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46</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46</w:t>
            </w:r>
          </w:p>
        </w:tc>
      </w:tr>
      <w:tr>
        <w:trPr/>
        <w:tc>
          <w:tcPr>
            <w:tcW w:w="11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sz w:val="18"/>
                <w:lang w:val="en-US" w:eastAsia="ko-KR"/>
              </w:rPr>
            </w:pPr>
            <w:r>
              <w:rPr>
                <w:rFonts w:cs="Arial"/>
                <w:sz w:val="18"/>
                <w:lang w:val="en-US" w:eastAsia="ko-KR"/>
              </w:rPr>
            </w:r>
          </w:p>
        </w:tc>
        <w:tc>
          <w:tcPr>
            <w:tcW w:w="2080" w:type="dxa"/>
            <w:tcBorders>
              <w:top w:val="single" w:sz="4" w:space="0" w:color="000000"/>
              <w:left w:val="single" w:sz="4" w:space="0" w:color="000000"/>
              <w:bottom w:val="single" w:sz="4" w:space="0" w:color="000000"/>
              <w:right w:val="single" w:sz="4" w:space="0" w:color="000000"/>
            </w:tcBorders>
            <w:vAlign w:val="center"/>
          </w:tcPr>
          <w:p>
            <w:pPr>
              <w:pStyle w:val="TAL1"/>
              <w:rPr/>
            </w:pPr>
            <w:r>
              <w:rPr>
                <w:lang w:eastAsia="ko-KR"/>
              </w:rPr>
              <w:t>UE REFSENS</w:t>
            </w:r>
            <w:r>
              <w:rPr>
                <w:vertAlign w:val="superscript"/>
                <w:lang w:eastAsia="ko-KR"/>
              </w:rPr>
              <w:t>3</w:t>
            </w:r>
            <w:r>
              <w:rPr>
                <w:lang w:eastAsia="ko-KR"/>
              </w:rPr>
              <w:t xml:space="preserve"> [dBm]</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-87.4</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-87.4</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-87.4</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-84.7</w:t>
            </w:r>
          </w:p>
        </w:tc>
      </w:tr>
      <w:tr>
        <w:trPr/>
        <w:tc>
          <w:tcPr>
            <w:tcW w:w="11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sz w:val="18"/>
                <w:lang w:val="en-US" w:eastAsia="ko-KR"/>
              </w:rPr>
            </w:pPr>
            <w:r>
              <w:rPr>
                <w:rFonts w:cs="Arial"/>
                <w:sz w:val="18"/>
                <w:lang w:val="en-US" w:eastAsia="ko-KR"/>
              </w:rPr>
            </w:r>
          </w:p>
        </w:tc>
        <w:tc>
          <w:tcPr>
            <w:tcW w:w="2080" w:type="dxa"/>
            <w:tcBorders>
              <w:top w:val="single" w:sz="4" w:space="0" w:color="000000"/>
              <w:left w:val="single" w:sz="4" w:space="0" w:color="000000"/>
              <w:bottom w:val="single" w:sz="4" w:space="0" w:color="000000"/>
              <w:right w:val="single" w:sz="4" w:space="0" w:color="000000"/>
            </w:tcBorders>
            <w:shd w:fill="C6EFCE" w:val="clear"/>
            <w:vAlign w:val="center"/>
          </w:tcPr>
          <w:p>
            <w:pPr>
              <w:pStyle w:val="TAL1"/>
              <w:rPr>
                <w:lang w:eastAsia="ko-KR"/>
              </w:rPr>
            </w:pPr>
            <w:r>
              <w:rPr>
                <w:lang w:eastAsia="ko-KR"/>
              </w:rPr>
              <w:t>Maximum allowable path loss [dB]</w:t>
            </w:r>
          </w:p>
        </w:tc>
        <w:tc>
          <w:tcPr>
            <w:tcW w:w="1353" w:type="dxa"/>
            <w:tcBorders>
              <w:top w:val="single" w:sz="4" w:space="0" w:color="000000"/>
              <w:left w:val="single" w:sz="4" w:space="0" w:color="000000"/>
              <w:bottom w:val="single" w:sz="4" w:space="0" w:color="000000"/>
              <w:right w:val="single" w:sz="4" w:space="0" w:color="000000"/>
            </w:tcBorders>
            <w:shd w:fill="C6EFCE" w:val="clear"/>
            <w:vAlign w:val="center"/>
          </w:tcPr>
          <w:p>
            <w:pPr>
              <w:pStyle w:val="TAC"/>
              <w:rPr>
                <w:lang w:eastAsia="ko-KR"/>
              </w:rPr>
            </w:pPr>
            <w:r>
              <w:rPr/>
              <w:t>131.9</w:t>
            </w:r>
          </w:p>
        </w:tc>
        <w:tc>
          <w:tcPr>
            <w:tcW w:w="1353" w:type="dxa"/>
            <w:tcBorders>
              <w:top w:val="single" w:sz="4" w:space="0" w:color="000000"/>
              <w:left w:val="single" w:sz="4" w:space="0" w:color="000000"/>
              <w:bottom w:val="single" w:sz="4" w:space="0" w:color="000000"/>
              <w:right w:val="single" w:sz="4" w:space="0" w:color="000000"/>
            </w:tcBorders>
            <w:shd w:fill="C6EFCE" w:val="clear"/>
            <w:vAlign w:val="center"/>
          </w:tcPr>
          <w:p>
            <w:pPr>
              <w:pStyle w:val="TAC"/>
              <w:rPr>
                <w:lang w:eastAsia="ko-KR"/>
              </w:rPr>
            </w:pPr>
            <w:r>
              <w:rPr/>
              <w:t>125.4</w:t>
            </w:r>
          </w:p>
        </w:tc>
        <w:tc>
          <w:tcPr>
            <w:tcW w:w="1353" w:type="dxa"/>
            <w:tcBorders>
              <w:top w:val="single" w:sz="4" w:space="0" w:color="000000"/>
              <w:left w:val="single" w:sz="4" w:space="0" w:color="000000"/>
              <w:bottom w:val="single" w:sz="4" w:space="0" w:color="000000"/>
              <w:right w:val="single" w:sz="4" w:space="0" w:color="000000"/>
            </w:tcBorders>
            <w:shd w:fill="C6EFCE" w:val="clear"/>
            <w:vAlign w:val="center"/>
          </w:tcPr>
          <w:p>
            <w:pPr>
              <w:pStyle w:val="TAC"/>
              <w:rPr>
                <w:lang w:eastAsia="ko-KR"/>
              </w:rPr>
            </w:pPr>
            <w:r>
              <w:rPr/>
              <w:t>128.4</w:t>
            </w:r>
          </w:p>
        </w:tc>
        <w:tc>
          <w:tcPr>
            <w:tcW w:w="1199" w:type="dxa"/>
            <w:tcBorders>
              <w:top w:val="single" w:sz="4" w:space="0" w:color="000000"/>
              <w:left w:val="single" w:sz="4" w:space="0" w:color="000000"/>
              <w:bottom w:val="single" w:sz="4" w:space="0" w:color="000000"/>
              <w:right w:val="single" w:sz="4" w:space="0" w:color="000000"/>
            </w:tcBorders>
            <w:shd w:fill="C6EFCE" w:val="clear"/>
            <w:vAlign w:val="center"/>
          </w:tcPr>
          <w:p>
            <w:pPr>
              <w:pStyle w:val="TAC"/>
              <w:rPr>
                <w:lang w:eastAsia="ko-KR"/>
              </w:rPr>
            </w:pPr>
            <w:r>
              <w:rPr/>
              <w:t>133.7</w:t>
            </w:r>
          </w:p>
        </w:tc>
      </w:tr>
      <w:tr>
        <w:trPr/>
        <w:tc>
          <w:tcPr>
            <w:tcW w:w="8438"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lang w:eastAsia="ko-KR"/>
              </w:rPr>
              <w:t>Note 1:</w:t>
            </w:r>
            <w:r>
              <w:rPr>
                <w:szCs w:val="16"/>
              </w:rPr>
              <w:tab/>
            </w:r>
            <w:r>
              <w:rPr>
                <w:lang w:eastAsia="ko-KR"/>
              </w:rPr>
              <w:t>UE Antenna Gain including cable &amp; body loss is based on [6].</w:t>
            </w:r>
            <w:r>
              <w:rPr>
                <w:b/>
                <w:bCs/>
                <w:kern w:val="2"/>
                <w:sz w:val="21"/>
                <w:szCs w:val="21"/>
                <w:lang w:eastAsia="en-GB"/>
              </w:rPr>
              <w:t xml:space="preserve"> </w:t>
            </w:r>
            <w:r>
              <w:rPr>
                <w:lang w:eastAsia="ko-KR"/>
              </w:rPr>
              <w:t xml:space="preserve">Detailed values for </w:t>
            </w:r>
            <w:r>
              <w:rPr>
                <w:rFonts w:eastAsia="Malgun Gothic;맑은 고딕"/>
                <w:lang w:eastAsia="ko-KR"/>
              </w:rPr>
              <w:t>n41 are based on follows:</w:t>
            </w:r>
          </w:p>
          <w:p>
            <w:pPr>
              <w:pStyle w:val="TAN"/>
              <w:rPr>
                <w:lang w:eastAsia="ko-KR"/>
              </w:rPr>
            </w:pPr>
            <w:r>
              <w:rPr>
                <w:szCs w:val="16"/>
              </w:rPr>
              <w:tab/>
            </w:r>
            <w:r>
              <w:rPr>
                <w:rFonts w:eastAsia="Malgun Gothic;맑은 고딕"/>
                <w:lang w:eastAsia="ko-KR"/>
              </w:rPr>
              <w:t xml:space="preserve">HH-UE : </w:t>
            </w:r>
            <w:hyperlink r:id="rId8">
              <w:r>
                <w:rPr>
                  <w:rStyle w:val="InternetLink"/>
                  <w:rFonts w:eastAsia="Malgun Gothic;맑은 고딕" w:cs="Arial"/>
                  <w:color w:val="000000"/>
                  <w:lang w:val="en-US" w:eastAsia="ko-KR"/>
                </w:rPr>
                <w:t>https://www.gsma.com/newsroom/wp-content/uploads/TS-24-v3-01.pdf</w:t>
              </w:r>
            </w:hyperlink>
          </w:p>
          <w:p>
            <w:pPr>
              <w:pStyle w:val="TAN"/>
              <w:rPr>
                <w:lang w:val="pt-BR" w:eastAsia="ko-KR"/>
              </w:rPr>
            </w:pPr>
            <w:r>
              <w:rPr>
                <w:szCs w:val="16"/>
              </w:rPr>
              <w:tab/>
            </w:r>
            <w:r>
              <w:rPr>
                <w:lang w:val="pt-BR" w:eastAsia="ko-KR"/>
              </w:rPr>
              <w:t>Vehicle UE</w:t>
            </w:r>
            <w:r>
              <w:rPr>
                <w:rFonts w:eastAsia="Malgun Gothic;맑은 고딕"/>
                <w:lang w:val="pt-BR" w:eastAsia="ko-KR"/>
              </w:rPr>
              <w:t>: 5GAA LS (R4-1811528)</w:t>
            </w:r>
          </w:p>
          <w:p>
            <w:pPr>
              <w:pStyle w:val="TAN"/>
              <w:rPr/>
            </w:pPr>
            <w:r>
              <w:rPr>
                <w:lang w:eastAsia="ko-KR"/>
              </w:rPr>
              <w:t>Note 2:</w:t>
            </w:r>
            <w:r>
              <w:rPr>
                <w:szCs w:val="16"/>
              </w:rPr>
              <w:tab/>
            </w:r>
            <w:r>
              <w:rPr>
                <w:lang w:eastAsia="ko-KR"/>
              </w:rPr>
              <w:t>O2I car penetration loss is based on TR</w:t>
            </w:r>
            <w:r>
              <w:rPr>
                <w:lang w:val="en-US" w:eastAsia="ko-KR"/>
              </w:rPr>
              <w:t> </w:t>
            </w:r>
            <w:r>
              <w:rPr>
                <w:lang w:eastAsia="ko-KR"/>
              </w:rPr>
              <w:t xml:space="preserve">38.901 </w:t>
            </w:r>
            <w:r>
              <w:rPr/>
              <w:t>[12],</w:t>
            </w:r>
            <w:r>
              <w:rPr>
                <w:lang w:eastAsia="ko-KR"/>
              </w:rPr>
              <w:t xml:space="preserve"> 7.4.3.2</w:t>
            </w:r>
          </w:p>
          <w:p>
            <w:pPr>
              <w:pStyle w:val="TAN"/>
              <w:rPr/>
            </w:pPr>
            <w:r>
              <w:rPr>
                <w:lang w:val="fr-FR" w:eastAsia="ko-KR"/>
              </w:rPr>
              <w:t>Note 3:</w:t>
            </w:r>
            <w:r>
              <w:rPr>
                <w:szCs w:val="16"/>
              </w:rPr>
              <w:tab/>
            </w:r>
            <w:r>
              <w:rPr>
                <w:lang w:val="fr-FR" w:eastAsia="ko-KR"/>
              </w:rPr>
              <w:t>4 Rx REFSENS = 2 Rx REFSENS (TS</w:t>
            </w:r>
            <w:r>
              <w:rPr>
                <w:lang w:val="en-US" w:eastAsia="ko-KR"/>
              </w:rPr>
              <w:t> </w:t>
            </w:r>
            <w:r>
              <w:rPr>
                <w:lang w:val="fr-FR" w:eastAsia="ko-KR"/>
              </w:rPr>
              <w:t>38.101-1</w:t>
            </w:r>
            <w:r>
              <w:rPr>
                <w:lang w:val="en-US" w:eastAsia="ko-KR"/>
              </w:rPr>
              <w:t> [3],</w:t>
            </w:r>
            <w:r>
              <w:rPr>
                <w:lang w:val="fr-FR" w:eastAsia="ko-KR"/>
              </w:rPr>
              <w:t xml:space="preserve"> Table 7.3.2-1) + </w:t>
            </w:r>
            <w:r>
              <w:rPr>
                <w:lang w:eastAsia="ko-KR"/>
              </w:rPr>
              <w:t>Δ</w:t>
            </w:r>
            <w:r>
              <w:rPr>
                <w:lang w:val="fr-FR" w:eastAsia="ko-KR"/>
              </w:rPr>
              <w:t>R</w:t>
            </w:r>
            <w:r>
              <w:rPr>
                <w:vertAlign w:val="subscript"/>
                <w:lang w:val="fr-FR" w:eastAsia="ko-KR"/>
              </w:rPr>
              <w:t>IB,4R</w:t>
            </w:r>
            <w:r>
              <w:rPr>
                <w:lang w:val="fr-FR" w:eastAsia="ko-KR"/>
              </w:rPr>
              <w:t xml:space="preserve"> (TS</w:t>
            </w:r>
            <w:r>
              <w:rPr>
                <w:lang w:val="en-US" w:eastAsia="ko-KR"/>
              </w:rPr>
              <w:t> </w:t>
            </w:r>
            <w:r>
              <w:rPr>
                <w:lang w:val="fr-FR" w:eastAsia="ko-KR"/>
              </w:rPr>
              <w:t>38.101-1</w:t>
            </w:r>
            <w:r>
              <w:rPr>
                <w:lang w:val="en-US" w:eastAsia="ko-KR"/>
              </w:rPr>
              <w:t> [3],</w:t>
            </w:r>
            <w:r>
              <w:rPr>
                <w:lang w:val="fr-FR" w:eastAsia="ko-KR"/>
              </w:rPr>
              <w:t xml:space="preserve"> Table 7.3.2-2)</w:t>
            </w:r>
          </w:p>
          <w:p>
            <w:pPr>
              <w:pStyle w:val="TAN"/>
              <w:rPr>
                <w:lang w:eastAsia="ko-KR"/>
              </w:rPr>
            </w:pPr>
            <w:r>
              <w:rPr>
                <w:bCs/>
                <w:lang w:eastAsia="ko-KR"/>
              </w:rPr>
              <w:t>Note 4:</w:t>
            </w:r>
            <w:r>
              <w:rPr>
                <w:szCs w:val="16"/>
              </w:rPr>
              <w:tab/>
            </w:r>
            <w:r>
              <w:rPr>
                <w:rFonts w:eastAsia="Malgun Gothic;맑은 고딕"/>
                <w:lang w:eastAsia="ko-KR"/>
              </w:rPr>
              <w:t>Antenna system gain per element = (ant. efficiency + directivity) + cable/Body Loss</w:t>
            </w:r>
          </w:p>
        </w:tc>
      </w:tr>
    </w:tbl>
    <w:p>
      <w:pPr>
        <w:pStyle w:val="Normal"/>
        <w:rPr>
          <w:lang w:val="en-US" w:eastAsia="ko-KR"/>
        </w:rPr>
      </w:pPr>
      <w:r>
        <w:rPr>
          <w:lang w:val="en-US" w:eastAsia="ko-KR"/>
        </w:rPr>
      </w:r>
    </w:p>
    <w:p>
      <w:pPr>
        <w:pStyle w:val="Normal"/>
        <w:rPr>
          <w:lang w:eastAsia="ko-KR"/>
        </w:rPr>
      </w:pPr>
      <w:r>
        <w:rPr>
          <w:lang w:eastAsia="ko-KR"/>
        </w:rPr>
        <w:t xml:space="preserve">The smallest difference in DL </w:t>
      </w:r>
      <w:r>
        <w:rPr>
          <w:lang w:eastAsia="ko-KR"/>
        </w:rPr>
        <w:t xml:space="preserve">Maximum allowable path loss </w:t>
      </w:r>
      <w:r>
        <w:rPr>
          <w:lang w:eastAsia="ko-KR"/>
        </w:rPr>
        <w:t xml:space="preserve">is </w:t>
      </w:r>
      <w:r>
        <w:rPr>
          <w:lang w:eastAsia="ko-KR"/>
        </w:rPr>
        <w:t xml:space="preserve">observed to be </w:t>
      </w:r>
      <w:r>
        <w:rPr>
          <w:lang w:eastAsia="ko-KR"/>
        </w:rPr>
        <w:t>1.8dB from the analysis.</w:t>
      </w:r>
    </w:p>
    <w:p>
      <w:pPr>
        <w:pStyle w:val="Normal"/>
        <w:rPr/>
      </w:pPr>
      <w:r>
        <w:rPr>
          <w:lang w:val="en-US" w:eastAsia="ko-KR"/>
        </w:rPr>
        <w:t xml:space="preserve">From evaluated </w:t>
      </w:r>
      <w:r>
        <w:rPr>
          <w:lang w:eastAsia="ko-KR"/>
        </w:rPr>
        <w:t xml:space="preserve">Maximum allowable path loss </w:t>
      </w:r>
      <w:r>
        <w:rPr>
          <w:lang w:val="en-US" w:eastAsia="ko-KR"/>
        </w:rPr>
        <w:t>value, actual cell coverage in n41 based on typical pathloss model defined in TR 38.901 [12] are shown in Figure 6.1.2-1 with relative cell coverage ratio which is normalized with 4Rx HHUE at outdoor.</w:t>
      </w:r>
    </w:p>
    <w:p>
      <w:pPr>
        <w:pStyle w:val="TH"/>
        <w:rPr>
          <w:lang w:val="en-US" w:eastAsia="en-US"/>
        </w:rPr>
      </w:pPr>
      <w:r>
        <w:rPr>
          <w:lang w:val="en-US" w:eastAsia="en-US"/>
        </w:rPr>
        <w:drawing>
          <wp:inline distT="0" distB="0" distL="0" distR="0">
            <wp:extent cx="5477510" cy="2037715"/>
            <wp:effectExtent l="0" t="0" r="0" b="0"/>
            <wp:docPr id="13" name="Diagram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 2" descr=""/>
                    <pic:cNvPicPr>
                      <a:picLocks noChangeAspect="1" noChangeArrowheads="1"/>
                    </pic:cNvPicPr>
                  </pic:nvPicPr>
                  <pic:blipFill>
                    <a:blip r:embed="rId9"/>
                    <a:srcRect l="-6" t="-16" r="-6" b="-16"/>
                    <a:stretch>
                      <a:fillRect/>
                    </a:stretch>
                  </pic:blipFill>
                  <pic:spPr bwMode="auto">
                    <a:xfrm>
                      <a:off x="0" y="0"/>
                      <a:ext cx="5477510" cy="2037715"/>
                    </a:xfrm>
                    <a:prstGeom prst="rect">
                      <a:avLst/>
                    </a:prstGeom>
                  </pic:spPr>
                </pic:pic>
              </a:graphicData>
            </a:graphic>
          </wp:inline>
        </w:drawing>
      </w:r>
    </w:p>
    <w:p>
      <w:pPr>
        <w:pStyle w:val="TF"/>
        <w:rPr>
          <w:lang w:val="en-US" w:eastAsia="ko-KR"/>
        </w:rPr>
      </w:pPr>
      <w:bookmarkStart w:id="28" w:name="_Ref524683391"/>
      <w:r>
        <w:rPr/>
        <w:t>Figure</w:t>
      </w:r>
      <w:bookmarkEnd w:id="28"/>
      <w:r>
        <w:rPr/>
        <w:t xml:space="preserve"> 6.1.2-1. Evaluated n41 cell coverage based on pathloss model in TR 38.901 [12]</w:t>
      </w:r>
    </w:p>
    <w:p>
      <w:pPr>
        <w:pStyle w:val="TextBody"/>
        <w:tabs>
          <w:tab w:val="clear" w:pos="284"/>
          <w:tab w:val="left" w:pos="1359" w:leader="none"/>
        </w:tabs>
        <w:ind w:firstLine="200"/>
        <w:rPr/>
      </w:pPr>
      <w:r>
        <w:rPr>
          <w:lang w:val="en-US" w:eastAsia="ko-KR"/>
        </w:rPr>
        <w:t>Based on Table 6.1.2-1 and Figure 6.1.2-1, interpretations are:</w:t>
      </w:r>
    </w:p>
    <w:p>
      <w:pPr>
        <w:pStyle w:val="B1"/>
        <w:rPr/>
      </w:pPr>
      <w:r>
        <w:rPr>
          <w:b/>
          <w:i/>
          <w:lang w:val="en-US" w:eastAsia="ko-KR"/>
        </w:rPr>
        <w:t>-</w:t>
        <w:tab/>
        <w:t>2 Rx Vehicular UE can provide larger Maximum allowable path loss value than 4 Rx HH UE.</w:t>
      </w:r>
    </w:p>
    <w:p>
      <w:pPr>
        <w:pStyle w:val="B1"/>
        <w:rPr>
          <w:rFonts w:eastAsia="Malgun Gothic;맑은 고딕"/>
          <w:lang w:val="en-US" w:eastAsia="ko-KR"/>
        </w:rPr>
      </w:pPr>
      <w:r>
        <w:rPr>
          <w:b/>
          <w:i/>
          <w:lang w:val="en-US" w:eastAsia="ko-KR"/>
        </w:rPr>
        <w:t>-</w:t>
        <w:tab/>
        <w:t>2 Rx Vehicular UE can provide at least 11% larger cell coverage than 4 Rx HH UE.</w:t>
      </w:r>
    </w:p>
    <w:p>
      <w:pPr>
        <w:pStyle w:val="Heading3"/>
        <w:rPr>
          <w:szCs w:val="16"/>
        </w:rPr>
      </w:pPr>
      <w:bookmarkStart w:id="29" w:name="__RefHeading___Toc535391240"/>
      <w:bookmarkEnd w:id="29"/>
      <w:r>
        <w:rPr>
          <w:szCs w:val="16"/>
        </w:rPr>
        <w:t>6.1.3</w:t>
        <w:tab/>
      </w:r>
      <w:r>
        <w:rPr>
          <w:szCs w:val="16"/>
        </w:rPr>
        <w:t>Conclusions</w:t>
      </w:r>
    </w:p>
    <w:p>
      <w:pPr>
        <w:pStyle w:val="Normal"/>
        <w:jc w:val="both"/>
        <w:rPr>
          <w:rFonts w:ascii="Arial" w:hAnsi="Arial" w:cs="Arial"/>
          <w:sz w:val="22"/>
          <w:szCs w:val="22"/>
        </w:rPr>
      </w:pPr>
      <w:r>
        <w:rPr>
          <w:rFonts w:eastAsia="Malgun Gothic;맑은 고딕"/>
          <w:lang w:eastAsia="ko-KR"/>
        </w:rPr>
        <w:t>According to the discussions and performance evaluation results captured in the previous section, the following conclusions can be drawn:</w:t>
      </w:r>
    </w:p>
    <w:p>
      <w:pPr>
        <w:pStyle w:val="B1"/>
        <w:rPr/>
      </w:pPr>
      <w:r>
        <w:rPr/>
        <w:t>-</w:t>
        <w:tab/>
        <w:t>2 Rx vehicular UE achieve higher Maximum allowable path loss in the evaluation scenarios</w:t>
      </w:r>
    </w:p>
    <w:p>
      <w:pPr>
        <w:pStyle w:val="B2"/>
        <w:rPr/>
      </w:pPr>
      <w:r>
        <w:rPr/>
        <w:t>-</w:t>
        <w:tab/>
        <w:t>Because of the fixed mounting of antennas several vehicle specific advantages (e.g. better antenna gain due to the limitation of the required sphere, no body losses) are given and result in the higher Maximum allowable path loss</w:t>
      </w:r>
    </w:p>
    <w:p>
      <w:pPr>
        <w:pStyle w:val="B1"/>
        <w:rPr/>
      </w:pPr>
      <w:r>
        <w:rPr/>
        <w:t>-</w:t>
        <w:tab/>
        <w:t>2 Rx vehicle implementation are less arbitrary in the performance as the number of possible antenna positions is much more limited compared to the handheld use cases and holding positions.</w:t>
      </w:r>
    </w:p>
    <w:p>
      <w:pPr>
        <w:pStyle w:val="B2"/>
        <w:rPr/>
      </w:pPr>
      <w:r>
        <w:rPr/>
        <w:t>-</w:t>
        <w:tab/>
        <w:t>Even in browsing mode there are several usage and holding positions whereas the vehicle has clear defined position because of the mounting.</w:t>
      </w:r>
    </w:p>
    <w:p>
      <w:pPr>
        <w:pStyle w:val="B1"/>
        <w:rPr/>
      </w:pPr>
      <w:r>
        <w:rPr/>
        <w:t>-</w:t>
        <w:tab/>
        <w:t>No performance degradation in cell-edge coverage was identified in case of allowing 2 Rx vehicular UEs</w:t>
      </w:r>
    </w:p>
    <w:p>
      <w:pPr>
        <w:pStyle w:val="Normal"/>
        <w:jc w:val="both"/>
        <w:rPr/>
      </w:pPr>
      <w:r>
        <w:rPr>
          <w:b/>
          <w:bCs/>
          <w:sz w:val="22"/>
          <w:szCs w:val="22"/>
        </w:rPr>
        <w:t xml:space="preserve">Conclusion: Based on the results of the cell-edge performance evaluation, there was no indication for a degradation of the cell-edge coverage performance by using 2Rx vehicular UEs in bands where 4Rx is mandated. This conclusion is valid when the vehicular UE reflects </w:t>
      </w:r>
      <w:r>
        <w:rPr>
          <w:b/>
          <w:bCs/>
          <w:sz w:val="22"/>
          <w:szCs w:val="22"/>
          <w:lang w:val="en-US"/>
        </w:rPr>
        <w:t>antenna system gain per element</w:t>
      </w:r>
      <w:r>
        <w:rPr>
          <w:b/>
          <w:bCs/>
          <w:sz w:val="22"/>
          <w:szCs w:val="22"/>
        </w:rPr>
        <w:t xml:space="preserve"> which is at least -4.8 dBi due to difference in maximum allowable path loss between 2 RX Vehicular UE and 4 RX HH UE outdoor in Table 6.1.2-1.</w:t>
      </w:r>
    </w:p>
    <w:p>
      <w:pPr>
        <w:pStyle w:val="Heading2"/>
        <w:rPr/>
      </w:pPr>
      <w:bookmarkStart w:id="30" w:name="__RefHeading___Toc535391241"/>
      <w:bookmarkEnd w:id="30"/>
      <w:r>
        <w:rPr>
          <w:szCs w:val="16"/>
        </w:rPr>
        <w:t>6.2</w:t>
        <w:tab/>
        <w:t>Evaluation on European Commission</w:t>
      </w:r>
      <w:r>
        <w:rPr>
          <w:bCs/>
        </w:rPr>
        <w:t>'</w:t>
      </w:r>
      <w:r>
        <w:rPr>
          <w:szCs w:val="16"/>
        </w:rPr>
        <w:t>s Broadband vision</w:t>
      </w:r>
    </w:p>
    <w:p>
      <w:pPr>
        <w:pStyle w:val="Normal"/>
        <w:rPr>
          <w:lang w:val="en-US" w:eastAsia="ko-KR"/>
        </w:rPr>
      </w:pPr>
      <w:r>
        <w:rPr/>
        <w:t>This section aims at summarizing the several studies which were conducted since RAN #80 meeting in order</w:t>
      </w:r>
      <w:r>
        <w:rPr>
          <w:lang w:val="en-US" w:eastAsia="ko-KR"/>
        </w:rPr>
        <w:t xml:space="preserve"> to conclude the evaluations of 2 RX impacts with respect to throughput required for European Commission</w:t>
      </w:r>
      <w:r>
        <w:rPr>
          <w:bCs/>
        </w:rPr>
        <w:t>'</w:t>
      </w:r>
      <w:r>
        <w:rPr>
          <w:lang w:val="en-US" w:eastAsia="ko-KR"/>
        </w:rPr>
        <w:t>s Broadband vision.</w:t>
      </w:r>
    </w:p>
    <w:p>
      <w:pPr>
        <w:pStyle w:val="Heading3"/>
        <w:rPr>
          <w:szCs w:val="16"/>
        </w:rPr>
      </w:pPr>
      <w:bookmarkStart w:id="31" w:name="__RefHeading___Toc535391242"/>
      <w:bookmarkEnd w:id="31"/>
      <w:r>
        <w:rPr>
          <w:szCs w:val="16"/>
        </w:rPr>
        <w:t>6.2.1</w:t>
        <w:tab/>
        <w:t>Scope of the Study</w:t>
      </w:r>
    </w:p>
    <w:p>
      <w:pPr>
        <w:pStyle w:val="Normal"/>
        <w:rPr/>
      </w:pPr>
      <w:r>
        <w:rPr>
          <w:lang w:val="en-US" w:eastAsia="ko-KR"/>
        </w:rPr>
        <w:t>In RAN 4 #88 meeting, a WF was agreed [6], where following agreements were reached:</w:t>
      </w:r>
    </w:p>
    <w:p>
      <w:pPr>
        <w:pStyle w:val="B1"/>
        <w:rPr/>
      </w:pPr>
      <w:r>
        <w:rPr/>
        <w:t>-</w:t>
        <w:tab/>
      </w:r>
      <w:r>
        <w:rPr>
          <w:lang w:val="en-US" w:eastAsia="ko-KR"/>
        </w:rPr>
        <w:t>Throughput study is out of scope of RAN 4.</w:t>
      </w:r>
    </w:p>
    <w:p>
      <w:pPr>
        <w:pStyle w:val="B1"/>
        <w:rPr/>
      </w:pPr>
      <w:r>
        <w:rPr/>
        <w:t>-</w:t>
        <w:tab/>
      </w:r>
      <w:r>
        <w:rPr>
          <w:lang w:val="en-US" w:eastAsia="ko-KR"/>
        </w:rPr>
        <w:t>Coverage is based on link budget analysis</w:t>
      </w:r>
    </w:p>
    <w:p>
      <w:pPr>
        <w:pStyle w:val="Normal"/>
        <w:rPr>
          <w:lang w:val="en-US" w:eastAsia="ko-KR"/>
        </w:rPr>
      </w:pPr>
      <w:r>
        <w:rPr>
          <w:lang w:val="en-US" w:eastAsia="ko-KR"/>
        </w:rPr>
        <w:t>In RAN #81 meeting, the following was agreed and LS was sent to RAN 4 [7]:</w:t>
      </w:r>
    </w:p>
    <w:p>
      <w:pPr>
        <w:pStyle w:val="B1"/>
        <w:rPr/>
      </w:pPr>
      <w:r>
        <w:rPr/>
        <w:t>-</w:t>
        <w:tab/>
      </w:r>
      <w:r>
        <w:rPr>
          <w:lang w:val="en-US" w:eastAsia="ko-KR"/>
        </w:rPr>
        <w:t>The impact of 2RX vehicular UEs on coverage in terms of cell edge performance has to be evaluated.</w:t>
      </w:r>
    </w:p>
    <w:p>
      <w:pPr>
        <w:pStyle w:val="B1"/>
        <w:rPr/>
      </w:pPr>
      <w:r>
        <w:rPr/>
        <w:t>-</w:t>
        <w:tab/>
      </w:r>
      <w:r>
        <w:rPr>
          <w:lang w:val="en-US" w:eastAsia="ko-KR"/>
        </w:rPr>
        <w:t>Cell capacity analysis is not considered essential.</w:t>
      </w:r>
    </w:p>
    <w:p>
      <w:pPr>
        <w:pStyle w:val="B1"/>
        <w:rPr>
          <w:lang w:val="en-US" w:eastAsia="ko-KR"/>
        </w:rPr>
      </w:pPr>
      <w:r>
        <w:rPr/>
        <w:t>-</w:t>
        <w:tab/>
      </w:r>
      <w:r>
        <w:rPr>
          <w:lang w:eastAsia="ko-KR"/>
        </w:rPr>
        <w:t>As a reference to the cell edge performance for link budget evaluation, the requirement of the European Commission</w:t>
      </w:r>
      <w:r>
        <w:rPr>
          <w:bCs/>
        </w:rPr>
        <w:t>'</w:t>
      </w:r>
      <w:r>
        <w:rPr>
          <w:lang w:eastAsia="ko-KR"/>
        </w:rPr>
        <w:t>s Broadband Europe vision of 30 Mbps downlink throughput could be used</w:t>
      </w:r>
    </w:p>
    <w:p>
      <w:pPr>
        <w:pStyle w:val="B1"/>
        <w:rPr/>
      </w:pPr>
      <w:r>
        <w:rPr/>
        <w:t>-</w:t>
        <w:tab/>
      </w:r>
      <w:r>
        <w:rPr>
          <w:lang w:eastAsia="ko-KR"/>
        </w:rPr>
        <w:t>To augment the existing pass/fail limit for reference sensitivity, an analysis could be provided of the downlink signal level at which a certain throughput target is reached.</w:t>
      </w:r>
    </w:p>
    <w:p>
      <w:pPr>
        <w:pStyle w:val="Heading3"/>
        <w:rPr/>
      </w:pPr>
      <w:bookmarkStart w:id="32" w:name="__RefHeading___Toc535391243"/>
      <w:bookmarkEnd w:id="32"/>
      <w:r>
        <w:rPr>
          <w:szCs w:val="16"/>
        </w:rPr>
        <w:t>6.2.2</w:t>
        <w:tab/>
        <w:t>Analysis of cell edge performance</w:t>
      </w:r>
    </w:p>
    <w:p>
      <w:pPr>
        <w:pStyle w:val="Normal"/>
        <w:rPr/>
      </w:pPr>
      <w:r>
        <w:rPr>
          <w:lang w:eastAsia="ko-KR"/>
        </w:rPr>
        <w:t>Intensive discussions and studies</w:t>
      </w:r>
      <w:r>
        <w:rPr>
          <w:lang w:val="en-US" w:eastAsia="ko-KR"/>
        </w:rPr>
        <w:t xml:space="preserve"> have been carried out to analyze link budgets and parameters for link budgets have been discussed extensively in several meetings and agreed in [8]. Based on the agreed parameters in [8][11], the following link budget study provided in section 6.1.</w:t>
      </w:r>
    </w:p>
    <w:p>
      <w:pPr>
        <w:pStyle w:val="Normal"/>
        <w:rPr/>
      </w:pPr>
      <w:r>
        <w:rPr>
          <w:lang w:val="en-US" w:eastAsia="ko-KR"/>
        </w:rPr>
        <w:t>It can be seen that Maximum allowable path loss values have been mentioned for analyzing cell coverage. As a part of the link budget discussions in [6][8][11], reference sensitivity values specified in TS 38.101-1 [3] have been taken into account for the frequency bands under discussion (example n41). It should be noted that reference sensitivity values mentioned in TS 38.101-1 [3], correspond to Fixed reference channel (FRC) for receiver requirements seen in TS 38.101-1 [3].</w:t>
      </w:r>
    </w:p>
    <w:p>
      <w:pPr>
        <w:pStyle w:val="Normal"/>
        <w:rPr/>
      </w:pPr>
      <w:r>
        <w:rPr>
          <w:lang w:val="en-US" w:eastAsia="ko-KR"/>
        </w:rPr>
        <w:t xml:space="preserve">The maximum throughput averaged over 1 frame which shall be met with FRC defined in </w:t>
      </w:r>
      <w:r>
        <w:rPr>
          <w:rFonts w:eastAsia="Malgun Gothic;맑은 고딕"/>
          <w:lang w:val="en-US" w:eastAsia="ko-KR"/>
        </w:rPr>
        <w:t>TS 3</w:t>
      </w:r>
      <w:r>
        <w:rPr>
          <w:rFonts w:eastAsia="Malgun Gothic;맑은 고딕"/>
          <w:lang w:val="en-US" w:eastAsia="ko-KR"/>
        </w:rPr>
        <w:t>8</w:t>
      </w:r>
      <w:r>
        <w:rPr>
          <w:rFonts w:eastAsia="Malgun Gothic;맑은 고딕"/>
          <w:lang w:val="en-US" w:eastAsia="ko-KR"/>
        </w:rPr>
        <w:t>.101</w:t>
      </w:r>
      <w:r>
        <w:rPr>
          <w:rFonts w:eastAsia="Malgun Gothic;맑은 고딕"/>
          <w:lang w:val="en-US" w:eastAsia="ko-KR"/>
        </w:rPr>
        <w:t>-1</w:t>
      </w:r>
      <w:r>
        <w:rPr>
          <w:lang w:val="en-US" w:eastAsia="ko-KR"/>
        </w:rPr>
        <w:t xml:space="preserve"> [3] is up to 34.603 Mbps. It is evident that the downlink signal level for meeting EC throughput requirement at cell edge performance, of 30 Mbps mentioned in [7], has been satisfied while calculating 2 RX link budgets for vehicular UEs.</w:t>
      </w:r>
    </w:p>
    <w:p>
      <w:pPr>
        <w:pStyle w:val="Normal"/>
        <w:rPr>
          <w:b/>
          <w:b/>
          <w:lang w:val="en-US" w:eastAsia="ko-KR"/>
        </w:rPr>
      </w:pPr>
      <w:r>
        <w:rPr>
          <w:lang w:eastAsia="ko-KR"/>
        </w:rPr>
        <w:t>Furthermore, it has been shown in section 6.1 that actual cell coverage analysis based on Table 6.1.1-1 using path loss models (RMa, UMa, UMI-SC, Freespace) does not impact the network and as well meets the required throughput limits recommended by RAN [7]</w:t>
      </w:r>
    </w:p>
    <w:p>
      <w:pPr>
        <w:pStyle w:val="Normal"/>
        <w:jc w:val="both"/>
        <w:rPr>
          <w:b/>
          <w:b/>
          <w:bCs/>
          <w:sz w:val="22"/>
          <w:szCs w:val="22"/>
        </w:rPr>
      </w:pPr>
      <w:r>
        <w:rPr>
          <w:b/>
          <w:bCs/>
          <w:sz w:val="22"/>
          <w:szCs w:val="22"/>
        </w:rPr>
        <w:t>Conclusion: The downlink signal level for meeting EC vision at cell edge performance, of 30 Mbps, has been satisfied while calculating link budgets for 2 RX vehicular UEs.</w:t>
      </w:r>
      <w:r>
        <w:br w:type="page"/>
      </w:r>
    </w:p>
    <w:p>
      <w:pPr>
        <w:pStyle w:val="Heading1"/>
        <w:ind w:left="1134" w:hanging="1134"/>
        <w:rPr/>
      </w:pPr>
      <w:bookmarkStart w:id="33" w:name="__RefHeading___Toc535391244"/>
      <w:bookmarkEnd w:id="33"/>
      <w:r>
        <w:rPr/>
        <w:t>7</w:t>
        <w:tab/>
        <w:t>Evaluation on the throughput related issue</w:t>
      </w:r>
    </w:p>
    <w:p>
      <w:pPr>
        <w:pStyle w:val="Normal"/>
        <w:rPr>
          <w:rFonts w:cs="Arial"/>
          <w:bCs/>
          <w:lang w:eastAsia="ko-KR"/>
        </w:rPr>
      </w:pPr>
      <w:r>
        <w:rPr>
          <w:lang w:val="en-US"/>
        </w:rPr>
        <w:t xml:space="preserve">Based on the agreed WF [6], the </w:t>
      </w:r>
      <w:r>
        <w:rPr/>
        <w:t>throughput evaluation is out-of-scope of RAN WG4. Hence, RAN4 do not need further discussion for the evaluation on the throughput issues. However, RAN4 has studied the</w:t>
      </w:r>
      <w:r>
        <w:rPr>
          <w:rFonts w:cs="Arial"/>
          <w:bCs/>
          <w:lang w:eastAsia="ko-KR"/>
        </w:rPr>
        <w:t xml:space="preserve"> cell edge performance based on link budget evaluation</w:t>
      </w:r>
      <w:r>
        <w:rPr/>
        <w:t xml:space="preserve"> to satisfy </w:t>
      </w:r>
      <w:r>
        <w:rPr>
          <w:rFonts w:cs="Arial"/>
          <w:bCs/>
          <w:lang w:eastAsia="ko-KR"/>
        </w:rPr>
        <w:t>the European Commission</w:t>
      </w:r>
      <w:r>
        <w:rPr>
          <w:bCs/>
        </w:rPr>
        <w:t>'</w:t>
      </w:r>
      <w:r>
        <w:rPr>
          <w:rFonts w:cs="Arial"/>
          <w:bCs/>
          <w:lang w:eastAsia="ko-KR"/>
        </w:rPr>
        <w:t>s Broadband Europe vision (see note) of 30 Mbps downlink throughput [7] in cluase 6 based on vehicle link budget evaluation.</w:t>
      </w:r>
    </w:p>
    <w:p>
      <w:pPr>
        <w:pStyle w:val="NO"/>
        <w:rPr>
          <w:rFonts w:eastAsia="MS Mincho;ＭＳ 明朝"/>
          <w:i/>
          <w:i/>
          <w:sz w:val="14"/>
          <w:lang w:val="en-US" w:eastAsia="ja-JP"/>
        </w:rPr>
      </w:pPr>
      <w:r>
        <w:rPr>
          <w:lang w:eastAsia="ko-KR"/>
        </w:rPr>
        <w:t>NOTE:</w:t>
        <w:tab/>
        <w:t>https://ec.europa.eu/digital-single-market/en/broadband-europe</w:t>
      </w:r>
      <w:r>
        <w:br w:type="page"/>
      </w:r>
    </w:p>
    <w:p>
      <w:pPr>
        <w:pStyle w:val="Heading1"/>
        <w:ind w:left="1134" w:hanging="1134"/>
        <w:rPr/>
      </w:pPr>
      <w:bookmarkStart w:id="34" w:name="__RefHeading___Toc535391245"/>
      <w:bookmarkEnd w:id="34"/>
      <w:r>
        <w:rPr/>
        <w:t>8</w:t>
        <w:tab/>
        <w:t>Method to distinguish the 2Rx vehicular NR UE from 4Rx NR UE</w:t>
      </w:r>
    </w:p>
    <w:p>
      <w:pPr>
        <w:pStyle w:val="Normal"/>
        <w:rPr>
          <w:lang w:eastAsia="zh-CN"/>
        </w:rPr>
      </w:pPr>
      <w:r>
        <w:rPr>
          <w:lang w:val="en-US" w:eastAsia="zh-CN"/>
        </w:rPr>
        <w:t>Based on the study in RAN4,</w:t>
      </w:r>
      <w:r>
        <w:rPr>
          <w:lang w:val="en-US" w:eastAsia="zh-CN"/>
        </w:rPr>
        <w:t xml:space="preserve"> following options</w:t>
      </w:r>
      <w:r>
        <w:rPr>
          <w:lang w:val="en-US" w:eastAsia="zh-CN"/>
        </w:rPr>
        <w:t xml:space="preserve"> in table 8-1are</w:t>
      </w:r>
      <w:r>
        <w:rPr>
          <w:lang w:val="en-US" w:eastAsia="zh-CN"/>
        </w:rPr>
        <w:t xml:space="preserve"> adopted to distinguish </w:t>
      </w:r>
      <w:r>
        <w:rPr>
          <w:lang w:val="en-US" w:eastAsia="zh-CN"/>
        </w:rPr>
        <w:t>vehicular UE and other type of UE.</w:t>
      </w:r>
    </w:p>
    <w:p>
      <w:pPr>
        <w:pStyle w:val="TH"/>
        <w:rPr>
          <w:lang w:eastAsia="zh-CN"/>
        </w:rPr>
      </w:pPr>
      <w:r>
        <w:rPr>
          <w:lang w:eastAsia="zh-CN"/>
        </w:rPr>
        <w:t>Table 8-1: Methods to distinguish vehicular UE and other type of UE</w:t>
      </w:r>
    </w:p>
    <w:tbl>
      <w:tblPr>
        <w:tblW w:w="8324" w:type="dxa"/>
        <w:jc w:val="center"/>
        <w:tblInd w:w="0" w:type="dxa"/>
        <w:tblLayout w:type="fixed"/>
        <w:tblCellMar>
          <w:top w:w="0" w:type="dxa"/>
          <w:left w:w="108" w:type="dxa"/>
          <w:bottom w:w="0" w:type="dxa"/>
          <w:right w:w="108" w:type="dxa"/>
        </w:tblCellMar>
      </w:tblPr>
      <w:tblGrid>
        <w:gridCol w:w="567"/>
        <w:gridCol w:w="1795"/>
        <w:gridCol w:w="2905"/>
        <w:gridCol w:w="3057"/>
      </w:tblGrid>
      <w:tr>
        <w:trPr>
          <w:trHeight w:val="248"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TAH"/>
              <w:rPr>
                <w:lang w:eastAsia="zh-CN"/>
              </w:rPr>
            </w:pPr>
            <w:r>
              <w:rPr>
                <w:lang w:eastAsia="zh-CN"/>
              </w:rPr>
              <w:t>No</w:t>
            </w:r>
          </w:p>
        </w:tc>
        <w:tc>
          <w:tcPr>
            <w:tcW w:w="1795" w:type="dxa"/>
            <w:tcBorders>
              <w:top w:val="single" w:sz="4" w:space="0" w:color="000000"/>
              <w:bottom w:val="single" w:sz="4" w:space="0" w:color="000000"/>
              <w:right w:val="single" w:sz="4" w:space="0" w:color="000000"/>
            </w:tcBorders>
            <w:vAlign w:val="center"/>
          </w:tcPr>
          <w:p>
            <w:pPr>
              <w:pStyle w:val="TAH"/>
              <w:rPr>
                <w:lang w:eastAsia="zh-CN"/>
              </w:rPr>
            </w:pPr>
            <w:r>
              <w:rPr>
                <w:lang w:eastAsia="zh-CN"/>
              </w:rPr>
              <w:t>Solution</w:t>
            </w:r>
          </w:p>
        </w:tc>
        <w:tc>
          <w:tcPr>
            <w:tcW w:w="2905" w:type="dxa"/>
            <w:tcBorders>
              <w:top w:val="single" w:sz="4" w:space="0" w:color="000000"/>
              <w:bottom w:val="single" w:sz="4" w:space="0" w:color="000000"/>
              <w:right w:val="single" w:sz="4" w:space="0" w:color="000000"/>
            </w:tcBorders>
            <w:vAlign w:val="center"/>
          </w:tcPr>
          <w:p>
            <w:pPr>
              <w:pStyle w:val="TAH"/>
              <w:rPr>
                <w:lang w:eastAsia="zh-CN"/>
              </w:rPr>
            </w:pPr>
            <w:r>
              <w:rPr>
                <w:lang w:eastAsia="zh-CN"/>
              </w:rPr>
              <w:t xml:space="preserve">Objective </w:t>
            </w:r>
          </w:p>
        </w:tc>
        <w:tc>
          <w:tcPr>
            <w:tcW w:w="3057" w:type="dxa"/>
            <w:tcBorders>
              <w:top w:val="single" w:sz="4" w:space="0" w:color="000000"/>
              <w:bottom w:val="single" w:sz="4" w:space="0" w:color="000000"/>
              <w:right w:val="single" w:sz="4" w:space="0" w:color="000000"/>
            </w:tcBorders>
          </w:tcPr>
          <w:p>
            <w:pPr>
              <w:pStyle w:val="TAH"/>
              <w:rPr>
                <w:lang w:eastAsia="zh-CN"/>
              </w:rPr>
            </w:pPr>
            <w:r>
              <w:rPr>
                <w:lang w:eastAsia="zh-CN"/>
              </w:rPr>
              <w:t>Action</w:t>
            </w:r>
          </w:p>
        </w:tc>
      </w:tr>
      <w:tr>
        <w:trPr>
          <w:trHeight w:val="496" w:hRule="atLeast"/>
        </w:trPr>
        <w:tc>
          <w:tcPr>
            <w:tcW w:w="567" w:type="dxa"/>
            <w:tcBorders>
              <w:left w:val="single" w:sz="4" w:space="0" w:color="000000"/>
              <w:bottom w:val="single" w:sz="4" w:space="0" w:color="000000"/>
              <w:right w:val="single" w:sz="4" w:space="0" w:color="000000"/>
            </w:tcBorders>
            <w:vAlign w:val="center"/>
          </w:tcPr>
          <w:p>
            <w:pPr>
              <w:pStyle w:val="TAL1"/>
              <w:rPr>
                <w:lang w:eastAsia="zh-CN"/>
              </w:rPr>
            </w:pPr>
            <w:r>
              <w:rPr>
                <w:lang w:eastAsia="zh-CN"/>
              </w:rPr>
              <w:t>1</w:t>
            </w:r>
          </w:p>
        </w:tc>
        <w:tc>
          <w:tcPr>
            <w:tcW w:w="1795" w:type="dxa"/>
            <w:tcBorders>
              <w:bottom w:val="single" w:sz="4" w:space="0" w:color="000000"/>
              <w:right w:val="single" w:sz="4" w:space="0" w:color="000000"/>
            </w:tcBorders>
            <w:vAlign w:val="center"/>
          </w:tcPr>
          <w:p>
            <w:pPr>
              <w:pStyle w:val="TAL1"/>
              <w:rPr/>
            </w:pPr>
            <w:r>
              <w:rPr>
                <w:lang w:eastAsia="zh-CN"/>
              </w:rPr>
              <w:t>UE vender</w:t>
            </w:r>
            <w:r>
              <w:rPr>
                <w:bCs/>
              </w:rPr>
              <w:t>'</w:t>
            </w:r>
            <w:r>
              <w:rPr>
                <w:lang w:eastAsia="zh-CN"/>
              </w:rPr>
              <w:t>s declaration for GCF certification</w:t>
            </w:r>
          </w:p>
        </w:tc>
        <w:tc>
          <w:tcPr>
            <w:tcW w:w="2905" w:type="dxa"/>
            <w:tcBorders>
              <w:bottom w:val="single" w:sz="4" w:space="0" w:color="000000"/>
              <w:right w:val="single" w:sz="4" w:space="0" w:color="000000"/>
            </w:tcBorders>
            <w:vAlign w:val="center"/>
          </w:tcPr>
          <w:p>
            <w:pPr>
              <w:pStyle w:val="TAL1"/>
              <w:rPr>
                <w:lang w:eastAsia="zh-CN"/>
              </w:rPr>
            </w:pPr>
            <w:r>
              <w:rPr>
                <w:lang w:eastAsia="zh-CN"/>
              </w:rPr>
              <w:t xml:space="preserve">For different UE type declaration, different requirements should be applicable and verified for certification test. </w:t>
            </w:r>
          </w:p>
        </w:tc>
        <w:tc>
          <w:tcPr>
            <w:tcW w:w="3057" w:type="dxa"/>
            <w:tcBorders>
              <w:bottom w:val="single" w:sz="4" w:space="0" w:color="000000"/>
              <w:right w:val="single" w:sz="4" w:space="0" w:color="000000"/>
            </w:tcBorders>
          </w:tcPr>
          <w:p>
            <w:pPr>
              <w:pStyle w:val="TAL1"/>
              <w:rPr>
                <w:lang w:eastAsia="zh-CN"/>
              </w:rPr>
            </w:pPr>
            <w:r>
              <w:rPr>
                <w:lang w:eastAsia="zh-CN"/>
              </w:rPr>
              <w:t>RAN5 should define different test cases for different UE type though in a same band.</w:t>
            </w:r>
          </w:p>
        </w:tc>
      </w:tr>
      <w:tr>
        <w:trPr>
          <w:trHeight w:val="248" w:hRule="atLeast"/>
        </w:trPr>
        <w:tc>
          <w:tcPr>
            <w:tcW w:w="567" w:type="dxa"/>
            <w:tcBorders>
              <w:left w:val="single" w:sz="4" w:space="0" w:color="000000"/>
              <w:bottom w:val="single" w:sz="4" w:space="0" w:color="000000"/>
              <w:right w:val="single" w:sz="4" w:space="0" w:color="000000"/>
            </w:tcBorders>
            <w:vAlign w:val="center"/>
          </w:tcPr>
          <w:p>
            <w:pPr>
              <w:pStyle w:val="TAL1"/>
              <w:rPr>
                <w:lang w:eastAsia="zh-CN"/>
              </w:rPr>
            </w:pPr>
            <w:r>
              <w:rPr>
                <w:lang w:eastAsia="zh-CN"/>
              </w:rPr>
              <w:t>2</w:t>
            </w:r>
          </w:p>
        </w:tc>
        <w:tc>
          <w:tcPr>
            <w:tcW w:w="1795" w:type="dxa"/>
            <w:tcBorders>
              <w:bottom w:val="single" w:sz="4" w:space="0" w:color="000000"/>
              <w:right w:val="single" w:sz="4" w:space="0" w:color="000000"/>
            </w:tcBorders>
            <w:vAlign w:val="center"/>
          </w:tcPr>
          <w:p>
            <w:pPr>
              <w:pStyle w:val="TAL1"/>
              <w:rPr>
                <w:lang w:eastAsia="zh-CN"/>
              </w:rPr>
            </w:pPr>
            <w:r>
              <w:rPr>
                <w:lang w:eastAsia="ko-KR"/>
              </w:rPr>
              <w:t xml:space="preserve"># of </w:t>
            </w:r>
            <w:r>
              <w:rPr>
                <w:lang w:eastAsia="ko-KR"/>
              </w:rPr>
              <w:t>MIMO layer</w:t>
            </w:r>
          </w:p>
        </w:tc>
        <w:tc>
          <w:tcPr>
            <w:tcW w:w="2905" w:type="dxa"/>
            <w:tcBorders>
              <w:bottom w:val="single" w:sz="4" w:space="0" w:color="000000"/>
              <w:right w:val="single" w:sz="4" w:space="0" w:color="000000"/>
            </w:tcBorders>
            <w:vAlign w:val="center"/>
          </w:tcPr>
          <w:p>
            <w:pPr>
              <w:pStyle w:val="TAL1"/>
              <w:rPr>
                <w:lang w:eastAsia="zh-CN"/>
              </w:rPr>
            </w:pPr>
            <w:r>
              <w:rPr>
                <w:lang w:eastAsia="ko-KR"/>
              </w:rPr>
              <w:t>Consider maximum supported MIMO layer signaling to distinguish 2Rx vs 4Rx UE</w:t>
            </w:r>
          </w:p>
        </w:tc>
        <w:tc>
          <w:tcPr>
            <w:tcW w:w="3057" w:type="dxa"/>
            <w:tcBorders>
              <w:bottom w:val="single" w:sz="4" w:space="0" w:color="000000"/>
              <w:right w:val="single" w:sz="4" w:space="0" w:color="000000"/>
            </w:tcBorders>
          </w:tcPr>
          <w:p>
            <w:pPr>
              <w:pStyle w:val="TAL1"/>
              <w:rPr>
                <w:lang w:eastAsia="ko-KR"/>
              </w:rPr>
            </w:pPr>
            <w:r>
              <w:rPr>
                <w:lang w:eastAsia="ko-KR"/>
              </w:rPr>
              <w:t>E</w:t>
            </w:r>
            <w:r>
              <w:rPr>
                <w:lang w:eastAsia="ko-KR"/>
              </w:rPr>
              <w:t xml:space="preserve">xisting </w:t>
            </w:r>
            <w:r>
              <w:rPr>
                <w:bCs/>
                <w:lang w:eastAsia="ko-KR"/>
              </w:rPr>
              <w:t>UE capability signaling</w:t>
            </w:r>
            <w:r>
              <w:rPr>
                <w:lang w:eastAsia="ko-KR"/>
              </w:rPr>
              <w:t xml:space="preserve"> can be used in networks</w:t>
            </w:r>
          </w:p>
        </w:tc>
      </w:tr>
      <w:tr>
        <w:trPr>
          <w:trHeight w:val="248" w:hRule="atLeast"/>
        </w:trPr>
        <w:tc>
          <w:tcPr>
            <w:tcW w:w="567" w:type="dxa"/>
            <w:tcBorders>
              <w:left w:val="single" w:sz="4" w:space="0" w:color="000000"/>
              <w:bottom w:val="single" w:sz="4" w:space="0" w:color="000000"/>
              <w:right w:val="single" w:sz="4" w:space="0" w:color="000000"/>
            </w:tcBorders>
            <w:vAlign w:val="center"/>
          </w:tcPr>
          <w:p>
            <w:pPr>
              <w:pStyle w:val="TAL1"/>
              <w:rPr>
                <w:lang w:eastAsia="ko-KR"/>
              </w:rPr>
            </w:pPr>
            <w:r>
              <w:rPr>
                <w:lang w:eastAsia="ko-KR"/>
              </w:rPr>
              <w:t>3</w:t>
            </w:r>
          </w:p>
        </w:tc>
        <w:tc>
          <w:tcPr>
            <w:tcW w:w="1795" w:type="dxa"/>
            <w:tcBorders>
              <w:bottom w:val="single" w:sz="4" w:space="0" w:color="000000"/>
              <w:right w:val="single" w:sz="4" w:space="0" w:color="000000"/>
            </w:tcBorders>
            <w:vAlign w:val="center"/>
          </w:tcPr>
          <w:p>
            <w:pPr>
              <w:pStyle w:val="TAL1"/>
              <w:rPr>
                <w:lang w:eastAsia="ko-KR"/>
              </w:rPr>
            </w:pPr>
            <w:r>
              <w:rPr>
                <w:lang w:eastAsia="zh-CN"/>
              </w:rPr>
              <w:t>Vehicular UE definition</w:t>
            </w:r>
          </w:p>
        </w:tc>
        <w:tc>
          <w:tcPr>
            <w:tcW w:w="2905" w:type="dxa"/>
            <w:tcBorders>
              <w:bottom w:val="single" w:sz="4" w:space="0" w:color="000000"/>
              <w:right w:val="single" w:sz="4" w:space="0" w:color="000000"/>
            </w:tcBorders>
            <w:vAlign w:val="center"/>
          </w:tcPr>
          <w:p>
            <w:pPr>
              <w:pStyle w:val="TAL1"/>
              <w:rPr>
                <w:lang w:eastAsia="ko-KR"/>
              </w:rPr>
            </w:pPr>
            <w:r>
              <w:rPr>
                <w:lang w:eastAsia="zh-CN"/>
              </w:rPr>
              <w:t>Define clearly the characteristic of vehicular UE in the spec.</w:t>
            </w:r>
          </w:p>
        </w:tc>
        <w:tc>
          <w:tcPr>
            <w:tcW w:w="3057" w:type="dxa"/>
            <w:tcBorders>
              <w:bottom w:val="single" w:sz="4" w:space="0" w:color="000000"/>
              <w:right w:val="single" w:sz="4" w:space="0" w:color="000000"/>
            </w:tcBorders>
          </w:tcPr>
          <w:p>
            <w:pPr>
              <w:pStyle w:val="TAL1"/>
              <w:rPr>
                <w:lang w:eastAsia="ko-KR"/>
              </w:rPr>
            </w:pPr>
            <w:r>
              <w:rPr>
                <w:lang w:eastAsia="zh-CN"/>
              </w:rPr>
              <w:t>RAN4 needs to work out an appropriate definition for vehicular UE</w:t>
            </w:r>
          </w:p>
        </w:tc>
      </w:tr>
      <w:tr>
        <w:trPr>
          <w:trHeight w:val="496" w:hRule="atLeast"/>
        </w:trPr>
        <w:tc>
          <w:tcPr>
            <w:tcW w:w="567" w:type="dxa"/>
            <w:tcBorders>
              <w:left w:val="single" w:sz="4" w:space="0" w:color="000000"/>
              <w:bottom w:val="single" w:sz="4" w:space="0" w:color="000000"/>
              <w:right w:val="single" w:sz="4" w:space="0" w:color="000000"/>
            </w:tcBorders>
            <w:vAlign w:val="center"/>
          </w:tcPr>
          <w:p>
            <w:pPr>
              <w:pStyle w:val="TAL1"/>
              <w:rPr>
                <w:lang w:eastAsia="zh-CN"/>
              </w:rPr>
            </w:pPr>
            <w:r>
              <w:rPr>
                <w:lang w:eastAsia="zh-CN"/>
              </w:rPr>
              <w:t>4</w:t>
            </w:r>
          </w:p>
        </w:tc>
        <w:tc>
          <w:tcPr>
            <w:tcW w:w="1795" w:type="dxa"/>
            <w:tcBorders>
              <w:bottom w:val="single" w:sz="4" w:space="0" w:color="000000"/>
              <w:right w:val="single" w:sz="4" w:space="0" w:color="000000"/>
            </w:tcBorders>
            <w:vAlign w:val="center"/>
          </w:tcPr>
          <w:p>
            <w:pPr>
              <w:pStyle w:val="TAL1"/>
              <w:rPr/>
            </w:pPr>
            <w:r>
              <w:rPr>
                <w:lang w:eastAsia="zh-CN"/>
              </w:rPr>
              <w:t>Vehicular UE identification</w:t>
            </w:r>
          </w:p>
        </w:tc>
        <w:tc>
          <w:tcPr>
            <w:tcW w:w="2905" w:type="dxa"/>
            <w:tcBorders>
              <w:bottom w:val="single" w:sz="4" w:space="0" w:color="000000"/>
              <w:right w:val="single" w:sz="4" w:space="0" w:color="000000"/>
            </w:tcBorders>
            <w:vAlign w:val="center"/>
          </w:tcPr>
          <w:p>
            <w:pPr>
              <w:pStyle w:val="TAL1"/>
              <w:rPr/>
            </w:pPr>
            <w:r>
              <w:rPr>
                <w:lang w:eastAsia="zh-CN"/>
              </w:rPr>
              <w:t>For different UE type, operator can further check the applicability, identify the 2Rx vehicular UE, authorize and perform service management.</w:t>
            </w:r>
          </w:p>
        </w:tc>
        <w:tc>
          <w:tcPr>
            <w:tcW w:w="3057" w:type="dxa"/>
            <w:tcBorders>
              <w:bottom w:val="single" w:sz="4" w:space="0" w:color="000000"/>
              <w:right w:val="single" w:sz="4" w:space="0" w:color="000000"/>
            </w:tcBorders>
          </w:tcPr>
          <w:p>
            <w:pPr>
              <w:pStyle w:val="TAL1"/>
              <w:rPr>
                <w:lang w:eastAsia="zh-CN"/>
              </w:rPr>
            </w:pPr>
            <w:r>
              <w:rPr>
                <w:lang w:eastAsia="zh-CN"/>
              </w:rPr>
              <w:t xml:space="preserve">RAN plenary CR </w:t>
            </w:r>
          </w:p>
        </w:tc>
      </w:tr>
    </w:tbl>
    <w:p>
      <w:pPr>
        <w:pStyle w:val="Normal"/>
        <w:rPr>
          <w:lang w:val="en-US" w:eastAsia="ko-KR"/>
        </w:rPr>
      </w:pPr>
      <w:r>
        <w:rPr>
          <w:lang w:val="en-US" w:eastAsia="ko-KR"/>
        </w:rPr>
      </w:r>
    </w:p>
    <w:p>
      <w:pPr>
        <w:pStyle w:val="Normal"/>
        <w:spacing w:lineRule="atLeast" w:line="38"/>
        <w:rPr>
          <w:lang w:val="en-US" w:eastAsia="ko-KR"/>
        </w:rPr>
      </w:pPr>
      <w:r>
        <w:rPr>
          <w:lang w:val="en-US" w:eastAsia="ko-KR"/>
        </w:rPr>
        <w:t>For option1, GCF sent LS [9] to RAN4 that 2Rx for vehicular UE exception could be handled as:</w:t>
      </w:r>
    </w:p>
    <w:p>
      <w:pPr>
        <w:pStyle w:val="B1"/>
        <w:rPr/>
      </w:pPr>
      <w:r>
        <w:rPr>
          <w:b/>
        </w:rPr>
        <w:t>-</w:t>
        <w:tab/>
        <w:t>For module certification:</w:t>
      </w:r>
    </w:p>
    <w:p>
      <w:pPr>
        <w:pStyle w:val="B2"/>
        <w:rPr/>
      </w:pPr>
      <w:r>
        <w:rPr/>
        <w:t>The module manufacturer shall declare the intended use:</w:t>
      </w:r>
    </w:p>
    <w:p>
      <w:pPr>
        <w:pStyle w:val="B3"/>
        <w:rPr/>
      </w:pPr>
      <w:r>
        <w:rPr/>
        <w:t>-</w:t>
        <w:tab/>
        <w:t>Intended for 4Rx devices; or</w:t>
      </w:r>
    </w:p>
    <w:p>
      <w:pPr>
        <w:pStyle w:val="B3"/>
        <w:rPr/>
      </w:pPr>
      <w:r>
        <w:rPr/>
        <w:t>-</w:t>
        <w:tab/>
        <w:t>Intended for 2Rx vehicle mounted devices; or</w:t>
      </w:r>
    </w:p>
    <w:p>
      <w:pPr>
        <w:pStyle w:val="B3"/>
        <w:rPr/>
      </w:pPr>
      <w:r>
        <w:rPr/>
        <w:t>-</w:t>
        <w:tab/>
        <w:t>Intended for 4Rx devices or 2Rx vehicle mounted devices.</w:t>
      </w:r>
    </w:p>
    <w:p>
      <w:pPr>
        <w:pStyle w:val="B1"/>
        <w:rPr/>
      </w:pPr>
      <w:r>
        <w:rPr>
          <w:b/>
        </w:rPr>
        <w:t>-</w:t>
        <w:tab/>
        <w:t>For device certification:</w:t>
      </w:r>
    </w:p>
    <w:p>
      <w:pPr>
        <w:pStyle w:val="B2"/>
        <w:rPr/>
      </w:pPr>
      <w:r>
        <w:rPr/>
        <w:t>The device manufacturer shall declare if the intended use:</w:t>
      </w:r>
    </w:p>
    <w:p>
      <w:pPr>
        <w:pStyle w:val="B3"/>
        <w:rPr/>
      </w:pPr>
      <w:r>
        <w:rPr/>
        <w:t>-</w:t>
        <w:tab/>
        <w:t>Vehicle mounted use only; or</w:t>
      </w:r>
    </w:p>
    <w:p>
      <w:pPr>
        <w:pStyle w:val="B3"/>
        <w:rPr/>
      </w:pPr>
      <w:r>
        <w:rPr/>
        <w:t>-</w:t>
        <w:tab/>
        <w:t>Other</w:t>
      </w:r>
    </w:p>
    <w:p>
      <w:pPr>
        <w:pStyle w:val="B1"/>
        <w:rPr/>
      </w:pPr>
      <w:r>
        <w:rPr/>
        <w:tab/>
      </w:r>
      <w:r>
        <w:rPr>
          <w:bCs/>
        </w:rPr>
        <w:t>For device certification the 2Rx exception will ONLY be valid for devices declared as 'Vehicle mounted use only'. Such device may use a pre-certified module declared as 'Intended for 2Rx vehicle mounted devices' or</w:t>
      </w:r>
    </w:p>
    <w:p>
      <w:pPr>
        <w:pStyle w:val="B1"/>
        <w:rPr/>
      </w:pPr>
      <w:r>
        <w:rPr>
          <w:bCs/>
        </w:rPr>
        <w:tab/>
        <w:t>'Intended for 4Rx devices or 2Rx vehicle mounted devices'.</w:t>
      </w:r>
    </w:p>
    <w:p>
      <w:pPr>
        <w:pStyle w:val="B1"/>
        <w:rPr/>
      </w:pPr>
      <w:r>
        <w:rPr/>
        <w:tab/>
        <w:t xml:space="preserve">For devices declared as </w:t>
      </w:r>
      <w:r>
        <w:rPr>
          <w:bCs/>
        </w:rPr>
        <w:t>'</w:t>
      </w:r>
      <w:r>
        <w:rPr/>
        <w:t>Other</w:t>
      </w:r>
      <w:r>
        <w:rPr>
          <w:bCs/>
        </w:rPr>
        <w:t>'</w:t>
      </w:r>
      <w:r>
        <w:rPr/>
        <w:t xml:space="preserve"> the certification shall be based on 4Rx, i.e. the 2Rx exception will NOT apply. If a pre-certified module is used, then shall the module have a valid certification for 4Rx.</w:t>
      </w:r>
    </w:p>
    <w:p>
      <w:pPr>
        <w:pStyle w:val="TextBody"/>
        <w:jc w:val="both"/>
        <w:rPr>
          <w:lang w:val="en-US" w:eastAsia="ko-KR"/>
        </w:rPr>
      </w:pPr>
      <w:r>
        <w:rPr>
          <w:lang w:val="en-US" w:eastAsia="ko-KR"/>
        </w:rPr>
        <w:t>For option 2, basically, there is no direct coupling between maximum supported MIMO layer and number of UE Rx port in LTE. But, in NR, following decision was captured in endorsed UE feature list during last RAN plenary meeting [3].</w:t>
      </w:r>
    </w:p>
    <w:p>
      <w:pPr>
        <w:pStyle w:val="TextBody"/>
        <w:ind w:left="400" w:hanging="0"/>
        <w:rPr>
          <w:i/>
          <w:i/>
          <w:lang w:val="en-US" w:eastAsia="ko-KR"/>
        </w:rPr>
      </w:pPr>
      <w:r>
        <w:rPr>
          <w:i/>
          <w:lang w:val="en-US" w:eastAsia="ko-KR"/>
        </w:rPr>
        <w:t>For single CC standalone NR, it is mandatory with capability signaling to support at least 4 MIMO layers in the bands where 4Rx is specified as mandatory for the given UE and at least 2 MIMO layers in FR2. Some relaxations to this requirement may be applicable in the future (including in Rel-15). Mandatory in all cases means mandatory with capability signaling.</w:t>
      </w:r>
    </w:p>
    <w:p>
      <w:pPr>
        <w:pStyle w:val="Normal"/>
        <w:rPr>
          <w:lang w:val="en-US" w:eastAsia="ko-KR"/>
        </w:rPr>
      </w:pPr>
      <w:r>
        <w:rPr>
          <w:lang w:val="en-US" w:eastAsia="ko-KR"/>
        </w:rPr>
        <w:t>It means that NR UE supporting 4 Rx should also support up to 4 layer MIMO at least for current 4 Rx mandated NR bands for single CC standalone NR. Thus, we can assume the maximum supported MIMO layer is directly coupled into the number of UE Rx port based on above decision. Also for CA/DC UE, the CA/DC UE capability for MIMO layer will be discussed and decided as separately. So the option2 is still useful to distinguish 2RX and 4RX UE.</w:t>
      </w:r>
    </w:p>
    <w:p>
      <w:pPr>
        <w:pStyle w:val="Normal"/>
        <w:rPr>
          <w:lang w:val="en-US"/>
        </w:rPr>
      </w:pPr>
      <w:r>
        <w:rPr>
          <w:lang w:val="en-US" w:eastAsia="ko-KR"/>
        </w:rPr>
        <w:t xml:space="preserve">For option3, </w:t>
      </w:r>
      <w:r>
        <w:rPr/>
        <w:t xml:space="preserve">the definition of vehicular UE should be specify in TS 38.101-1 [3] to distinguish vehicular UE and Handheld UE. Also need to make different REFSENS requirements. Then RAN5/GCF will </w:t>
      </w:r>
      <w:r>
        <w:rPr>
          <w:lang w:val="en-US" w:eastAsia="zh-CN"/>
        </w:rPr>
        <w:t>define different test cases for different UE type though in a same band.</w:t>
      </w:r>
    </w:p>
    <w:p>
      <w:pPr>
        <w:pStyle w:val="Normal"/>
        <w:rPr/>
      </w:pPr>
      <w:r>
        <w:rPr>
          <w:lang w:eastAsia="ko-KR"/>
        </w:rPr>
        <w:t>For option4,</w:t>
      </w:r>
      <w:r>
        <w:rPr>
          <w:lang w:eastAsia="ko-KR"/>
        </w:rPr>
        <w:t xml:space="preserve"> one possible solution is </w:t>
      </w:r>
      <w:r>
        <w:rPr/>
        <w:t>to adopt the approach of using the RFSP/SPID parameter and to define a new SPID value for "vehicle authorised for 2Rx use", as in Annex I of TS 36.300 [14]. The advantage of using the RFSP approach is that it is already fully standardised for both EPC and 5GCore. It is based on the RFSP parameter being loaded using existing O&amp;M processes into the HSS/UDM, and supplied to the MME/AMF when the UE Attaches (or does Tracking Area Update) in that MME/AMF. Then at every RRC Connection Establishment, the MME/AMF supplies the RFSP value to the RAN, and the RAN can then use"vehicle authorised for 2Rx use" value in combination with the UE</w:t>
      </w:r>
      <w:r>
        <w:rPr>
          <w:bCs/>
        </w:rPr>
        <w:t>'</w:t>
      </w:r>
      <w:r>
        <w:rPr/>
        <w:t>s Radio Access Capabilities, to control (e.g. limit or reject) radio resource allocation to 2Rx devices that are not in authorised vehicles. With regard to RFSP, the relevant EPS specifications are the system level Stage 2 specification in TS 23.401 (see clause 4.3.6); the HSS to MME signalling in TS 29.272 [13] (see clauses 7.3.2 and 7.3.46); the E-UTRAN stage 2 specification in TS 36.300 [14] (clause 16.1.8 and Annex I); the MME to eNB signalling in TS 36.413 [15] (e.g. see clauses 8.3.1.2, 8.3.4.1, 8.4.2.2, 8.6.2.2, and 9.2.1.39) and similar signalling for X2 handovers in TS 36.423 [16]. The specification references for 5GCore and NG-RAN can be derived from the EPS references.</w:t>
      </w:r>
    </w:p>
    <w:p>
      <w:pPr>
        <w:pStyle w:val="Normal"/>
        <w:rPr/>
      </w:pPr>
      <w:r>
        <w:rPr>
          <w:lang w:eastAsia="ko-KR"/>
        </w:rPr>
        <w:t xml:space="preserve">Based on the </w:t>
      </w:r>
      <w:r>
        <w:rPr>
          <w:lang w:eastAsia="ko-KR"/>
        </w:rPr>
        <w:t xml:space="preserve">summary in </w:t>
      </w:r>
      <w:r>
        <w:rPr>
          <w:lang w:eastAsia="ko-KR"/>
        </w:rPr>
        <w:t xml:space="preserve">Table </w:t>
      </w:r>
      <w:r>
        <w:rPr>
          <w:lang w:eastAsia="ko-KR"/>
        </w:rPr>
        <w:t>8-</w:t>
      </w:r>
      <w:r>
        <w:rPr>
          <w:lang w:eastAsia="ko-KR"/>
        </w:rPr>
        <w:t>1</w:t>
      </w:r>
      <w:r>
        <w:rPr>
          <w:lang w:eastAsia="ko-KR"/>
        </w:rPr>
        <w:t xml:space="preserve"> and GCF reply LS, RAN4 decide that </w:t>
      </w:r>
      <w:r>
        <w:rPr>
          <w:lang w:val="en-US" w:eastAsia="ko-KR"/>
        </w:rPr>
        <w:t>UE vendor</w:t>
      </w:r>
      <w:r>
        <w:rPr>
          <w:bCs/>
        </w:rPr>
        <w:t>'</w:t>
      </w:r>
      <w:r>
        <w:rPr>
          <w:lang w:val="en-US" w:eastAsia="ko-KR"/>
        </w:rPr>
        <w:t xml:space="preserve">s declaration is a solution for the certification aspect </w:t>
      </w:r>
      <w:r>
        <w:rPr>
          <w:lang w:eastAsia="ko-KR"/>
        </w:rPr>
        <w:t xml:space="preserve">and the existing </w:t>
      </w:r>
      <w:r>
        <w:rPr>
          <w:bCs/>
          <w:lang w:val="en-US" w:eastAsia="ko-KR"/>
        </w:rPr>
        <w:t>RRC signaling for # of MIMO layers are used to differentiate 2Rx vehicular UE from 4Rx NR UE</w:t>
      </w:r>
      <w:r>
        <w:rPr>
          <w:lang w:eastAsia="ko-KR"/>
        </w:rPr>
        <w:t>.</w:t>
      </w:r>
    </w:p>
    <w:p>
      <w:pPr>
        <w:pStyle w:val="Normal"/>
        <w:rPr>
          <w:lang w:eastAsia="ko-KR"/>
        </w:rPr>
      </w:pPr>
      <w:r>
        <w:rPr>
          <w:lang w:eastAsia="ko-KR"/>
        </w:rPr>
        <w:t>Therefore, RAN4 conclude as follow based on [11]:</w:t>
      </w:r>
    </w:p>
    <w:p>
      <w:pPr>
        <w:pStyle w:val="TextBody"/>
        <w:spacing w:before="0" w:after="120"/>
        <w:rPr>
          <w:lang w:val="en-US" w:eastAsia="ko-KR"/>
        </w:rPr>
      </w:pPr>
      <w:r>
        <w:rPr>
          <w:b/>
          <w:bCs/>
          <w:lang w:val="en-US" w:eastAsia="ko-KR"/>
        </w:rPr>
        <w:t>Conclusion 1:</w:t>
      </w:r>
      <w:r>
        <w:rPr>
          <w:lang w:val="en-US" w:eastAsia="ko-KR"/>
        </w:rPr>
        <w:t xml:space="preserve"> </w:t>
      </w:r>
      <w:r>
        <w:rPr>
          <w:lang w:eastAsia="ko-KR"/>
        </w:rPr>
        <w:t>Declare and differentiate 2 RX Vehicular UE through 3GPP compliance testing via GCF/other certification organizations [9].</w:t>
      </w:r>
    </w:p>
    <w:p>
      <w:pPr>
        <w:pStyle w:val="B1"/>
        <w:rPr>
          <w:lang w:val="en-US" w:eastAsia="ko-KR"/>
        </w:rPr>
      </w:pPr>
      <w:r>
        <w:rPr>
          <w:lang w:val="en-US" w:eastAsia="ko-KR"/>
        </w:rPr>
        <w:t>a.</w:t>
        <w:tab/>
        <w:t>3GPP do not need to consider UE outside 3GPP compliance.</w:t>
      </w:r>
    </w:p>
    <w:p>
      <w:pPr>
        <w:pStyle w:val="TextBody"/>
        <w:spacing w:before="0" w:after="120"/>
        <w:rPr/>
      </w:pPr>
      <w:r>
        <w:rPr>
          <w:b/>
          <w:bCs/>
          <w:lang w:val="en-US" w:eastAsia="ko-KR"/>
        </w:rPr>
        <w:t>Conclusion 2:</w:t>
      </w:r>
      <w:r>
        <w:rPr>
          <w:lang w:val="en-US" w:eastAsia="ko-KR"/>
        </w:rPr>
        <w:t xml:space="preserve"> </w:t>
      </w:r>
      <w:r>
        <w:rPr>
          <w:bCs/>
          <w:lang w:val="en-US" w:eastAsia="ko-KR"/>
        </w:rPr>
        <w:t>RAN 4 agree on existing UE capability signaling for # of MIMO layers to differentiate 2 RX UE from 4 RX UE</w:t>
      </w:r>
      <w:r>
        <w:rPr>
          <w:lang w:val="en-US" w:eastAsia="ko-KR"/>
        </w:rPr>
        <w:t>.</w:t>
      </w:r>
    </w:p>
    <w:p>
      <w:pPr>
        <w:pStyle w:val="TextBody"/>
        <w:spacing w:before="0" w:after="120"/>
        <w:rPr/>
      </w:pPr>
      <w:r>
        <w:rPr>
          <w:b/>
          <w:bCs/>
          <w:lang w:val="en-US" w:eastAsia="ko-KR"/>
        </w:rPr>
        <w:t>Conclusion 3:</w:t>
      </w:r>
      <w:r>
        <w:rPr>
          <w:lang w:val="en-US" w:eastAsia="ko-KR"/>
        </w:rPr>
        <w:t xml:space="preserve"> Definition of Vehicular UE in TS 38.101-1 [3] is needed.</w:t>
      </w:r>
    </w:p>
    <w:p>
      <w:pPr>
        <w:pStyle w:val="TextBody"/>
        <w:spacing w:before="0" w:after="120"/>
        <w:ind w:left="200" w:hanging="0"/>
        <w:rPr>
          <w:lang w:eastAsia="ko-KR"/>
        </w:rPr>
      </w:pPr>
      <w:r>
        <w:rPr>
          <w:b/>
          <w:lang w:val="en-US" w:eastAsia="ko-KR"/>
        </w:rPr>
        <w:t xml:space="preserve">Vehicular UE: </w:t>
      </w:r>
      <w:r>
        <w:rPr>
          <w:lang w:val="en-US" w:eastAsia="ko-KR"/>
        </w:rPr>
        <w:t>A UE which is integrated</w:t>
      </w:r>
      <w:r>
        <w:rPr>
          <w:vertAlign w:val="superscript"/>
          <w:lang w:val="en-US" w:eastAsia="ko-KR"/>
        </w:rPr>
        <w:t xml:space="preserve"> </w:t>
      </w:r>
      <w:r>
        <w:rPr>
          <w:lang w:val="en-US" w:eastAsia="ko-KR"/>
        </w:rPr>
        <w:t>in a vehicle with externally radiating antennas for NR operating bands</w:t>
      </w:r>
    </w:p>
    <w:p>
      <w:pPr>
        <w:pStyle w:val="TextBody"/>
        <w:spacing w:before="0" w:after="120"/>
        <w:ind w:left="200" w:hanging="0"/>
        <w:rPr>
          <w:b/>
          <w:b/>
          <w:lang w:eastAsia="ko-KR"/>
        </w:rPr>
      </w:pPr>
      <w:r>
        <w:rPr>
          <w:lang w:eastAsia="ko-KR"/>
        </w:rPr>
        <w:t>Note: Integrated UE does not refer to other UE form factors placed inside the vehicle.</w:t>
      </w:r>
    </w:p>
    <w:p>
      <w:pPr>
        <w:pStyle w:val="TextBody"/>
        <w:spacing w:before="0" w:after="120"/>
        <w:rPr>
          <w:b/>
          <w:b/>
          <w:bCs/>
        </w:rPr>
      </w:pPr>
      <w:r>
        <w:rPr>
          <w:b/>
          <w:bCs/>
        </w:rPr>
        <w:t xml:space="preserve">Conclusion 4: </w:t>
      </w:r>
      <w:r>
        <w:rPr>
          <w:bCs/>
        </w:rPr>
        <w:t>For Vehicular UE, network based identification is required for authorization purposes. The actual implementation of network based identification method does not impact 3GPP decision on 2 RX exception.</w:t>
      </w:r>
    </w:p>
    <w:p>
      <w:pPr>
        <w:pStyle w:val="B1"/>
        <w:rPr>
          <w:lang w:eastAsia="ko-KR"/>
        </w:rPr>
      </w:pPr>
      <w:r>
        <w:rPr>
          <w:lang w:val="en-US" w:eastAsia="ko-KR"/>
        </w:rPr>
        <w:t>a.</w:t>
        <w:tab/>
        <w:t>A possible solution to implement conclusion 2 is based on SPID value in 36.300[14] / 38.300 (Annex I), targeting rel-15 and beyond, to be captured in TR 38.826.</w:t>
      </w:r>
    </w:p>
    <w:p>
      <w:pPr>
        <w:pStyle w:val="B1"/>
        <w:rPr>
          <w:lang w:eastAsia="ko-KR"/>
        </w:rPr>
      </w:pPr>
      <w:r>
        <w:rPr>
          <w:lang w:val="en-US" w:eastAsia="ko-KR"/>
        </w:rPr>
        <w:t>b.</w:t>
        <w:tab/>
        <w:t>Other network based identification proposals in 3GPP are not precluded.</w:t>
      </w:r>
    </w:p>
    <w:p>
      <w:pPr>
        <w:pStyle w:val="B1"/>
        <w:rPr>
          <w:lang w:eastAsia="ko-KR"/>
        </w:rPr>
      </w:pPr>
      <w:r>
        <w:rPr>
          <w:lang w:val="en-US" w:eastAsia="ko-KR"/>
        </w:rPr>
        <w:t>c.</w:t>
        <w:tab/>
        <w:t>RAN 4 recommends RAN to consider other network based identification proposals without additional RAN signaling.</w:t>
      </w:r>
    </w:p>
    <w:p>
      <w:pPr>
        <w:pStyle w:val="Normal"/>
        <w:rPr>
          <w:sz w:val="22"/>
          <w:lang w:eastAsia="ko-KR"/>
        </w:rPr>
      </w:pPr>
      <w:r>
        <w:rPr>
          <w:sz w:val="22"/>
          <w:lang w:eastAsia="ko-KR"/>
        </w:rPr>
      </w:r>
    </w:p>
    <w:p>
      <w:pPr>
        <w:pStyle w:val="Normal"/>
        <w:spacing w:before="0" w:after="120"/>
        <w:rPr>
          <w:b/>
          <w:b/>
          <w:bCs/>
          <w:sz w:val="22"/>
          <w:lang w:eastAsia="ko-KR"/>
        </w:rPr>
      </w:pPr>
      <w:r>
        <w:rPr>
          <w:b/>
          <w:bCs/>
          <w:sz w:val="22"/>
          <w:lang w:eastAsia="ko-KR"/>
        </w:rPr>
        <w:t>Final Conclusion: 2 RX Vehicular UE can be distinguished based on conclusion 1+2+3+4</w:t>
      </w:r>
      <w:r>
        <w:br w:type="page"/>
      </w:r>
    </w:p>
    <w:p>
      <w:pPr>
        <w:pStyle w:val="Heading9"/>
        <w:rPr/>
      </w:pPr>
      <w:bookmarkStart w:id="35" w:name="__RefHeading___Toc535391246"/>
      <w:bookmarkStart w:id="36" w:name="historyclause"/>
      <w:bookmarkEnd w:id="35"/>
      <w:bookmarkEnd w:id="36"/>
      <w:r>
        <w:rPr/>
        <w:t>Annex A:</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759"/>
        <w:gridCol w:w="861"/>
        <w:gridCol w:w="1038"/>
        <w:gridCol w:w="404"/>
        <w:gridCol w:w="382"/>
        <w:gridCol w:w="382"/>
        <w:gridCol w:w="5105"/>
        <w:gridCol w:w="708"/>
      </w:tblGrid>
      <w:tr>
        <w:trPr>
          <w:trHeight w:val="205" w:hRule="atLeast"/>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1"/>
              <w:jc w:val="center"/>
              <w:rPr>
                <w:b/>
                <w:b/>
                <w:lang w:val="en-GB"/>
              </w:rPr>
            </w:pPr>
            <w:r>
              <w:rPr>
                <w:b/>
              </w:rPr>
              <w:t>Change history</w:t>
            </w:r>
          </w:p>
        </w:tc>
      </w:tr>
      <w:tr>
        <w:trPr>
          <w:trHeight w:val="167" w:hRule="atLeast"/>
        </w:trPr>
        <w:tc>
          <w:tcPr>
            <w:tcW w:w="759"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Date</w:t>
            </w:r>
          </w:p>
        </w:tc>
        <w:tc>
          <w:tcPr>
            <w:tcW w:w="861"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Meeting</w:t>
            </w:r>
          </w:p>
        </w:tc>
        <w:tc>
          <w:tcPr>
            <w:tcW w:w="1038"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TDoc</w:t>
            </w:r>
          </w:p>
        </w:tc>
        <w:tc>
          <w:tcPr>
            <w:tcW w:w="404"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CR</w:t>
            </w:r>
          </w:p>
        </w:tc>
        <w:tc>
          <w:tcPr>
            <w:tcW w:w="382" w:type="dxa"/>
            <w:tcBorders>
              <w:top w:val="single" w:sz="6" w:space="0" w:color="000000"/>
              <w:left w:val="single" w:sz="6" w:space="0" w:color="000000"/>
              <w:bottom w:val="single" w:sz="6" w:space="0" w:color="000000"/>
              <w:right w:val="single" w:sz="6" w:space="0" w:color="000000"/>
            </w:tcBorders>
            <w:shd w:fill="E5E5E5" w:val="clear"/>
          </w:tcPr>
          <w:p>
            <w:pPr>
              <w:pStyle w:val="TAL1"/>
              <w:snapToGrid w:val="false"/>
              <w:rPr>
                <w:b/>
                <w:b/>
                <w:sz w:val="16"/>
              </w:rPr>
            </w:pPr>
            <w:r>
              <w:rPr>
                <w:b/>
                <w:sz w:val="16"/>
              </w:rPr>
            </w:r>
          </w:p>
        </w:tc>
        <w:tc>
          <w:tcPr>
            <w:tcW w:w="382"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Rev</w:t>
            </w:r>
          </w:p>
        </w:tc>
        <w:tc>
          <w:tcPr>
            <w:tcW w:w="5105"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New version</w:t>
            </w:r>
          </w:p>
        </w:tc>
      </w:tr>
      <w:tr>
        <w:trPr>
          <w:trHeight w:val="526" w:hRule="atLeast"/>
        </w:trPr>
        <w:tc>
          <w:tcPr>
            <w:tcW w:w="75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eastAsia="ko-KR"/>
              </w:rPr>
            </w:pPr>
            <w:r>
              <w:rPr>
                <w:rFonts w:eastAsia="Malgun Gothic;맑은 고딕"/>
                <w:sz w:val="16"/>
                <w:szCs w:val="16"/>
                <w:lang w:eastAsia="ko-KR"/>
              </w:rPr>
              <w:t>2018-0</w:t>
            </w:r>
            <w:r>
              <w:rPr>
                <w:rFonts w:eastAsia="Malgun Gothic;맑은 고딕"/>
                <w:sz w:val="16"/>
                <w:szCs w:val="16"/>
                <w:lang w:eastAsia="ko-KR"/>
              </w:rPr>
              <w:t>8</w:t>
            </w:r>
          </w:p>
        </w:tc>
        <w:tc>
          <w:tcPr>
            <w:tcW w:w="86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eastAsia="ko-KR"/>
              </w:rPr>
            </w:pPr>
            <w:r>
              <w:rPr>
                <w:rFonts w:eastAsia="Malgun Gothic;맑은 고딕"/>
                <w:sz w:val="16"/>
                <w:szCs w:val="16"/>
                <w:lang w:eastAsia="ko-KR"/>
              </w:rPr>
              <w:t>RAN4 #8</w:t>
            </w:r>
            <w:r>
              <w:rPr>
                <w:rFonts w:eastAsia="Malgun Gothic;맑은 고딕"/>
                <w:sz w:val="16"/>
                <w:szCs w:val="16"/>
                <w:lang w:eastAsia="ko-KR"/>
              </w:rPr>
              <w:t>8</w:t>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eastAsia="ko-KR"/>
              </w:rPr>
            </w:pPr>
            <w:r>
              <w:rPr>
                <w:rFonts w:eastAsia="Malgun Gothic;맑은 고딕"/>
                <w:sz w:val="16"/>
                <w:szCs w:val="16"/>
                <w:lang w:eastAsia="ko-KR"/>
              </w:rPr>
              <w:t>R4-181044</w:t>
            </w:r>
            <w:r>
              <w:rPr>
                <w:rFonts w:eastAsia="Malgun Gothic;맑은 고딕"/>
                <w:sz w:val="16"/>
                <w:szCs w:val="16"/>
                <w:lang w:eastAsia="ko-KR"/>
              </w:rPr>
              <w:t>9</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algun Gothic;맑은 고딕"/>
                <w:sz w:val="16"/>
                <w:szCs w:val="16"/>
                <w:lang w:eastAsia="ko-KR"/>
              </w:rPr>
            </w:pPr>
            <w:r>
              <w:rPr>
                <w:rFonts w:eastAsia="Malgun Gothic;맑은 고딕"/>
                <w:sz w:val="16"/>
                <w:szCs w:val="16"/>
                <w:lang w:eastAsia="ko-KR"/>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C"/>
              <w:jc w:val="both"/>
              <w:rPr>
                <w:rFonts w:eastAsia="Malgun Gothic;맑은 고딕"/>
                <w:sz w:val="16"/>
                <w:szCs w:val="16"/>
                <w:lang w:eastAsia="ko-KR"/>
              </w:rPr>
            </w:pPr>
            <w:r>
              <w:rPr>
                <w:rFonts w:eastAsia="Malgun Gothic;맑은 고딕"/>
                <w:sz w:val="16"/>
                <w:szCs w:val="16"/>
                <w:lang w:eastAsia="ko-KR"/>
              </w:rPr>
              <w:t>TR</w:t>
            </w:r>
            <w:r>
              <w:rPr>
                <w:rFonts w:eastAsia="Malgun Gothic;맑은 고딕"/>
                <w:sz w:val="16"/>
                <w:szCs w:val="16"/>
                <w:lang w:eastAsia="ko-KR"/>
              </w:rPr>
              <w:t>38.826 Skeleton for</w:t>
            </w:r>
            <w:r>
              <w:rPr>
                <w:rFonts w:eastAsia="Malgun Gothic;맑은 고딕"/>
                <w:sz w:val="16"/>
                <w:szCs w:val="16"/>
                <w:lang w:eastAsia="ko-KR"/>
              </w:rPr>
              <w:t xml:space="preserve"> </w:t>
            </w:r>
            <w:r>
              <w:rPr>
                <w:rFonts w:eastAsia="Malgun Gothic;맑은 고딕"/>
                <w:sz w:val="16"/>
                <w:szCs w:val="16"/>
                <w:lang w:eastAsia="ko-KR"/>
              </w:rPr>
              <w:t>Study on evaluation for 2Rx exception</w:t>
            </w:r>
            <w:r>
              <w:rPr>
                <w:rFonts w:eastAsia="Malgun Gothic;맑은 고딕"/>
                <w:sz w:val="16"/>
                <w:szCs w:val="16"/>
                <w:lang w:eastAsia="ko-KR"/>
              </w:rPr>
              <w:t xml:space="preserve"> </w:t>
            </w:r>
            <w:r>
              <w:rPr>
                <w:rFonts w:eastAsia="Malgun Gothic;맑은 고딕"/>
                <w:sz w:val="16"/>
                <w:szCs w:val="16"/>
                <w:lang w:eastAsia="ko-KR"/>
              </w:rPr>
              <w:t>in rel-15 vehicle mounted UE for NR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eastAsia="Malgun Gothic;맑은 고딕"/>
                <w:sz w:val="16"/>
                <w:szCs w:val="16"/>
                <w:lang w:eastAsia="ko-KR"/>
              </w:rPr>
              <w:t>0</w:t>
            </w:r>
            <w:r>
              <w:rPr>
                <w:rFonts w:eastAsia="Malgun Gothic;맑은 고딕"/>
                <w:sz w:val="16"/>
                <w:szCs w:val="16"/>
                <w:lang w:eastAsia="ko-KR"/>
              </w:rPr>
              <w:t>.0.1</w:t>
            </w:r>
          </w:p>
        </w:tc>
      </w:tr>
      <w:tr>
        <w:trPr>
          <w:trHeight w:val="179" w:hRule="atLeast"/>
        </w:trPr>
        <w:tc>
          <w:tcPr>
            <w:tcW w:w="75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S Mincho;ＭＳ 明朝"/>
                <w:sz w:val="16"/>
                <w:szCs w:val="16"/>
                <w:lang w:eastAsia="ja-JP"/>
              </w:rPr>
            </w:pPr>
            <w:r>
              <w:rPr>
                <w:rFonts w:eastAsia="MS Mincho;ＭＳ 明朝"/>
                <w:sz w:val="16"/>
                <w:szCs w:val="16"/>
                <w:lang w:eastAsia="ja-JP"/>
              </w:rPr>
            </w:r>
          </w:p>
        </w:tc>
        <w:tc>
          <w:tcPr>
            <w:tcW w:w="86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S Mincho;ＭＳ 明朝"/>
                <w:sz w:val="16"/>
                <w:szCs w:val="16"/>
                <w:lang w:eastAsia="ja-JP"/>
              </w:rPr>
            </w:pPr>
            <w:r>
              <w:rPr>
                <w:rFonts w:eastAsia="MS Mincho;ＭＳ 明朝"/>
                <w:sz w:val="16"/>
                <w:szCs w:val="16"/>
                <w:lang w:eastAsia="ja-JP"/>
              </w:rPr>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S Mincho;ＭＳ 明朝"/>
                <w:sz w:val="16"/>
                <w:szCs w:val="16"/>
                <w:lang w:eastAsia="ja-JP"/>
              </w:rPr>
            </w:pPr>
            <w:r>
              <w:rPr>
                <w:rFonts w:eastAsia="Malgun Gothic;맑은 고딕"/>
                <w:sz w:val="16"/>
                <w:szCs w:val="16"/>
                <w:lang w:eastAsia="ko-KR"/>
              </w:rPr>
              <w:t>R4-1811897</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S Mincho;ＭＳ 明朝"/>
                <w:sz w:val="16"/>
                <w:szCs w:val="16"/>
                <w:lang w:eastAsia="ja-JP"/>
              </w:rPr>
            </w:pPr>
            <w:r>
              <w:rPr>
                <w:rFonts w:eastAsia="MS Mincho;ＭＳ 明朝"/>
                <w:sz w:val="16"/>
                <w:szCs w:val="16"/>
                <w:lang w:eastAsia="ja-JP"/>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L1"/>
              <w:rPr>
                <w:rFonts w:eastAsia="Malgun Gothic;맑은 고딕"/>
                <w:sz w:val="16"/>
                <w:szCs w:val="16"/>
                <w:lang w:val="en-GB" w:eastAsia="ko-KR"/>
              </w:rPr>
            </w:pPr>
            <w:r>
              <w:rPr/>
              <w:t>"</w:t>
            </w:r>
            <w:r>
              <w:rPr>
                <w:rFonts w:eastAsia="Malgun Gothic;맑은 고딕"/>
                <w:sz w:val="16"/>
                <w:szCs w:val="16"/>
                <w:lang w:eastAsia="ko-KR"/>
              </w:rPr>
              <w:t>WF</w:t>
            </w:r>
            <w:r>
              <w:rPr>
                <w:rFonts w:eastAsia="Malgun Gothic;맑은 고딕"/>
                <w:sz w:val="16"/>
                <w:szCs w:val="16"/>
                <w:lang w:eastAsia="ko-KR"/>
              </w:rPr>
              <w:t xml:space="preserve"> on </w:t>
            </w:r>
            <w:r>
              <w:rPr>
                <w:sz w:val="16"/>
                <w:szCs w:val="16"/>
              </w:rPr>
              <w:t>Evaluation for 2 RX exception in Rel-15 vehicle mounted UE</w:t>
            </w:r>
            <w:r>
              <w:rPr/>
              <w:t>"</w:t>
            </w:r>
            <w:r>
              <w:rPr>
                <w:sz w:val="16"/>
                <w:szCs w:val="16"/>
              </w:rPr>
              <w:t xml:space="preserve"> </w:t>
            </w:r>
            <w:r>
              <w:rPr>
                <w:sz w:val="16"/>
                <w:szCs w:val="16"/>
                <w:lang w:val="en-GB"/>
              </w:rPr>
              <w:t>Volkswagen AG, LG Electronics, Samsung, General Motors, Ericsson, Huawei, Telecom Italia, Vodafone, CMCC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r>
      <w:tr>
        <w:trPr>
          <w:trHeight w:val="192" w:hRule="atLeast"/>
        </w:trPr>
        <w:tc>
          <w:tcPr>
            <w:tcW w:w="75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2018-10</w:t>
            </w:r>
          </w:p>
        </w:tc>
        <w:tc>
          <w:tcPr>
            <w:tcW w:w="86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RAN4 #88BIS</w:t>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R4-1812250</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algun Gothic;맑은 고딕"/>
                <w:sz w:val="16"/>
                <w:szCs w:val="16"/>
                <w:lang w:val="en-GB" w:eastAsia="ko-KR"/>
              </w:rPr>
            </w:pPr>
            <w:r>
              <w:rPr>
                <w:rFonts w:eastAsia="Malgun Gothic;맑은 고딕"/>
                <w:sz w:val="16"/>
                <w:szCs w:val="16"/>
                <w:lang w:val="en-GB" w:eastAsia="ko-KR"/>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rPr>
            </w:pPr>
            <w:r>
              <w:rPr>
                <w:rFonts w:eastAsia="Malgun Gothic;맑은 고딕"/>
                <w:sz w:val="16"/>
                <w:szCs w:val="16"/>
                <w:lang w:eastAsia="ko-KR"/>
              </w:rPr>
              <w:t>TR</w:t>
            </w:r>
            <w:r>
              <w:rPr>
                <w:rFonts w:eastAsia="Malgun Gothic;맑은 고딕"/>
                <w:sz w:val="16"/>
                <w:szCs w:val="16"/>
                <w:lang w:eastAsia="ko-KR"/>
              </w:rPr>
              <w:t>38.826 v0.1.0 update: Study on evaluation for 2Rx exception</w:t>
            </w:r>
            <w:r>
              <w:rPr>
                <w:rFonts w:eastAsia="Malgun Gothic;맑은 고딕"/>
                <w:sz w:val="16"/>
                <w:szCs w:val="16"/>
                <w:lang w:eastAsia="ko-KR"/>
              </w:rPr>
              <w:t xml:space="preserve"> </w:t>
            </w:r>
            <w:r>
              <w:rPr>
                <w:rFonts w:eastAsia="Malgun Gothic;맑은 고딕"/>
                <w:sz w:val="16"/>
                <w:szCs w:val="16"/>
                <w:lang w:eastAsia="ko-KR"/>
              </w:rPr>
              <w:t>in rel-15 vehicle mounted UE for NR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0.1.0</w:t>
            </w:r>
          </w:p>
        </w:tc>
      </w:tr>
      <w:tr>
        <w:trPr>
          <w:trHeight w:val="192" w:hRule="atLeast"/>
        </w:trPr>
        <w:tc>
          <w:tcPr>
            <w:tcW w:w="75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86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R4-1814143</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algun Gothic;맑은 고딕"/>
                <w:sz w:val="16"/>
                <w:szCs w:val="16"/>
                <w:lang w:val="en-GB" w:eastAsia="ko-KR"/>
              </w:rPr>
            </w:pPr>
            <w:r>
              <w:rPr>
                <w:rFonts w:eastAsia="Malgun Gothic;맑은 고딕"/>
                <w:sz w:val="16"/>
                <w:szCs w:val="16"/>
                <w:lang w:val="en-GB" w:eastAsia="ko-KR"/>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C"/>
              <w:ind w:left="90" w:hanging="90"/>
              <w:jc w:val="both"/>
              <w:rPr>
                <w:rFonts w:eastAsia="Malgun Gothic;맑은 고딕"/>
                <w:sz w:val="16"/>
                <w:szCs w:val="16"/>
                <w:lang w:eastAsia="ko-KR"/>
              </w:rPr>
            </w:pPr>
            <w:r>
              <w:rPr/>
              <w:t>"</w:t>
            </w:r>
            <w:r>
              <w:rPr>
                <w:rFonts w:eastAsia="Malgun Gothic;맑은 고딕"/>
                <w:sz w:val="16"/>
                <w:szCs w:val="16"/>
                <w:lang w:val="en-GB" w:eastAsia="ko-KR"/>
              </w:rPr>
              <w:t>WF on 2 Rx vehicle UE: Link budget simulation assumptions</w:t>
            </w:r>
            <w:r>
              <w:rPr/>
              <w:t>"</w:t>
            </w:r>
            <w:r>
              <w:rPr>
                <w:rFonts w:eastAsia="Malgun Gothic;맑은 고딕"/>
                <w:sz w:val="16"/>
                <w:szCs w:val="16"/>
                <w:lang w:val="en-GB" w:eastAsia="ko-KR"/>
              </w:rPr>
              <w:t xml:space="preserve"> Samsung, LG Electronics, Volkswagens AG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r>
      <w:tr>
        <w:trPr>
          <w:trHeight w:val="192" w:hRule="atLeast"/>
        </w:trPr>
        <w:tc>
          <w:tcPr>
            <w:tcW w:w="75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86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R4-1814319</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algun Gothic;맑은 고딕"/>
                <w:sz w:val="16"/>
                <w:szCs w:val="16"/>
                <w:lang w:val="en-GB" w:eastAsia="ko-KR"/>
              </w:rPr>
            </w:pPr>
            <w:r>
              <w:rPr>
                <w:rFonts w:eastAsia="Malgun Gothic;맑은 고딕"/>
                <w:sz w:val="16"/>
                <w:szCs w:val="16"/>
                <w:lang w:val="en-GB" w:eastAsia="ko-KR"/>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C"/>
              <w:ind w:left="80" w:hanging="80"/>
              <w:jc w:val="both"/>
              <w:rPr>
                <w:rFonts w:eastAsia="Malgun Gothic;맑은 고딕"/>
                <w:sz w:val="16"/>
                <w:szCs w:val="16"/>
                <w:lang w:eastAsia="ko-KR"/>
              </w:rPr>
            </w:pPr>
            <w:r>
              <w:rPr>
                <w:rFonts w:cs="Arial"/>
                <w:sz w:val="16"/>
                <w:szCs w:val="16"/>
                <w:lang w:val="en-US" w:eastAsia="ko-KR"/>
              </w:rPr>
              <w:t xml:space="preserve">TP on general aspect for vehicle mounted NR UE, </w:t>
            </w:r>
            <w:r>
              <w:rPr>
                <w:rFonts w:eastAsia="Malgun Gothic;맑은 고딕"/>
                <w:sz w:val="16"/>
                <w:szCs w:val="16"/>
                <w:lang w:val="en-GB" w:eastAsia="ko-KR"/>
              </w:rPr>
              <w:t>Volkswagens AG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r>
      <w:tr>
        <w:trPr>
          <w:trHeight w:val="192" w:hRule="atLeast"/>
        </w:trPr>
        <w:tc>
          <w:tcPr>
            <w:tcW w:w="75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2018-11</w:t>
            </w:r>
          </w:p>
        </w:tc>
        <w:tc>
          <w:tcPr>
            <w:tcW w:w="86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RAN4 #89</w:t>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R4-181</w:t>
            </w:r>
            <w:r>
              <w:rPr>
                <w:rFonts w:eastAsia="Malgun Gothic;맑은 고딕"/>
                <w:sz w:val="16"/>
                <w:szCs w:val="16"/>
                <w:lang w:val="en-GB" w:eastAsia="ko-KR"/>
              </w:rPr>
              <w:t>6778</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algun Gothic;맑은 고딕"/>
                <w:sz w:val="16"/>
                <w:szCs w:val="16"/>
                <w:lang w:val="en-GB" w:eastAsia="ko-KR"/>
              </w:rPr>
            </w:pPr>
            <w:r>
              <w:rPr>
                <w:rFonts w:eastAsia="Malgun Gothic;맑은 고딕"/>
                <w:sz w:val="16"/>
                <w:szCs w:val="16"/>
                <w:lang w:val="en-GB" w:eastAsia="ko-KR"/>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C"/>
              <w:ind w:left="80" w:hanging="80"/>
              <w:jc w:val="both"/>
              <w:rPr>
                <w:rFonts w:eastAsia="Malgun Gothic;맑은 고딕"/>
                <w:sz w:val="16"/>
                <w:szCs w:val="16"/>
                <w:lang w:eastAsia="ko-KR"/>
              </w:rPr>
            </w:pPr>
            <w:r>
              <w:rPr>
                <w:rFonts w:eastAsia="Malgun Gothic;맑은 고딕"/>
                <w:sz w:val="16"/>
                <w:szCs w:val="16"/>
                <w:lang w:eastAsia="ko-KR"/>
              </w:rPr>
              <w:t>TR</w:t>
            </w:r>
            <w:r>
              <w:rPr>
                <w:rFonts w:eastAsia="Malgun Gothic;맑은 고딕"/>
                <w:sz w:val="16"/>
                <w:szCs w:val="16"/>
                <w:lang w:eastAsia="ko-KR"/>
              </w:rPr>
              <w:t>38.826 v0.2.0 update: Study on evaluation for 2Rx exception</w:t>
            </w:r>
            <w:r>
              <w:rPr>
                <w:rFonts w:eastAsia="Malgun Gothic;맑은 고딕"/>
                <w:sz w:val="16"/>
                <w:szCs w:val="16"/>
                <w:lang w:eastAsia="ko-KR"/>
              </w:rPr>
              <w:t xml:space="preserve"> </w:t>
            </w:r>
            <w:r>
              <w:rPr>
                <w:rFonts w:eastAsia="Malgun Gothic;맑은 고딕"/>
                <w:sz w:val="16"/>
                <w:szCs w:val="16"/>
                <w:lang w:eastAsia="ko-KR"/>
              </w:rPr>
              <w:t>in rel-15 vehicle mounted UE for NR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0.2.0</w:t>
            </w:r>
          </w:p>
        </w:tc>
      </w:tr>
      <w:tr>
        <w:trPr>
          <w:trHeight w:val="192" w:hRule="atLeast"/>
        </w:trPr>
        <w:tc>
          <w:tcPr>
            <w:tcW w:w="75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86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R4-1816771</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algun Gothic;맑은 고딕"/>
                <w:sz w:val="16"/>
                <w:szCs w:val="16"/>
                <w:lang w:val="en-GB" w:eastAsia="ko-KR"/>
              </w:rPr>
            </w:pPr>
            <w:r>
              <w:rPr>
                <w:rFonts w:eastAsia="Malgun Gothic;맑은 고딕"/>
                <w:sz w:val="16"/>
                <w:szCs w:val="16"/>
                <w:lang w:val="en-GB" w:eastAsia="ko-KR"/>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C"/>
              <w:ind w:left="80" w:hanging="80"/>
              <w:jc w:val="both"/>
              <w:rPr>
                <w:rFonts w:eastAsia="Malgun Gothic;맑은 고딕"/>
                <w:sz w:val="16"/>
                <w:szCs w:val="16"/>
                <w:lang w:eastAsia="ko-KR"/>
              </w:rPr>
            </w:pPr>
            <w:r>
              <w:rPr>
                <w:sz w:val="16"/>
                <w:szCs w:val="16"/>
              </w:rPr>
              <w:t>WF on 2Rx exception for NR vehicle UE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r>
      <w:tr>
        <w:trPr>
          <w:trHeight w:val="192" w:hRule="atLeast"/>
        </w:trPr>
        <w:tc>
          <w:tcPr>
            <w:tcW w:w="75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86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R4-1816651</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algun Gothic;맑은 고딕"/>
                <w:sz w:val="16"/>
                <w:szCs w:val="16"/>
                <w:lang w:val="en-GB" w:eastAsia="ko-KR"/>
              </w:rPr>
            </w:pPr>
            <w:r>
              <w:rPr>
                <w:rFonts w:eastAsia="Malgun Gothic;맑은 고딕"/>
                <w:sz w:val="16"/>
                <w:szCs w:val="16"/>
                <w:lang w:val="en-GB" w:eastAsia="ko-KR"/>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C"/>
              <w:ind w:left="80" w:hanging="80"/>
              <w:jc w:val="both"/>
              <w:rPr>
                <w:rFonts w:eastAsia="Malgun Gothic;맑은 고딕"/>
                <w:sz w:val="16"/>
                <w:szCs w:val="16"/>
                <w:lang w:eastAsia="ko-KR"/>
              </w:rPr>
            </w:pPr>
            <w:r>
              <w:rPr>
                <w:sz w:val="16"/>
                <w:szCs w:val="16"/>
              </w:rPr>
              <w:t>Conclusion of T-put results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r>
      <w:tr>
        <w:trPr>
          <w:trHeight w:val="192" w:hRule="atLeast"/>
        </w:trPr>
        <w:tc>
          <w:tcPr>
            <w:tcW w:w="75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86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R4-1816773</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algun Gothic;맑은 고딕"/>
                <w:sz w:val="16"/>
                <w:szCs w:val="16"/>
                <w:lang w:val="en-GB" w:eastAsia="ko-KR"/>
              </w:rPr>
            </w:pPr>
            <w:r>
              <w:rPr>
                <w:rFonts w:eastAsia="Malgun Gothic;맑은 고딕"/>
                <w:sz w:val="16"/>
                <w:szCs w:val="16"/>
                <w:lang w:val="en-GB" w:eastAsia="ko-KR"/>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C"/>
              <w:ind w:left="80" w:hanging="80"/>
              <w:jc w:val="both"/>
              <w:rPr>
                <w:rFonts w:eastAsia="Malgun Gothic;맑은 고딕"/>
                <w:sz w:val="16"/>
                <w:szCs w:val="16"/>
                <w:lang w:eastAsia="ko-KR"/>
              </w:rPr>
            </w:pPr>
            <w:r>
              <w:rPr>
                <w:sz w:val="16"/>
              </w:rPr>
              <w:t>Conclusion on Rx link budget evaluation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r>
      <w:tr>
        <w:trPr>
          <w:trHeight w:val="192" w:hRule="atLeast"/>
        </w:trPr>
        <w:tc>
          <w:tcPr>
            <w:tcW w:w="75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86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R4-1816777</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algun Gothic;맑은 고딕"/>
                <w:sz w:val="16"/>
                <w:szCs w:val="16"/>
                <w:lang w:val="en-GB" w:eastAsia="ko-KR"/>
              </w:rPr>
            </w:pPr>
            <w:r>
              <w:rPr>
                <w:rFonts w:eastAsia="Malgun Gothic;맑은 고딕"/>
                <w:sz w:val="16"/>
                <w:szCs w:val="16"/>
                <w:lang w:val="en-GB" w:eastAsia="ko-KR"/>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C"/>
              <w:ind w:left="80" w:hanging="80"/>
              <w:jc w:val="both"/>
              <w:rPr>
                <w:sz w:val="16"/>
              </w:rPr>
            </w:pPr>
            <w:r>
              <w:rPr>
                <w:sz w:val="16"/>
              </w:rPr>
              <w:t>Conclusion of vehicle UE distinction methodology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r>
      <w:tr>
        <w:trPr>
          <w:trHeight w:val="192" w:hRule="atLeast"/>
        </w:trPr>
        <w:tc>
          <w:tcPr>
            <w:tcW w:w="75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86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Malgun Gothic;맑은 고딕"/>
                <w:sz w:val="16"/>
                <w:szCs w:val="16"/>
                <w:lang w:val="en-GB" w:eastAsia="ko-KR"/>
              </w:rPr>
            </w:pPr>
            <w:r>
              <w:rPr>
                <w:rFonts w:eastAsia="Malgun Gothic;맑은 고딕"/>
                <w:sz w:val="16"/>
                <w:szCs w:val="16"/>
                <w:lang w:val="en-GB" w:eastAsia="ko-KR"/>
              </w:rPr>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R4-181</w:t>
            </w:r>
            <w:r>
              <w:rPr>
                <w:rFonts w:eastAsia="Malgun Gothic;맑은 고딕"/>
                <w:sz w:val="16"/>
                <w:szCs w:val="16"/>
                <w:lang w:val="en-GB" w:eastAsia="ko-KR"/>
              </w:rPr>
              <w:t>6790</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algun Gothic;맑은 고딕"/>
                <w:sz w:val="16"/>
                <w:szCs w:val="16"/>
                <w:lang w:val="en-GB" w:eastAsia="ko-KR"/>
              </w:rPr>
            </w:pPr>
            <w:r>
              <w:rPr>
                <w:rFonts w:eastAsia="Malgun Gothic;맑은 고딕"/>
                <w:sz w:val="16"/>
                <w:szCs w:val="16"/>
                <w:lang w:val="en-GB" w:eastAsia="ko-KR"/>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C"/>
              <w:ind w:left="80" w:hanging="80"/>
              <w:jc w:val="both"/>
              <w:rPr>
                <w:rFonts w:eastAsia="Malgun Gothic;맑은 고딕"/>
                <w:sz w:val="16"/>
                <w:szCs w:val="16"/>
                <w:lang w:eastAsia="ko-KR"/>
              </w:rPr>
            </w:pPr>
            <w:r>
              <w:rPr>
                <w:rFonts w:eastAsia="Malgun Gothic;맑은 고딕"/>
                <w:sz w:val="16"/>
                <w:szCs w:val="16"/>
                <w:lang w:eastAsia="ko-KR"/>
              </w:rPr>
              <w:t>TR</w:t>
            </w:r>
            <w:r>
              <w:rPr>
                <w:rFonts w:eastAsia="Malgun Gothic;맑은 고딕"/>
                <w:sz w:val="16"/>
                <w:szCs w:val="16"/>
                <w:lang w:eastAsia="ko-KR"/>
              </w:rPr>
              <w:t>38.826 v0.3.0 update: Study on evaluation for 2Rx exception</w:t>
            </w:r>
            <w:r>
              <w:rPr>
                <w:rFonts w:eastAsia="Malgun Gothic;맑은 고딕"/>
                <w:sz w:val="16"/>
                <w:szCs w:val="16"/>
                <w:lang w:eastAsia="ko-KR"/>
              </w:rPr>
              <w:t xml:space="preserve"> </w:t>
            </w:r>
            <w:r>
              <w:rPr>
                <w:rFonts w:eastAsia="Malgun Gothic;맑은 고딕"/>
                <w:sz w:val="16"/>
                <w:szCs w:val="16"/>
                <w:lang w:eastAsia="ko-KR"/>
              </w:rPr>
              <w:t>in rel-15 vehicle mounted UE for NR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0.3.0</w:t>
            </w:r>
          </w:p>
        </w:tc>
      </w:tr>
      <w:tr>
        <w:trPr>
          <w:trHeight w:val="192" w:hRule="atLeast"/>
        </w:trPr>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2018-11</w:t>
            </w:r>
          </w:p>
        </w:tc>
        <w:tc>
          <w:tcPr>
            <w:tcW w:w="861"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RAN#82</w:t>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RP-182305</w:t>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algun Gothic;맑은 고딕"/>
                <w:sz w:val="16"/>
                <w:szCs w:val="16"/>
                <w:lang w:val="en-GB" w:eastAsia="ko-KR"/>
              </w:rPr>
            </w:pPr>
            <w:r>
              <w:rPr>
                <w:rFonts w:eastAsia="Malgun Gothic;맑은 고딕"/>
                <w:sz w:val="16"/>
                <w:szCs w:val="16"/>
                <w:lang w:val="en-GB" w:eastAsia="ko-KR"/>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C"/>
              <w:ind w:left="80" w:hanging="80"/>
              <w:jc w:val="both"/>
              <w:rPr>
                <w:rFonts w:eastAsia="Malgun Gothic;맑은 고딕"/>
                <w:sz w:val="16"/>
                <w:szCs w:val="16"/>
                <w:lang w:eastAsia="ko-KR"/>
              </w:rPr>
            </w:pPr>
            <w:r>
              <w:rPr>
                <w:sz w:val="16"/>
                <w:szCs w:val="16"/>
              </w:rPr>
              <w:t>v1.0.0 submitted for plenary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algun Gothic;맑은 고딕"/>
                <w:sz w:val="16"/>
                <w:szCs w:val="16"/>
                <w:lang w:val="en-GB" w:eastAsia="ko-KR"/>
              </w:rPr>
            </w:pPr>
            <w:r>
              <w:rPr>
                <w:rFonts w:eastAsia="Malgun Gothic;맑은 고딕"/>
                <w:sz w:val="16"/>
                <w:szCs w:val="16"/>
                <w:lang w:val="en-GB" w:eastAsia="ko-KR"/>
              </w:rPr>
              <w:t>1.0.0</w:t>
            </w:r>
          </w:p>
        </w:tc>
      </w:tr>
      <w:tr>
        <w:trPr>
          <w:trHeight w:val="192" w:hRule="atLeast"/>
        </w:trPr>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6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RAN#82</w:t>
            </w:r>
          </w:p>
        </w:tc>
        <w:tc>
          <w:tcPr>
            <w:tcW w:w="103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rPr>
            </w:pPr>
            <w:r>
              <w:rPr>
                <w:sz w:val="16"/>
                <w:szCs w:val="16"/>
                <w:lang w:val="en-US"/>
              </w:rPr>
            </w:r>
          </w:p>
        </w:tc>
        <w:tc>
          <w:tcPr>
            <w:tcW w:w="404"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val="en-US"/>
              </w:rPr>
            </w:pPr>
            <w:r>
              <w:rPr>
                <w:sz w:val="16"/>
                <w:szCs w:val="16"/>
                <w:lang w:val="en-US"/>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38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5"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rPr>
            </w:pPr>
            <w:r>
              <w:rPr>
                <w:sz w:val="16"/>
                <w:szCs w:val="16"/>
              </w:rPr>
              <w:t>Approved by plenary – Rel-16 spec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spacing w:before="0" w:after="180"/>
        <w:rPr>
          <w:rFonts w:eastAsia="MS Mincho;ＭＳ 明朝"/>
          <w:lang w:eastAsia="ja-JP"/>
        </w:rPr>
      </w:pPr>
      <w:r>
        <w:rPr>
          <w:rFonts w:eastAsia="MS Mincho;ＭＳ 明朝"/>
          <w:lang w:eastAsia="ja-JP"/>
        </w:rPr>
      </w:r>
      <w:bookmarkStart w:id="37" w:name="historyclause"/>
      <w:bookmarkStart w:id="38" w:name="historyclause"/>
      <w:bookmarkEnd w:id="38"/>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Tahoma">
    <w:charset w:val="00"/>
    <w:family w:val="swiss"/>
    <w:pitch w:val="variable"/>
  </w:font>
  <w:font w:name="Verdan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24990" cy="131445"/>
              <wp:effectExtent l="0" t="0" r="0" b="0"/>
              <wp:wrapSquare wrapText="largest"/>
              <wp:docPr id="14"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38.826 V16.0.0 (2018-12)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38.826 V16.0.0 (2018-12)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635</wp:posOffset>
              </wp:positionV>
              <wp:extent cx="59182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abstractNum>
  <w:abstractNum w:abstractNumId="3">
    <w:lvl w:ilvl="0">
      <w:start w:val="1"/>
      <w:numFmt w:val="decimal"/>
      <w:lvlText w:val="%1."/>
      <w:lvlJc w:val="left"/>
      <w:pPr>
        <w:tabs>
          <w:tab w:val="num" w:pos="720"/>
        </w:tabs>
        <w:ind w:left="720" w:hanging="360"/>
      </w:pPr>
    </w:lvl>
  </w:abstractNum>
  <w:abstractNum w:abstractNumId="4">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US"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Arial" w:hAnsi="Arial" w:cs="Aria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2z0">
    <w:name w:val="WW8Num12z0"/>
    <w:qFormat/>
    <w:rPr>
      <w:rFonts w:ascii="Arial" w:hAnsi="Arial" w:cs="Arial"/>
    </w:rPr>
  </w:style>
  <w:style w:type="character" w:styleId="WW8Num13z0">
    <w:name w:val="WW8Num13z0"/>
    <w:qFormat/>
    <w:rPr>
      <w:rFonts w:ascii="Arial" w:hAnsi="Arial" w:cs="Aria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5z4">
    <w:name w:val="WW8Num15z4"/>
    <w:qFormat/>
    <w:rPr>
      <w:rFonts w:ascii="Times New Roman" w:hAnsi="Times New Roman" w:eastAsia="SimSun;宋体" w:cs="Times New Roman"/>
    </w:rPr>
  </w:style>
  <w:style w:type="character" w:styleId="WW8Num16z0">
    <w:name w:val="WW8Num16z0"/>
    <w:qFormat/>
    <w:rPr>
      <w:rFonts w:ascii="Arial" w:hAnsi="Arial" w:cs="Arial"/>
    </w:rPr>
  </w:style>
  <w:style w:type="character" w:styleId="WW8Num17z0">
    <w:name w:val="WW8Num17z0"/>
    <w:qFormat/>
    <w:rPr>
      <w:rFonts w:ascii="Arial" w:hAnsi="Arial" w:cs="Arial"/>
    </w:rPr>
  </w:style>
  <w:style w:type="character" w:styleId="WW8Num18z0">
    <w:name w:val="WW8Num18z0"/>
    <w:qFormat/>
    <w:rPr>
      <w:rFonts w:ascii="Arial" w:hAnsi="Arial" w:eastAsia="SimSun;宋体" w:cs="Arial"/>
    </w:rPr>
  </w:style>
  <w:style w:type="character" w:styleId="WW8Num18z1">
    <w:name w:val="WW8Num18z1"/>
    <w:qFormat/>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8z4">
    <w:name w:val="WW8Num18z4"/>
    <w:qFormat/>
    <w:rPr>
      <w:rFonts w:ascii="Courier New" w:hAnsi="Courier New" w:cs="Courier New"/>
    </w:rPr>
  </w:style>
  <w:style w:type="character" w:styleId="WW8Num19z0">
    <w:name w:val="WW8Num19z0"/>
    <w:qFormat/>
    <w:rPr>
      <w:rFonts w:ascii="Arial" w:hAnsi="Arial" w:cs="Arial"/>
    </w:rPr>
  </w:style>
  <w:style w:type="character" w:styleId="WW8Num20z0">
    <w:name w:val="WW8Num20z0"/>
    <w:qFormat/>
    <w:rPr>
      <w:rFonts w:ascii="Arial" w:hAnsi="Arial" w:eastAsia="SimSun;宋体" w:cs="Arial"/>
    </w:rPr>
  </w:style>
  <w:style w:type="character" w:styleId="WW8Num20z1">
    <w:name w:val="WW8Num20z1"/>
    <w:qFormat/>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0z4">
    <w:name w:val="WW8Num20z4"/>
    <w:qFormat/>
    <w:rPr>
      <w:rFonts w:ascii="Courier New" w:hAnsi="Courier New" w:cs="Courier New"/>
    </w:rPr>
  </w:style>
  <w:style w:type="character" w:styleId="WW8Num21z0">
    <w:name w:val="WW8Num21z0"/>
    <w:qFormat/>
    <w:rPr>
      <w:rFonts w:ascii="ZapfDingbats" w:hAnsi="ZapfDingbats" w:cs="ZapfDingbats"/>
      <w:b/>
      <w:i w:val="false"/>
      <w:color w:val="70CEF5"/>
      <w:sz w:val="20"/>
      <w:szCs w:val="2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Arial" w:hAnsi="Arial" w:eastAsia="Times New Roman"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rPr>
  </w:style>
  <w:style w:type="character" w:styleId="THChar">
    <w:name w:val="TH Char"/>
    <w:qFormat/>
    <w:rPr>
      <w:rFonts w:ascii="Arial" w:hAnsi="Arial" w:cs="Arial"/>
      <w:b/>
    </w:rPr>
  </w:style>
  <w:style w:type="character" w:styleId="TAHCar">
    <w:name w:val="TAH Car"/>
    <w:qFormat/>
    <w:rPr>
      <w:rFonts w:ascii="Arial" w:hAnsi="Arial" w:cs="Arial"/>
      <w:b/>
      <w:sz w:val="18"/>
    </w:rPr>
  </w:style>
  <w:style w:type="character" w:styleId="NOChar">
    <w:name w:val="NO Char"/>
    <w:qFormat/>
    <w:rPr/>
  </w:style>
  <w:style w:type="character" w:styleId="Heading2Char">
    <w:name w:val="Heading 2 Char"/>
    <w:qFormat/>
    <w:rPr>
      <w:rFonts w:ascii="Arial" w:hAnsi="Arial" w:cs="Arial"/>
      <w:sz w:val="32"/>
    </w:rPr>
  </w:style>
  <w:style w:type="character" w:styleId="GuidanceChar">
    <w:name w:val="Guidance Char"/>
    <w:qFormat/>
    <w:rPr>
      <w:i/>
      <w:color w:val="0000FF"/>
    </w:rPr>
  </w:style>
  <w:style w:type="character" w:styleId="Heading1Char1">
    <w:name w:val="Heading 1 Char1"/>
    <w:qFormat/>
    <w:rPr>
      <w:rFonts w:ascii="Arial" w:hAnsi="Arial" w:cs="Arial"/>
      <w:sz w:val="36"/>
      <w:lang w:bidi="ar-SA"/>
    </w:rPr>
  </w:style>
  <w:style w:type="character" w:styleId="HeaderChar">
    <w:name w:val="Header Char"/>
    <w:qFormat/>
    <w:rPr>
      <w:rFonts w:ascii="Arial" w:hAnsi="Arial" w:cs="Arial"/>
      <w:b/>
      <w:sz w:val="18"/>
      <w:lang w:val="en-GB" w:eastAsia="en-US" w:bidi="ar-SA"/>
    </w:rPr>
  </w:style>
  <w:style w:type="character" w:styleId="CommentTextChar">
    <w:name w:val="Comment Text Char"/>
    <w:qFormat/>
    <w:rPr>
      <w:lang w:val="en-GB"/>
    </w:rPr>
  </w:style>
  <w:style w:type="character" w:styleId="Char">
    <w:name w:val="批注主题 Char"/>
    <w:basedOn w:val="CommentTextChar"/>
    <w:qFormat/>
    <w:rPr/>
  </w:style>
  <w:style w:type="character" w:styleId="BalloonTextChar">
    <w:name w:val="Balloon Text Char"/>
    <w:qFormat/>
    <w:rPr>
      <w:sz w:val="18"/>
      <w:szCs w:val="18"/>
      <w:lang w:val="en-GB"/>
    </w:rPr>
  </w:style>
  <w:style w:type="character" w:styleId="TACChar">
    <w:name w:val="TAC Char"/>
    <w:qFormat/>
    <w:rPr>
      <w:rFonts w:ascii="Arial" w:hAnsi="Arial" w:cs="Arial"/>
      <w:sz w:val="18"/>
      <w:lang w:val="en-US"/>
    </w:rPr>
  </w:style>
  <w:style w:type="character" w:styleId="TALCar">
    <w:name w:val="TAL Car"/>
    <w:qFormat/>
    <w:rPr>
      <w:rFonts w:ascii="Arial" w:hAnsi="Arial" w:eastAsia="SimSun;宋体" w:cs="Arial"/>
      <w:sz w:val="18"/>
      <w:lang w:val="en-GB"/>
    </w:rPr>
  </w:style>
  <w:style w:type="character" w:styleId="TANChar">
    <w:name w:val="TAN Char"/>
    <w:qFormat/>
    <w:rPr>
      <w:rFonts w:ascii="Arial" w:hAnsi="Arial" w:eastAsia="SimSun;宋体" w:cs="Arial"/>
      <w:sz w:val="18"/>
      <w:lang w:val="en-US"/>
    </w:rPr>
  </w:style>
  <w:style w:type="character" w:styleId="CRCoverPageChar">
    <w:name w:val="CR Cover Page Char"/>
    <w:qFormat/>
    <w:rPr>
      <w:rFonts w:ascii="Arial" w:hAnsi="Arial" w:cs="Arial"/>
      <w:lang w:val="en-GB"/>
    </w:rPr>
  </w:style>
  <w:style w:type="character" w:styleId="Heading8Char">
    <w:name w:val="Heading 8 Char"/>
    <w:qFormat/>
    <w:rPr>
      <w:rFonts w:ascii="Arial" w:hAnsi="Arial" w:cs="Arial"/>
      <w:sz w:val="36"/>
    </w:rPr>
  </w:style>
  <w:style w:type="character" w:styleId="B1Char">
    <w:name w:val="B1 Char"/>
    <w:qFormat/>
    <w:rPr>
      <w:lang w:val="en-GB"/>
    </w:rPr>
  </w:style>
  <w:style w:type="character" w:styleId="CaptionChar2">
    <w:name w:val="Caption Char2"/>
    <w:qFormat/>
    <w:rPr>
      <w:b/>
      <w:lang w:val="en-GB"/>
    </w:rPr>
  </w:style>
  <w:style w:type="character" w:styleId="CaptionChar1">
    <w:name w:val="Caption Char1"/>
    <w:qFormat/>
    <w:rPr>
      <w:rFonts w:eastAsia="MS Mincho;ＭＳ 明朝"/>
      <w:b/>
      <w:lang w:val="en-GB"/>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9Char">
    <w:name w:val="Heading 9 Char"/>
    <w:qFormat/>
    <w:rPr>
      <w:rFonts w:ascii="Arial" w:hAnsi="Arial" w:cs="Arial"/>
      <w:sz w:val="36"/>
    </w:rPr>
  </w:style>
  <w:style w:type="character" w:styleId="H6Char">
    <w:name w:val="H6 Char"/>
    <w:qFormat/>
    <w:rPr>
      <w:rFonts w:ascii="Arial" w:hAnsi="Arial" w:cs="Arial"/>
    </w:rPr>
  </w:style>
  <w:style w:type="character" w:styleId="FooterChar">
    <w:name w:val="Footer Char"/>
    <w:qFormat/>
    <w:rPr>
      <w:rFonts w:ascii="Arial" w:hAnsi="Arial" w:cs="Arial"/>
      <w:b/>
      <w:i/>
      <w:sz w:val="18"/>
      <w:lang w:val="en-GB" w:eastAsia="en-US"/>
    </w:rPr>
  </w:style>
  <w:style w:type="character" w:styleId="FootnoteTextChar">
    <w:name w:val="Footnote Text Char"/>
    <w:qFormat/>
    <w:rPr>
      <w:sz w:val="16"/>
      <w:lang w:val="en-GB"/>
    </w:rPr>
  </w:style>
  <w:style w:type="character" w:styleId="EXChar">
    <w:name w:val="EX Char"/>
    <w:qFormat/>
    <w:rPr>
      <w:lang w:val="en-GB"/>
    </w:rPr>
  </w:style>
  <w:style w:type="character" w:styleId="TFChar">
    <w:name w:val="TF Char"/>
    <w:qFormat/>
    <w:rPr>
      <w:rFonts w:ascii="Arial" w:hAnsi="Arial" w:cs="Arial"/>
      <w:b/>
      <w:lang w:val="en-US"/>
    </w:rPr>
  </w:style>
  <w:style w:type="character" w:styleId="DocumentMapChar">
    <w:name w:val="Document Map Char"/>
    <w:qFormat/>
    <w:rPr>
      <w:rFonts w:ascii="Tahoma" w:hAnsi="Tahoma" w:cs="Tahoma"/>
      <w:shd w:fill="000080" w:val="clear"/>
      <w:lang w:val="en-GB"/>
    </w:rPr>
  </w:style>
  <w:style w:type="character" w:styleId="PlainTextChar">
    <w:name w:val="Plain Text Char"/>
    <w:qFormat/>
    <w:rPr>
      <w:rFonts w:ascii="Courier New" w:hAnsi="Courier New" w:cs="Courier New"/>
      <w:lang w:val="nb-NO"/>
    </w:rPr>
  </w:style>
  <w:style w:type="character" w:styleId="BodyTextChar1">
    <w:name w:val="Body Text Char1"/>
    <w:qFormat/>
    <w:rPr>
      <w:lang w:val="en-GB"/>
    </w:rPr>
  </w:style>
  <w:style w:type="character" w:styleId="BodyTextIndentChar">
    <w:name w:val="Body Text Indent Char"/>
    <w:qFormat/>
    <w:rPr>
      <w:rFonts w:eastAsia="Malgun Gothic;맑은 고딕"/>
      <w:kern w:val="2"/>
      <w:sz w:val="21"/>
      <w:lang w:val="en-GB"/>
    </w:rPr>
  </w:style>
  <w:style w:type="character" w:styleId="BodyText2Char">
    <w:name w:val="Body Text 2 Char"/>
    <w:qFormat/>
    <w:rPr>
      <w:rFonts w:eastAsia="Malgun Gothic;맑은 고딕"/>
      <w:i/>
      <w:lang w:val="en-GB"/>
    </w:rPr>
  </w:style>
  <w:style w:type="character" w:styleId="BodyText3Char">
    <w:name w:val="Body Text 3 Char"/>
    <w:qFormat/>
    <w:rPr>
      <w:rFonts w:eastAsia="Osaka;MS Gothic"/>
      <w:color w:val="000000"/>
      <w:lang w:val="en-GB"/>
    </w:rPr>
  </w:style>
  <w:style w:type="character" w:styleId="PageNumber">
    <w:name w:val="Page Number"/>
    <w:rPr/>
  </w:style>
  <w:style w:type="character" w:styleId="Msoins">
    <w:name w:val="msoins"/>
    <w:qFormat/>
    <w:rPr/>
  </w:style>
  <w:style w:type="character" w:styleId="CharChar1">
    <w:name w:val=" Char Char1"/>
    <w:qFormat/>
    <w:rPr>
      <w:lang w:val="en-GB" w:eastAsia="ja-JP" w:bidi="ar-SA"/>
    </w:rPr>
  </w:style>
  <w:style w:type="character" w:styleId="CommentSubjectChar">
    <w:name w:val="Comment Subject Char"/>
    <w:qFormat/>
    <w:rPr>
      <w:b/>
      <w:bCs/>
      <w:lang w:val="en-GB"/>
    </w:rPr>
  </w:style>
  <w:style w:type="character" w:styleId="BtChar">
    <w:name w:val="bt Char"/>
    <w:qFormat/>
    <w:rPr>
      <w:rFonts w:eastAsia="MS Mincho;ＭＳ 明朝"/>
      <w:lang w:val="en-GB" w:bidi="ar-SA"/>
    </w:rPr>
  </w:style>
  <w:style w:type="character" w:styleId="BtChar1">
    <w:name w:val="bt Char1"/>
    <w:qFormat/>
    <w:rPr>
      <w:lang w:val="en-GB" w:eastAsia="ja-JP" w:bidi="ar-SA"/>
    </w:rPr>
  </w:style>
  <w:style w:type="character" w:styleId="CapChar2">
    <w:name w:val="cap Char2"/>
    <w:qFormat/>
    <w:rPr>
      <w:b/>
      <w:lang w:val="en-GB" w:bidi="ar-SA"/>
    </w:rPr>
  </w:style>
  <w:style w:type="character" w:styleId="BtChar2">
    <w:name w:val="bt Char2"/>
    <w:qFormat/>
    <w:rPr>
      <w:lang w:val="en-GB" w:eastAsia="ja-JP" w:bidi="ar-SA"/>
    </w:rPr>
  </w:style>
  <w:style w:type="character" w:styleId="Head2AChar4">
    <w:name w:val="Head2A Char4"/>
    <w:qFormat/>
    <w:rPr>
      <w:rFonts w:ascii="Arial" w:hAnsi="Arial" w:cs="Arial"/>
      <w:sz w:val="32"/>
      <w:lang w:val="en-GB" w:eastAsia="ja-JP" w:bidi="ar-SA"/>
    </w:rPr>
  </w:style>
  <w:style w:type="character" w:styleId="CharChar4">
    <w:name w:val=" Char Char4"/>
    <w:qFormat/>
    <w:rPr>
      <w:rFonts w:ascii="Courier New" w:hAnsi="Courier New" w:cs="Courier New"/>
      <w:lang w:val="nb-NO" w:eastAsia="ja-JP" w:bidi="ar-SA"/>
    </w:rPr>
  </w:style>
  <w:style w:type="character" w:styleId="AndreaLeonardi">
    <w:name w:val="Andrea Leonardi"/>
    <w:qFormat/>
    <w:rPr>
      <w:rFonts w:ascii="Arial" w:hAnsi="Arial" w:cs="Arial"/>
      <w:color w:val="000000"/>
      <w:sz w:val="20"/>
      <w:szCs w:val="20"/>
    </w:rPr>
  </w:style>
  <w:style w:type="character" w:styleId="NOCharChar">
    <w:name w:val="NO Char Char"/>
    <w:qFormat/>
    <w:rPr>
      <w:lang w:val="en-GB" w:bidi="ar-SA"/>
    </w:rPr>
  </w:style>
  <w:style w:type="character" w:styleId="NOZchn">
    <w:name w:val="NO Zchn"/>
    <w:qFormat/>
    <w:rPr>
      <w:lang w:val="en-GB" w:bidi="ar-SA"/>
    </w:rPr>
  </w:style>
  <w:style w:type="character" w:styleId="Heading1Char">
    <w:name w:val="Heading 1 Char"/>
    <w:qFormat/>
    <w:rPr>
      <w:rFonts w:ascii="Arial" w:hAnsi="Arial" w:cs="Arial"/>
      <w:sz w:val="36"/>
      <w:lang w:val="en-GB" w:bidi="ar-SA"/>
    </w:rPr>
  </w:style>
  <w:style w:type="character" w:styleId="TACCar">
    <w:name w:val="TAC Car"/>
    <w:qFormat/>
    <w:rPr>
      <w:rFonts w:ascii="Arial" w:hAnsi="Arial" w:cs="Arial"/>
      <w:sz w:val="18"/>
      <w:lang w:val="en-GB" w:eastAsia="ja-JP" w:bidi="ar-SA"/>
    </w:rPr>
  </w:style>
  <w:style w:type="character" w:styleId="TAL">
    <w:name w:val="TAL (文字)"/>
    <w:qFormat/>
    <w:rPr>
      <w:rFonts w:ascii="Arial" w:hAnsi="Arial" w:cs="Arial"/>
      <w:sz w:val="18"/>
      <w:lang w:val="en-GB" w:eastAsia="ja-JP" w:bidi="ar-SA"/>
    </w:rPr>
  </w:style>
  <w:style w:type="character" w:styleId="T1Char">
    <w:name w:val="T1 Char"/>
    <w:qFormat/>
    <w:rPr/>
  </w:style>
  <w:style w:type="character" w:styleId="T1Char1">
    <w:name w:val="T1 Char1"/>
    <w:qFormat/>
    <w:rPr/>
  </w:style>
  <w:style w:type="character" w:styleId="H4Char">
    <w:name w:val="h4 Char"/>
    <w:qFormat/>
    <w:rPr>
      <w:rFonts w:ascii="Arial" w:hAnsi="Arial" w:eastAsia="MS Mincho;ＭＳ 明朝" w:cs="Arial"/>
      <w:sz w:val="24"/>
      <w:lang w:val="en-GB" w:bidi="ar-SA"/>
    </w:rPr>
  </w:style>
  <w:style w:type="character" w:styleId="Underrubrik2Char">
    <w:name w:val="Underrubrik2 Char"/>
    <w:qFormat/>
    <w:rPr>
      <w:rFonts w:ascii="Arial" w:hAnsi="Arial" w:eastAsia="MS Mincho;ＭＳ 明朝" w:cs="Arial"/>
      <w:sz w:val="28"/>
      <w:lang w:val="en-GB" w:bidi="ar-SA"/>
    </w:rPr>
  </w:style>
  <w:style w:type="character" w:styleId="H5Char">
    <w:name w:val="h5 Char"/>
    <w:qFormat/>
    <w:rPr>
      <w:rFonts w:ascii="Arial" w:hAnsi="Arial" w:eastAsia="MS Mincho;ＭＳ 明朝" w:cs="Arial"/>
      <w:sz w:val="22"/>
      <w:lang w:val="en-GB" w:bidi="ar-SA"/>
    </w:rPr>
  </w:style>
  <w:style w:type="character" w:styleId="Head2AChar1">
    <w:name w:val="Head2A Char1"/>
    <w:qFormat/>
    <w:rPr>
      <w:rFonts w:ascii="Arial" w:hAnsi="Arial" w:cs="Arial"/>
      <w:sz w:val="32"/>
      <w:lang w:val="en-GB" w:bidi="ar-SA"/>
    </w:rPr>
  </w:style>
  <w:style w:type="character" w:styleId="NMPHeading1Char">
    <w:name w:val="NMP Heading 1 Char"/>
    <w:qFormat/>
    <w:rPr>
      <w:rFonts w:ascii="Arial" w:hAnsi="Arial" w:cs="Arial"/>
      <w:sz w:val="36"/>
      <w:lang w:val="en-GB" w:bidi="ar-SA"/>
    </w:rPr>
  </w:style>
  <w:style w:type="character" w:styleId="NMPHeading1Char1">
    <w:name w:val="NMP Heading 1 Char1"/>
    <w:qFormat/>
    <w:rPr>
      <w:rFonts w:ascii="Arial" w:hAnsi="Arial" w:cs="Arial"/>
      <w:sz w:val="36"/>
      <w:lang w:val="en-GB" w:bidi="ar-SA"/>
    </w:rPr>
  </w:style>
  <w:style w:type="character" w:styleId="Head2AChar2">
    <w:name w:val="Head2A Char2"/>
    <w:qFormat/>
    <w:rPr>
      <w:rFonts w:ascii="Arial" w:hAnsi="Arial" w:cs="Arial"/>
      <w:sz w:val="32"/>
      <w:lang w:val="en-GB" w:bidi="ar-SA"/>
    </w:rPr>
  </w:style>
  <w:style w:type="character" w:styleId="Head2AChar3">
    <w:name w:val="Head2A Char3"/>
    <w:qFormat/>
    <w:rPr>
      <w:rFonts w:ascii="Arial" w:hAnsi="Arial" w:cs="Arial"/>
      <w:sz w:val="32"/>
      <w:lang w:val="en-GB" w:bidi="ar-SA"/>
    </w:rPr>
  </w:style>
  <w:style w:type="character" w:styleId="H4Char1">
    <w:name w:val="h4 Char1"/>
    <w:qFormat/>
    <w:rPr>
      <w:rFonts w:ascii="Arial" w:hAnsi="Arial" w:eastAsia="MS Mincho;ＭＳ 明朝" w:cs="Arial"/>
      <w:sz w:val="24"/>
      <w:lang w:val="en-GB" w:bidi="ar-SA"/>
    </w:rPr>
  </w:style>
  <w:style w:type="character" w:styleId="H5Char1">
    <w:name w:val="h5 Char1"/>
    <w:qFormat/>
    <w:rPr>
      <w:rFonts w:ascii="Arial" w:hAnsi="Arial" w:eastAsia="MS Mincho;ＭＳ 明朝" w:cs="Arial"/>
      <w:sz w:val="22"/>
      <w:lang w:val="en-GB" w:bidi="ar-SA"/>
    </w:rPr>
  </w:style>
  <w:style w:type="character" w:styleId="Underrubrik2Char1">
    <w:name w:val="Underrubrik2 Char1"/>
    <w:qFormat/>
    <w:rPr>
      <w:rFonts w:ascii="Arial" w:hAnsi="Arial" w:eastAsia="Batang;Batang" w:cs="Times New Roman"/>
      <w:b/>
      <w:bCs/>
      <w:i/>
      <w:iCs/>
      <w:sz w:val="28"/>
      <w:szCs w:val="28"/>
      <w:lang w:val="en-GB" w:bidi="ar-SA"/>
    </w:rPr>
  </w:style>
  <w:style w:type="character" w:styleId="T1Char2">
    <w:name w:val="T1 Char2"/>
    <w:qFormat/>
    <w:rPr/>
  </w:style>
  <w:style w:type="character" w:styleId="BodyTextIndent2Char">
    <w:name w:val="Body Text Indent 2 Char"/>
    <w:qFormat/>
    <w:rPr>
      <w:rFonts w:eastAsia="MS Mincho;ＭＳ 明朝"/>
      <w:lang w:val="en-GB"/>
    </w:rPr>
  </w:style>
  <w:style w:type="character" w:styleId="StrongEmphasis">
    <w:name w:val="Strong Emphasis"/>
    <w:qFormat/>
    <w:rPr>
      <w:b/>
      <w:bCs/>
    </w:rPr>
  </w:style>
  <w:style w:type="character" w:styleId="CharChar7">
    <w:name w:val=" Char Char7"/>
    <w:qFormat/>
    <w:rPr>
      <w:rFonts w:ascii="Tahoma" w:hAnsi="Tahoma" w:cs="Tahoma"/>
      <w:shd w:fill="000080" w:val="clear"/>
      <w:lang w:val="en-GB"/>
    </w:rPr>
  </w:style>
  <w:style w:type="character" w:styleId="ZchnZchn5">
    <w:name w:val=" Zchn Zchn5"/>
    <w:qFormat/>
    <w:rPr>
      <w:rFonts w:ascii="Courier New" w:hAnsi="Courier New" w:eastAsia="Batang;Batang" w:cs="Courier New"/>
      <w:lang w:val="nb-NO" w:bidi="ar-SA"/>
    </w:rPr>
  </w:style>
  <w:style w:type="character" w:styleId="CharChar10">
    <w:name w:val=" Char Char10"/>
    <w:qFormat/>
    <w:rPr>
      <w:rFonts w:ascii="Times New Roman" w:hAnsi="Times New Roman" w:cs="Times New Roman"/>
      <w:lang w:val="en-GB"/>
    </w:rPr>
  </w:style>
  <w:style w:type="character" w:styleId="CharChar9">
    <w:name w:val=" Char Char9"/>
    <w:qFormat/>
    <w:rPr>
      <w:rFonts w:ascii="Tahoma" w:hAnsi="Tahoma" w:cs="Tahoma"/>
      <w:sz w:val="16"/>
      <w:szCs w:val="16"/>
      <w:lang w:val="en-GB"/>
    </w:rPr>
  </w:style>
  <w:style w:type="character" w:styleId="CharChar8">
    <w:name w:val=" Char Char8"/>
    <w:qFormat/>
    <w:rPr>
      <w:rFonts w:ascii="Times New Roman" w:hAnsi="Times New Roman" w:cs="Times New Roman"/>
      <w:b/>
      <w:bCs/>
      <w:lang w:val="en-GB"/>
    </w:rPr>
  </w:style>
  <w:style w:type="character" w:styleId="EndnoteTextChar">
    <w:name w:val="Endnote Text Char"/>
    <w:qFormat/>
    <w:rPr>
      <w:lang w:val="en-GB"/>
    </w:rPr>
  </w:style>
  <w:style w:type="character" w:styleId="EndnoteCharacters">
    <w:name w:val="Endnote Characters"/>
    <w:qFormat/>
    <w:rPr>
      <w:vertAlign w:val="superscript"/>
    </w:rPr>
  </w:style>
  <w:style w:type="character" w:styleId="BtChar3">
    <w:name w:val="bt Char3"/>
    <w:qFormat/>
    <w:rPr>
      <w:lang w:val="en-GB" w:eastAsia="ja-JP" w:bidi="ar-SA"/>
    </w:rPr>
  </w:style>
  <w:style w:type="character" w:styleId="TitleChar">
    <w:name w:val="Title Char"/>
    <w:qFormat/>
    <w:rPr>
      <w:rFonts w:ascii="Courier New" w:hAnsi="Courier New" w:eastAsia="Malgun Gothic;맑은 고딕" w:cs="Courier New"/>
      <w:lang w:val="nb-NO"/>
    </w:rPr>
  </w:style>
  <w:style w:type="character" w:styleId="H5Char2">
    <w:name w:val="h5 Char2"/>
    <w:qFormat/>
    <w:rPr>
      <w:rFonts w:ascii="Arial" w:hAnsi="Arial" w:cs="Arial"/>
      <w:sz w:val="22"/>
      <w:lang w:val="en-GB" w:eastAsia="ja-JP" w:bidi="ar-SA"/>
    </w:rPr>
  </w:style>
  <w:style w:type="character" w:styleId="DateChar">
    <w:name w:val="Date Char"/>
    <w:qFormat/>
    <w:rPr>
      <w:rFonts w:eastAsia="Malgun Gothic;맑은 고딕"/>
      <w:lang w:val="en-GB"/>
    </w:rPr>
  </w:style>
  <w:style w:type="character" w:styleId="H4Char2">
    <w:name w:val="h4 Char2"/>
    <w:qFormat/>
    <w:rPr>
      <w:rFonts w:ascii="Arial" w:hAnsi="Arial" w:cs="Arial"/>
      <w:sz w:val="24"/>
      <w:lang w:val="en-GB"/>
    </w:rPr>
  </w:style>
  <w:style w:type="character" w:styleId="BodyTextChar">
    <w:name w:val="Body Text Char"/>
    <w:qFormat/>
    <w:rPr>
      <w:lang w:val="en-GB" w:eastAsia="ja-JP" w:bidi="ar-SA"/>
    </w:rPr>
  </w:style>
  <w:style w:type="character" w:styleId="Head2AChar">
    <w:name w:val="Head2A Char"/>
    <w:qFormat/>
    <w:rPr>
      <w:rFonts w:ascii="Arial" w:hAnsi="Arial" w:cs="Arial"/>
      <w:sz w:val="32"/>
      <w:lang w:val="en-GB" w:bidi="ar-SA"/>
    </w:rPr>
  </w:style>
  <w:style w:type="character" w:styleId="NMPHeading1Char2">
    <w:name w:val="NMP Heading 1 Char2"/>
    <w:qFormat/>
    <w:rPr>
      <w:rFonts w:ascii="Arial" w:hAnsi="Arial" w:cs="Arial"/>
      <w:sz w:val="36"/>
      <w:lang w:val="en-GB" w:bidi="ar-SA"/>
    </w:rPr>
  </w:style>
  <w:style w:type="character" w:styleId="Underrubrik2Char2">
    <w:name w:val="Underrubrik2 Char2"/>
    <w:qFormat/>
    <w:rPr>
      <w:rFonts w:ascii="Arial" w:hAnsi="Arial" w:cs="Arial"/>
      <w:sz w:val="28"/>
      <w:lang w:val="en-GB" w:bidi="ar-SA"/>
    </w:rPr>
  </w:style>
  <w:style w:type="character" w:styleId="T1Char3">
    <w:name w:val="T1 Char3"/>
    <w:qFormat/>
    <w:rPr>
      <w:rFonts w:ascii="Arial" w:hAnsi="Arial" w:cs="Arial"/>
      <w:lang w:val="en-GB" w:bidi="ar-SA"/>
    </w:rPr>
  </w:style>
  <w:style w:type="character" w:styleId="HeaderoddChar">
    <w:name w:val="header odd Char"/>
    <w:qFormat/>
    <w:rPr>
      <w:rFonts w:ascii="Arial" w:hAnsi="Arial" w:cs="Arial"/>
      <w:b/>
      <w:sz w:val="18"/>
      <w:lang w:val="en-GB" w:eastAsia="en-US" w:bidi="ar-SA"/>
    </w:rPr>
  </w:style>
  <w:style w:type="character" w:styleId="StyleTACChar">
    <w:name w:val="Style TAC + Char"/>
    <w:qFormat/>
    <w:rPr>
      <w:rFonts w:ascii="Arial" w:hAnsi="Arial" w:eastAsia="Malgun Gothic;맑은 고딕" w:cs="Arial"/>
      <w:kern w:val="2"/>
      <w:sz w:val="18"/>
      <w:lang w:val="en-GB"/>
    </w:rPr>
  </w:style>
  <w:style w:type="character" w:styleId="CharChar29">
    <w:name w:val=" Char Char29"/>
    <w:qFormat/>
    <w:rPr>
      <w:rFonts w:ascii="Arial" w:hAnsi="Arial" w:cs="Arial"/>
      <w:sz w:val="36"/>
      <w:lang w:val="en-GB" w:bidi="ar-SA"/>
    </w:rPr>
  </w:style>
  <w:style w:type="character" w:styleId="CharChar28">
    <w:name w:val=" Char Char28"/>
    <w:qFormat/>
    <w:rPr>
      <w:rFonts w:ascii="Arial" w:hAnsi="Arial" w:cs="Arial"/>
      <w:sz w:val="32"/>
      <w:lang w:val="en-GB"/>
    </w:rPr>
  </w:style>
  <w:style w:type="character" w:styleId="Msoins0">
    <w:name w:val="msoins0"/>
    <w:qFormat/>
    <w:rPr/>
  </w:style>
  <w:style w:type="character" w:styleId="H4Char3">
    <w:name w:val="h4 Char3"/>
    <w:qFormat/>
    <w:rPr>
      <w:rFonts w:ascii="Arial" w:hAnsi="Arial" w:cs="Arial"/>
      <w:sz w:val="24"/>
      <w:lang w:val="en-GB" w:bidi="ar-SA"/>
    </w:rPr>
  </w:style>
  <w:style w:type="character" w:styleId="H5Char4">
    <w:name w:val="h5 Char4"/>
    <w:qFormat/>
    <w:rPr>
      <w:rFonts w:ascii="Arial" w:hAnsi="Arial" w:cs="Arial"/>
      <w:sz w:val="22"/>
      <w:lang w:val="en-GB" w:bidi="ar-SA"/>
    </w:rPr>
  </w:style>
  <w:style w:type="character" w:styleId="EQChar">
    <w:name w:val="EQ Char"/>
    <w:qFormat/>
    <w:rPr>
      <w:lang w:val="en-GB" w:eastAsia="en-US"/>
    </w:rPr>
  </w:style>
  <w:style w:type="character" w:styleId="B1Zchn">
    <w:name w:val="B1 Zchn"/>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Normal"/>
    <w:qFormat/>
    <w:pPr>
      <w:overflowPunct w:val="false"/>
      <w:autoSpaceDE w:val="false"/>
      <w:spacing w:before="240" w:after="60"/>
      <w:textAlignment w:val="baseline"/>
      <w:outlineLvl w:val="0"/>
    </w:pPr>
    <w:rPr>
      <w:rFonts w:ascii="Courier New" w:hAnsi="Courier New" w:eastAsia="Malgun Gothic;맑은 고딕" w:cs="Courier New"/>
      <w:lang w:val="nb-NO"/>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1">
    <w:name w:val="TAL"/>
    <w:basedOn w:val="Normal"/>
    <w:qFormat/>
    <w:pPr>
      <w:keepNext w:val="true"/>
      <w:keepLines/>
      <w:spacing w:before="0" w:after="0"/>
    </w:pPr>
    <w:rPr>
      <w:rFonts w:ascii="Arial" w:hAnsi="Arial" w:cs="Arial"/>
      <w:sz w:val="18"/>
      <w:lang w:val="en-US"/>
    </w:rPr>
  </w:style>
  <w:style w:type="paragraph" w:styleId="TAR">
    <w:name w:val="TAR"/>
    <w:basedOn w:val="TAL1"/>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1"/>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1"/>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lang w:val="en-US"/>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BalloonText">
    <w:name w:val="Balloon Text"/>
    <w:basedOn w:val="Normal"/>
    <w:qFormat/>
    <w:pPr>
      <w:spacing w:before="0" w:after="0"/>
    </w:pPr>
    <w:rPr>
      <w:sz w:val="18"/>
      <w:szCs w:val="18"/>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NormalWeb">
    <w:name w:val="Normal (Web)"/>
    <w:basedOn w:val="Normal"/>
    <w:qFormat/>
    <w:pPr>
      <w:spacing w:before="100" w:after="100"/>
    </w:pPr>
    <w:rPr>
      <w:rFonts w:eastAsia="Arial Unicode MS"/>
      <w:sz w:val="24"/>
      <w:szCs w:val="24"/>
      <w:lang w:eastAsia="ja-JP" w:bidi="en-US"/>
    </w:rPr>
  </w:style>
  <w:style w:type="paragraph" w:styleId="MediumGrid21">
    <w:name w:val="Medium Grid 21"/>
    <w:qFormat/>
    <w:pPr>
      <w:widowControl/>
      <w:overflowPunct w:val="false"/>
      <w:autoSpaceDE w:val="false"/>
      <w:bidi w:val="0"/>
      <w:textAlignment w:val="baseline"/>
    </w:pPr>
    <w:rPr>
      <w:rFonts w:ascii="Times New Roman" w:hAnsi="Times New Roman" w:eastAsia="MS Mincho;ＭＳ 明朝" w:cs="Times New Roman"/>
      <w:color w:val="auto"/>
      <w:sz w:val="20"/>
      <w:szCs w:val="20"/>
      <w:lang w:val="en-GB" w:eastAsia="ja-JP" w:bidi="ar-SA"/>
    </w:rPr>
  </w:style>
  <w:style w:type="paragraph" w:styleId="TextBodyIndent">
    <w:name w:val="Body Text Indent"/>
    <w:basedOn w:val="Normal"/>
    <w:pPr>
      <w:widowControl w:val="false"/>
      <w:overflowPunct w:val="false"/>
      <w:autoSpaceDE w:val="false"/>
      <w:ind w:left="210" w:hanging="0"/>
      <w:jc w:val="both"/>
      <w:textAlignment w:val="baseline"/>
    </w:pPr>
    <w:rPr>
      <w:rFonts w:eastAsia="Malgun Gothic;맑은 고딕"/>
      <w:kern w:val="2"/>
      <w:sz w:val="21"/>
    </w:rPr>
  </w:style>
  <w:style w:type="paragraph" w:styleId="TableText">
    <w:name w:val="TableText"/>
    <w:basedOn w:val="TextBodyIndent"/>
    <w:qFormat/>
    <w:pPr>
      <w:keepNext w:val="true"/>
      <w:keepLines/>
      <w:widowControl/>
      <w:ind w:left="0" w:hanging="0"/>
      <w:jc w:val="center"/>
    </w:pPr>
    <w:rPr>
      <w:sz w:val="20"/>
    </w:rPr>
  </w:style>
  <w:style w:type="paragraph" w:styleId="BodyText2">
    <w:name w:val="Body Text 2"/>
    <w:basedOn w:val="Normal"/>
    <w:qFormat/>
    <w:pPr>
      <w:overflowPunct w:val="false"/>
      <w:autoSpaceDE w:val="false"/>
      <w:textAlignment w:val="baseline"/>
    </w:pPr>
    <w:rPr>
      <w:rFonts w:eastAsia="Malgun Gothic;맑은 고딕"/>
      <w:i/>
    </w:rPr>
  </w:style>
  <w:style w:type="paragraph" w:styleId="BodyText3">
    <w:name w:val="Body Text 3"/>
    <w:basedOn w:val="Normal"/>
    <w:qFormat/>
    <w:pPr>
      <w:keepNext w:val="true"/>
      <w:keepLines/>
      <w:overflowPunct w:val="false"/>
      <w:autoSpaceDE w:val="false"/>
      <w:textAlignment w:val="baseline"/>
    </w:pPr>
    <w:rPr>
      <w:rFonts w:eastAsia="Osaka;MS Gothic"/>
      <w:color w:val="000000"/>
    </w:rPr>
  </w:style>
  <w:style w:type="paragraph" w:styleId="CharCharCharCharChar">
    <w:name w:val=" Char Char Char Char Char"/>
    <w:qFormat/>
    <w:pPr>
      <w:keepNext w:val="true"/>
      <w:widowControl/>
      <w:numPr>
        <w:ilvl w:val="0"/>
        <w:numId w:val="4"/>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
    <w:name w:val="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1">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
    <w:name w:val="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
    <w:name w:val=" (文字) (文字)1 Char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1CharChar">
    <w:name w:val=" Char Char1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1">
    <w:name w:val=" (文字) (文字)1 Char (文字) (文字) Char (文字) (文字)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
    <w:name w:val=" (文字) (文字)1 Char (文字) (文字)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1CharCharCharChar">
    <w:name w:val=" (文字) (文字)1 Char (文字) (文字) Char (文字) (文字)1 Char (文字) (文字)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1">
    <w:name w:val=" Char Char Char Char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2CharChar">
    <w:name w:val=" Char Char2 Char Char"/>
    <w:basedOn w:val="Normal"/>
    <w:qFormat/>
    <w:pPr>
      <w:tabs>
        <w:tab w:val="clear" w:pos="284"/>
        <w:tab w:val="left" w:pos="540" w:leader="none"/>
        <w:tab w:val="left" w:pos="1260" w:leader="none"/>
        <w:tab w:val="left" w:pos="1800" w:leader="none"/>
      </w:tabs>
      <w:spacing w:lineRule="exact" w:line="240" w:before="240" w:after="160"/>
    </w:pPr>
    <w:rPr>
      <w:rFonts w:ascii="Verdana" w:hAnsi="Verdana" w:eastAsia="Batang;Batang" w:cs="Verdana"/>
      <w:sz w:val="24"/>
      <w:lang w:val="en-US"/>
    </w:rPr>
  </w:style>
  <w:style w:type="paragraph" w:styleId="ListParagraph">
    <w:name w:val="List Paragraph"/>
    <w:basedOn w:val="Normal"/>
    <w:qFormat/>
    <w:pPr>
      <w:overflowPunct w:val="false"/>
      <w:autoSpaceDE w:val="false"/>
      <w:spacing w:before="0" w:after="180"/>
      <w:ind w:left="720" w:hanging="0"/>
      <w:contextualSpacing/>
      <w:textAlignment w:val="baseline"/>
    </w:pPr>
    <w:rPr>
      <w:rFonts w:eastAsia="Times New Roman"/>
    </w:rPr>
  </w:style>
  <w:style w:type="paragraph" w:styleId="CharCharCharCharCharChar">
    <w:name w:val=" Char Char Char Char Char Ch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Style5">
    <w:name w:val="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arCar">
    <w:name w:val=" 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1">
    <w:name w:val=" Zchn Zchn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2">
    <w:name w:val=" (文字) (文字)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3">
    <w:name w:val=" (文字) (文字)3"/>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2">
    <w:name w:val=" Zchn Zchn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4">
    <w:name w:val=" (文字) (文字)4"/>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
    <w:name w:val=" (文字) (文字)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odyTextIndent2">
    <w:name w:val="Body Text Indent 2"/>
    <w:basedOn w:val="Normal"/>
    <w:qFormat/>
    <w:pPr>
      <w:overflowPunct w:val="false"/>
      <w:autoSpaceDE w:val="false"/>
      <w:ind w:left="400" w:hanging="200"/>
      <w:textAlignment w:val="baseline"/>
    </w:pPr>
    <w:rPr>
      <w:rFonts w:eastAsia="MS Mincho;ＭＳ 明朝"/>
    </w:rPr>
  </w:style>
  <w:style w:type="paragraph" w:styleId="NormalIndent">
    <w:name w:val="Normal Indent"/>
    <w:basedOn w:val="Normal"/>
    <w:qFormat/>
    <w:pPr>
      <w:spacing w:before="0" w:after="0"/>
      <w:ind w:left="851" w:hanging="0"/>
    </w:pPr>
    <w:rPr>
      <w:rFonts w:eastAsia="MS Mincho;ＭＳ 明朝"/>
      <w:lang w:val="it-IT"/>
    </w:rPr>
  </w:style>
  <w:style w:type="paragraph" w:styleId="ListNumber5">
    <w:name w:val="List Number 5"/>
    <w:basedOn w:val="Normal"/>
    <w:qFormat/>
    <w:pPr>
      <w:tabs>
        <w:tab w:val="clear" w:pos="284"/>
        <w:tab w:val="left" w:pos="851" w:leader="none"/>
        <w:tab w:val="left" w:pos="1800" w:leader="none"/>
      </w:tabs>
      <w:overflowPunct w:val="false"/>
      <w:autoSpaceDE w:val="false"/>
      <w:ind w:left="1800" w:hanging="851"/>
      <w:textAlignment w:val="baseline"/>
    </w:pPr>
    <w:rPr>
      <w:rFonts w:eastAsia="MS Mincho;ＭＳ 明朝"/>
    </w:rPr>
  </w:style>
  <w:style w:type="paragraph" w:styleId="ListNumber3">
    <w:name w:val="List Number 3"/>
    <w:basedOn w:val="Normal"/>
    <w:qFormat/>
    <w:pPr>
      <w:numPr>
        <w:ilvl w:val="0"/>
        <w:numId w:val="2"/>
      </w:numPr>
      <w:tabs>
        <w:tab w:val="clear" w:pos="284"/>
        <w:tab w:val="left" w:pos="926" w:leader="none"/>
      </w:tabs>
      <w:overflowPunct w:val="false"/>
      <w:autoSpaceDE w:val="false"/>
      <w:ind w:left="926" w:hanging="0"/>
      <w:textAlignment w:val="baseline"/>
    </w:pPr>
    <w:rPr>
      <w:rFonts w:eastAsia="MS Mincho;ＭＳ 明朝"/>
    </w:rPr>
  </w:style>
  <w:style w:type="paragraph" w:styleId="ListNumber4">
    <w:name w:val="List Number 4"/>
    <w:basedOn w:val="Normal"/>
    <w:qFormat/>
    <w:pPr>
      <w:numPr>
        <w:ilvl w:val="0"/>
        <w:numId w:val="3"/>
      </w:numPr>
      <w:tabs>
        <w:tab w:val="clear" w:pos="284"/>
        <w:tab w:val="left" w:pos="1209" w:leader="none"/>
      </w:tabs>
      <w:overflowPunct w:val="false"/>
      <w:autoSpaceDE w:val="false"/>
      <w:ind w:left="1209" w:hanging="0"/>
      <w:textAlignment w:val="baseline"/>
    </w:pPr>
    <w:rPr>
      <w:rFonts w:eastAsia="MS Mincho;ＭＳ 明朝"/>
    </w:rPr>
  </w:style>
  <w:style w:type="paragraph" w:styleId="Style6">
    <w:name w:val="修订"/>
    <w:qFormat/>
    <w:pPr>
      <w:widowControl/>
      <w:bidi w:val="0"/>
    </w:pPr>
    <w:rPr>
      <w:rFonts w:ascii="Times New Roman" w:hAnsi="Times New Roman" w:eastAsia="Batang;Batang" w:cs="Times New Roman"/>
      <w:color w:val="auto"/>
      <w:sz w:val="20"/>
      <w:szCs w:val="20"/>
      <w:lang w:val="en-GB" w:bidi="ar-SA" w:eastAsia="zh-CN"/>
    </w:rPr>
  </w:style>
  <w:style w:type="paragraph" w:styleId="Endnote">
    <w:name w:val="Endnote Text"/>
    <w:basedOn w:val="Normal"/>
    <w:pPr>
      <w:snapToGrid w:val="false"/>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eastAsia="Times New Roman" w:cs="Arial"/>
      <w:b/>
      <w:lang w:eastAsia="ko-KR"/>
    </w:rPr>
  </w:style>
  <w:style w:type="paragraph" w:styleId="Date">
    <w:name w:val="Date"/>
    <w:basedOn w:val="Normal"/>
    <w:next w:val="Normal"/>
    <w:qFormat/>
    <w:pPr>
      <w:overflowPunct w:val="false"/>
      <w:autoSpaceDE w:val="false"/>
      <w:textAlignment w:val="baseline"/>
    </w:pPr>
    <w:rPr>
      <w:rFonts w:eastAsia="Malgun Gothic;맑은 고딕"/>
    </w:rPr>
  </w:style>
  <w:style w:type="paragraph" w:styleId="AutoCorrect">
    <w:name w:val="AutoCorrect"/>
    <w:qFormat/>
    <w:pPr>
      <w:widowControl/>
      <w:bidi w:val="0"/>
    </w:pPr>
    <w:rPr>
      <w:rFonts w:ascii="Times New Roman" w:hAnsi="Times New Roman" w:eastAsia="Malgun Gothic;맑은 고딕" w:cs="Times New Roman"/>
      <w:color w:val="auto"/>
      <w:sz w:val="24"/>
      <w:szCs w:val="24"/>
      <w:lang w:val="en-GB" w:eastAsia="ko-KR" w:bidi="ar-SA"/>
    </w:rPr>
  </w:style>
  <w:style w:type="paragraph" w:styleId="PAGE">
    <w:name w:val="- PAGE -"/>
    <w:qFormat/>
    <w:pPr>
      <w:widowControl/>
      <w:bidi w:val="0"/>
    </w:pPr>
    <w:rPr>
      <w:rFonts w:ascii="Times New Roman" w:hAnsi="Times New Roman" w:eastAsia="Malgun Gothic;맑은 고딕" w:cs="Times New Roman"/>
      <w:color w:val="auto"/>
      <w:sz w:val="24"/>
      <w:szCs w:val="24"/>
      <w:lang w:val="en-GB" w:eastAsia="ko-KR" w:bidi="ar-SA"/>
    </w:rPr>
  </w:style>
  <w:style w:type="paragraph" w:styleId="PageXofY">
    <w:name w:val="Page X of Y"/>
    <w:qFormat/>
    <w:pPr>
      <w:widowControl/>
      <w:bidi w:val="0"/>
    </w:pPr>
    <w:rPr>
      <w:rFonts w:ascii="Times New Roman" w:hAnsi="Times New Roman" w:eastAsia="Malgun Gothic;맑은 고딕" w:cs="Times New Roman"/>
      <w:color w:val="auto"/>
      <w:sz w:val="24"/>
      <w:szCs w:val="24"/>
      <w:lang w:val="en-GB" w:eastAsia="ko-KR" w:bidi="ar-SA"/>
    </w:rPr>
  </w:style>
  <w:style w:type="paragraph" w:styleId="Createdby">
    <w:name w:val="Created by"/>
    <w:qFormat/>
    <w:pPr>
      <w:widowControl/>
      <w:bidi w:val="0"/>
    </w:pPr>
    <w:rPr>
      <w:rFonts w:ascii="Times New Roman" w:hAnsi="Times New Roman" w:eastAsia="Malgun Gothic;맑은 고딕" w:cs="Times New Roman"/>
      <w:color w:val="auto"/>
      <w:sz w:val="24"/>
      <w:szCs w:val="24"/>
      <w:lang w:val="en-GB" w:eastAsia="ko-KR" w:bidi="ar-SA"/>
    </w:rPr>
  </w:style>
  <w:style w:type="paragraph" w:styleId="Createdon">
    <w:name w:val="Created on"/>
    <w:qFormat/>
    <w:pPr>
      <w:widowControl/>
      <w:bidi w:val="0"/>
    </w:pPr>
    <w:rPr>
      <w:rFonts w:ascii="Times New Roman" w:hAnsi="Times New Roman" w:eastAsia="Malgun Gothic;맑은 고딕" w:cs="Times New Roman"/>
      <w:color w:val="auto"/>
      <w:sz w:val="24"/>
      <w:szCs w:val="24"/>
      <w:lang w:val="en-GB" w:eastAsia="ko-KR" w:bidi="ar-SA"/>
    </w:rPr>
  </w:style>
  <w:style w:type="paragraph" w:styleId="Lastprinted">
    <w:name w:val="Last printed"/>
    <w:qFormat/>
    <w:pPr>
      <w:widowControl/>
      <w:bidi w:val="0"/>
    </w:pPr>
    <w:rPr>
      <w:rFonts w:ascii="Times New Roman" w:hAnsi="Times New Roman" w:eastAsia="Malgun Gothic;맑은 고딕" w:cs="Times New Roman"/>
      <w:color w:val="auto"/>
      <w:sz w:val="24"/>
      <w:szCs w:val="24"/>
      <w:lang w:val="en-GB" w:eastAsia="ko-KR" w:bidi="ar-SA"/>
    </w:rPr>
  </w:style>
  <w:style w:type="paragraph" w:styleId="Lastsavedby">
    <w:name w:val="Last saved by"/>
    <w:qFormat/>
    <w:pPr>
      <w:widowControl/>
      <w:bidi w:val="0"/>
    </w:pPr>
    <w:rPr>
      <w:rFonts w:ascii="Times New Roman" w:hAnsi="Times New Roman" w:eastAsia="Malgun Gothic;맑은 고딕" w:cs="Times New Roman"/>
      <w:color w:val="auto"/>
      <w:sz w:val="24"/>
      <w:szCs w:val="24"/>
      <w:lang w:val="en-GB" w:eastAsia="ko-KR" w:bidi="ar-SA"/>
    </w:rPr>
  </w:style>
  <w:style w:type="paragraph" w:styleId="Filename">
    <w:name w:val="Filename"/>
    <w:qFormat/>
    <w:pPr>
      <w:widowControl/>
      <w:bidi w:val="0"/>
    </w:pPr>
    <w:rPr>
      <w:rFonts w:ascii="Times New Roman" w:hAnsi="Times New Roman" w:eastAsia="Malgun Gothic;맑은 고딕" w:cs="Times New Roman"/>
      <w:color w:val="auto"/>
      <w:sz w:val="24"/>
      <w:szCs w:val="24"/>
      <w:lang w:val="en-GB" w:eastAsia="ko-KR" w:bidi="ar-SA"/>
    </w:rPr>
  </w:style>
  <w:style w:type="paragraph" w:styleId="Filenameandpath">
    <w:name w:val="Filename and path"/>
    <w:qFormat/>
    <w:pPr>
      <w:widowControl/>
      <w:bidi w:val="0"/>
    </w:pPr>
    <w:rPr>
      <w:rFonts w:ascii="Times New Roman" w:hAnsi="Times New Roman" w:eastAsia="Malgun Gothic;맑은 고딕" w:cs="Times New Roman"/>
      <w:color w:val="auto"/>
      <w:sz w:val="24"/>
      <w:szCs w:val="24"/>
      <w:lang w:val="en-GB" w:eastAsia="ko-KR" w:bidi="ar-SA"/>
    </w:rPr>
  </w:style>
  <w:style w:type="paragraph" w:styleId="AuthorPageDate">
    <w:name w:val="Author  Page #  Date"/>
    <w:qFormat/>
    <w:pPr>
      <w:widowControl/>
      <w:bidi w:val="0"/>
    </w:pPr>
    <w:rPr>
      <w:rFonts w:ascii="Times New Roman" w:hAnsi="Times New Roman" w:eastAsia="Malgun Gothic;맑은 고딕" w:cs="Times New Roman"/>
      <w:color w:val="auto"/>
      <w:sz w:val="24"/>
      <w:szCs w:val="24"/>
      <w:lang w:val="en-GB" w:eastAsia="ko-KR" w:bidi="ar-SA"/>
    </w:rPr>
  </w:style>
  <w:style w:type="paragraph" w:styleId="ConfidentialPageDate">
    <w:name w:val="Confidential  Page #  Date"/>
    <w:qFormat/>
    <w:pPr>
      <w:widowControl/>
      <w:bidi w:val="0"/>
    </w:pPr>
    <w:rPr>
      <w:rFonts w:ascii="Times New Roman" w:hAnsi="Times New Roman" w:eastAsia="Malgun Gothic;맑은 고딕" w:cs="Times New Roman"/>
      <w:color w:val="auto"/>
      <w:sz w:val="24"/>
      <w:szCs w:val="24"/>
      <w:lang w:val="en-GB" w:eastAsia="ko-KR" w:bidi="ar-SA"/>
    </w:rPr>
  </w:style>
  <w:style w:type="paragraph" w:styleId="Tdocheader">
    <w:name w:val="tdoc-header"/>
    <w:qFormat/>
    <w:pPr>
      <w:widowControl/>
      <w:bidi w:val="0"/>
    </w:pPr>
    <w:rPr>
      <w:rFonts w:ascii="Arial" w:hAnsi="Arial" w:eastAsia="Malgun Gothic;맑은 고딕" w:cs="Arial"/>
      <w:color w:val="auto"/>
      <w:sz w:val="24"/>
      <w:szCs w:val="20"/>
      <w:lang w:val="en-GB" w:eastAsia="en-US" w:bidi="ar-SA"/>
    </w:rPr>
  </w:style>
  <w:style w:type="paragraph" w:styleId="Figure">
    <w:name w:val="Figure"/>
    <w:basedOn w:val="Normal"/>
    <w:qFormat/>
    <w:pPr>
      <w:tabs>
        <w:tab w:val="clear" w:pos="284"/>
        <w:tab w:val="left" w:pos="1440" w:leader="none"/>
      </w:tabs>
      <w:spacing w:lineRule="atLeast" w:line="280" w:before="180" w:after="240"/>
      <w:ind w:left="720" w:hanging="360"/>
      <w:jc w:val="center"/>
    </w:pPr>
    <w:rPr>
      <w:rFonts w:ascii="Arial" w:hAnsi="Arial" w:eastAsia="Times New Roman" w:cs="Arial"/>
      <w:b/>
      <w:lang w:val="en-US" w:eastAsia="ja-JP"/>
    </w:rPr>
  </w:style>
  <w:style w:type="paragraph" w:styleId="MTDisplayEquation">
    <w:name w:val="MTDisplayEquation"/>
    <w:basedOn w:val="Normal"/>
    <w:qFormat/>
    <w:pPr>
      <w:tabs>
        <w:tab w:val="clear" w:pos="284"/>
        <w:tab w:val="center" w:pos="4820" w:leader="none"/>
        <w:tab w:val="right" w:pos="9640" w:leader="none"/>
      </w:tabs>
    </w:pPr>
    <w:rPr>
      <w:rFonts w:eastAsia="Times New Roman"/>
      <w:lang w:eastAsia="ja-JP"/>
    </w:rPr>
  </w:style>
  <w:style w:type="paragraph" w:styleId="Data">
    <w:name w:val="Data"/>
    <w:basedOn w:val="Normal"/>
    <w:qFormat/>
    <w:pPr>
      <w:tabs>
        <w:tab w:val="clear" w:pos="284"/>
        <w:tab w:val="left" w:pos="1418" w:leader="none"/>
      </w:tabs>
      <w:overflowPunct w:val="false"/>
      <w:autoSpaceDE w:val="false"/>
      <w:spacing w:before="0" w:after="120"/>
      <w:textAlignment w:val="baseline"/>
    </w:pPr>
    <w:rPr>
      <w:rFonts w:ascii="Arial" w:hAnsi="Arial" w:eastAsia="MS Mincho;ＭＳ 明朝" w:cs="Arial"/>
      <w:sz w:val="24"/>
      <w:lang w:val="fr-FR" w:eastAsia="ko-KR"/>
    </w:rPr>
  </w:style>
  <w:style w:type="paragraph" w:styleId="P20">
    <w:name w:val="p20"/>
    <w:basedOn w:val="Normal"/>
    <w:qFormat/>
    <w:pPr>
      <w:snapToGrid w:val="false"/>
      <w:spacing w:before="0" w:after="0"/>
      <w:textAlignment w:val="baseline"/>
    </w:pPr>
    <w:rPr>
      <w:rFonts w:ascii="Arial" w:hAnsi="Arial" w:cs="Arial"/>
      <w:sz w:val="18"/>
      <w:szCs w:val="18"/>
      <w:lang w:val="en-US" w:eastAsia="zh-CN"/>
    </w:rPr>
  </w:style>
  <w:style w:type="paragraph" w:styleId="ATC">
    <w:name w:val="ATC"/>
    <w:basedOn w:val="Normal"/>
    <w:qFormat/>
    <w:pPr>
      <w:overflowPunct w:val="false"/>
      <w:autoSpaceDE w:val="false"/>
      <w:textAlignment w:val="baseline"/>
    </w:pPr>
    <w:rPr>
      <w:rFonts w:eastAsia="Times New Roman"/>
      <w:lang w:eastAsia="ja-JP"/>
    </w:rPr>
  </w:style>
  <w:style w:type="paragraph" w:styleId="TaOC">
    <w:name w:val="TaOC"/>
    <w:basedOn w:val="TAC"/>
    <w:qFormat/>
    <w:pPr>
      <w:overflowPunct w:val="false"/>
      <w:autoSpaceDE w:val="false"/>
      <w:textAlignment w:val="baseline"/>
    </w:pPr>
    <w:rPr>
      <w:rFonts w:eastAsia="Times New Roman"/>
      <w:lang w:val="en-GB" w:eastAsia="ja-JP"/>
    </w:rPr>
  </w:style>
  <w:style w:type="paragraph" w:styleId="1CharChar1Char">
    <w:name w:val=" (文字) (文字)1 Char (文字) (文字) Char (文字) (文字)1 Char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Xl40">
    <w:name w:val="xl40"/>
    <w:basedOn w:val="Normal"/>
    <w:qFormat/>
    <w:pPr>
      <w:shd w:fill="FFFF00" w:val="clear"/>
      <w:spacing w:before="100" w:after="100"/>
      <w:jc w:val="center"/>
    </w:pPr>
    <w:rPr>
      <w:rFonts w:ascii="Arial" w:hAnsi="Arial" w:eastAsia="Times New Roman" w:cs="Arial"/>
      <w:b/>
      <w:bCs/>
      <w:color w:val="000000"/>
      <w:sz w:val="16"/>
      <w:szCs w:val="16"/>
    </w:rPr>
  </w:style>
  <w:style w:type="paragraph" w:styleId="Separation">
    <w:name w:val="Separation"/>
    <w:basedOn w:val="Heading1"/>
    <w:next w:val="Normal"/>
    <w:qFormat/>
    <w:pPr>
      <w:numPr>
        <w:ilvl w:val="0"/>
        <w:numId w:val="0"/>
      </w:numPr>
      <w:pBdr>
        <w:top w:val="nil"/>
      </w:pBdr>
      <w:ind w:left="1134" w:hanging="1134"/>
      <w:outlineLvl w:val="9"/>
    </w:pPr>
    <w:rPr>
      <w:rFonts w:eastAsia="Times New Roman"/>
      <w:b/>
      <w:color w:val="0000FF"/>
      <w:lang w:val="en-GB" w:eastAsia="ja-JP"/>
    </w:rPr>
  </w:style>
  <w:style w:type="paragraph" w:styleId="Bullet">
    <w:name w:val="Bullet"/>
    <w:basedOn w:val="Normal"/>
    <w:qFormat/>
    <w:pPr>
      <w:tabs>
        <w:tab w:val="clear" w:pos="284"/>
        <w:tab w:val="left" w:pos="928" w:leader="none"/>
      </w:tabs>
      <w:ind w:left="928" w:hanging="360"/>
    </w:pPr>
    <w:rPr>
      <w:rFonts w:eastAsia="Batang;Batang"/>
      <w:lang w:eastAsia="ko-KR"/>
    </w:rPr>
  </w:style>
  <w:style w:type="paragraph" w:styleId="StyleHeading6Left0cmHanging349cmAfter9pt">
    <w:name w:val="Style Heading 6 + Left:  0 cm Hanging:  3.49 cm After:  9 pt"/>
    <w:basedOn w:val="Heading6"/>
    <w:qFormat/>
    <w:pPr>
      <w:keepNext w:val="false"/>
      <w:keepLines w:val="false"/>
      <w:numPr>
        <w:ilvl w:val="0"/>
        <w:numId w:val="0"/>
      </w:numPr>
      <w:spacing w:before="240" w:after="180"/>
      <w:ind w:left="1980" w:hanging="1980"/>
      <w:outlineLvl w:val="9"/>
    </w:pPr>
    <w:rPr>
      <w:rFonts w:eastAsia="MS Mincho;ＭＳ 明朝"/>
      <w:bCs/>
      <w:lang w:val="en-GB"/>
    </w:rPr>
  </w:style>
  <w:style w:type="paragraph" w:styleId="StyleHeading6After9pt">
    <w:name w:val="Style Heading 6 + After:  9 pt"/>
    <w:basedOn w:val="Heading6"/>
    <w:qFormat/>
    <w:pPr>
      <w:keepNext w:val="false"/>
      <w:keepLines w:val="false"/>
      <w:numPr>
        <w:ilvl w:val="0"/>
        <w:numId w:val="0"/>
      </w:numPr>
      <w:spacing w:before="240" w:after="180"/>
      <w:ind w:left="0" w:hanging="0"/>
      <w:outlineLvl w:val="9"/>
    </w:pPr>
    <w:rPr>
      <w:rFonts w:eastAsia="MS Mincho;ＭＳ 明朝"/>
      <w:bCs/>
      <w:lang w:val="en-GB"/>
    </w:rPr>
  </w:style>
  <w:style w:type="paragraph" w:styleId="31">
    <w:name w:val="吹き出し3"/>
    <w:basedOn w:val="Normal"/>
    <w:qFormat/>
    <w:pPr/>
    <w:rPr>
      <w:rFonts w:ascii="Tahoma" w:hAnsi="Tahoma" w:eastAsia="MS Mincho;ＭＳ 明朝" w:cs="Tahoma"/>
      <w:sz w:val="16"/>
      <w:szCs w:val="16"/>
      <w:lang w:eastAsia="ko-KR"/>
    </w:rPr>
  </w:style>
  <w:style w:type="paragraph" w:styleId="JKtextsimpledoc">
    <w:name w:val="JK - text - simple doc"/>
    <w:basedOn w:val="TextBody"/>
    <w:qFormat/>
    <w:pPr>
      <w:tabs>
        <w:tab w:val="clear" w:pos="284"/>
        <w:tab w:val="left" w:pos="928" w:leader="none"/>
        <w:tab w:val="left" w:pos="1097" w:leader="none"/>
      </w:tabs>
      <w:spacing w:lineRule="auto" w:line="288" w:before="0" w:after="120"/>
      <w:ind w:left="1097" w:hanging="360"/>
    </w:pPr>
    <w:rPr>
      <w:rFonts w:ascii="Arial" w:hAnsi="Arial" w:cs="Arial"/>
      <w:lang w:val="en-US"/>
    </w:rPr>
  </w:style>
  <w:style w:type="paragraph" w:styleId="B11">
    <w:name w:val="b1"/>
    <w:basedOn w:val="Normal"/>
    <w:qFormat/>
    <w:pPr>
      <w:spacing w:before="100" w:after="100"/>
    </w:pPr>
    <w:rPr>
      <w:rFonts w:eastAsia="Times New Roman"/>
      <w:sz w:val="24"/>
      <w:szCs w:val="24"/>
      <w:lang w:val="en-US" w:eastAsia="ko-KR"/>
    </w:rPr>
  </w:style>
  <w:style w:type="paragraph" w:styleId="11">
    <w:name w:val="吹き出し1"/>
    <w:basedOn w:val="Normal"/>
    <w:qFormat/>
    <w:pPr/>
    <w:rPr>
      <w:rFonts w:ascii="Tahoma" w:hAnsi="Tahoma" w:eastAsia="MS Mincho;ＭＳ 明朝" w:cs="Tahoma"/>
      <w:sz w:val="16"/>
      <w:szCs w:val="16"/>
      <w:lang w:eastAsia="ko-KR"/>
    </w:rPr>
  </w:style>
  <w:style w:type="paragraph" w:styleId="ZchnZchn">
    <w:name w:val=" 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21">
    <w:name w:val="吹き出し2"/>
    <w:basedOn w:val="Normal"/>
    <w:qFormat/>
    <w:pPr/>
    <w:rPr>
      <w:rFonts w:ascii="Tahoma" w:hAnsi="Tahoma" w:eastAsia="MS Mincho;ＭＳ 明朝" w:cs="Tahoma"/>
      <w:sz w:val="16"/>
      <w:szCs w:val="16"/>
      <w:lang w:eastAsia="ko-KR"/>
    </w:rPr>
  </w:style>
  <w:style w:type="paragraph" w:styleId="Note">
    <w:name w:val="Note"/>
    <w:basedOn w:val="B1"/>
    <w:qFormat/>
    <w:pPr>
      <w:overflowPunct w:val="false"/>
      <w:autoSpaceDE w:val="false"/>
      <w:textAlignment w:val="baseline"/>
    </w:pPr>
    <w:rPr>
      <w:rFonts w:eastAsia="MS Mincho;ＭＳ 明朝"/>
    </w:rPr>
  </w:style>
  <w:style w:type="paragraph" w:styleId="Tabletext1">
    <w:name w:val="table text"/>
    <w:basedOn w:val="Normal"/>
    <w:next w:val="Normal"/>
    <w:qFormat/>
    <w:pPr>
      <w:overflowPunct w:val="false"/>
      <w:autoSpaceDE w:val="false"/>
      <w:textAlignment w:val="baseline"/>
    </w:pPr>
    <w:rPr>
      <w:rFonts w:eastAsia="MS Mincho;ＭＳ 明朝"/>
      <w:i/>
    </w:rPr>
  </w:style>
  <w:style w:type="paragraph" w:styleId="Toc9">
    <w:name w:val="toc 9"/>
    <w:basedOn w:val="Contents8"/>
    <w:qFormat/>
    <w:pPr>
      <w:overflowPunct w:val="false"/>
      <w:autoSpaceDE w:val="false"/>
      <w:ind w:left="1418" w:right="425" w:hanging="1418"/>
      <w:textAlignment w:val="baseline"/>
    </w:pPr>
    <w:rPr>
      <w:rFonts w:eastAsia="MS Mincho;ＭＳ 明朝"/>
      <w:lang w:val="en-US"/>
    </w:rPr>
  </w:style>
  <w:style w:type="paragraph" w:styleId="Caption1">
    <w:name w:val="caption"/>
    <w:basedOn w:val="Normal"/>
    <w:next w:val="Normal"/>
    <w:qFormat/>
    <w:pPr>
      <w:overflowPunct w:val="false"/>
      <w:autoSpaceDE w:val="false"/>
      <w:spacing w:before="120" w:after="120"/>
      <w:textAlignment w:val="baseline"/>
    </w:pPr>
    <w:rPr>
      <w:rFonts w:eastAsia="MS Mincho;ＭＳ 明朝"/>
      <w:b/>
    </w:rPr>
  </w:style>
  <w:style w:type="paragraph" w:styleId="HE">
    <w:name w:val="HE"/>
    <w:basedOn w:val="Normal"/>
    <w:qFormat/>
    <w:pPr>
      <w:overflowPunct w:val="false"/>
      <w:autoSpaceDE w:val="false"/>
      <w:spacing w:before="0" w:after="0"/>
      <w:textAlignment w:val="baseline"/>
    </w:pPr>
    <w:rPr>
      <w:rFonts w:eastAsia="MS Mincho;ＭＳ 明朝"/>
      <w:b/>
    </w:rPr>
  </w:style>
  <w:style w:type="paragraph" w:styleId="HO">
    <w:name w:val="HO"/>
    <w:basedOn w:val="Normal"/>
    <w:qFormat/>
    <w:pPr>
      <w:overflowPunct w:val="false"/>
      <w:autoSpaceDE w:val="false"/>
      <w:spacing w:before="0" w:after="0"/>
      <w:jc w:val="right"/>
      <w:textAlignment w:val="baseline"/>
    </w:pPr>
    <w:rPr>
      <w:rFonts w:eastAsia="MS Mincho;ＭＳ 明朝"/>
      <w:b/>
    </w:rPr>
  </w:style>
  <w:style w:type="paragraph" w:styleId="WP">
    <w:name w:val="WP"/>
    <w:basedOn w:val="Normal"/>
    <w:qFormat/>
    <w:pPr>
      <w:overflowPunct w:val="false"/>
      <w:autoSpaceDE w:val="false"/>
      <w:spacing w:before="0" w:after="0"/>
      <w:jc w:val="both"/>
      <w:textAlignment w:val="baseline"/>
    </w:pPr>
    <w:rPr>
      <w:rFonts w:eastAsia="MS Mincho;ＭＳ 明朝"/>
    </w:rPr>
  </w:style>
  <w:style w:type="paragraph" w:styleId="ZK">
    <w:name w:val="ZK"/>
    <w:qFormat/>
    <w:pPr>
      <w:widowControl/>
      <w:bidi w:val="0"/>
      <w:spacing w:lineRule="atLeast" w:line="240" w:before="0" w:after="240"/>
      <w:ind w:left="1191" w:right="113" w:hanging="1191"/>
    </w:pPr>
    <w:rPr>
      <w:rFonts w:ascii="Times New Roman" w:hAnsi="Times New Roman" w:eastAsia="MS Mincho;ＭＳ 明朝" w:cs="Times New Roman"/>
      <w:color w:val="auto"/>
      <w:sz w:val="20"/>
      <w:szCs w:val="20"/>
      <w:lang w:val="en-GB" w:bidi="ar-SA" w:eastAsia="zh-CN"/>
    </w:rPr>
  </w:style>
  <w:style w:type="paragraph" w:styleId="ZC">
    <w:name w:val="ZC"/>
    <w:qFormat/>
    <w:pPr>
      <w:widowControl/>
      <w:bidi w:val="0"/>
      <w:spacing w:lineRule="atLeast" w:line="360"/>
      <w:jc w:val="center"/>
    </w:pPr>
    <w:rPr>
      <w:rFonts w:ascii="Times New Roman" w:hAnsi="Times New Roman" w:eastAsia="MS Mincho;ＭＳ 明朝" w:cs="Times New Roman"/>
      <w:color w:val="auto"/>
      <w:sz w:val="20"/>
      <w:szCs w:val="20"/>
      <w:lang w:val="en-GB" w:bidi="ar-SA" w:eastAsia="zh-CN"/>
    </w:rPr>
  </w:style>
  <w:style w:type="paragraph" w:styleId="FooterCentred">
    <w:name w:val="FooterCentred"/>
    <w:basedOn w:val="Footer"/>
    <w:qFormat/>
    <w:pPr>
      <w:tabs>
        <w:tab w:val="clear" w:pos="284"/>
        <w:tab w:val="center" w:pos="4678" w:leader="none"/>
        <w:tab w:val="right" w:pos="9356" w:leader="none"/>
      </w:tabs>
      <w:overflowPunct w:val="false"/>
      <w:autoSpaceDE w:val="false"/>
      <w:jc w:val="both"/>
      <w:textAlignment w:val="baseline"/>
    </w:pPr>
    <w:rPr>
      <w:rFonts w:ascii="Times New Roman" w:hAnsi="Times New Roman" w:eastAsia="MS Mincho;ＭＳ 明朝" w:cs="Times New Roman"/>
      <w:b w:val="false"/>
      <w:i w:val="false"/>
      <w:sz w:val="20"/>
      <w:lang w:val="en-US"/>
    </w:rPr>
  </w:style>
  <w:style w:type="paragraph" w:styleId="CRfront">
    <w:name w:val="CR_front"/>
    <w:basedOn w:val="Normal"/>
    <w:qFormat/>
    <w:pPr>
      <w:overflowPunct w:val="false"/>
      <w:autoSpaceDE w:val="false"/>
      <w:textAlignment w:val="baseline"/>
    </w:pPr>
    <w:rPr>
      <w:rFonts w:eastAsia="MS Mincho;ＭＳ 明朝"/>
    </w:rPr>
  </w:style>
  <w:style w:type="paragraph" w:styleId="Para1">
    <w:name w:val="Para1"/>
    <w:basedOn w:val="Normal"/>
    <w:qFormat/>
    <w:pPr>
      <w:overflowPunct w:val="false"/>
      <w:autoSpaceDE w:val="false"/>
      <w:spacing w:before="120" w:after="120"/>
      <w:textAlignment w:val="baseline"/>
    </w:pPr>
    <w:rPr>
      <w:rFonts w:eastAsia="MS Mincho;ＭＳ 明朝"/>
      <w:lang w:val="en-US"/>
    </w:rPr>
  </w:style>
  <w:style w:type="paragraph" w:styleId="NumberedList">
    <w:name w:val="Numbered List"/>
    <w:basedOn w:val="Para1"/>
    <w:qFormat/>
    <w:pPr>
      <w:tabs>
        <w:tab w:val="clear" w:pos="284"/>
        <w:tab w:val="left" w:pos="360" w:leader="none"/>
      </w:tabs>
      <w:ind w:left="360" w:hanging="360"/>
    </w:pPr>
    <w:rPr/>
  </w:style>
  <w:style w:type="paragraph" w:styleId="Teststep">
    <w:name w:val="Test step"/>
    <w:basedOn w:val="Normal"/>
    <w:qFormat/>
    <w:pPr>
      <w:tabs>
        <w:tab w:val="clear" w:pos="284"/>
        <w:tab w:val="left" w:pos="720" w:leader="none"/>
      </w:tabs>
      <w:overflowPunct w:val="false"/>
      <w:autoSpaceDE w:val="false"/>
      <w:spacing w:before="0" w:after="0"/>
      <w:ind w:left="720" w:hanging="720"/>
      <w:textAlignment w:val="baseline"/>
    </w:pPr>
    <w:rPr>
      <w:rFonts w:eastAsia="MS Mincho;ＭＳ 明朝"/>
    </w:rPr>
  </w:style>
  <w:style w:type="paragraph" w:styleId="TableTitle">
    <w:name w:val="TableTitle"/>
    <w:basedOn w:val="BodyText2"/>
    <w:next w:val="BodyText2"/>
    <w:qFormat/>
    <w:pPr>
      <w:keepNext w:val="true"/>
      <w:keepLines/>
      <w:spacing w:before="0" w:after="60"/>
      <w:ind w:left="210" w:hanging="0"/>
      <w:jc w:val="center"/>
    </w:pPr>
    <w:rPr>
      <w:rFonts w:eastAsia="MS Mincho;ＭＳ 明朝"/>
      <w:b/>
      <w:i w:val="false"/>
    </w:rPr>
  </w:style>
  <w:style w:type="paragraph" w:styleId="Tableoffigures">
    <w:name w:val="table of figures"/>
    <w:basedOn w:val="Normal"/>
    <w:next w:val="Normal"/>
    <w:qFormat/>
    <w:pPr>
      <w:overflowPunct w:val="false"/>
      <w:autoSpaceDE w:val="false"/>
      <w:ind w:left="400" w:hanging="400"/>
      <w:jc w:val="center"/>
      <w:textAlignment w:val="baseline"/>
    </w:pPr>
    <w:rPr>
      <w:rFonts w:eastAsia="MS Mincho;ＭＳ 明朝"/>
      <w:b/>
    </w:rPr>
  </w:style>
  <w:style w:type="paragraph" w:styleId="Table">
    <w:name w:val="table"/>
    <w:basedOn w:val="Normal"/>
    <w:next w:val="Normal"/>
    <w:qFormat/>
    <w:pPr>
      <w:overflowPunct w:val="false"/>
      <w:autoSpaceDE w:val="false"/>
      <w:spacing w:before="0" w:after="0"/>
      <w:jc w:val="center"/>
      <w:textAlignment w:val="baseline"/>
    </w:pPr>
    <w:rPr>
      <w:rFonts w:eastAsia="MS Mincho;ＭＳ 明朝"/>
      <w:lang w:val="en-US"/>
    </w:rPr>
  </w:style>
  <w:style w:type="paragraph" w:styleId="T2">
    <w:name w:val="t2"/>
    <w:basedOn w:val="Normal"/>
    <w:qFormat/>
    <w:pPr>
      <w:overflowPunct w:val="false"/>
      <w:autoSpaceDE w:val="false"/>
      <w:spacing w:before="0" w:after="0"/>
      <w:textAlignment w:val="baseline"/>
    </w:pPr>
    <w:rPr>
      <w:rFonts w:eastAsia="MS Mincho;ＭＳ 明朝"/>
    </w:rPr>
  </w:style>
  <w:style w:type="paragraph" w:styleId="CommentNokia">
    <w:name w:val="Comment Nokia"/>
    <w:basedOn w:val="Normal"/>
    <w:qFormat/>
    <w:pPr>
      <w:tabs>
        <w:tab w:val="clear" w:pos="284"/>
        <w:tab w:val="left" w:pos="360" w:leader="none"/>
      </w:tabs>
      <w:overflowPunct w:val="false"/>
      <w:autoSpaceDE w:val="false"/>
      <w:ind w:left="360" w:hanging="360"/>
      <w:textAlignment w:val="baseline"/>
    </w:pPr>
    <w:rPr>
      <w:rFonts w:eastAsia="MS Mincho;ＭＳ 明朝"/>
      <w:sz w:val="22"/>
      <w:lang w:val="en-US"/>
    </w:rPr>
  </w:style>
  <w:style w:type="paragraph" w:styleId="Copyright">
    <w:name w:val="Copyright"/>
    <w:basedOn w:val="Normal"/>
    <w:qFormat/>
    <w:pPr>
      <w:overflowPunct w:val="false"/>
      <w:autoSpaceDE w:val="false"/>
      <w:spacing w:before="0" w:after="0"/>
      <w:jc w:val="center"/>
      <w:textAlignment w:val="baseline"/>
    </w:pPr>
    <w:rPr>
      <w:rFonts w:ascii="Arial" w:hAnsi="Arial" w:eastAsia="MS Mincho;ＭＳ 明朝" w:cs="Arial"/>
      <w:b/>
      <w:sz w:val="16"/>
      <w:lang w:eastAsia="ja-JP"/>
    </w:rPr>
  </w:style>
  <w:style w:type="paragraph" w:styleId="Tdoctable">
    <w:name w:val="Tdoc_table"/>
    <w:qFormat/>
    <w:pPr>
      <w:widowControl/>
      <w:bidi w:val="0"/>
      <w:ind w:left="244" w:hanging="244"/>
    </w:pPr>
    <w:rPr>
      <w:rFonts w:ascii="Arial" w:hAnsi="Arial" w:eastAsia="SimSun;宋体" w:cs="Arial"/>
      <w:color w:val="000000"/>
      <w:sz w:val="20"/>
      <w:szCs w:val="20"/>
      <w:lang w:val="en-GB" w:eastAsia="en-US" w:bidi="ar-SA"/>
    </w:rPr>
  </w:style>
  <w:style w:type="paragraph" w:styleId="Heading2Head2A2">
    <w:name w:val="Heading 2.Head2A.2"/>
    <w:basedOn w:val="Heading1"/>
    <w:next w:val="Normal"/>
    <w:qFormat/>
    <w:pPr>
      <w:numPr>
        <w:ilvl w:val="0"/>
        <w:numId w:val="0"/>
      </w:numPr>
      <w:pBdr>
        <w:top w:val="nil"/>
      </w:pBdr>
      <w:overflowPunct w:val="false"/>
      <w:autoSpaceDE w:val="false"/>
      <w:spacing w:before="180" w:after="180"/>
      <w:ind w:left="1134" w:hanging="1134"/>
      <w:textAlignment w:val="baseline"/>
      <w:outlineLvl w:val="1"/>
    </w:pPr>
    <w:rPr>
      <w:sz w:val="32"/>
      <w:lang w:val="en-GB"/>
    </w:rPr>
  </w:style>
  <w:style w:type="paragraph" w:styleId="Heading3Underrubrik2H3">
    <w:name w:val="Heading 3.Underrubrik2.H3"/>
    <w:basedOn w:val="Heading2Head2A2"/>
    <w:next w:val="Normal"/>
    <w:qFormat/>
    <w:pPr>
      <w:spacing w:before="120" w:after="180"/>
      <w:outlineLvl w:val="2"/>
    </w:pPr>
    <w:rPr>
      <w:sz w:val="28"/>
    </w:rPr>
  </w:style>
  <w:style w:type="paragraph" w:styleId="TitleText">
    <w:name w:val="Title Text"/>
    <w:basedOn w:val="Normal"/>
    <w:next w:val="Normal"/>
    <w:qFormat/>
    <w:pPr>
      <w:overflowPunct w:val="false"/>
      <w:autoSpaceDE w:val="false"/>
      <w:spacing w:before="0" w:after="220"/>
      <w:textAlignment w:val="baseline"/>
    </w:pPr>
    <w:rPr>
      <w:rFonts w:eastAsia="MS Mincho;ＭＳ 明朝"/>
      <w:b/>
      <w:lang w:val="en-US"/>
    </w:rPr>
  </w:style>
  <w:style w:type="paragraph" w:styleId="Berschrift2Head2A2">
    <w:name w:val="Überschrift 2.Head2A.2"/>
    <w:basedOn w:val="Heading1"/>
    <w:next w:val="Normal"/>
    <w:qFormat/>
    <w:pPr>
      <w:numPr>
        <w:ilvl w:val="0"/>
        <w:numId w:val="0"/>
      </w:numPr>
      <w:pBdr>
        <w:top w:val="nil"/>
      </w:pBdr>
      <w:spacing w:before="180" w:after="180"/>
      <w:ind w:left="1134" w:hanging="1134"/>
      <w:outlineLvl w:val="1"/>
    </w:pPr>
    <w:rPr>
      <w:rFonts w:eastAsia="MS Mincho;ＭＳ 明朝"/>
      <w:sz w:val="32"/>
      <w:lang w:val="en-GB"/>
    </w:rPr>
  </w:style>
  <w:style w:type="paragraph" w:styleId="Berschrift3h3H3Underrubrik2">
    <w:name w:val="Überschrift 3.h3.H3.Underrubrik2"/>
    <w:basedOn w:val="Heading2"/>
    <w:next w:val="Normal"/>
    <w:qFormat/>
    <w:pPr>
      <w:numPr>
        <w:ilvl w:val="0"/>
        <w:numId w:val="0"/>
      </w:numPr>
      <w:spacing w:before="120" w:after="180"/>
      <w:ind w:left="1134" w:hanging="1134"/>
      <w:outlineLvl w:val="2"/>
    </w:pPr>
    <w:rPr>
      <w:rFonts w:eastAsia="MS Mincho;ＭＳ 明朝"/>
      <w:sz w:val="28"/>
      <w:lang w:val="en-GB"/>
    </w:rPr>
  </w:style>
  <w:style w:type="paragraph" w:styleId="Reference">
    <w:name w:val="Reference"/>
    <w:basedOn w:val="Normal"/>
    <w:qFormat/>
    <w:pPr>
      <w:spacing w:before="0" w:after="0"/>
      <w:ind w:left="567" w:hanging="283"/>
    </w:pPr>
    <w:rPr>
      <w:rFonts w:eastAsia="MS Mincho;ＭＳ 明朝"/>
    </w:rPr>
  </w:style>
  <w:style w:type="paragraph" w:styleId="Bullets">
    <w:name w:val="Bullets"/>
    <w:basedOn w:val="TextBody"/>
    <w:qFormat/>
    <w:pPr>
      <w:widowControl w:val="false"/>
      <w:numPr>
        <w:ilvl w:val="0"/>
        <w:numId w:val="10"/>
      </w:numPr>
      <w:overflowPunct w:val="false"/>
      <w:autoSpaceDE w:val="false"/>
      <w:spacing w:before="0" w:after="120"/>
      <w:ind w:left="283" w:hanging="283"/>
      <w:textAlignment w:val="baseline"/>
    </w:pPr>
    <w:rPr>
      <w:rFonts w:eastAsia="MS Mincho;ＭＳ 明朝"/>
    </w:rPr>
  </w:style>
  <w:style w:type="paragraph" w:styleId="11BodyText">
    <w:name w:val="11 BodyText"/>
    <w:basedOn w:val="Normal"/>
    <w:qFormat/>
    <w:pPr>
      <w:spacing w:before="0" w:after="220"/>
      <w:ind w:left="1298" w:hanging="0"/>
    </w:pPr>
    <w:rPr>
      <w:rFonts w:ascii="Arial" w:hAnsi="Arial" w:cs="Arial"/>
      <w:lang w:val="en-US"/>
    </w:rPr>
  </w:style>
  <w:style w:type="paragraph" w:styleId="1030302">
    <w:name w:val="样式 样式 标题 1 + 两端对齐 段前: 0.3 行 段后: 0.3 行 行距: 单倍行距 + 段前: 0.2 行 段后: ..."/>
    <w:basedOn w:val="Normal"/>
    <w:qFormat/>
    <w:pPr>
      <w:keepNext w:val="true"/>
      <w:tabs>
        <w:tab w:val="clear" w:pos="284"/>
        <w:tab w:val="left" w:pos="0" w:leader="none"/>
      </w:tabs>
      <w:spacing w:before="62" w:after="31"/>
      <w:ind w:right="284" w:hanging="0"/>
      <w:jc w:val="both"/>
      <w:outlineLvl w:val="0"/>
    </w:pPr>
    <w:rPr>
      <w:rFonts w:ascii="Arial" w:hAnsi="Arial" w:cs="SimSun;宋体"/>
      <w:b/>
      <w:bCs/>
      <w:sz w:val="28"/>
      <w:lang w:val="en-US" w:eastAsia="zh-CN"/>
    </w:rPr>
  </w:style>
  <w:style w:type="paragraph" w:styleId="B12">
    <w:name w:val="B1+"/>
    <w:basedOn w:val="Normal"/>
    <w:qFormat/>
    <w:pPr>
      <w:tabs>
        <w:tab w:val="clear" w:pos="284"/>
        <w:tab w:val="left" w:pos="720" w:leader="none"/>
      </w:tabs>
      <w:overflowPunct w:val="false"/>
      <w:autoSpaceDE w:val="false"/>
      <w:ind w:left="720" w:hanging="360"/>
      <w:textAlignment w:val="baseline"/>
    </w:pPr>
    <w:rPr>
      <w:rFonts w:eastAsia="Times New Roman"/>
      <w:lang w:eastAsia="ko-KR"/>
    </w:rPr>
  </w:style>
  <w:style w:type="paragraph" w:styleId="NormalArial">
    <w:name w:val="Normal + Arial"/>
    <w:basedOn w:val="Normal"/>
    <w:qFormat/>
    <w:pPr>
      <w:keepNext w:val="true"/>
      <w:keepLines/>
      <w:overflowPunct w:val="false"/>
      <w:autoSpaceDE w:val="false"/>
      <w:spacing w:before="0" w:after="0"/>
      <w:ind w:right="134" w:hanging="0"/>
      <w:jc w:val="right"/>
      <w:textAlignment w:val="baseline"/>
    </w:pPr>
    <w:rPr>
      <w:rFonts w:ascii="Arial" w:hAnsi="Arial" w:eastAsia="Times New Roman" w:cs="Arial"/>
      <w:sz w:val="18"/>
      <w:szCs w:val="18"/>
      <w:lang w:val="en-US" w:eastAsia="ko-KR"/>
    </w:rPr>
  </w:style>
  <w:style w:type="paragraph" w:styleId="StyleTAC">
    <w:name w:val="Style TAC +"/>
    <w:basedOn w:val="TAC"/>
    <w:next w:val="TAC"/>
    <w:qFormat/>
    <w:pPr/>
    <w:rPr>
      <w:rFonts w:eastAsia="Malgun Gothic;맑은 고딕"/>
      <w:kern w:val="2"/>
      <w:lang w:val="en-GB"/>
    </w:rPr>
  </w:style>
  <w:style w:type="paragraph" w:styleId="Default">
    <w:name w:val="Default"/>
    <w:qFormat/>
    <w:pPr>
      <w:widowControl w:val="false"/>
      <w:autoSpaceDE w:val="false"/>
      <w:bidi w:val="0"/>
    </w:pPr>
    <w:rPr>
      <w:rFonts w:ascii="Arial" w:hAnsi="Arial" w:eastAsia="Malgun Gothic;맑은 고딕" w:cs="Arial"/>
      <w:color w:val="000000"/>
      <w:sz w:val="24"/>
      <w:szCs w:val="24"/>
      <w:lang w:val="en-US" w:eastAsia="ja-JP" w:bidi="ar-SA"/>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Arial" w:hAnsi="Arial" w:eastAsia="MS Gothic;ＭＳ ゴシック" w:cs="Times New Roman"/>
      <w:b/>
      <w:bCs/>
      <w:color w:val="365F91"/>
      <w:sz w:val="28"/>
      <w:szCs w:val="28"/>
      <w:lang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gsma.com/newsroom/wp-content/uploads/TS-24-v3-01.pdf" TargetMode="External"/><Relationship Id="rId7" Type="http://schemas.openxmlformats.org/officeDocument/2006/relationships/hyperlink" Target="https://www.gsma.com/newsroom/wp-content/uploads/TS-24-v3-01.pdf" TargetMode="External"/><Relationship Id="rId8" Type="http://schemas.openxmlformats.org/officeDocument/2006/relationships/hyperlink" Target="https://www.gsma.com/newsroom/wp-content/uploads/TS-24-v3-01.pdf" TargetMode="External"/><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2018-12-03T13:44:00Z</dcterms:created>
  <dc:creator>MCC Support</dc:creator>
  <dc:description/>
  <cp:keywords/>
  <dc:language>en-US</dc:language>
  <cp:lastModifiedBy>MCC</cp:lastModifiedBy>
  <dcterms:modified xsi:type="dcterms:W3CDTF">2019-01-16T07:47:00Z</dcterms:modified>
  <cp:revision>19</cp:revision>
  <dc:subject>Study on evaluation for 2 receiver exception in Rel-15 vehicle mounted User Equipment (UE) for NR (Release 16)</dc:subject>
  <dc:title>3GPP TR 38.826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hange">
    <vt:lpwstr/>
  </property>
  <property fmtid="{D5CDD505-2E9C-101B-9397-08002B2CF9AE}" pid="3" name="_full-control">
    <vt:lpwstr/>
  </property>
  <property fmtid="{D5CDD505-2E9C-101B-9397-08002B2CF9AE}" pid="4" name="_readonly">
    <vt:lpwstr/>
  </property>
  <property fmtid="{D5CDD505-2E9C-101B-9397-08002B2CF9AE}" pid="5" name="sflag">
    <vt:lpwstr>1452061509</vt:lpwstr>
  </property>
</Properties>
</file>