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pl-PL" w:eastAsia="en-US"/>
                              </w:rPr>
                            </w:pPr>
                            <w:bookmarkStart w:id="0" w:name="page1"/>
                            <w:bookmarkEnd w:id="0"/>
                            <w:r>
                              <w:rPr>
                                <w:sz w:val="64"/>
                                <w:lang w:val="pl-PL" w:eastAsia="en-US"/>
                              </w:rPr>
                              <w:t xml:space="preserve">3GPP TS 45.015 </w:t>
                            </w:r>
                            <w:r>
                              <w:rPr>
                                <w:lang w:val="pl-PL" w:eastAsia="en-US"/>
                              </w:rPr>
                              <w:t xml:space="preserve">V16.0.0 </w:t>
                            </w:r>
                            <w:r>
                              <w:rPr>
                                <w:sz w:val="32"/>
                                <w:lang w:val="pl-PL"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pl-PL" w:eastAsia="en-US"/>
                        </w:rPr>
                      </w:pPr>
                      <w:bookmarkStart w:id="1" w:name="page1"/>
                      <w:bookmarkEnd w:id="1"/>
                      <w:r>
                        <w:rPr>
                          <w:sz w:val="64"/>
                          <w:lang w:val="pl-PL" w:eastAsia="en-US"/>
                        </w:rPr>
                        <w:t xml:space="preserve">3GPP TS 45.015 </w:t>
                      </w:r>
                      <w:r>
                        <w:rPr>
                          <w:lang w:val="pl-PL" w:eastAsia="en-US"/>
                        </w:rPr>
                        <w:t xml:space="preserve">V16.0.0 </w:t>
                      </w:r>
                      <w:r>
                        <w:rPr>
                          <w:sz w:val="32"/>
                          <w:lang w:val="pl-PL"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GSM/EDGE Release independent Downlink Advanced Receiver Performance (DARP);</w:t>
                            </w:r>
                          </w:p>
                          <w:p>
                            <w:pPr>
                              <w:pStyle w:val="ZT"/>
                              <w:rPr/>
                            </w:pPr>
                            <w:r>
                              <w:rPr/>
                              <w:t>Implementation guidelines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GSM/EDGE Release independent Downlink Advanced Receiver Performance (DARP);</w:t>
                      </w:r>
                    </w:p>
                    <w:p>
                      <w:pPr>
                        <w:pStyle w:val="ZT"/>
                        <w:rPr/>
                      </w:pPr>
                      <w:r>
                        <w:rPr/>
                        <w:t>Implementation guidelines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3380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3381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03381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803381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Abbreviations</w:t>
            <w:tab/>
          </w:r>
          <w:hyperlink w:anchor="__RefHeading___Toc51803381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Void</w:t>
            <w:tab/>
          </w:r>
          <w:hyperlink w:anchor="__RefHeading___Toc518033814">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DARP Phase II MS Independent of Release</w:t>
            <w:tab/>
          </w:r>
          <w:hyperlink w:anchor="__RefHeading___Toc51803381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RF Requirements</w:t>
            <w:tab/>
          </w:r>
          <w:hyperlink w:anchor="__RefHeading___Toc518033816">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Signalling Requirements</w:t>
            <w:tab/>
          </w:r>
          <w:hyperlink w:anchor="__RefHeading___Toc518033817">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8033818">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338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033810"/>
      <w:bookmarkEnd w:id="8"/>
      <w:r>
        <w:rPr/>
        <w:t>1</w:t>
        <w:tab/>
        <w:t>Scope</w:t>
      </w:r>
    </w:p>
    <w:p>
      <w:pPr>
        <w:pStyle w:val="Normal"/>
        <w:rPr/>
      </w:pPr>
      <w:r>
        <w:rPr/>
        <w:t>The present document specifies requirements on MSs supporting Downlink Advanced Receiver Performance (DARP) that are independent of release. TSG GERAN has agreed that the standardisation of DARP be independent of a release. However, in order to implement an MS that conforms to a particular release but supports DARP, which is specified in a later release, it is necessary to specify some extra requirements.</w:t>
      </w:r>
    </w:p>
    <w:p>
      <w:pPr>
        <w:pStyle w:val="Normal"/>
        <w:rPr/>
      </w:pPr>
      <w:r>
        <w:rPr/>
        <w:t>DARP - phase II is contained in the Release 7 specifications. In order to implement an MS conforming to Release 5 but supporting DARP – phase II, it is necessary for the MS to additionally conform to some parts of the Release 7 specifications, such as the radio frequency requirements for DARP and some signalling extensions relating to the MS Classmark and radio access capabilities.</w:t>
      </w:r>
    </w:p>
    <w:p>
      <w:pPr>
        <w:pStyle w:val="Heading1"/>
        <w:ind w:left="1134" w:hanging="1134"/>
        <w:rPr/>
      </w:pPr>
      <w:bookmarkStart w:id="9" w:name="__RefHeading___Toc51803381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(void)</w:t>
      </w:r>
    </w:p>
    <w:p>
      <w:pPr>
        <w:pStyle w:val="EX"/>
        <w:rPr/>
      </w:pPr>
      <w:r>
        <w:rPr/>
        <w:t>[3]</w:t>
        <w:tab/>
        <w:t>3GPP TS 45.005: "Radio transmission and reception (Release 7)".</w:t>
      </w:r>
    </w:p>
    <w:p>
      <w:pPr>
        <w:pStyle w:val="EX"/>
        <w:rPr/>
      </w:pPr>
      <w:r>
        <w:rPr/>
        <w:t>[4]</w:t>
        <w:tab/>
        <w:t>3GPP TS 24.008: "Mobile radio interface Layer 3 specification; Core Network protocols; Stage 3 (Release 7)".</w:t>
      </w:r>
    </w:p>
    <w:p>
      <w:pPr>
        <w:pStyle w:val="Heading1"/>
        <w:ind w:left="1134" w:hanging="1134"/>
        <w:rPr/>
      </w:pPr>
      <w:bookmarkStart w:id="10" w:name="__RefHeading___Toc518033812"/>
      <w:bookmarkEnd w:id="10"/>
      <w:r>
        <w:rPr/>
        <w:t>3</w:t>
        <w:tab/>
        <w:t>Definitions and abbreviations</w:t>
      </w:r>
    </w:p>
    <w:p>
      <w:pPr>
        <w:pStyle w:val="Normal"/>
        <w:rPr/>
      </w:pPr>
      <w:r>
        <w:rPr/>
        <w:t>Unless listed below, all definitions and abbreviations used in the present document are listed in documents referenced in clause 2.</w:t>
      </w:r>
    </w:p>
    <w:p>
      <w:pPr>
        <w:pStyle w:val="Heading2"/>
        <w:rPr/>
      </w:pPr>
      <w:bookmarkStart w:id="11" w:name="__RefHeading___Toc518033813"/>
      <w:bookmarkEnd w:id="11"/>
      <w:r>
        <w:rPr/>
        <w:t>3.1</w:t>
        <w:tab/>
        <w:t>Abbreviations</w:t>
      </w:r>
    </w:p>
    <w:p>
      <w:pPr>
        <w:pStyle w:val="Normal"/>
        <w:keepNext w:val="true"/>
        <w:rPr/>
      </w:pPr>
      <w:r>
        <w:rPr/>
        <w:t>For the purposes of the present document, the following abbreviations apply:</w:t>
      </w:r>
    </w:p>
    <w:p>
      <w:pPr>
        <w:pStyle w:val="EW"/>
        <w:rPr/>
      </w:pPr>
      <w:r>
        <w:rPr/>
        <w:t>DARP</w:t>
        <w:tab/>
        <w:t>Downlink Advanced Receiver Performance</w:t>
      </w:r>
    </w:p>
    <w:p>
      <w:pPr>
        <w:pStyle w:val="EW"/>
        <w:rPr/>
      </w:pPr>
      <w:r>
        <w:rPr/>
        <w:t>SAIC</w:t>
        <w:tab/>
        <w:t>Single Antenna Interference Cancellation, also known as DARP - phase I</w:t>
      </w:r>
    </w:p>
    <w:p>
      <w:pPr>
        <w:pStyle w:val="EW"/>
        <w:rPr/>
      </w:pPr>
      <w:r>
        <w:rPr/>
        <w:t>MSRD</w:t>
        <w:tab/>
        <w:t>Mobile Station Receive Diversity, also known as DARP - phase II</w:t>
      </w:r>
    </w:p>
    <w:p>
      <w:pPr>
        <w:pStyle w:val="FP"/>
        <w:rPr/>
      </w:pPr>
      <w:r>
        <w:rPr/>
      </w:r>
    </w:p>
    <w:p>
      <w:pPr>
        <w:pStyle w:val="Heading1"/>
        <w:ind w:left="1134" w:hanging="1134"/>
        <w:rPr/>
      </w:pPr>
      <w:bookmarkStart w:id="12" w:name="__RefHeading___Toc518033814"/>
      <w:bookmarkEnd w:id="12"/>
      <w:r>
        <w:rPr/>
        <w:t>4</w:t>
        <w:tab/>
        <w:t>Void</w:t>
      </w:r>
    </w:p>
    <w:p>
      <w:pPr>
        <w:pStyle w:val="FP"/>
        <w:rPr/>
      </w:pPr>
      <w:r>
        <w:rPr/>
      </w:r>
    </w:p>
    <w:p>
      <w:pPr>
        <w:pStyle w:val="Heading1"/>
        <w:ind w:left="1134" w:hanging="1134"/>
        <w:rPr/>
      </w:pPr>
      <w:bookmarkStart w:id="13" w:name="__RefHeading___Toc518033815"/>
      <w:bookmarkEnd w:id="13"/>
      <w:r>
        <w:rPr/>
        <w:t>5</w:t>
        <w:tab/>
        <w:t>DARP Phase II MS Independent of Release</w:t>
      </w:r>
    </w:p>
    <w:p>
      <w:pPr>
        <w:pStyle w:val="Normal"/>
        <w:rPr/>
      </w:pPr>
      <w:r>
        <w:rPr/>
        <w:t>MSs that conform to Release 5 and support DARP - phase II shall support the following requirements in Release 7.</w:t>
      </w:r>
    </w:p>
    <w:p>
      <w:pPr>
        <w:pStyle w:val="Heading2"/>
        <w:rPr/>
      </w:pPr>
      <w:bookmarkStart w:id="14" w:name="__RefHeading___Toc518033816"/>
      <w:bookmarkEnd w:id="14"/>
      <w:r>
        <w:rPr/>
        <w:t>5.1</w:t>
        <w:tab/>
        <w:t>RF Requirements</w:t>
      </w:r>
    </w:p>
    <w:p>
      <w:pPr>
        <w:pStyle w:val="Normal"/>
        <w:rPr/>
      </w:pPr>
      <w:r>
        <w:rPr/>
        <w:t>The MS shall comply with the RF requirements for DARP - phase II specified in [3]. These requirements are:</w:t>
      </w:r>
    </w:p>
    <w:p>
      <w:pPr>
        <w:pStyle w:val="B1"/>
        <w:rPr/>
      </w:pPr>
      <w:r>
        <w:rPr/>
        <w:t>Section 6.2: Reference sensitivity level.</w:t>
      </w:r>
    </w:p>
    <w:p>
      <w:pPr>
        <w:pStyle w:val="B1"/>
        <w:rPr/>
      </w:pPr>
      <w:r>
        <w:rPr/>
        <w:t>Section 6.3: Reference interference level.</w:t>
      </w:r>
    </w:p>
    <w:p>
      <w:pPr>
        <w:pStyle w:val="Heading2"/>
        <w:rPr/>
      </w:pPr>
      <w:bookmarkStart w:id="15" w:name="__RefHeading___Toc518033817"/>
      <w:bookmarkEnd w:id="15"/>
      <w:r>
        <w:rPr/>
        <w:t>5.2</w:t>
        <w:tab/>
        <w:t>Signalling Requirements</w:t>
      </w:r>
    </w:p>
    <w:p>
      <w:pPr>
        <w:pStyle w:val="Normal"/>
        <w:rPr/>
      </w:pPr>
      <w:r>
        <w:rPr/>
        <w:t>The MS shall support the following information elements specified in [4]:</w:t>
      </w:r>
    </w:p>
    <w:p>
      <w:pPr>
        <w:pStyle w:val="B1"/>
        <w:rPr>
          <w:lang w:eastAsia="ja-JP"/>
        </w:rPr>
      </w:pPr>
      <w:r>
        <w:rPr>
          <w:lang w:eastAsia="ja-JP"/>
        </w:rPr>
        <w:t>Section 10.5.1.7 Mobile Station Classmark 3, with the following exceptions:</w:t>
      </w:r>
    </w:p>
    <w:p>
      <w:pPr>
        <w:pStyle w:val="B1"/>
        <w:rPr/>
      </w:pPr>
      <w:r>
        <w:rPr/>
        <w:t>-</w:t>
        <w:tab/>
        <w:t xml:space="preserve">Fields </w:t>
      </w:r>
      <w:r>
        <w:rPr>
          <w:lang w:val="en-AU"/>
        </w:rPr>
        <w:t>T-GSM 400 Bands Supported</w:t>
      </w:r>
      <w:r>
        <w:rPr/>
        <w:t xml:space="preserve"> / T-GSM 400 Associated Radio Capability,</w:t>
      </w:r>
      <w:r>
        <w:rPr>
          <w:lang w:val="en-AU"/>
        </w:rPr>
        <w:t xml:space="preserve"> T-GSM 900 </w:t>
      </w:r>
      <w:r>
        <w:rPr/>
        <w:t>Associated Radio Capability, DTM GPRS High Multi Slot Class / Offset required / DTM EGPRS High Multi Slot Class, GSM 710 Associated Radio Capability, T-GSM 810 Associated Radio Capability, and Multislot Capability Reduction for Downlink Dual Carrier shall be indicated as not present since they are not defined in Release 5. This is done by setting the related indication bit to '0'.</w:t>
      </w:r>
    </w:p>
    <w:p>
      <w:pPr>
        <w:pStyle w:val="B1"/>
        <w:rPr/>
      </w:pPr>
      <w:r>
        <w:rPr/>
        <w:t>-</w:t>
        <w:tab/>
        <w:t>Parameter DTM Enhancement Capability, Repeated ACCH Capability and Ciphering Mode Setting Capability shall be indicated as not supported since it is not defined in Release 5. This is done by setting the bit value '0' for this parameter.</w:t>
      </w:r>
    </w:p>
    <w:p>
      <w:pPr>
        <w:pStyle w:val="B1"/>
        <w:rPr/>
      </w:pPr>
      <w:r>
        <w:rPr/>
        <w:t>Section 10.5.5.12a MS Radio Access Capability,</w:t>
      </w:r>
      <w:r>
        <w:rPr>
          <w:lang w:eastAsia="ja-JP"/>
        </w:rPr>
        <w:t xml:space="preserve"> with the following exceptions:</w:t>
      </w:r>
    </w:p>
    <w:p>
      <w:pPr>
        <w:pStyle w:val="B1"/>
        <w:rPr/>
      </w:pPr>
      <w:r>
        <w:rPr/>
        <w:t>-</w:t>
        <w:tab/>
        <w:t>Fields DTM GPRS High Multi Slot Class / DTM EGPRS High Multi Slot Class, Multislot Capability Reduction for Downlink Dual Carrier, and Downlink Dual Carrier for DTM Capability shall be indicated as not present since they are not defined in Release 5. This is done by setting the related indication bit to '0'.</w:t>
      </w:r>
    </w:p>
    <w:p>
      <w:pPr>
        <w:pStyle w:val="B1"/>
        <w:rPr/>
      </w:pPr>
      <w:r>
        <w:rPr/>
        <w:t>-</w:t>
        <w:tab/>
        <w:t>Parameters Multiple TBF Capability, Extended RLC/MAC Control Message Segmentation Capability, DTM Enhancements Capability, PS Handover Capability, and DTM Handover Capability shall be indicated as not supported since they are not defined in Release 5. This is done by setting the bit value '0' for each of these parameters.</w:t>
      </w:r>
    </w:p>
    <w:p>
      <w:pPr>
        <w:pStyle w:val="B1"/>
        <w:rPr/>
      </w:pPr>
      <w:r>
        <w:rPr/>
        <w:t>-</w:t>
        <w:tab/>
        <w:t>In addition, for Access Technology Type, the values '1001' through to '1101' shall not be used since GSM T 380, GSM T 410, GSM T 900, GSM 710 and GSM T 810 are not supported in Release 5.</w:t>
      </w:r>
    </w:p>
    <w:p>
      <w:pPr>
        <w:pStyle w:val="NO"/>
        <w:rPr/>
      </w:pPr>
      <w:r>
        <w:rPr/>
        <w:t>NOTE:</w:t>
        <w:tab/>
        <w:t>The lack of one or more of the fields following the Downlink Advanced Receiver Performance field in Mobile Station Classmark 3 IE or MS Radio Access Capability IE should not be considered as an error by the network. In this case the meaning "not supported" or "not present" should be assumed as indicated above.</w:t>
      </w:r>
    </w:p>
    <w:p>
      <w:pPr>
        <w:pStyle w:val="FP"/>
        <w:rPr/>
      </w:pPr>
      <w:r>
        <w:rPr/>
      </w:r>
      <w:r>
        <w:br w:type="page"/>
      </w:r>
    </w:p>
    <w:p>
      <w:pPr>
        <w:pStyle w:val="Heading8"/>
        <w:ind w:left="0" w:hanging="0"/>
        <w:rPr/>
      </w:pPr>
      <w:bookmarkStart w:id="16" w:name="__RefHeading___Toc518033818"/>
      <w:bookmarkStart w:id="17" w:name="historyclause"/>
      <w:bookmarkEnd w:id="16"/>
      <w:bookmarkEnd w:id="17"/>
      <w:r>
        <w:rPr/>
        <w:t>Annex A (informative):</w:t>
        <w:br/>
        <w:t>Change history</w:t>
      </w:r>
    </w:p>
    <w:p>
      <w:pPr>
        <w:pStyle w:val="TH"/>
        <w:rPr/>
      </w:pPr>
      <w:r>
        <w:rPr/>
      </w:r>
      <w:bookmarkStart w:id="18" w:name="historyclause"/>
      <w:bookmarkStart w:id="19" w:name="historyclause"/>
      <w:bookmarkEnd w:id="19"/>
    </w:p>
    <w:tbl>
      <w:tblPr>
        <w:tblW w:w="9356" w:type="dxa"/>
        <w:jc w:val="left"/>
        <w:tblInd w:w="-7" w:type="dxa"/>
        <w:tblLayout w:type="fixed"/>
        <w:tblCellMar>
          <w:top w:w="0" w:type="dxa"/>
          <w:left w:w="40" w:type="dxa"/>
          <w:bottom w:w="0" w:type="dxa"/>
          <w:right w:w="40" w:type="dxa"/>
        </w:tblCellMar>
      </w:tblPr>
      <w:tblGrid>
        <w:gridCol w:w="800"/>
        <w:gridCol w:w="618"/>
        <w:gridCol w:w="1134"/>
        <w:gridCol w:w="567"/>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eastAsia="en-US"/>
              </w:rPr>
            </w:pPr>
            <w:r>
              <w:rPr>
                <w:b/>
                <w:sz w:val="16"/>
                <w:lang w:eastAsia="en-US"/>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2004-11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lang w:eastAsia="en-US"/>
              </w:rPr>
            </w:pPr>
            <w:r>
              <w:rPr>
                <w:rFonts w:cs="Arial"/>
                <w:szCs w:val="18"/>
                <w:lang w:eastAsia="en-US"/>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GP-042854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eastAsia="en-US"/>
              </w:rPr>
            </w:pPr>
            <w:r>
              <w:rPr>
                <w:rFonts w:cs="Arial"/>
                <w:szCs w:val="18"/>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eastAsia="en-US"/>
              </w:rPr>
            </w:pPr>
            <w:r>
              <w:rPr>
                <w:rFonts w:cs="Arial"/>
                <w:szCs w:val="18"/>
                <w:lang w:eastAsia="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lang w:eastAsia="en-US"/>
              </w:rPr>
            </w:pPr>
            <w:r>
              <w:rPr>
                <w:rFonts w:cs="Arial"/>
                <w:szCs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lang w:val="en-AU" w:eastAsia="en-US"/>
              </w:rPr>
            </w:pPr>
            <w:r>
              <w:rPr>
                <w:rFonts w:cs="Arial"/>
                <w:szCs w:val="18"/>
                <w:lang w:val="en-AU" w:eastAsia="en-US"/>
              </w:rPr>
              <w:t>2006-01</w:t>
            </w:r>
          </w:p>
        </w:tc>
        <w:tc>
          <w:tcPr>
            <w:tcW w:w="618" w:type="dxa"/>
            <w:tcBorders>
              <w:top w:val="single" w:sz="6" w:space="0" w:color="000000"/>
              <w:left w:val="single" w:sz="6" w:space="0" w:color="000000"/>
              <w:right w:val="single" w:sz="6" w:space="0" w:color="000000"/>
            </w:tcBorders>
            <w:shd w:fill="FFFFFF" w:val="clear"/>
          </w:tcPr>
          <w:p>
            <w:pPr>
              <w:pStyle w:val="TAL"/>
              <w:jc w:val="center"/>
              <w:rPr>
                <w:rFonts w:cs="Arial"/>
                <w:szCs w:val="18"/>
                <w:lang w:val="en-AU" w:eastAsia="en-US"/>
              </w:rPr>
            </w:pPr>
            <w:r>
              <w:rPr>
                <w:rFonts w:cs="Arial"/>
                <w:szCs w:val="18"/>
                <w:lang w:val="en-AU" w:eastAsia="en-US"/>
              </w:rPr>
              <w:t>28</w:t>
            </w:r>
          </w:p>
        </w:tc>
        <w:tc>
          <w:tcPr>
            <w:tcW w:w="1134" w:type="dxa"/>
            <w:tcBorders>
              <w:top w:val="single" w:sz="6" w:space="0" w:color="000000"/>
              <w:left w:val="single" w:sz="6" w:space="0" w:color="000000"/>
              <w:right w:val="single" w:sz="6" w:space="0" w:color="000000"/>
            </w:tcBorders>
            <w:shd w:fill="FFFFFF" w:val="clear"/>
          </w:tcPr>
          <w:p>
            <w:pPr>
              <w:pStyle w:val="TAL"/>
              <w:rPr>
                <w:rFonts w:cs="Arial"/>
                <w:szCs w:val="18"/>
                <w:lang w:val="en-AU" w:eastAsia="en-US"/>
              </w:rPr>
            </w:pPr>
            <w:r>
              <w:rPr>
                <w:rFonts w:cs="Arial"/>
                <w:szCs w:val="18"/>
                <w:lang w:val="en-AU" w:eastAsia="en-US"/>
              </w:rPr>
              <w:t>GP-060330</w:t>
            </w:r>
          </w:p>
        </w:tc>
        <w:tc>
          <w:tcPr>
            <w:tcW w:w="567" w:type="dxa"/>
            <w:tcBorders>
              <w:top w:val="single" w:sz="6" w:space="0" w:color="000000"/>
              <w:left w:val="single" w:sz="6" w:space="0" w:color="000000"/>
              <w:right w:val="single" w:sz="6" w:space="0" w:color="000000"/>
            </w:tcBorders>
            <w:shd w:fill="FFFFFF" w:val="clear"/>
          </w:tcPr>
          <w:p>
            <w:pPr>
              <w:pStyle w:val="TAL"/>
              <w:rPr>
                <w:rFonts w:cs="Arial"/>
                <w:szCs w:val="18"/>
                <w:lang w:val="en-AU" w:eastAsia="en-US"/>
              </w:rPr>
            </w:pPr>
            <w:r>
              <w:rPr>
                <w:rFonts w:cs="Arial"/>
                <w:szCs w:val="18"/>
                <w:lang w:val="en-AU" w:eastAsia="en-US"/>
              </w:rPr>
              <w:t>0004</w:t>
            </w:r>
          </w:p>
        </w:tc>
        <w:tc>
          <w:tcPr>
            <w:tcW w:w="425" w:type="dxa"/>
            <w:tcBorders>
              <w:top w:val="single" w:sz="6" w:space="0" w:color="000000"/>
              <w:left w:val="single" w:sz="6" w:space="0" w:color="000000"/>
              <w:right w:val="single" w:sz="6" w:space="0" w:color="000000"/>
            </w:tcBorders>
            <w:shd w:fill="FFFFFF" w:val="clear"/>
          </w:tcPr>
          <w:p>
            <w:pPr>
              <w:pStyle w:val="TAL"/>
              <w:rPr>
                <w:rFonts w:cs="Arial"/>
                <w:szCs w:val="18"/>
                <w:lang w:val="en-AU" w:eastAsia="en-US"/>
              </w:rPr>
            </w:pPr>
            <w:r>
              <w:rPr>
                <w:rFonts w:cs="Arial"/>
                <w:szCs w:val="18"/>
                <w:lang w:val="en-AU" w:eastAsia="en-US"/>
              </w:rPr>
              <w:t>2</w:t>
            </w:r>
          </w:p>
        </w:tc>
        <w:tc>
          <w:tcPr>
            <w:tcW w:w="4394" w:type="dxa"/>
            <w:tcBorders>
              <w:top w:val="single" w:sz="6" w:space="0" w:color="000000"/>
              <w:left w:val="single" w:sz="6" w:space="0" w:color="000000"/>
              <w:right w:val="single" w:sz="6" w:space="0" w:color="000000"/>
            </w:tcBorders>
            <w:shd w:fill="FFFFFF" w:val="clear"/>
          </w:tcPr>
          <w:p>
            <w:pPr>
              <w:pStyle w:val="TAL"/>
              <w:rPr>
                <w:rFonts w:cs="Arial"/>
                <w:szCs w:val="18"/>
                <w:lang w:val="en-AU" w:eastAsia="en-US"/>
              </w:rPr>
            </w:pPr>
            <w:r>
              <w:rPr>
                <w:rFonts w:cs="Arial"/>
                <w:szCs w:val="18"/>
                <w:lang w:eastAsia="en-US"/>
              </w:rPr>
              <w:t>Release independent DARP Implementation guidelines update</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5.0.0</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5.1.0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val="en-AU" w:eastAsia="en-US"/>
              </w:rPr>
              <w:t>2007-05</w:t>
            </w:r>
          </w:p>
        </w:tc>
        <w:tc>
          <w:tcPr>
            <w:tcW w:w="618" w:type="dxa"/>
            <w:tcBorders>
              <w:top w:val="single" w:sz="6" w:space="0" w:color="000000"/>
              <w:left w:val="single" w:sz="6" w:space="0" w:color="000000"/>
              <w:right w:val="single" w:sz="6" w:space="0" w:color="000000"/>
            </w:tcBorders>
            <w:shd w:fill="FFFFFF" w:val="clear"/>
          </w:tcPr>
          <w:p>
            <w:pPr>
              <w:pStyle w:val="TAL"/>
              <w:jc w:val="center"/>
              <w:rPr>
                <w:rFonts w:cs="Arial"/>
                <w:szCs w:val="18"/>
                <w:lang w:eastAsia="en-US"/>
              </w:rPr>
            </w:pPr>
            <w:r>
              <w:rPr>
                <w:rFonts w:cs="Arial"/>
                <w:szCs w:val="18"/>
                <w:lang w:eastAsia="en-US"/>
              </w:rPr>
              <w:t>34</w:t>
            </w:r>
          </w:p>
        </w:tc>
        <w:tc>
          <w:tcPr>
            <w:tcW w:w="1134"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GP-071051</w:t>
            </w:r>
          </w:p>
        </w:tc>
        <w:tc>
          <w:tcPr>
            <w:tcW w:w="567"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0005</w:t>
            </w:r>
          </w:p>
        </w:tc>
        <w:tc>
          <w:tcPr>
            <w:tcW w:w="425"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1</w:t>
            </w:r>
          </w:p>
        </w:tc>
        <w:tc>
          <w:tcPr>
            <w:tcW w:w="4394"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Release independent DARP Implementation guidelines update</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5.1.0</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lang w:eastAsia="en-US"/>
              </w:rPr>
            </w:pPr>
            <w:r>
              <w:rPr>
                <w:rFonts w:cs="Arial"/>
                <w:szCs w:val="18"/>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en-US"/>
              </w:rPr>
            </w:pPr>
            <w:r>
              <w:rPr>
                <w:rFonts w:cs="Arial"/>
                <w:szCs w:val="18"/>
                <w:lang w:val="en-AU" w:eastAsia="en-US"/>
              </w:rPr>
              <w:t>2007-05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lang w:eastAsia="en-US"/>
              </w:rPr>
            </w:pPr>
            <w:r>
              <w:rPr>
                <w:rFonts w:cs="Arial"/>
                <w:szCs w:val="18"/>
                <w:lang w:eastAsia="en-US"/>
              </w:rPr>
              <w:t>34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szCs w:val="18"/>
                <w:lang w:eastAsia="en-US"/>
              </w:rPr>
              <w:t>GP-07105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iCs/>
                <w:color w:val="000000"/>
                <w:szCs w:val="18"/>
                <w:lang w:val="en-AU" w:eastAsia="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iCs/>
                <w:color w:val="000000"/>
                <w:szCs w:val="18"/>
                <w:lang w:val="en-AU" w:eastAsia="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iCs/>
                <w:color w:val="000000"/>
                <w:szCs w:val="18"/>
                <w:lang w:val="en-AU" w:eastAsia="en-US"/>
              </w:rPr>
              <w:t>Release independent DARP Implementation guidelines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iCs/>
                <w:color w:val="000000"/>
                <w:szCs w:val="18"/>
                <w:lang w:val="en-AU"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iCs/>
                <w:color w:val="000000"/>
                <w:szCs w:val="18"/>
                <w:lang w:val="en-AU" w:eastAsia="en-US"/>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rFonts w:cs="Arial"/>
                <w:szCs w:val="18"/>
                <w:lang w:val="en-AU" w:eastAsia="en-US"/>
              </w:rPr>
              <w:t>2007-08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eastAsia="en-US"/>
              </w:rPr>
            </w:pPr>
            <w:r>
              <w:rPr>
                <w:lang w:val="en-AU" w:eastAsia="en-US"/>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eastAsia="en-US"/>
              </w:rPr>
            </w:pPr>
            <w:r>
              <w:rPr>
                <w:lang w:val="en-AU" w:eastAsia="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eastAsia="en-US"/>
              </w:rPr>
            </w:pPr>
            <w:r>
              <w:rPr>
                <w:lang w:val="en-AU"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rFonts w:cs="Arial"/>
                <w:szCs w:val="18"/>
                <w:lang w:val="en-AU" w:eastAsia="en-US"/>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iCs/>
                <w:color w:val="000000"/>
                <w:szCs w:val="18"/>
                <w:lang w:val="en-AU" w:eastAsia="en-US"/>
              </w:rPr>
            </w:pPr>
            <w:r>
              <w:rPr>
                <w:rFonts w:cs="Arial"/>
                <w:iCs/>
                <w:color w:val="000000"/>
                <w:szCs w:val="18"/>
                <w:lang w:val="en-AU" w:eastAsia="en-US"/>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00"/>
                <w:szCs w:val="18"/>
                <w:lang w:val="en-AU" w:eastAsia="en-US"/>
              </w:rPr>
            </w:pPr>
            <w:r>
              <w:rPr>
                <w:rFonts w:cs="Arial"/>
                <w:iCs/>
                <w:color w:val="000000"/>
                <w:szCs w:val="18"/>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00"/>
                <w:szCs w:val="18"/>
                <w:lang w:val="en-AU" w:eastAsia="en-US"/>
              </w:rPr>
            </w:pPr>
            <w:r>
              <w:rPr>
                <w:rFonts w:cs="Arial"/>
                <w:iCs/>
                <w:color w:val="000000"/>
                <w:szCs w:val="18"/>
                <w:lang w:val="en-AU"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00"/>
                <w:szCs w:val="18"/>
                <w:lang w:val="en-AU" w:eastAsia="en-US"/>
              </w:rPr>
            </w:pPr>
            <w:r>
              <w:rPr>
                <w:rFonts w:cs="Arial"/>
                <w:iCs/>
                <w:color w:val="000000"/>
                <w:szCs w:val="18"/>
                <w:lang w:val="en-AU" w:eastAsia="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lang w:val="en-AU"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lang w:val="en-AU"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color w:val="000000"/>
                <w:szCs w:val="18"/>
                <w:lang w:val="en-AU" w:eastAsia="en-US"/>
              </w:rPr>
            </w:pPr>
            <w:r>
              <w:rPr>
                <w:lang w:val="en-AU"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eastAsia="en-US"/>
              </w:rPr>
            </w:pPr>
            <w:r>
              <w:rPr>
                <w:rFonts w:cs="Arial"/>
                <w:color w:val="000000"/>
                <w:szCs w:val="18"/>
                <w:lang w:val="en-AU" w:eastAsia="en-US"/>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eastAsia="en-US"/>
              </w:rPr>
            </w:pPr>
            <w:r>
              <w:rPr>
                <w:rFonts w:cs="Arial"/>
                <w:color w:val="000000"/>
                <w:szCs w:val="18"/>
                <w:lang w:val="en-AU" w:eastAsia="en-US"/>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eastAsia="en-US"/>
              </w:rPr>
            </w:pPr>
            <w:r>
              <w:rPr>
                <w:rFonts w:cs="Arial"/>
                <w:color w:val="000000"/>
                <w:szCs w:val="18"/>
                <w:lang w:val="en-AU"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eastAsia="en-US"/>
              </w:rPr>
            </w:pPr>
            <w:r>
              <w:rPr>
                <w:rFonts w:cs="Arial"/>
                <w:color w:val="000000"/>
                <w:szCs w:val="18"/>
                <w:lang w:val="en-AU"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eastAsia="en-US"/>
              </w:rPr>
            </w:pPr>
            <w:r>
              <w:rPr>
                <w:rFonts w:cs="Arial"/>
                <w:color w:val="000000"/>
                <w:szCs w:val="18"/>
                <w:lang w:val="en-AU" w:eastAsia="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eastAsia="en-US"/>
              </w:rPr>
            </w:pPr>
            <w:r>
              <w:rPr>
                <w:lang w:val="en-AU"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eastAsia="en-US"/>
              </w:rPr>
            </w:pPr>
            <w:r>
              <w:rPr>
                <w:lang w:val="en-AU"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eastAsia="en-US"/>
              </w:rPr>
            </w:pPr>
            <w:r>
              <w:rPr>
                <w:lang w:val="en-AU"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color w:val="000000"/>
                <w:sz w:val="18"/>
                <w:szCs w:val="18"/>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AU"/>
              </w:rPr>
            </w:pPr>
            <w:r>
              <w:rPr>
                <w:rFonts w:cs="Arial" w:ascii="Arial" w:hAnsi="Arial"/>
                <w:sz w:val="18"/>
                <w:szCs w:val="18"/>
                <w:lang w:val="en-AU"/>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13.0.0</w:t>
            </w:r>
          </w:p>
        </w:tc>
      </w:tr>
    </w:tbl>
    <w:p>
      <w:pPr>
        <w:pStyle w:val="Normal"/>
        <w:rPr/>
      </w:pPr>
      <w:r>
        <w:rPr/>
      </w:r>
    </w:p>
    <w:p>
      <w:pPr>
        <w:pStyle w:val="TH"/>
        <w:rPr>
          <w:lang w:val="en-AU"/>
        </w:rPr>
      </w:pPr>
      <w:r>
        <w:rPr>
          <w:lang w:val="en-AU"/>
        </w:rPr>
      </w:r>
    </w:p>
    <w:tbl>
      <w:tblPr>
        <w:tblW w:w="9356"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Meeting</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eastAsia="en-US"/>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szCs w:val="18"/>
                <w:lang w:val="en-US" w:eastAsia="en-US"/>
              </w:rPr>
              <w:t xml:space="preserve">Version for </w:t>
            </w:r>
            <w:r>
              <w:rPr>
                <w:szCs w:val="18"/>
                <w:lang w:eastAsia="en-US"/>
              </w:rPr>
              <w:t xml:space="preserve">Release 14 </w:t>
            </w:r>
            <w:r>
              <w:rPr>
                <w:color w:val="000000"/>
                <w:szCs w:val="18"/>
                <w:lang w:eastAsia="en-US"/>
              </w:rPr>
              <w:t>(frozen at TSG-75)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lang w:eastAsia="en-US"/>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 xml:space="preserve">Version for </w:t>
            </w:r>
            <w:r>
              <w:rPr>
                <w:szCs w:val="18"/>
                <w:lang w:eastAsia="en-US"/>
              </w:rPr>
              <w:t xml:space="preserve">Release 15 </w:t>
            </w:r>
            <w:r>
              <w:rPr>
                <w:color w:val="000000"/>
                <w:szCs w:val="18"/>
                <w:lang w:eastAsia="en-US"/>
              </w:rPr>
              <w:t>(frozen at TSG-80)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val="en-AU" w:eastAsia="en-US"/>
              </w:rPr>
            </w:pPr>
            <w:r>
              <w:rPr>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lang w:eastAsia="en-US"/>
              </w:rPr>
            </w:pPr>
            <w:r>
              <w:rPr>
                <w:szCs w:val="18"/>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color w:val="000000"/>
                <w:szCs w:val="18"/>
                <w:lang w:val="en-AU" w:eastAsia="en-US"/>
              </w:rPr>
            </w:pPr>
            <w:r>
              <w:rPr>
                <w:bCs/>
                <w:color w:val="000000"/>
                <w:szCs w:val="18"/>
                <w:lang w:val="en-AU" w:eastAsia="en-US"/>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Verdan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page">
                <wp:posOffset>5081270</wp:posOffset>
              </wp:positionH>
              <wp:positionV relativeFrom="paragraph">
                <wp:posOffset>32385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45.015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2.55pt;mso-position-vertical-relative:text;margin-left:400.1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45.015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MS PMincho" w:cs="Times New Roman"/>
    </w:rPr>
  </w:style>
  <w:style w:type="character" w:styleId="WW8Num6z1">
    <w:name w:val="WW8Num6z1"/>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overflowPunct w:val="false"/>
      <w:autoSpaceDE w:val="false"/>
      <w:spacing w:before="0" w:after="0"/>
      <w:ind w:left="567" w:hanging="0"/>
      <w:textAlignment w:val="baseline"/>
    </w:pPr>
    <w:rPr/>
  </w:style>
  <w:style w:type="paragraph" w:styleId="CSN1noborder">
    <w:name w:val="CSN1 - no border"/>
    <w:basedOn w:val="CSN1"/>
    <w:qFormat/>
    <w:pPr>
      <w:keepNext w:val="true"/>
      <w:pBdr>
        <w:top w:val="nil"/>
        <w:left w:val="nil"/>
        <w:bottom w:val="nil"/>
        <w:right w:val="nil"/>
      </w:pBdr>
      <w:ind w:left="0" w:hanging="0"/>
    </w:pPr>
    <w:rPr>
      <w:lang w:val="fr-FR"/>
    </w:rPr>
  </w:style>
  <w:style w:type="paragraph" w:styleId="11BodyText">
    <w:name w:val="11 BodyText"/>
    <w:basedOn w:val="Normal"/>
    <w:qFormat/>
    <w:pPr>
      <w:spacing w:before="0" w:after="220"/>
      <w:ind w:left="1298" w:hanging="0"/>
      <w:jc w:val="both"/>
    </w:pPr>
    <w:rPr>
      <w:rFonts w:ascii="Verdana" w:hAnsi="Verdana" w:cs="Verdana"/>
    </w:rPr>
  </w:style>
  <w:style w:type="paragraph" w:styleId="DocumentTitle">
    <w:name w:val="Document Title"/>
    <w:basedOn w:val="Normal"/>
    <w:qFormat/>
    <w:pPr>
      <w:spacing w:before="2800" w:after="0"/>
    </w:pPr>
    <w:rPr>
      <w:rFonts w:ascii="Verdana" w:hAnsi="Verdana" w:cs="Verdana"/>
      <w:b/>
      <w:sz w:val="3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2015-12-08T18:23:00Z</dcterms:created>
  <dc:creator>TSG RAN WG6</dc:creator>
  <dc:description/>
  <cp:keywords>3GPP DARP</cp:keywords>
  <dc:language>en-US</dc:language>
  <cp:lastModifiedBy>x</cp:lastModifiedBy>
  <dcterms:modified xsi:type="dcterms:W3CDTF">2020-07-19T20:35:00Z</dcterms:modified>
  <cp:revision>19</cp:revision>
  <dc:subject>3GPP TS 45.015 Release Independent Downlink Advanced Receiver Performance; Implementation Guidelines (Release 16)</dc:subject>
  <dc:title>3GPP TS 45.015 v. 15.0.0</dc:title>
</cp:coreProperties>
</file>